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header4.xml" ContentType="application/vnd.openxmlformats-officedocument.wordprocessingml.header+xml"/>
  <Override PartName="/word/charts/chart2.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2.xml" ContentType="application/vnd.openxmlformats-officedocument.themeOverride+xml"/>
  <Override PartName="/word/drawings/drawing1.xml" ContentType="application/vnd.openxmlformats-officedocument.drawingml.chartshapes+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10.xml" ContentType="application/vnd.openxmlformats-officedocument.themeOverride+xml"/>
  <Override PartName="/word/charts/chart11.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11.xml" ContentType="application/vnd.openxmlformats-officedocument.themeOverride+xml"/>
  <Override PartName="/word/charts/chart12.xml" ContentType="application/vnd.openxmlformats-officedocument.drawingml.chart+xml"/>
  <Override PartName="/word/theme/themeOverride12.xml" ContentType="application/vnd.openxmlformats-officedocument.themeOverride+xml"/>
  <Override PartName="/word/drawings/drawing2.xml" ContentType="application/vnd.openxmlformats-officedocument.drawingml.chartshapes+xml"/>
  <Override PartName="/word/charts/chart13.xml" ContentType="application/vnd.openxmlformats-officedocument.drawingml.chart+xml"/>
  <Override PartName="/word/theme/themeOverride13.xml" ContentType="application/vnd.openxmlformats-officedocument.themeOverride+xml"/>
  <Override PartName="/word/drawings/drawing3.xml" ContentType="application/vnd.openxmlformats-officedocument.drawingml.chartshapes+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footer6.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OLE_LINK1"/>
    <w:bookmarkStart w:id="1" w:name="OLE_LINK2"/>
    <w:bookmarkStart w:id="2" w:name="OLE_LINK3"/>
    <w:bookmarkStart w:id="3" w:name="OLE_LINK4"/>
    <w:p w:rsidR="00BC7ACC" w:rsidRDefault="00CE4BD1" w:rsidP="008E044B">
      <w:pPr>
        <w:pStyle w:val="NoSpacing"/>
        <w:jc w:val="center"/>
        <w:rPr>
          <w:lang w:eastAsia="ja-JP"/>
        </w:rPr>
      </w:pPr>
      <w:r>
        <w:rPr>
          <w:noProof/>
        </w:rPr>
        <mc:AlternateContent>
          <mc:Choice Requires="wps">
            <w:drawing>
              <wp:anchor distT="0" distB="0" distL="114300" distR="114300" simplePos="0" relativeHeight="251661312" behindDoc="0" locked="0" layoutInCell="1" allowOverlap="1" wp14:anchorId="36C895F8" wp14:editId="482E1426">
                <wp:simplePos x="0" y="0"/>
                <wp:positionH relativeFrom="column">
                  <wp:posOffset>-1009650</wp:posOffset>
                </wp:positionH>
                <wp:positionV relativeFrom="paragraph">
                  <wp:posOffset>3156476</wp:posOffset>
                </wp:positionV>
                <wp:extent cx="7669530" cy="6350"/>
                <wp:effectExtent l="0" t="0" r="26670" b="31750"/>
                <wp:wrapNone/>
                <wp:docPr id="16" name="Straight Connector 16"/>
                <wp:cNvGraphicFramePr/>
                <a:graphic xmlns:a="http://schemas.openxmlformats.org/drawingml/2006/main">
                  <a:graphicData uri="http://schemas.microsoft.com/office/word/2010/wordprocessingShape">
                    <wps:wsp>
                      <wps:cNvCnPr/>
                      <wps:spPr>
                        <a:xfrm>
                          <a:off x="0" y="0"/>
                          <a:ext cx="7669530" cy="6350"/>
                        </a:xfrm>
                        <a:prstGeom prst="line">
                          <a:avLst/>
                        </a:prstGeom>
                        <a:ln w="9525">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585069D" id="Straight Connector 16"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9.5pt,248.55pt" to="524.4pt,24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LVj3gEAABUEAAAOAAAAZHJzL2Uyb0RvYy54bWysU01v2zAMvQ/YfxB0b5wPJFuNOD2k6C7D&#10;FqzbD1BlKhYgiYKkxc6/HyUnbtENGDb0IpsiH8n3SG3vBmvYCULU6Bq+mM05Ayex1e7Y8B/fH24+&#10;chaTcK0w6KDhZ4j8bvf+3bb3NSyxQ9NCYJTExbr3De9S8nVVRdmBFXGGHhw5FQYrEpnhWLVB9JTd&#10;mmo5n2+qHkPrA0qIkW7vRyfflfxKgUxflYqQmGk49ZbKGcr5lM9qtxX1MQjfaXlpQ/xHF1ZoR0Wn&#10;VPciCfYz6N9SWS0DRlRpJtFWqJSWUDgQm8X8FZvHTngoXEic6CeZ4tullV9Oh8B0S7PbcOaEpRk9&#10;piD0sUtsj86RghgYOUmp3seaAHt3CBcr+kPItAcVbP4SITYUdc+TujAkJunyw2Zzu17RECT5Nqt1&#10;Eb96xvoQ0ydAy/JPw412mbuoxelzTFSPQq8h+do41jf8dr1cl6iIRrcP2pjsK+sDexPYSdDghZTg&#10;0ipToCQvIskyji4zsZFK+UtnA2OJb6BIHGp+MRbJa/k67+KS1ziKzjBFXUzA+d+Bl/gMhbKy/wKe&#10;EKUyujSBrXYY/lQ9DdeW1Rh/VWDknSV4wvZchlykod0ryl3eSV7ul3aBP7/m3S8AAAD//wMAUEsD&#10;BBQABgAIAAAAIQDZU9VF4gAAAA0BAAAPAAAAZHJzL2Rvd25yZXYueG1sTI/BTsMwDIbvSLxDZCRu&#10;W9oxoCtNJ4TYhQtioI1j1pimW+JUTboWnp70BEfbv35/X7EerWFn7HzjSEA6T4AhVU41VAv4eN/M&#10;MmA+SFLSOEIB3+hhXV5eFDJXbqA3PG9DzWIJ+VwK0CG0Oee+0miln7sWKd6+XGdliGNXc9XJIZZb&#10;wxdJcsetbCh+0LLFJ43VadtbAWb/+pydfj6PNy9trzeDX4zHnRXi+mp8fAAWcAx/YZjwIzqUkeng&#10;elKeGQGz9HYVZYKA5eo+BTZFkmUWdQ7TKkuBlwX/b1H+AgAA//8DAFBLAQItABQABgAIAAAAIQC2&#10;gziS/gAAAOEBAAATAAAAAAAAAAAAAAAAAAAAAABbQ29udGVudF9UeXBlc10ueG1sUEsBAi0AFAAG&#10;AAgAAAAhADj9If/WAAAAlAEAAAsAAAAAAAAAAAAAAAAALwEAAF9yZWxzLy5yZWxzUEsBAi0AFAAG&#10;AAgAAAAhACGUtWPeAQAAFQQAAA4AAAAAAAAAAAAAAAAALgIAAGRycy9lMm9Eb2MueG1sUEsBAi0A&#10;FAAGAAgAAAAhANlT1UXiAAAADQEAAA8AAAAAAAAAAAAAAAAAOAQAAGRycy9kb3ducmV2LnhtbFBL&#10;BQYAAAAABAAEAPMAAABHBQAAAAA=&#10;" strokecolor="#b32c16 [3206]"/>
            </w:pict>
          </mc:Fallback>
        </mc:AlternateContent>
      </w:r>
      <w:r w:rsidRPr="00850F48">
        <w:rPr>
          <w:noProof/>
        </w:rPr>
        <mc:AlternateContent>
          <mc:Choice Requires="wps">
            <w:drawing>
              <wp:anchor distT="0" distB="0" distL="114300" distR="114300" simplePos="0" relativeHeight="251651072" behindDoc="0" locked="0" layoutInCell="1" allowOverlap="1" wp14:anchorId="2AC7D377" wp14:editId="4F085804">
                <wp:simplePos x="0" y="0"/>
                <wp:positionH relativeFrom="margin">
                  <wp:posOffset>4108664</wp:posOffset>
                </wp:positionH>
                <wp:positionV relativeFrom="paragraph">
                  <wp:posOffset>-531495</wp:posOffset>
                </wp:positionV>
                <wp:extent cx="1898650" cy="521970"/>
                <wp:effectExtent l="0" t="0" r="0" b="0"/>
                <wp:wrapNone/>
                <wp:docPr id="3"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98650" cy="521970"/>
                        </a:xfrm>
                        <a:prstGeom prst="rect">
                          <a:avLst/>
                        </a:prstGeom>
                        <a:noFill/>
                        <a:ln w="6350">
                          <a:noFill/>
                        </a:ln>
                        <a:effectLst/>
                      </wps:spPr>
                      <wps:txbx>
                        <w:txbxContent>
                          <w:p w:rsidR="00665E9C" w:rsidRPr="00F46484" w:rsidRDefault="00665E9C" w:rsidP="00850F48">
                            <w:pPr>
                              <w:jc w:val="right"/>
                              <w:rPr>
                                <w:b/>
                                <w:color w:val="EA6D59" w:themeColor="accent3" w:themeTint="99"/>
                                <w:sz w:val="48"/>
                                <w:szCs w:val="4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C7D377" id="_x0000_t202" coordsize="21600,21600" o:spt="202" path="m,l,21600r21600,l21600,xe">
                <v:stroke joinstyle="miter"/>
                <v:path gradientshapeok="t" o:connecttype="rect"/>
              </v:shapetype>
              <v:shape id="Text Box 24" o:spid="_x0000_s1026" type="#_x0000_t202" style="position:absolute;left:0;text-align:left;margin-left:323.5pt;margin-top:-41.85pt;width:149.5pt;height:41.1pt;z-index:251651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yfusOwIAAHkEAAAOAAAAZHJzL2Uyb0RvYy54bWysVN9v2jAQfp+0/8Hy+whQoBARKtaKaRJq&#10;K8HUZ+PYEM32ebYh6f76nZ1AWbenaS/One/z/fruMr9rtCIn4XwFpqCDXp8SYTiUldkX9Nt29WlK&#10;iQ/MlEyBEQV9FZ7eLT5+mNc2F0M4gCqFI+jE+Ly2BT2EYPMs8/wgNPM9sMKgUYLTLKDq9lnpWI3e&#10;tcqG/f4kq8GV1gEX3uPtQ2uki+RfSsHDk5ReBKIKirmFdLp07uKZLeYs3ztmDxXv0mD/kIVmlcGg&#10;F1cPLDBydNUfrnTFHXiQocdBZyBlxUWqAasZ9N9VszkwK1It2BxvL23y/88tfzw9O1KVBb2hxDCN&#10;FG1FE8hnaMhwFNtTW58jamMRFxq8R5pTqd6ugX/3CMmuMO0Dj+jYjkY6Hb9YKMGHyMDrpesxDI/e&#10;prPpZIwmjrbxcDC7TbRkb6+t8+GLAE2iUFCHrKYM2GntQ4zP8jMkBjOwqpRKzCpD6oJObtD9bxZ8&#10;oUy8EWlGOjexjDbzKIVm13T176B8xfIdtPPjLV9VmMqa+fDMHA4MZo9LEJ7wkAowJHQSJQdwP/92&#10;H/HII1opqXEAC+p/HJkTlKivBhmeDUajOLFJGY1vh6i4a8vu2mKO+h5wxge4bpYnMeKDOovSgX7B&#10;XVnGqGhihmPsgoazeB/atcBd42K5TCCcUcvC2mwsP7MeG71tXpizHRsBeXyE86iy/B0pLbZt/vIY&#10;QFaJsdjgtqvd+OB8JyK7XYwLdK0n1NsfY/ELAAD//wMAUEsDBBQABgAIAAAAIQCBQSfz4AAAAAoB&#10;AAAPAAAAZHJzL2Rvd25yZXYueG1sTI/BTsMwEETvSPyDtUjcWqdQkhDiVBWCCxJClEqImxsvccBe&#10;h9htw9+znOC4s6OZN/Vq8k4ccIx9IAWLeQYCqQ2mp07B9uV+VoKISZPRLhAq+MYIq+b0pNaVCUd6&#10;xsMmdYJDKFZagU1pqKSMrUWv4zwMSPx7D6PXic+xk2bURw73Tl5kWS697okbrB7w1mL7udl7BUX5&#10;ZuzH+DBtXx/XX/ZpkO5OS6XOz6b1DYiEU/ozwy8+o0PDTLuwJxOFU5AvC96SFMzKywIEO66XOSs7&#10;VhZXIJta/p/Q/AAAAP//AwBQSwECLQAUAAYACAAAACEAtoM4kv4AAADhAQAAEwAAAAAAAAAAAAAA&#10;AAAAAAAAW0NvbnRlbnRfVHlwZXNdLnhtbFBLAQItABQABgAIAAAAIQA4/SH/1gAAAJQBAAALAAAA&#10;AAAAAAAAAAAAAC8BAABfcmVscy8ucmVsc1BLAQItABQABgAIAAAAIQA6yfusOwIAAHkEAAAOAAAA&#10;AAAAAAAAAAAAAC4CAABkcnMvZTJvRG9jLnhtbFBLAQItABQABgAIAAAAIQCBQSfz4AAAAAoBAAAP&#10;AAAAAAAAAAAAAAAAAJUEAABkcnMvZG93bnJldi54bWxQSwUGAAAAAAQABADzAAAAogUAAAAA&#10;" filled="f" stroked="f" strokeweight=".5pt">
                <v:path arrowok="t"/>
                <v:textbox>
                  <w:txbxContent>
                    <w:p w:rsidR="00665E9C" w:rsidRPr="00F46484" w:rsidRDefault="00665E9C" w:rsidP="00850F48">
                      <w:pPr>
                        <w:jc w:val="right"/>
                        <w:rPr>
                          <w:b/>
                          <w:color w:val="EA6D59" w:themeColor="accent3" w:themeTint="99"/>
                          <w:sz w:val="48"/>
                          <w:szCs w:val="48"/>
                        </w:rPr>
                      </w:pPr>
                    </w:p>
                  </w:txbxContent>
                </v:textbox>
                <w10:wrap anchorx="margin"/>
              </v:shape>
            </w:pict>
          </mc:Fallback>
        </mc:AlternateContent>
      </w:r>
      <w:r w:rsidRPr="00850F48">
        <w:rPr>
          <w:noProof/>
        </w:rPr>
        <mc:AlternateContent>
          <mc:Choice Requires="wps">
            <w:drawing>
              <wp:anchor distT="0" distB="0" distL="114300" distR="114300" simplePos="0" relativeHeight="251649024" behindDoc="0" locked="0" layoutInCell="1" allowOverlap="1" wp14:anchorId="0E257EDA" wp14:editId="4F802C2A">
                <wp:simplePos x="0" y="0"/>
                <wp:positionH relativeFrom="margin">
                  <wp:posOffset>3475355</wp:posOffset>
                </wp:positionH>
                <wp:positionV relativeFrom="margin">
                  <wp:posOffset>-11430</wp:posOffset>
                </wp:positionV>
                <wp:extent cx="2534285" cy="320040"/>
                <wp:effectExtent l="0" t="0" r="0" b="3810"/>
                <wp:wrapSquare wrapText="bothSides"/>
                <wp:docPr id="69"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34285" cy="320040"/>
                        </a:xfrm>
                        <a:prstGeom prst="rect">
                          <a:avLst/>
                        </a:prstGeom>
                        <a:noFill/>
                        <a:ln w="6350">
                          <a:noFill/>
                        </a:ln>
                        <a:effectLst/>
                      </wps:spPr>
                      <wps:txbx>
                        <w:txbxContent>
                          <w:p w:rsidR="00665E9C" w:rsidRPr="00CE4BD1" w:rsidRDefault="00665E9C" w:rsidP="00850F48">
                            <w:pPr>
                              <w:jc w:val="right"/>
                              <w:rPr>
                                <w:rStyle w:val="Emphasis"/>
                                <w:rFonts w:asciiTheme="minorHAnsi" w:hAnsiTheme="minorHAnsi" w:cstheme="minorHAnsi"/>
                                <w:i w:val="0"/>
                                <w:iCs w:val="0"/>
                                <w:spacing w:val="12"/>
                                <w:sz w:val="28"/>
                              </w:rPr>
                            </w:pPr>
                            <w:r w:rsidRPr="00CE3A5B">
                              <w:rPr>
                                <w:rStyle w:val="Emphasis"/>
                                <w:rFonts w:asciiTheme="minorHAnsi" w:hAnsiTheme="minorHAnsi" w:cstheme="minorHAnsi"/>
                                <w:i w:val="0"/>
                                <w:spacing w:val="12"/>
                                <w:sz w:val="28"/>
                              </w:rPr>
                              <w:t>Приложение към т</w:t>
                            </w:r>
                            <w:r w:rsidRPr="00B66D90">
                              <w:rPr>
                                <w:rStyle w:val="Emphasis"/>
                                <w:rFonts w:asciiTheme="minorHAnsi" w:hAnsiTheme="minorHAnsi" w:cstheme="minorHAnsi"/>
                                <w:i w:val="0"/>
                                <w:spacing w:val="12"/>
                                <w:sz w:val="28"/>
                              </w:rPr>
                              <w:t>.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257EDA" id="_x0000_s1027" type="#_x0000_t202" style="position:absolute;left:0;text-align:left;margin-left:273.65pt;margin-top:-.9pt;width:199.55pt;height:25.2pt;z-index:25164902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47QQIAAIEEAAAOAAAAZHJzL2Uyb0RvYy54bWysVF1v2jAUfZ+0/2D5fQQCdG1EqFgrpkmo&#10;rQRTn41jk2ixr2cbEvbrd+0kFHV7mvbi2L7H9+Oce7O4b1VNTsK6CnROJ6MxJUJzKCp9yOn33frT&#10;LSXOM12wGrTI6Vk4er/8+GHRmEykUEJdCEvQiXZZY3Jaem+yJHG8FIq5ERih0SjBKubxaA9JYVmD&#10;3lWdpOPxTdKALYwFLpzD28fOSJfRv5SC+2cpnfCkzinm5uNq47oPa7JcsOxgmSkr3qfB/iELxSqN&#10;QS+uHpln5GirP1ypiltwIP2Ig0pAyoqLWANWMxm/q2ZbMiNiLUiOMxea3P9zy59OL5ZURU5v7ijR&#10;TKFGO9F68gVaks4CP41xGcK2BoG+xXvUOdbqzAb4D4eQ5ArTPXCIDny00qrwxUoJPkQJzhfaQxiO&#10;l+l8Oktv55RwtE1R1VnUJXl7bazzXwUoEjY5tShrzICdNs6H+CwbICGYhnVV11HaWpMGa5vOx/HB&#10;xYIvah2wIjZJ7yaU0WUedr7dt5GayUDDHoozsmCh6yNn+LrCjDbM+RdmsXGwPhwG/4yLrAEjQ7+j&#10;pAT762/3AY96opWSBhsxp+7nkVlBSf1No9J3kxnyQXw8zOafUzzYa8v+2qKP6gGw1yc4dobHbcD7&#10;ethKC+oVZ2YVoqKJaY6xc+qH7YPvxgNnjovVKoKwVw3zG701fBA/8L1rX5k1vSge5XyCoWVZ9k6b&#10;Dtupszp6kFUULvDcsdp3EfZ51LOfyTBI1+eIevtzLH8DAAD//wMAUEsDBBQABgAIAAAAIQCpcogH&#10;4AAAAAkBAAAPAAAAZHJzL2Rvd25yZXYueG1sTI9NS8NAEIbvgv9hGcFbu6nGNMZMShG9CCLWgnib&#10;ZtdsdD9idtvGf+940uMwD+/7vPVqclYc9Bj74BEW8wyE9m1Qve8Qti/3sxJETOQV2eA1wreOsGpO&#10;T2qqVDj6Z33YpE5wiI8VIZiUhkrK2BrtKM7DoD3/3sPoKPE5dlKNdORwZ+VFlhXSUe+5wdCgb41u&#10;Pzd7h7As35T5GB+m7evj+ss8DdLekUQ8P5vWNyCSntIfDL/6rA4NO+3C3qsoLMJVvrxkFGG24AkM&#10;XOdFDmKHkJcFyKaW/xc0PwAAAP//AwBQSwECLQAUAAYACAAAACEAtoM4kv4AAADhAQAAEwAAAAAA&#10;AAAAAAAAAAAAAAAAW0NvbnRlbnRfVHlwZXNdLnhtbFBLAQItABQABgAIAAAAIQA4/SH/1gAAAJQB&#10;AAALAAAAAAAAAAAAAAAAAC8BAABfcmVscy8ucmVsc1BLAQItABQABgAIAAAAIQCk+n47QQIAAIEE&#10;AAAOAAAAAAAAAAAAAAAAAC4CAABkcnMvZTJvRG9jLnhtbFBLAQItABQABgAIAAAAIQCpcogH4AAA&#10;AAkBAAAPAAAAAAAAAAAAAAAAAJsEAABkcnMvZG93bnJldi54bWxQSwUGAAAAAAQABADzAAAAqAUA&#10;AAAA&#10;" filled="f" stroked="f" strokeweight=".5pt">
                <v:path arrowok="t"/>
                <v:textbox>
                  <w:txbxContent>
                    <w:p w:rsidR="00665E9C" w:rsidRPr="00CE4BD1" w:rsidRDefault="00665E9C" w:rsidP="00850F48">
                      <w:pPr>
                        <w:jc w:val="right"/>
                        <w:rPr>
                          <w:rStyle w:val="Emphasis"/>
                          <w:rFonts w:asciiTheme="minorHAnsi" w:hAnsiTheme="minorHAnsi" w:cstheme="minorHAnsi"/>
                          <w:i w:val="0"/>
                          <w:iCs w:val="0"/>
                          <w:spacing w:val="12"/>
                          <w:sz w:val="28"/>
                        </w:rPr>
                      </w:pPr>
                      <w:r w:rsidRPr="00CE3A5B">
                        <w:rPr>
                          <w:rStyle w:val="Emphasis"/>
                          <w:rFonts w:asciiTheme="minorHAnsi" w:hAnsiTheme="minorHAnsi" w:cstheme="minorHAnsi"/>
                          <w:i w:val="0"/>
                          <w:spacing w:val="12"/>
                          <w:sz w:val="28"/>
                        </w:rPr>
                        <w:t>Приложение към т</w:t>
                      </w:r>
                      <w:r w:rsidRPr="00B66D90">
                        <w:rPr>
                          <w:rStyle w:val="Emphasis"/>
                          <w:rFonts w:asciiTheme="minorHAnsi" w:hAnsiTheme="minorHAnsi" w:cstheme="minorHAnsi"/>
                          <w:i w:val="0"/>
                          <w:spacing w:val="12"/>
                          <w:sz w:val="28"/>
                        </w:rPr>
                        <w:t>. 4</w:t>
                      </w:r>
                    </w:p>
                  </w:txbxContent>
                </v:textbox>
                <w10:wrap type="square" anchorx="margin" anchory="margin"/>
              </v:shape>
            </w:pict>
          </mc:Fallback>
        </mc:AlternateContent>
      </w:r>
      <w:r>
        <w:rPr>
          <w:noProof/>
        </w:rPr>
        <mc:AlternateContent>
          <mc:Choice Requires="wps">
            <w:drawing>
              <wp:anchor distT="0" distB="0" distL="114300" distR="114300" simplePos="0" relativeHeight="251658240" behindDoc="1" locked="0" layoutInCell="1" allowOverlap="1" wp14:anchorId="032B1F3A" wp14:editId="2859B0FD">
                <wp:simplePos x="0" y="0"/>
                <wp:positionH relativeFrom="page">
                  <wp:posOffset>0</wp:posOffset>
                </wp:positionH>
                <wp:positionV relativeFrom="page">
                  <wp:posOffset>0</wp:posOffset>
                </wp:positionV>
                <wp:extent cx="7560000" cy="4068000"/>
                <wp:effectExtent l="0" t="0" r="3175" b="8890"/>
                <wp:wrapNone/>
                <wp:docPr id="5" name="Rectangle 5"/>
                <wp:cNvGraphicFramePr/>
                <a:graphic xmlns:a="http://schemas.openxmlformats.org/drawingml/2006/main">
                  <a:graphicData uri="http://schemas.microsoft.com/office/word/2010/wordprocessingShape">
                    <wps:wsp>
                      <wps:cNvSpPr/>
                      <wps:spPr>
                        <a:xfrm>
                          <a:off x="0" y="0"/>
                          <a:ext cx="7560000" cy="4068000"/>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24D485" id="Rectangle 5" o:spid="_x0000_s1026" style="position:absolute;margin-left:0;margin-top:0;width:595.3pt;height:320.3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e93oQIAAMQFAAAOAAAAZHJzL2Uyb0RvYy54bWysVN9P2zAQfp+0/8Hy+0jatcAiUlSBmCYx&#10;QMDEs3HsJpLt82y3affX72ynoWNsD9P64Pp++Lu7L3d3dr7VimyE8x2Ymk6OSkqE4dB0ZlXTb49X&#10;H04p8YGZhikwoqY74en54v27s95WYgotqEY4giDGV72taRuCrYrC81Zo5o/ACoNGCU6zgKJbFY1j&#10;PaJrVUzL8rjowTXWARfeo/YyG+ki4UspeLiV0otAVE0xt5BOl87neBaLM1atHLNtx4c02D9koVln&#10;MOgIdckCI2vX/QalO+7AgwxHHHQBUnZcpBqwmkn5qpqHllmRakFyvB1p8v8Plt9s7hzpmprOKTFM&#10;4ye6R9KYWSlB5pGe3voKvR7snRskj9dY61Y6Hf+xCrJNlO5GSsU2EI7Kk/lxiT9KONpm5fFpFBCn&#10;eHlunQ+fBWgSLzV1GD5RyTbXPmTXvUuM5kF1zVWnVBJin4gL5ciG4RdmnAsTPqbnaq2/QpP12Ck5&#10;LKtQjR2R1TGZfTap4yJSyu2XIMrEUAZi0JxP1BSRmExFuoWdEtFPmXshkVEsfpoSGZEPc5xkU8sa&#10;kdXzP+aSACOyxPgj9gDwVv2TgeDBPz4VaRTGx+XfEsslji9SZDBhfKw7A+4tABXGyNl/T1KmJrL0&#10;DM0O+81BHkRv+VWHX/2a+XDHHE4edgpuk3CLh1TQ1xSGGyUtuB9v6aM/DgRaKelxkmvqv6+ZE5So&#10;LwZH5dNkNoujn4TZ/GSKgju0PB9azFpfALbSBPeW5eka/YPaX6UD/YRLZxmjookZjrFryoPbCxch&#10;bxhcW1wsl8kNx92ycG0eLI/gkdXY1Y/bJ+bs0PoBp+YG9lPPqlcTkH3jSwPLdQDZpfF44XXgG1dF&#10;auJhrcVddCgnr5flu/gJAAD//wMAUEsDBBQABgAIAAAAIQBPQKJN2gAAAAYBAAAPAAAAZHJzL2Rv&#10;d25yZXYueG1sTI/BasMwDIbvg72D0WC31c4ooc3ilDHYYTAoa/MATqwlprEcYjdN337qLttFSPzS&#10;/38qd4sfxIxTdIE0ZCsFAqkN1lGnoT6+P21AxGTImiEQarhihF11f1eawoYLfeF8SJ1gE4qF0dCn&#10;NBZSxrZHb+IqjEisfYfJm8Tj1Ek7mQub+0E+K5VLbxxxQm9GfOuxPR3OnjGO+an+2LjZN52q95/Z&#10;dT+undaPD8vrC4iES/pbhhs+30DFTE04k41i0MCPpN9607KtykE0GvI1N7Iq5X/86gcAAP//AwBQ&#10;SwECLQAUAAYACAAAACEAtoM4kv4AAADhAQAAEwAAAAAAAAAAAAAAAAAAAAAAW0NvbnRlbnRfVHlw&#10;ZXNdLnhtbFBLAQItABQABgAIAAAAIQA4/SH/1gAAAJQBAAALAAAAAAAAAAAAAAAAAC8BAABfcmVs&#10;cy8ucmVsc1BLAQItABQABgAIAAAAIQBRxe93oQIAAMQFAAAOAAAAAAAAAAAAAAAAAC4CAABkcnMv&#10;ZTJvRG9jLnhtbFBLAQItABQABgAIAAAAIQBPQKJN2gAAAAYBAAAPAAAAAAAAAAAAAAAAAPsEAABk&#10;cnMvZG93bnJldi54bWxQSwUGAAAAAAQABADzAAAAAgYAAAAA&#10;" fillcolor="#f8cec7 [662]" stroked="f" strokeweight="2pt">
                <w10:wrap anchorx="page" anchory="page"/>
              </v:rect>
            </w:pict>
          </mc:Fallback>
        </mc:AlternateContent>
      </w:r>
      <w:r w:rsidR="00850F48" w:rsidRPr="00850F48">
        <w:rPr>
          <w:noProof/>
        </w:rPr>
        <mc:AlternateContent>
          <mc:Choice Requires="wps">
            <w:drawing>
              <wp:anchor distT="0" distB="0" distL="114300" distR="114300" simplePos="0" relativeHeight="251654144" behindDoc="0" locked="0" layoutInCell="1" allowOverlap="1" wp14:anchorId="13E7A73E" wp14:editId="3907AB06">
                <wp:simplePos x="0" y="0"/>
                <wp:positionH relativeFrom="margin">
                  <wp:align>left</wp:align>
                </wp:positionH>
                <wp:positionV relativeFrom="margin">
                  <wp:align>bottom</wp:align>
                </wp:positionV>
                <wp:extent cx="3559175" cy="318770"/>
                <wp:effectExtent l="0" t="0" r="0" b="5080"/>
                <wp:wrapSquare wrapText="bothSides"/>
                <wp:docPr id="18"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9175" cy="318770"/>
                        </a:xfrm>
                        <a:prstGeom prst="rect">
                          <a:avLst/>
                        </a:prstGeom>
                        <a:noFill/>
                        <a:ln w="6350">
                          <a:noFill/>
                        </a:ln>
                        <a:effectLst/>
                      </wps:spPr>
                      <wps:txbx>
                        <w:txbxContent>
                          <w:p w:rsidR="00665E9C" w:rsidRPr="00370580" w:rsidRDefault="00665E9C" w:rsidP="00FF53AB">
                            <w:pPr>
                              <w:spacing w:after="0"/>
                              <w:rPr>
                                <w:iCs/>
                                <w:sz w:val="28"/>
                                <w:szCs w:val="28"/>
                                <w:lang w:eastAsia="en-GB"/>
                              </w:rPr>
                            </w:pPr>
                            <w:r w:rsidRPr="001F4B50">
                              <w:rPr>
                                <w:bCs/>
                                <w:iCs/>
                                <w:sz w:val="28"/>
                                <w:szCs w:val="28"/>
                                <w:lang w:eastAsia="en-GB"/>
                              </w:rPr>
                              <w:t>Ноември 2023</w:t>
                            </w:r>
                            <w:r w:rsidRPr="00891D76">
                              <w:rPr>
                                <w:bCs/>
                                <w:iCs/>
                                <w:sz w:val="28"/>
                                <w:szCs w:val="28"/>
                                <w:lang w:eastAsia="en-GB"/>
                              </w:rPr>
                              <w:t xml:space="preserve"> г.</w:t>
                            </w:r>
                          </w:p>
                        </w:txbxContent>
                      </wps:txbx>
                      <wps:bodyPr rot="0" spcFirstLastPara="0" vertOverflow="overflow" horzOverflow="overflow" vert="horz" wrap="square" lIns="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E7A73E" id="_x0000_s1028" type="#_x0000_t202" style="position:absolute;left:0;text-align:left;margin-left:0;margin-top:0;width:280.25pt;height:25.1pt;z-index:251654144;visibility:visible;mso-wrap-style:square;mso-width-percent:0;mso-height-percent:0;mso-wrap-distance-left:9pt;mso-wrap-distance-top:0;mso-wrap-distance-right:9pt;mso-wrap-distance-bottom:0;mso-position-horizontal:left;mso-position-horizontal-relative:margin;mso-position-vertical:bottom;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I9H2QgIAAH0EAAAOAAAAZHJzL2Uyb0RvYy54bWysVEtv2zAMvg/YfxB0Xxzn0bRGnCJrkWFA&#10;0BZIip4VWYqNWaImKbGzXz9KjtOg22nYRSbFT3x9pOf3rarJUVhXgc5pOhhSIjSHotL7nL5uV19u&#10;KXGe6YLVoEVOT8LR+8XnT/PGZGIEJdSFsASdaJc1Jqel9yZLEsdLoZgbgBEajRKsYh5Vu08Kyxr0&#10;rupkNBzeJA3Ywljgwjm8feyMdBH9Sym4f5bSCU/qnGJuPp42nrtwJos5y/aWmbLi5zTYP2ShWKUx&#10;6MXVI/OMHGz1hytVcQsOpB9wUAlIWXERa8Bq0uGHajYlMyLWgs1x5tIm9//c8qfjiyVVgdwhU5op&#10;5GgrWk++QktGk9CfxrgMYRuDQN/iPWJjrc6sgf9wCEmuMN0Dh+jQj1ZaFb5YKcGHSMHp0vYQhuPl&#10;eDq9S2dTSjjaxuntbBZ5Sd5fG+v8NwGKBCGnFmmNGbDj2vkQn2U9JATTsKrqOlJba9Lk9GY8HcYH&#10;Fwu+qHXAijgkZzehjC7zIPl218bWjPo27KA4YRcsdHPkDF9VmNGaOf/CLA4O1ofL4J/xkDVgZDhL&#10;lJRgf/3tPuCRT7RS0uAg5tT9PDArKKm/a2Q6TG0UJtPZCBUblbt0MkFld23RB/UAOOcprpzhUQx4&#10;X/eitKDecF+WISKamOYYN6e+Fx98txq4b1wslxGEc2qYX+uN4T3xodfb9o1ZcybEI5VP0I8ryz7w&#10;0mE7ZpYHD7KKpIUedx09TxDOeOTyvI9hia71iHr/ayx+AwAA//8DAFBLAwQUAAYACAAAACEA7Dby&#10;qdkAAAAEAQAADwAAAGRycy9kb3ducmV2LnhtbEyPQUvDQBCF74L/YRnBm9200CAxm1LE4kEUjP6A&#10;SXZMQndnY3bbxH/v6EUvwxve8N435W7xTp1pikNgA+tVBoq4DXbgzsD72+HmFlRMyBZdYDLwRRF2&#10;1eVFiYUNM7/SuU6dkhCOBRroUxoLrWPbk8e4CiOxeB9h8phknTptJ5wl3Du9ybJcexxYGnoc6b6n&#10;9lifvAHMu9G9rA9Pfn74jO3z8NhQzcZcXy37O1CJlvR3DD/4gg6VMDXhxDYqZ0AeSb9TvG2ebUE1&#10;IrIN6KrU/+GrbwAAAP//AwBQSwECLQAUAAYACAAAACEAtoM4kv4AAADhAQAAEwAAAAAAAAAAAAAA&#10;AAAAAAAAW0NvbnRlbnRfVHlwZXNdLnhtbFBLAQItABQABgAIAAAAIQA4/SH/1gAAAJQBAAALAAAA&#10;AAAAAAAAAAAAAC8BAABfcmVscy8ucmVsc1BLAQItABQABgAIAAAAIQD4I9H2QgIAAH0EAAAOAAAA&#10;AAAAAAAAAAAAAC4CAABkcnMvZTJvRG9jLnhtbFBLAQItABQABgAIAAAAIQDsNvKp2QAAAAQBAAAP&#10;AAAAAAAAAAAAAAAAAJwEAABkcnMvZG93bnJldi54bWxQSwUGAAAAAAQABADzAAAAogUAAAAA&#10;" filled="f" stroked="f" strokeweight=".5pt">
                <v:path arrowok="t"/>
                <v:textbox inset="0">
                  <w:txbxContent>
                    <w:p w:rsidR="00665E9C" w:rsidRPr="00370580" w:rsidRDefault="00665E9C" w:rsidP="00FF53AB">
                      <w:pPr>
                        <w:spacing w:after="0"/>
                        <w:rPr>
                          <w:iCs/>
                          <w:sz w:val="28"/>
                          <w:szCs w:val="28"/>
                          <w:lang w:eastAsia="en-GB"/>
                        </w:rPr>
                      </w:pPr>
                      <w:r w:rsidRPr="001F4B50">
                        <w:rPr>
                          <w:bCs/>
                          <w:iCs/>
                          <w:sz w:val="28"/>
                          <w:szCs w:val="28"/>
                          <w:lang w:eastAsia="en-GB"/>
                        </w:rPr>
                        <w:t>Ноември 2023</w:t>
                      </w:r>
                      <w:r w:rsidRPr="00891D76">
                        <w:rPr>
                          <w:bCs/>
                          <w:iCs/>
                          <w:sz w:val="28"/>
                          <w:szCs w:val="28"/>
                          <w:lang w:eastAsia="en-GB"/>
                        </w:rPr>
                        <w:t xml:space="preserve"> г.</w:t>
                      </w:r>
                    </w:p>
                  </w:txbxContent>
                </v:textbox>
                <w10:wrap type="square" anchorx="margin" anchory="margin"/>
              </v:shape>
            </w:pict>
          </mc:Fallback>
        </mc:AlternateContent>
      </w:r>
    </w:p>
    <w:p w:rsidR="00BC7ACC" w:rsidRPr="00BC7ACC" w:rsidRDefault="00BC7ACC" w:rsidP="00BC7ACC">
      <w:pPr>
        <w:rPr>
          <w:lang w:eastAsia="ja-JP"/>
        </w:rPr>
      </w:pPr>
    </w:p>
    <w:p w:rsidR="00BC7ACC" w:rsidRPr="00BC7ACC" w:rsidRDefault="00BC7ACC" w:rsidP="00BC7ACC">
      <w:pPr>
        <w:rPr>
          <w:lang w:eastAsia="ja-JP"/>
        </w:rPr>
      </w:pPr>
    </w:p>
    <w:p w:rsidR="00BC7ACC" w:rsidRPr="00BC7ACC" w:rsidRDefault="00BC7ACC" w:rsidP="00BC7ACC">
      <w:pPr>
        <w:rPr>
          <w:lang w:eastAsia="ja-JP"/>
        </w:rPr>
      </w:pPr>
    </w:p>
    <w:p w:rsidR="00BC7ACC" w:rsidRPr="00BC7ACC" w:rsidRDefault="003B5CB9" w:rsidP="00BC7ACC">
      <w:pPr>
        <w:rPr>
          <w:lang w:eastAsia="ja-JP"/>
        </w:rPr>
      </w:pPr>
      <w:r w:rsidRPr="00850F48">
        <w:rPr>
          <w:noProof/>
        </w:rPr>
        <mc:AlternateContent>
          <mc:Choice Requires="wps">
            <w:drawing>
              <wp:anchor distT="0" distB="0" distL="114300" distR="114300" simplePos="0" relativeHeight="251656192" behindDoc="0" locked="0" layoutInCell="1" allowOverlap="1" wp14:anchorId="7638D32D" wp14:editId="7D0A68EB">
                <wp:simplePos x="0" y="0"/>
                <wp:positionH relativeFrom="margin">
                  <wp:posOffset>-138430</wp:posOffset>
                </wp:positionH>
                <wp:positionV relativeFrom="page">
                  <wp:posOffset>2171700</wp:posOffset>
                </wp:positionV>
                <wp:extent cx="6077585" cy="1779270"/>
                <wp:effectExtent l="0" t="0" r="18415" b="0"/>
                <wp:wrapNone/>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7585" cy="1779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65E9C" w:rsidRPr="00CE4BD1" w:rsidRDefault="00665E9C" w:rsidP="00850F48">
                            <w:pPr>
                              <w:spacing w:after="0"/>
                              <w:jc w:val="left"/>
                              <w:rPr>
                                <w:rFonts w:asciiTheme="majorHAnsi" w:eastAsia="Calibri" w:hAnsiTheme="majorHAnsi" w:cstheme="majorHAnsi"/>
                                <w:sz w:val="64"/>
                                <w:szCs w:val="64"/>
                                <w:lang w:eastAsia="en-US"/>
                                <w14:shadow w14:blurRad="50800" w14:dist="38100" w14:dir="2700000" w14:sx="100000" w14:sy="100000" w14:kx="0" w14:ky="0" w14:algn="tl">
                                  <w14:srgbClr w14:val="000000">
                                    <w14:alpha w14:val="60000"/>
                                  </w14:srgbClr>
                                </w14:shadow>
                              </w:rPr>
                            </w:pPr>
                            <w:r w:rsidRPr="00AD73A7">
                              <w:rPr>
                                <w:rFonts w:asciiTheme="majorHAnsi" w:eastAsia="Calibri" w:hAnsiTheme="majorHAnsi" w:cstheme="majorHAnsi"/>
                                <w:sz w:val="64"/>
                                <w:szCs w:val="64"/>
                                <w:lang w:eastAsia="en-US"/>
                                <w14:shadow w14:blurRad="50800" w14:dist="38100" w14:dir="2700000" w14:sx="100000" w14:sy="100000" w14:kx="0" w14:ky="0" w14:algn="tl">
                                  <w14:srgbClr w14:val="000000">
                                    <w14:alpha w14:val="60000"/>
                                  </w14:srgbClr>
                                </w14:shadow>
                              </w:rPr>
                              <w:t>Актуализ</w:t>
                            </w:r>
                            <w:bookmarkStart w:id="4" w:name="_GoBack"/>
                            <w:bookmarkEnd w:id="4"/>
                            <w:r w:rsidRPr="00AD73A7">
                              <w:rPr>
                                <w:rFonts w:asciiTheme="majorHAnsi" w:eastAsia="Calibri" w:hAnsiTheme="majorHAnsi" w:cstheme="majorHAnsi"/>
                                <w:sz w:val="64"/>
                                <w:szCs w:val="64"/>
                                <w:lang w:eastAsia="en-US"/>
                                <w14:shadow w14:blurRad="50800" w14:dist="38100" w14:dir="2700000" w14:sx="100000" w14:sy="100000" w14:kx="0" w14:ky="0" w14:algn="tl">
                                  <w14:srgbClr w14:val="000000">
                                    <w14:alpha w14:val="60000"/>
                                  </w14:srgbClr>
                                </w14:shadow>
                              </w:rPr>
                              <w:t>ирана</w:t>
                            </w:r>
                            <w:r w:rsidRPr="0013465D">
                              <w:rPr>
                                <w:rFonts w:asciiTheme="majorHAnsi" w:eastAsia="Calibri" w:hAnsiTheme="majorHAnsi" w:cstheme="majorHAnsi"/>
                                <w:sz w:val="64"/>
                                <w:szCs w:val="64"/>
                                <w:lang w:eastAsia="en-US"/>
                                <w14:shadow w14:blurRad="50800" w14:dist="38100" w14:dir="2700000" w14:sx="100000" w14:sy="100000" w14:kx="0" w14:ky="0" w14:algn="tl">
                                  <w14:srgbClr w14:val="000000">
                                    <w14:alpha w14:val="60000"/>
                                  </w14:srgbClr>
                                </w14:shadow>
                              </w:rPr>
                              <w:t xml:space="preserve"> средносрочна бюджетна прогноза </w:t>
                            </w:r>
                            <w:r w:rsidRPr="0013465D">
                              <w:rPr>
                                <w:rFonts w:asciiTheme="majorHAnsi" w:eastAsia="Calibri" w:hAnsiTheme="majorHAnsi" w:cstheme="majorHAnsi"/>
                                <w:sz w:val="64"/>
                                <w:szCs w:val="64"/>
                                <w:lang w:val="ru-RU" w:eastAsia="en-US"/>
                                <w14:shadow w14:blurRad="50800" w14:dist="38100" w14:dir="2700000" w14:sx="100000" w14:sy="100000" w14:kx="0" w14:ky="0" w14:algn="tl">
                                  <w14:srgbClr w14:val="000000">
                                    <w14:alpha w14:val="60000"/>
                                  </w14:srgbClr>
                                </w14:shadow>
                              </w:rPr>
                              <w:br/>
                            </w:r>
                            <w:r>
                              <w:rPr>
                                <w:rFonts w:asciiTheme="majorHAnsi" w:eastAsia="Calibri" w:hAnsiTheme="majorHAnsi" w:cstheme="majorHAnsi"/>
                                <w:sz w:val="64"/>
                                <w:szCs w:val="64"/>
                                <w:lang w:eastAsia="en-US"/>
                                <w14:shadow w14:blurRad="50800" w14:dist="38100" w14:dir="2700000" w14:sx="100000" w14:sy="100000" w14:kx="0" w14:ky="0" w14:algn="tl">
                                  <w14:srgbClr w14:val="000000">
                                    <w14:alpha w14:val="60000"/>
                                  </w14:srgbClr>
                                </w14:shadow>
                              </w:rPr>
                              <w:t>за периода 2024-</w:t>
                            </w:r>
                            <w:r w:rsidRPr="0013465D">
                              <w:rPr>
                                <w:rFonts w:asciiTheme="majorHAnsi" w:eastAsia="Calibri" w:hAnsiTheme="majorHAnsi" w:cstheme="majorHAnsi"/>
                                <w:sz w:val="64"/>
                                <w:szCs w:val="64"/>
                                <w:lang w:eastAsia="en-US"/>
                                <w14:shadow w14:blurRad="50800" w14:dist="38100" w14:dir="2700000" w14:sx="100000" w14:sy="100000" w14:kx="0" w14:ky="0" w14:algn="tl">
                                  <w14:srgbClr w14:val="000000">
                                    <w14:alpha w14:val="60000"/>
                                  </w14:srgbClr>
                                </w14:shadow>
                              </w:rPr>
                              <w:t>20</w:t>
                            </w:r>
                            <w:r>
                              <w:rPr>
                                <w:rFonts w:asciiTheme="majorHAnsi" w:eastAsia="Calibri" w:hAnsiTheme="majorHAnsi" w:cstheme="majorHAnsi"/>
                                <w:sz w:val="64"/>
                                <w:szCs w:val="64"/>
                                <w:lang w:val="ru-RU" w:eastAsia="en-US"/>
                                <w14:shadow w14:blurRad="50800" w14:dist="38100" w14:dir="2700000" w14:sx="100000" w14:sy="100000" w14:kx="0" w14:ky="0" w14:algn="tl">
                                  <w14:srgbClr w14:val="000000">
                                    <w14:alpha w14:val="60000"/>
                                  </w14:srgbClr>
                                </w14:shadow>
                              </w:rPr>
                              <w:t>26</w:t>
                            </w:r>
                            <w:r w:rsidRPr="0013465D">
                              <w:rPr>
                                <w:rFonts w:asciiTheme="majorHAnsi" w:eastAsia="Calibri" w:hAnsiTheme="majorHAnsi" w:cstheme="majorHAnsi"/>
                                <w:sz w:val="64"/>
                                <w:szCs w:val="64"/>
                                <w:lang w:eastAsia="en-US"/>
                                <w14:shadow w14:blurRad="50800" w14:dist="38100" w14:dir="2700000" w14:sx="100000" w14:sy="100000" w14:kx="0" w14:ky="0" w14:algn="tl">
                                  <w14:srgbClr w14:val="000000">
                                    <w14:alpha w14:val="60000"/>
                                  </w14:srgbClr>
                                </w14:shadow>
                              </w:rPr>
                              <w:t xml:space="preserve"> г.</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38D32D" id="Text Box 22" o:spid="_x0000_s1029" type="#_x0000_t202" style="position:absolute;left:0;text-align:left;margin-left:-10.9pt;margin-top:171pt;width:478.55pt;height:140.1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eR8uQIAALsFAAAOAAAAZHJzL2Uyb0RvYy54bWysVMlu2zAQvRfoPxC8K1oqWQsiB4llFQXS&#10;BUj6AbREWUQlUiVpS2nRf++Q8pbkUrTlgSCHwzfbm7m+mfoO7alUTPAc+1ceRpRXomZ8m+Ovj6WT&#10;YKQ04TXpBKc5fqIK3yzfvrkeh4wGohVdTSUCEK6ycchxq/WQua6qWtoTdSUGyuGxEbInGq5y69aS&#10;jIDed27geQt3FLIepKioUiAt5ke8tPhNQyv9uWkU1ajLMfim7S7tvjG7u7wm2VaSoWXVwQ3yF170&#10;hHEweoIqiCZoJ9krqJ5VUijR6KtK9K5oGlZRGwNE43svonloyUBtLJAcNZzSpP4fbPVp/0UiVuc4&#10;CDDipIcaPdJJozsxIRBBfsZBZaD2MICinkAOdbaxquFeVN8U4mLVEr6lt1KKsaWkBv9889O9+Drj&#10;KAOyGT+KGuyQnRYWaGpkb5IH6UCADnV6OtXG+FKBcOHFcZREGFXw5sdxGsS2ei7Jjt8HqfR7Knpk&#10;DjmWUHwLT/b3Sht3SHZUMda4KFnXWQJ0/JkAFGcJGIev5s24Yev5M/XSdbJOQicMFmsn9IrCuS1X&#10;obMo/Tgq3hWrVeH/Mnb9MGtZXVNuzBy55Yd/VrsDy2dWnNilRMdqA2dcUnK7WXUS7Qlwu7TLJh1e&#10;zmruczdsEiCWFyH5QejdBalTLpLYCcswctLYSxzPT+/ShRemYVE+D+mecfrvIaExx2kURDObzk6/&#10;iM2z63VsJOuZhunRsT7HyUmJZIaDa17b0mrCuvl8kQrj/jkVUO5joS1jDUlnuuppM9nmeHdshI2o&#10;n4DCUgDBgKcw+eDQCvkDoxGmSI7V9x2RFKPuA4c2MCPHHsIoDuAij9LNpZTwCiByrDGajys9j6jd&#10;INm2BQtzw3FxCy3TMEtm01uzN4dGgwlhYzpMMzOCLu9W6zxzl78BAAD//wMAUEsDBBQABgAIAAAA&#10;IQATepMJ4QAAAAsBAAAPAAAAZHJzL2Rvd25yZXYueG1sTI9BS8QwFITvgv8hPMHbbrqpLlqbLkup&#10;B0GEdhU8ZpvYlm1eSpPuxn/v86THYYaZb/JdtCM7m9kPDiVs1gkwg63TA3YS3g/PqwdgPijUanRo&#10;JHwbD7vi+ipXmXYXrM25CR2jEvSZktCHMGWc+7Y3Vvm1mwyS9+VmqwLJueN6VhcqtyMXSbLlVg1I&#10;C72aTNmb9tQsVsKnqLoqvtX7D3x5reOpKg/l0kh5exP3T8CCieEvDL/4hA4FMR3dgtqzUcJKbAg9&#10;SEjvBJ2ixGN6nwI7StgKIYAXOf//ofgBAAD//wMAUEsBAi0AFAAGAAgAAAAhALaDOJL+AAAA4QEA&#10;ABMAAAAAAAAAAAAAAAAAAAAAAFtDb250ZW50X1R5cGVzXS54bWxQSwECLQAUAAYACAAAACEAOP0h&#10;/9YAAACUAQAACwAAAAAAAAAAAAAAAAAvAQAAX3JlbHMvLnJlbHNQSwECLQAUAAYACAAAACEAJR3k&#10;fLkCAAC7BQAADgAAAAAAAAAAAAAAAAAuAgAAZHJzL2Uyb0RvYy54bWxQSwECLQAUAAYACAAAACEA&#10;E3qTCeEAAAALAQAADwAAAAAAAAAAAAAAAAATBQAAZHJzL2Rvd25yZXYueG1sUEsFBgAAAAAEAAQA&#10;8wAAACEGAAAAAA==&#10;" filled="f" stroked="f">
                <v:textbox inset="0,,0">
                  <w:txbxContent>
                    <w:p w:rsidR="00665E9C" w:rsidRPr="00CE4BD1" w:rsidRDefault="00665E9C" w:rsidP="00850F48">
                      <w:pPr>
                        <w:spacing w:after="0"/>
                        <w:jc w:val="left"/>
                        <w:rPr>
                          <w:rFonts w:asciiTheme="majorHAnsi" w:eastAsia="Calibri" w:hAnsiTheme="majorHAnsi" w:cstheme="majorHAnsi"/>
                          <w:sz w:val="64"/>
                          <w:szCs w:val="64"/>
                          <w:lang w:eastAsia="en-US"/>
                          <w14:shadow w14:blurRad="50800" w14:dist="38100" w14:dir="2700000" w14:sx="100000" w14:sy="100000" w14:kx="0" w14:ky="0" w14:algn="tl">
                            <w14:srgbClr w14:val="000000">
                              <w14:alpha w14:val="60000"/>
                            </w14:srgbClr>
                          </w14:shadow>
                        </w:rPr>
                      </w:pPr>
                      <w:r w:rsidRPr="00AD73A7">
                        <w:rPr>
                          <w:rFonts w:asciiTheme="majorHAnsi" w:eastAsia="Calibri" w:hAnsiTheme="majorHAnsi" w:cstheme="majorHAnsi"/>
                          <w:sz w:val="64"/>
                          <w:szCs w:val="64"/>
                          <w:lang w:eastAsia="en-US"/>
                          <w14:shadow w14:blurRad="50800" w14:dist="38100" w14:dir="2700000" w14:sx="100000" w14:sy="100000" w14:kx="0" w14:ky="0" w14:algn="tl">
                            <w14:srgbClr w14:val="000000">
                              <w14:alpha w14:val="60000"/>
                            </w14:srgbClr>
                          </w14:shadow>
                        </w:rPr>
                        <w:t>Актуализирана</w:t>
                      </w:r>
                      <w:r w:rsidRPr="0013465D">
                        <w:rPr>
                          <w:rFonts w:asciiTheme="majorHAnsi" w:eastAsia="Calibri" w:hAnsiTheme="majorHAnsi" w:cstheme="majorHAnsi"/>
                          <w:sz w:val="64"/>
                          <w:szCs w:val="64"/>
                          <w:lang w:eastAsia="en-US"/>
                          <w14:shadow w14:blurRad="50800" w14:dist="38100" w14:dir="2700000" w14:sx="100000" w14:sy="100000" w14:kx="0" w14:ky="0" w14:algn="tl">
                            <w14:srgbClr w14:val="000000">
                              <w14:alpha w14:val="60000"/>
                            </w14:srgbClr>
                          </w14:shadow>
                        </w:rPr>
                        <w:t xml:space="preserve"> средносрочна бюджетна прогноза </w:t>
                      </w:r>
                      <w:r w:rsidRPr="0013465D">
                        <w:rPr>
                          <w:rFonts w:asciiTheme="majorHAnsi" w:eastAsia="Calibri" w:hAnsiTheme="majorHAnsi" w:cstheme="majorHAnsi"/>
                          <w:sz w:val="64"/>
                          <w:szCs w:val="64"/>
                          <w:lang w:val="ru-RU" w:eastAsia="en-US"/>
                          <w14:shadow w14:blurRad="50800" w14:dist="38100" w14:dir="2700000" w14:sx="100000" w14:sy="100000" w14:kx="0" w14:ky="0" w14:algn="tl">
                            <w14:srgbClr w14:val="000000">
                              <w14:alpha w14:val="60000"/>
                            </w14:srgbClr>
                          </w14:shadow>
                        </w:rPr>
                        <w:br/>
                      </w:r>
                      <w:r>
                        <w:rPr>
                          <w:rFonts w:asciiTheme="majorHAnsi" w:eastAsia="Calibri" w:hAnsiTheme="majorHAnsi" w:cstheme="majorHAnsi"/>
                          <w:sz w:val="64"/>
                          <w:szCs w:val="64"/>
                          <w:lang w:eastAsia="en-US"/>
                          <w14:shadow w14:blurRad="50800" w14:dist="38100" w14:dir="2700000" w14:sx="100000" w14:sy="100000" w14:kx="0" w14:ky="0" w14:algn="tl">
                            <w14:srgbClr w14:val="000000">
                              <w14:alpha w14:val="60000"/>
                            </w14:srgbClr>
                          </w14:shadow>
                        </w:rPr>
                        <w:t>за периода 2024-</w:t>
                      </w:r>
                      <w:r w:rsidRPr="0013465D">
                        <w:rPr>
                          <w:rFonts w:asciiTheme="majorHAnsi" w:eastAsia="Calibri" w:hAnsiTheme="majorHAnsi" w:cstheme="majorHAnsi"/>
                          <w:sz w:val="64"/>
                          <w:szCs w:val="64"/>
                          <w:lang w:eastAsia="en-US"/>
                          <w14:shadow w14:blurRad="50800" w14:dist="38100" w14:dir="2700000" w14:sx="100000" w14:sy="100000" w14:kx="0" w14:ky="0" w14:algn="tl">
                            <w14:srgbClr w14:val="000000">
                              <w14:alpha w14:val="60000"/>
                            </w14:srgbClr>
                          </w14:shadow>
                        </w:rPr>
                        <w:t>20</w:t>
                      </w:r>
                      <w:r>
                        <w:rPr>
                          <w:rFonts w:asciiTheme="majorHAnsi" w:eastAsia="Calibri" w:hAnsiTheme="majorHAnsi" w:cstheme="majorHAnsi"/>
                          <w:sz w:val="64"/>
                          <w:szCs w:val="64"/>
                          <w:lang w:val="ru-RU" w:eastAsia="en-US"/>
                          <w14:shadow w14:blurRad="50800" w14:dist="38100" w14:dir="2700000" w14:sx="100000" w14:sy="100000" w14:kx="0" w14:ky="0" w14:algn="tl">
                            <w14:srgbClr w14:val="000000">
                              <w14:alpha w14:val="60000"/>
                            </w14:srgbClr>
                          </w14:shadow>
                        </w:rPr>
                        <w:t>26</w:t>
                      </w:r>
                      <w:r w:rsidRPr="0013465D">
                        <w:rPr>
                          <w:rFonts w:asciiTheme="majorHAnsi" w:eastAsia="Calibri" w:hAnsiTheme="majorHAnsi" w:cstheme="majorHAnsi"/>
                          <w:sz w:val="64"/>
                          <w:szCs w:val="64"/>
                          <w:lang w:eastAsia="en-US"/>
                          <w14:shadow w14:blurRad="50800" w14:dist="38100" w14:dir="2700000" w14:sx="100000" w14:sy="100000" w14:kx="0" w14:ky="0" w14:algn="tl">
                            <w14:srgbClr w14:val="000000">
                              <w14:alpha w14:val="60000"/>
                            </w14:srgbClr>
                          </w14:shadow>
                        </w:rPr>
                        <w:t xml:space="preserve"> г.</w:t>
                      </w:r>
                    </w:p>
                  </w:txbxContent>
                </v:textbox>
                <w10:wrap anchorx="margin" anchory="page"/>
              </v:shape>
            </w:pict>
          </mc:Fallback>
        </mc:AlternateContent>
      </w:r>
    </w:p>
    <w:p w:rsidR="00BC7ACC" w:rsidRPr="00BC7ACC" w:rsidRDefault="00BC7ACC" w:rsidP="00BC7ACC">
      <w:pPr>
        <w:rPr>
          <w:lang w:eastAsia="ja-JP"/>
        </w:rPr>
      </w:pPr>
    </w:p>
    <w:p w:rsidR="00BC7ACC" w:rsidRPr="00BC7ACC" w:rsidRDefault="00BC7ACC" w:rsidP="00BC7ACC">
      <w:pPr>
        <w:rPr>
          <w:lang w:eastAsia="ja-JP"/>
        </w:rPr>
      </w:pPr>
    </w:p>
    <w:p w:rsidR="00BC7ACC" w:rsidRPr="00BC7ACC" w:rsidRDefault="00BC7ACC" w:rsidP="00BC7ACC">
      <w:pPr>
        <w:rPr>
          <w:lang w:eastAsia="ja-JP"/>
        </w:rPr>
      </w:pPr>
    </w:p>
    <w:p w:rsidR="00BC7ACC" w:rsidRPr="00BC7ACC" w:rsidRDefault="00BC7ACC" w:rsidP="00BC7ACC">
      <w:pPr>
        <w:rPr>
          <w:lang w:eastAsia="ja-JP"/>
        </w:rPr>
      </w:pPr>
    </w:p>
    <w:p w:rsidR="00BC7ACC" w:rsidRPr="00BC7ACC" w:rsidRDefault="00BC7ACC" w:rsidP="00BC7ACC">
      <w:pPr>
        <w:rPr>
          <w:lang w:eastAsia="ja-JP"/>
        </w:rPr>
      </w:pPr>
    </w:p>
    <w:p w:rsidR="00BC7ACC" w:rsidRDefault="00BC7ACC" w:rsidP="00BC7ACC">
      <w:pPr>
        <w:rPr>
          <w:lang w:eastAsia="ja-JP"/>
        </w:rPr>
      </w:pPr>
    </w:p>
    <w:p w:rsidR="006A5D21" w:rsidRDefault="006A5D21" w:rsidP="00BC7ACC">
      <w:pPr>
        <w:spacing w:after="0"/>
        <w:jc w:val="left"/>
        <w:rPr>
          <w:iCs/>
          <w:sz w:val="36"/>
          <w:szCs w:val="36"/>
          <w:lang w:eastAsia="en-GB"/>
        </w:rPr>
      </w:pPr>
      <w:r>
        <w:rPr>
          <w:iCs/>
          <w:noProof/>
          <w:sz w:val="36"/>
          <w:szCs w:val="36"/>
        </w:rPr>
        <mc:AlternateContent>
          <mc:Choice Requires="wps">
            <w:drawing>
              <wp:anchor distT="0" distB="0" distL="114300" distR="114300" simplePos="0" relativeHeight="251665408" behindDoc="0" locked="0" layoutInCell="1" allowOverlap="1" wp14:anchorId="1367FE14" wp14:editId="178AFEBD">
                <wp:simplePos x="0" y="0"/>
                <wp:positionH relativeFrom="column">
                  <wp:posOffset>-137133</wp:posOffset>
                </wp:positionH>
                <wp:positionV relativeFrom="paragraph">
                  <wp:posOffset>199860</wp:posOffset>
                </wp:positionV>
                <wp:extent cx="3227705" cy="937895"/>
                <wp:effectExtent l="0" t="0" r="10795" b="14605"/>
                <wp:wrapNone/>
                <wp:docPr id="701" name="Double Bracket 701"/>
                <wp:cNvGraphicFramePr/>
                <a:graphic xmlns:a="http://schemas.openxmlformats.org/drawingml/2006/main">
                  <a:graphicData uri="http://schemas.microsoft.com/office/word/2010/wordprocessingShape">
                    <wps:wsp>
                      <wps:cNvSpPr/>
                      <wps:spPr>
                        <a:xfrm>
                          <a:off x="0" y="0"/>
                          <a:ext cx="3227705" cy="937895"/>
                        </a:xfrm>
                        <a:prstGeom prst="bracketPair">
                          <a:avLst/>
                        </a:prstGeom>
                        <a:noFill/>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C91387"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Double Bracket 701" o:spid="_x0000_s1026" type="#_x0000_t185" style="position:absolute;margin-left:-10.8pt;margin-top:15.75pt;width:254.15pt;height:73.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8ScvgwIAAHEFAAAOAAAAZHJzL2Uyb0RvYy54bWysVE1vGyEQvVfqf0Dcm107SR2vso7cRKkq&#10;RYnVpMoZsxCjAkMBe+3++gzsrm2llapWvQDDfD/ecHm1NZpshA8KbE1HJyUlwnJolH2p6ben2w8X&#10;lITIbMM0WFHTnQj0avb+3WXrKjGGFehGeIJBbKhaV9NVjK4qisBXwrBwAk5YVErwhkUU/UvReNZi&#10;dKOLcVl+LFrwjfPARQh4e9Mp6SzHl1Lw+CBlEJHommJtMa8+r8u0FrNLVr145laK92Wwf6jCMGUx&#10;6T7UDYuMrL36JZRR3EMAGU84mAKkVFzkHrCbUfmmm8cVcyL3guAEt4cp/L+w/H6z8EQ1NZ2UI0os&#10;M/hIN7BeakE+eca/I3RJgzi1LlRo/ugWvpcCHlPTW+lN2rEdss3Y7vbYim0kHC9Px+PJpDynhKNu&#10;ejq5mJ6noMXB2/kQPwswJB1quuyyL5jyGVm2uQux8xgsU04Lt0prvGeVtmkNoFWT7rKQeCSutScb&#10;hgyI29wJJj2yQil5Fqm/rqN8ijstuqhfhUSEsIdRLiRz8xCTcS5sHOJqi9bJTWIFe8fyz469fXIV&#10;mbd/47z3yJnBxr2zURY6/N6UfYBCdvYDAl3fCYIlNDskh4duaoLjtwqf5o6FuGAexwQHCkc/PuAi&#10;NbQ1hf5EyQr8z9/dJ3tkL2opaXHsahp+rJkXlOgvFnk9HZ2dpTnNwtn5ZIyCP9YsjzV2ba4B3xWZ&#10;i9XlY7KPejhKD+YZf4h5yooqZjnmrimPfhCuY/cd4B/DxXyezXA2HYt39tHx4dUT5562z8y7np8R&#10;mX0Pw4iy6g0/O9v0Hhbm6whSZfIecO3xxrnOU9D/QenjOJaz1eGnnL0CAAD//wMAUEsDBBQABgAI&#10;AAAAIQBg8CLk4QAAAAoBAAAPAAAAZHJzL2Rvd25yZXYueG1sTI9BTsMwEEX3SNzBGiQ2VeskQNqE&#10;OBWiYoFUkCgcwHWmcUQ8jmK3DZyeYQXL0X/6/021nlwvTjiGzpOCdJGAQDK+6ahV8PH+NF+BCFFT&#10;o3tPqOALA6zry4tKl40/0xuedrEVXEKh1ApsjEMpZTAWnQ4LPyBxdvCj05HPsZXNqM9c7nqZJUku&#10;ne6IF6we8NGi+dwdnQLc2mKW+5dZsZlei2+zkd2zOSh1fTU93IOIOMU/GH71WR1qdtr7IzVB9Arm&#10;WZozquAmvQPBwO0qX4LYM7ksMpB1Jf+/UP8AAAD//wMAUEsBAi0AFAAGAAgAAAAhALaDOJL+AAAA&#10;4QEAABMAAAAAAAAAAAAAAAAAAAAAAFtDb250ZW50X1R5cGVzXS54bWxQSwECLQAUAAYACAAAACEA&#10;OP0h/9YAAACUAQAACwAAAAAAAAAAAAAAAAAvAQAAX3JlbHMvLnJlbHNQSwECLQAUAAYACAAAACEA&#10;c/EnL4MCAABxBQAADgAAAAAAAAAAAAAAAAAuAgAAZHJzL2Uyb0RvYy54bWxQSwECLQAUAAYACAAA&#10;ACEAYPAi5OEAAAAKAQAADwAAAAAAAAAAAAAAAADdBAAAZHJzL2Rvd25yZXYueG1sUEsFBgAAAAAE&#10;AAQA8wAAAOsFAAAAAA==&#10;" strokecolor="black [3213]"/>
            </w:pict>
          </mc:Fallback>
        </mc:AlternateContent>
      </w:r>
    </w:p>
    <w:p w:rsidR="00BC7ACC" w:rsidRPr="0021016D" w:rsidRDefault="00BC7ACC" w:rsidP="00BC7ACC">
      <w:pPr>
        <w:spacing w:after="0"/>
        <w:jc w:val="left"/>
        <w:rPr>
          <w:iCs/>
          <w:sz w:val="36"/>
          <w:szCs w:val="36"/>
          <w:lang w:eastAsia="en-GB"/>
        </w:rPr>
      </w:pPr>
      <w:r w:rsidRPr="0021016D">
        <w:rPr>
          <w:iCs/>
          <w:sz w:val="36"/>
          <w:szCs w:val="36"/>
          <w:lang w:eastAsia="en-GB"/>
        </w:rPr>
        <w:t xml:space="preserve">Мотиви към законопроекта за </w:t>
      </w:r>
    </w:p>
    <w:p w:rsidR="00BC7ACC" w:rsidRPr="0021016D" w:rsidRDefault="00BC7ACC" w:rsidP="00BC7ACC">
      <w:pPr>
        <w:spacing w:after="0"/>
        <w:jc w:val="left"/>
        <w:rPr>
          <w:iCs/>
          <w:sz w:val="36"/>
          <w:szCs w:val="36"/>
          <w:lang w:eastAsia="en-GB"/>
        </w:rPr>
      </w:pPr>
      <w:r w:rsidRPr="0021016D">
        <w:rPr>
          <w:iCs/>
          <w:sz w:val="36"/>
          <w:szCs w:val="36"/>
          <w:lang w:eastAsia="en-GB"/>
        </w:rPr>
        <w:t xml:space="preserve">държавния бюджет на </w:t>
      </w:r>
    </w:p>
    <w:p w:rsidR="00BC7ACC" w:rsidRPr="00E85071" w:rsidRDefault="00407F9F" w:rsidP="00BC7ACC">
      <w:pPr>
        <w:spacing w:after="0"/>
        <w:jc w:val="left"/>
        <w:rPr>
          <w:iCs/>
          <w:sz w:val="36"/>
          <w:szCs w:val="36"/>
          <w:lang w:eastAsia="en-GB"/>
        </w:rPr>
      </w:pPr>
      <w:r>
        <w:rPr>
          <w:iCs/>
          <w:sz w:val="36"/>
          <w:szCs w:val="36"/>
          <w:lang w:eastAsia="en-GB"/>
        </w:rPr>
        <w:t>Република България за 2024</w:t>
      </w:r>
      <w:r w:rsidR="00BC7ACC">
        <w:rPr>
          <w:iCs/>
          <w:sz w:val="36"/>
          <w:szCs w:val="36"/>
          <w:lang w:eastAsia="en-GB"/>
        </w:rPr>
        <w:t xml:space="preserve"> г.</w:t>
      </w:r>
    </w:p>
    <w:p w:rsidR="00BC7ACC" w:rsidRDefault="00BC7ACC" w:rsidP="00BC7ACC">
      <w:pPr>
        <w:ind w:firstLine="709"/>
        <w:rPr>
          <w:lang w:eastAsia="ja-JP"/>
        </w:rPr>
      </w:pPr>
    </w:p>
    <w:p w:rsidR="00BC7ACC" w:rsidRDefault="00BC7ACC" w:rsidP="00BC7ACC">
      <w:pPr>
        <w:ind w:firstLine="709"/>
        <w:rPr>
          <w:lang w:eastAsia="ja-JP"/>
        </w:rPr>
      </w:pPr>
    </w:p>
    <w:p w:rsidR="00BC7ACC" w:rsidRDefault="00BC7ACC" w:rsidP="00BC7ACC">
      <w:pPr>
        <w:ind w:firstLine="709"/>
        <w:rPr>
          <w:lang w:eastAsia="ja-JP"/>
        </w:rPr>
      </w:pPr>
    </w:p>
    <w:p w:rsidR="00BC7ACC" w:rsidRDefault="00BC7ACC" w:rsidP="00BC7ACC">
      <w:pPr>
        <w:ind w:firstLine="709"/>
        <w:rPr>
          <w:lang w:eastAsia="ja-JP"/>
        </w:rPr>
      </w:pPr>
    </w:p>
    <w:p w:rsidR="00BC7ACC" w:rsidRDefault="00BC7ACC" w:rsidP="00BC7ACC">
      <w:pPr>
        <w:ind w:firstLine="709"/>
        <w:rPr>
          <w:lang w:eastAsia="ja-JP"/>
        </w:rPr>
      </w:pPr>
    </w:p>
    <w:p w:rsidR="003C07EA" w:rsidRPr="00BC7ACC" w:rsidRDefault="003C07EA" w:rsidP="00BC7ACC">
      <w:pPr>
        <w:rPr>
          <w:lang w:eastAsia="ja-JP"/>
        </w:rPr>
        <w:sectPr w:rsidR="003C07EA" w:rsidRPr="00BC7ACC" w:rsidSect="002D7CED">
          <w:headerReference w:type="even" r:id="rId9"/>
          <w:type w:val="oddPage"/>
          <w:pgSz w:w="11906" w:h="16838" w:code="9"/>
          <w:pgMar w:top="1418" w:right="1418" w:bottom="851" w:left="1418" w:header="708" w:footer="708" w:gutter="0"/>
          <w:cols w:space="708"/>
          <w:docGrid w:linePitch="360"/>
        </w:sectPr>
      </w:pPr>
    </w:p>
    <w:p w:rsidR="00CF21EB" w:rsidRPr="0025229D" w:rsidRDefault="00AF006E" w:rsidP="002A7C29">
      <w:pPr>
        <w:spacing w:after="240"/>
        <w:rPr>
          <w:spacing w:val="12"/>
          <w:sz w:val="32"/>
        </w:rPr>
      </w:pPr>
      <w:bookmarkStart w:id="8" w:name="_Toc464737527"/>
      <w:bookmarkStart w:id="9" w:name="_Toc464746957"/>
      <w:bookmarkStart w:id="10" w:name="_Toc465070434"/>
      <w:bookmarkStart w:id="11" w:name="_Toc465176562"/>
      <w:bookmarkStart w:id="12" w:name="_Toc465177066"/>
      <w:bookmarkStart w:id="13" w:name="_Toc465177879"/>
      <w:bookmarkStart w:id="14" w:name="_Toc465177987"/>
      <w:bookmarkStart w:id="15" w:name="_Toc465178095"/>
      <w:bookmarkEnd w:id="0"/>
      <w:bookmarkEnd w:id="1"/>
      <w:bookmarkEnd w:id="2"/>
      <w:bookmarkEnd w:id="3"/>
      <w:r w:rsidRPr="0025229D">
        <w:rPr>
          <w:spacing w:val="12"/>
          <w:sz w:val="32"/>
        </w:rPr>
        <w:lastRenderedPageBreak/>
        <w:t>Съдържание</w:t>
      </w:r>
      <w:bookmarkEnd w:id="8"/>
      <w:bookmarkEnd w:id="9"/>
      <w:bookmarkEnd w:id="10"/>
      <w:bookmarkEnd w:id="11"/>
      <w:bookmarkEnd w:id="12"/>
      <w:bookmarkEnd w:id="13"/>
      <w:bookmarkEnd w:id="14"/>
      <w:bookmarkEnd w:id="15"/>
    </w:p>
    <w:p w:rsidR="005B6754" w:rsidRPr="0025229D" w:rsidRDefault="005B6754" w:rsidP="002A7C29">
      <w:pPr>
        <w:spacing w:after="240"/>
        <w:rPr>
          <w:spacing w:val="12"/>
          <w:sz w:val="32"/>
        </w:rPr>
      </w:pPr>
    </w:p>
    <w:p w:rsidR="00BC3E33" w:rsidRDefault="00E269CB">
      <w:pPr>
        <w:pStyle w:val="TOC1"/>
        <w:rPr>
          <w:rFonts w:asciiTheme="minorHAnsi" w:hAnsiTheme="minorHAnsi"/>
          <w:b w:val="0"/>
          <w:color w:val="auto"/>
        </w:rPr>
      </w:pPr>
      <w:r w:rsidRPr="0025229D">
        <w:rPr>
          <w:w w:val="90"/>
          <w:lang w:eastAsia="zh-CN"/>
        </w:rPr>
        <w:fldChar w:fldCharType="begin"/>
      </w:r>
      <w:r w:rsidRPr="0025229D">
        <w:rPr>
          <w:w w:val="90"/>
          <w:lang w:eastAsia="zh-CN"/>
        </w:rPr>
        <w:instrText xml:space="preserve"> TOC \o "1-2" \h \z \u </w:instrText>
      </w:r>
      <w:r w:rsidRPr="0025229D">
        <w:rPr>
          <w:w w:val="90"/>
          <w:lang w:eastAsia="zh-CN"/>
        </w:rPr>
        <w:fldChar w:fldCharType="separate"/>
      </w:r>
      <w:hyperlink w:anchor="_Toc151557289" w:history="1">
        <w:r w:rsidR="00BC3E33" w:rsidRPr="00357227">
          <w:rPr>
            <w:rStyle w:val="Hyperlink"/>
          </w:rPr>
          <w:t>Въведение</w:t>
        </w:r>
        <w:r w:rsidR="00BC3E33">
          <w:rPr>
            <w:webHidden/>
          </w:rPr>
          <w:tab/>
        </w:r>
        <w:r w:rsidR="00BC3E33">
          <w:rPr>
            <w:webHidden/>
          </w:rPr>
          <w:fldChar w:fldCharType="begin"/>
        </w:r>
        <w:r w:rsidR="00BC3E33">
          <w:rPr>
            <w:webHidden/>
          </w:rPr>
          <w:instrText xml:space="preserve"> PAGEREF _Toc151557289 \h </w:instrText>
        </w:r>
        <w:r w:rsidR="00BC3E33">
          <w:rPr>
            <w:webHidden/>
          </w:rPr>
        </w:r>
        <w:r w:rsidR="00BC3E33">
          <w:rPr>
            <w:webHidden/>
          </w:rPr>
          <w:fldChar w:fldCharType="separate"/>
        </w:r>
        <w:r w:rsidR="005A69ED">
          <w:rPr>
            <w:webHidden/>
          </w:rPr>
          <w:t>8</w:t>
        </w:r>
        <w:r w:rsidR="00BC3E33">
          <w:rPr>
            <w:webHidden/>
          </w:rPr>
          <w:fldChar w:fldCharType="end"/>
        </w:r>
      </w:hyperlink>
    </w:p>
    <w:p w:rsidR="00BC3E33" w:rsidRDefault="00A96BF2">
      <w:pPr>
        <w:pStyle w:val="TOC1"/>
        <w:rPr>
          <w:rFonts w:asciiTheme="minorHAnsi" w:hAnsiTheme="minorHAnsi"/>
          <w:b w:val="0"/>
          <w:color w:val="auto"/>
        </w:rPr>
      </w:pPr>
      <w:hyperlink w:anchor="_Toc151557290" w:history="1">
        <w:r w:rsidR="00BC3E33" w:rsidRPr="00357227">
          <w:rPr>
            <w:rStyle w:val="Hyperlink"/>
          </w:rPr>
          <w:t>Част I.  Икономически перспективи за  периода 2023-2026 г.</w:t>
        </w:r>
        <w:r w:rsidR="00BC3E33">
          <w:rPr>
            <w:webHidden/>
          </w:rPr>
          <w:tab/>
        </w:r>
        <w:r w:rsidR="00BC3E33">
          <w:rPr>
            <w:webHidden/>
          </w:rPr>
          <w:fldChar w:fldCharType="begin"/>
        </w:r>
        <w:r w:rsidR="00BC3E33">
          <w:rPr>
            <w:webHidden/>
          </w:rPr>
          <w:instrText xml:space="preserve"> PAGEREF _Toc151557290 \h </w:instrText>
        </w:r>
        <w:r w:rsidR="00BC3E33">
          <w:rPr>
            <w:webHidden/>
          </w:rPr>
        </w:r>
        <w:r w:rsidR="00BC3E33">
          <w:rPr>
            <w:webHidden/>
          </w:rPr>
          <w:fldChar w:fldCharType="separate"/>
        </w:r>
        <w:r w:rsidR="005A69ED">
          <w:rPr>
            <w:webHidden/>
          </w:rPr>
          <w:t>19</w:t>
        </w:r>
        <w:r w:rsidR="00BC3E33">
          <w:rPr>
            <w:webHidden/>
          </w:rPr>
          <w:fldChar w:fldCharType="end"/>
        </w:r>
      </w:hyperlink>
    </w:p>
    <w:p w:rsidR="00BC3E33" w:rsidRDefault="00A96BF2">
      <w:pPr>
        <w:pStyle w:val="TOC2"/>
        <w:tabs>
          <w:tab w:val="left" w:pos="687"/>
        </w:tabs>
        <w:rPr>
          <w:rFonts w:asciiTheme="minorHAnsi" w:hAnsiTheme="minorHAnsi"/>
          <w:bCs w:val="0"/>
          <w:caps w:val="0"/>
          <w:sz w:val="22"/>
          <w:lang w:val="bg-BG"/>
        </w:rPr>
      </w:pPr>
      <w:hyperlink w:anchor="_Toc151557291" w:history="1">
        <w:r w:rsidR="00BC3E33" w:rsidRPr="00357227">
          <w:rPr>
            <w:rStyle w:val="Hyperlink"/>
          </w:rPr>
          <w:t>1.</w:t>
        </w:r>
        <w:r w:rsidR="00BC3E33">
          <w:rPr>
            <w:rFonts w:asciiTheme="minorHAnsi" w:hAnsiTheme="minorHAnsi"/>
            <w:bCs w:val="0"/>
            <w:caps w:val="0"/>
            <w:sz w:val="22"/>
            <w:lang w:val="bg-BG"/>
          </w:rPr>
          <w:tab/>
        </w:r>
        <w:r w:rsidR="00BC3E33" w:rsidRPr="00357227">
          <w:rPr>
            <w:rStyle w:val="Hyperlink"/>
          </w:rPr>
          <w:t>ПРЕГЛЕД НА РАЗВИТИЕТО НА СВЕТОВНАТА И ЕВРОПЕЙСКАТА ИКОНОМИКА</w:t>
        </w:r>
        <w:r w:rsidR="00BC3E33">
          <w:rPr>
            <w:webHidden/>
          </w:rPr>
          <w:tab/>
        </w:r>
        <w:r w:rsidR="00BC3E33">
          <w:rPr>
            <w:webHidden/>
          </w:rPr>
          <w:fldChar w:fldCharType="begin"/>
        </w:r>
        <w:r w:rsidR="00BC3E33">
          <w:rPr>
            <w:webHidden/>
          </w:rPr>
          <w:instrText xml:space="preserve"> PAGEREF _Toc151557291 \h </w:instrText>
        </w:r>
        <w:r w:rsidR="00BC3E33">
          <w:rPr>
            <w:webHidden/>
          </w:rPr>
        </w:r>
        <w:r w:rsidR="00BC3E33">
          <w:rPr>
            <w:webHidden/>
          </w:rPr>
          <w:fldChar w:fldCharType="separate"/>
        </w:r>
        <w:r w:rsidR="005A69ED">
          <w:rPr>
            <w:webHidden/>
          </w:rPr>
          <w:t>19</w:t>
        </w:r>
        <w:r w:rsidR="00BC3E33">
          <w:rPr>
            <w:webHidden/>
          </w:rPr>
          <w:fldChar w:fldCharType="end"/>
        </w:r>
      </w:hyperlink>
    </w:p>
    <w:p w:rsidR="00BC3E33" w:rsidRDefault="00A96BF2">
      <w:pPr>
        <w:pStyle w:val="TOC2"/>
        <w:tabs>
          <w:tab w:val="left" w:pos="687"/>
        </w:tabs>
        <w:rPr>
          <w:rFonts w:asciiTheme="minorHAnsi" w:hAnsiTheme="minorHAnsi"/>
          <w:bCs w:val="0"/>
          <w:caps w:val="0"/>
          <w:sz w:val="22"/>
          <w:lang w:val="bg-BG"/>
        </w:rPr>
      </w:pPr>
      <w:hyperlink w:anchor="_Toc151557292" w:history="1">
        <w:r w:rsidR="00BC3E33" w:rsidRPr="00357227">
          <w:rPr>
            <w:rStyle w:val="Hyperlink"/>
          </w:rPr>
          <w:t>2.</w:t>
        </w:r>
        <w:r w:rsidR="00BC3E33">
          <w:rPr>
            <w:rFonts w:asciiTheme="minorHAnsi" w:hAnsiTheme="minorHAnsi"/>
            <w:bCs w:val="0"/>
            <w:caps w:val="0"/>
            <w:sz w:val="22"/>
            <w:lang w:val="bg-BG"/>
          </w:rPr>
          <w:tab/>
        </w:r>
        <w:r w:rsidR="00BC3E33" w:rsidRPr="00357227">
          <w:rPr>
            <w:rStyle w:val="Hyperlink"/>
          </w:rPr>
          <w:t>ПРЕГЛЕД НА РАЗВИТИЕТО НА НАЦИОНАЛНАТА ИКОНОМИКА</w:t>
        </w:r>
        <w:r w:rsidR="00BC3E33">
          <w:rPr>
            <w:webHidden/>
          </w:rPr>
          <w:tab/>
        </w:r>
        <w:r w:rsidR="00BC3E33">
          <w:rPr>
            <w:webHidden/>
          </w:rPr>
          <w:fldChar w:fldCharType="begin"/>
        </w:r>
        <w:r w:rsidR="00BC3E33">
          <w:rPr>
            <w:webHidden/>
          </w:rPr>
          <w:instrText xml:space="preserve"> PAGEREF _Toc151557292 \h </w:instrText>
        </w:r>
        <w:r w:rsidR="00BC3E33">
          <w:rPr>
            <w:webHidden/>
          </w:rPr>
        </w:r>
        <w:r w:rsidR="00BC3E33">
          <w:rPr>
            <w:webHidden/>
          </w:rPr>
          <w:fldChar w:fldCharType="separate"/>
        </w:r>
        <w:r w:rsidR="005A69ED">
          <w:rPr>
            <w:webHidden/>
          </w:rPr>
          <w:t>20</w:t>
        </w:r>
        <w:r w:rsidR="00BC3E33">
          <w:rPr>
            <w:webHidden/>
          </w:rPr>
          <w:fldChar w:fldCharType="end"/>
        </w:r>
      </w:hyperlink>
    </w:p>
    <w:p w:rsidR="00BC3E33" w:rsidRDefault="00A96BF2">
      <w:pPr>
        <w:pStyle w:val="TOC2"/>
        <w:tabs>
          <w:tab w:val="left" w:pos="687"/>
        </w:tabs>
        <w:rPr>
          <w:rFonts w:asciiTheme="minorHAnsi" w:hAnsiTheme="minorHAnsi"/>
          <w:bCs w:val="0"/>
          <w:caps w:val="0"/>
          <w:sz w:val="22"/>
          <w:lang w:val="bg-BG"/>
        </w:rPr>
      </w:pPr>
      <w:hyperlink w:anchor="_Toc151557293" w:history="1">
        <w:r w:rsidR="00BC3E33" w:rsidRPr="00357227">
          <w:rPr>
            <w:rStyle w:val="Hyperlink"/>
          </w:rPr>
          <w:t>3.</w:t>
        </w:r>
        <w:r w:rsidR="00BC3E33">
          <w:rPr>
            <w:rFonts w:asciiTheme="minorHAnsi" w:hAnsiTheme="minorHAnsi"/>
            <w:bCs w:val="0"/>
            <w:caps w:val="0"/>
            <w:sz w:val="22"/>
            <w:lang w:val="bg-BG"/>
          </w:rPr>
          <w:tab/>
        </w:r>
        <w:r w:rsidR="00BC3E33" w:rsidRPr="00357227">
          <w:rPr>
            <w:rStyle w:val="Hyperlink"/>
          </w:rPr>
          <w:t>ОСНОВНИ ДОПУСКАНИЯ, НА КОИТО СЕ ОСНОВАВА прогнозата и МАКРОИКОНОМИЧЕСКАТА рамка ЗА ПЕРИОДА 2023-2026 Г.</w:t>
        </w:r>
        <w:r w:rsidR="00BC3E33">
          <w:rPr>
            <w:webHidden/>
          </w:rPr>
          <w:tab/>
        </w:r>
        <w:r w:rsidR="00BC3E33">
          <w:rPr>
            <w:webHidden/>
          </w:rPr>
          <w:fldChar w:fldCharType="begin"/>
        </w:r>
        <w:r w:rsidR="00BC3E33">
          <w:rPr>
            <w:webHidden/>
          </w:rPr>
          <w:instrText xml:space="preserve"> PAGEREF _Toc151557293 \h </w:instrText>
        </w:r>
        <w:r w:rsidR="00BC3E33">
          <w:rPr>
            <w:webHidden/>
          </w:rPr>
        </w:r>
        <w:r w:rsidR="00BC3E33">
          <w:rPr>
            <w:webHidden/>
          </w:rPr>
          <w:fldChar w:fldCharType="separate"/>
        </w:r>
        <w:r w:rsidR="005A69ED">
          <w:rPr>
            <w:webHidden/>
          </w:rPr>
          <w:t>22</w:t>
        </w:r>
        <w:r w:rsidR="00BC3E33">
          <w:rPr>
            <w:webHidden/>
          </w:rPr>
          <w:fldChar w:fldCharType="end"/>
        </w:r>
      </w:hyperlink>
    </w:p>
    <w:p w:rsidR="00BC3E33" w:rsidRDefault="00A96BF2">
      <w:pPr>
        <w:pStyle w:val="TOC2"/>
        <w:tabs>
          <w:tab w:val="left" w:pos="687"/>
        </w:tabs>
        <w:rPr>
          <w:rFonts w:asciiTheme="minorHAnsi" w:hAnsiTheme="minorHAnsi"/>
          <w:bCs w:val="0"/>
          <w:caps w:val="0"/>
          <w:sz w:val="22"/>
          <w:lang w:val="bg-BG"/>
        </w:rPr>
      </w:pPr>
      <w:hyperlink w:anchor="_Toc151557294" w:history="1">
        <w:r w:rsidR="00BC3E33" w:rsidRPr="00357227">
          <w:rPr>
            <w:rStyle w:val="Hyperlink"/>
          </w:rPr>
          <w:t>4.</w:t>
        </w:r>
        <w:r w:rsidR="00BC3E33">
          <w:rPr>
            <w:rFonts w:asciiTheme="minorHAnsi" w:hAnsiTheme="minorHAnsi"/>
            <w:bCs w:val="0"/>
            <w:caps w:val="0"/>
            <w:sz w:val="22"/>
            <w:lang w:val="bg-BG"/>
          </w:rPr>
          <w:tab/>
        </w:r>
        <w:r w:rsidR="00BC3E33" w:rsidRPr="00357227">
          <w:rPr>
            <w:rStyle w:val="Hyperlink"/>
          </w:rPr>
          <w:t>МАКРОИКОНОМИЧЕСКА ПРОГНОЗА ЗА ПЕРИОДА 2023-2026 г.</w:t>
        </w:r>
        <w:r w:rsidR="00BC3E33">
          <w:rPr>
            <w:webHidden/>
          </w:rPr>
          <w:tab/>
        </w:r>
        <w:r w:rsidR="00BC3E33">
          <w:rPr>
            <w:webHidden/>
          </w:rPr>
          <w:fldChar w:fldCharType="begin"/>
        </w:r>
        <w:r w:rsidR="00BC3E33">
          <w:rPr>
            <w:webHidden/>
          </w:rPr>
          <w:instrText xml:space="preserve"> PAGEREF _Toc151557294 \h </w:instrText>
        </w:r>
        <w:r w:rsidR="00BC3E33">
          <w:rPr>
            <w:webHidden/>
          </w:rPr>
        </w:r>
        <w:r w:rsidR="00BC3E33">
          <w:rPr>
            <w:webHidden/>
          </w:rPr>
          <w:fldChar w:fldCharType="separate"/>
        </w:r>
        <w:r w:rsidR="005A69ED">
          <w:rPr>
            <w:webHidden/>
          </w:rPr>
          <w:t>23</w:t>
        </w:r>
        <w:r w:rsidR="00BC3E33">
          <w:rPr>
            <w:webHidden/>
          </w:rPr>
          <w:fldChar w:fldCharType="end"/>
        </w:r>
      </w:hyperlink>
    </w:p>
    <w:p w:rsidR="00BC3E33" w:rsidRDefault="00A96BF2">
      <w:pPr>
        <w:pStyle w:val="TOC1"/>
        <w:rPr>
          <w:rFonts w:asciiTheme="minorHAnsi" w:hAnsiTheme="minorHAnsi"/>
          <w:b w:val="0"/>
          <w:color w:val="auto"/>
        </w:rPr>
      </w:pPr>
      <w:hyperlink w:anchor="_Toc151557295" w:history="1">
        <w:r w:rsidR="00BC3E33" w:rsidRPr="00357227">
          <w:rPr>
            <w:rStyle w:val="Hyperlink"/>
          </w:rPr>
          <w:t>Част II.  Фискална политика и основни параметри за периода 2024-2026 г.</w:t>
        </w:r>
        <w:r w:rsidR="00BC3E33">
          <w:rPr>
            <w:webHidden/>
          </w:rPr>
          <w:tab/>
        </w:r>
        <w:r w:rsidR="00BC3E33">
          <w:rPr>
            <w:webHidden/>
          </w:rPr>
          <w:fldChar w:fldCharType="begin"/>
        </w:r>
        <w:r w:rsidR="00BC3E33">
          <w:rPr>
            <w:webHidden/>
          </w:rPr>
          <w:instrText xml:space="preserve"> PAGEREF _Toc151557295 \h </w:instrText>
        </w:r>
        <w:r w:rsidR="00BC3E33">
          <w:rPr>
            <w:webHidden/>
          </w:rPr>
        </w:r>
        <w:r w:rsidR="00BC3E33">
          <w:rPr>
            <w:webHidden/>
          </w:rPr>
          <w:fldChar w:fldCharType="separate"/>
        </w:r>
        <w:r w:rsidR="005A69ED">
          <w:rPr>
            <w:webHidden/>
          </w:rPr>
          <w:t>31</w:t>
        </w:r>
        <w:r w:rsidR="00BC3E33">
          <w:rPr>
            <w:webHidden/>
          </w:rPr>
          <w:fldChar w:fldCharType="end"/>
        </w:r>
      </w:hyperlink>
    </w:p>
    <w:p w:rsidR="00BC3E33" w:rsidRDefault="00A96BF2">
      <w:pPr>
        <w:pStyle w:val="TOC2"/>
        <w:tabs>
          <w:tab w:val="left" w:pos="687"/>
        </w:tabs>
        <w:rPr>
          <w:rFonts w:asciiTheme="minorHAnsi" w:hAnsiTheme="minorHAnsi"/>
          <w:bCs w:val="0"/>
          <w:caps w:val="0"/>
          <w:sz w:val="22"/>
          <w:lang w:val="bg-BG"/>
        </w:rPr>
      </w:pPr>
      <w:hyperlink w:anchor="_Toc151557296" w:history="1">
        <w:r w:rsidR="00BC3E33" w:rsidRPr="00357227">
          <w:rPr>
            <w:rStyle w:val="Hyperlink"/>
          </w:rPr>
          <w:t>1.</w:t>
        </w:r>
        <w:r w:rsidR="00BC3E33">
          <w:rPr>
            <w:rFonts w:asciiTheme="minorHAnsi" w:hAnsiTheme="minorHAnsi"/>
            <w:bCs w:val="0"/>
            <w:caps w:val="0"/>
            <w:sz w:val="22"/>
            <w:lang w:val="bg-BG"/>
          </w:rPr>
          <w:tab/>
        </w:r>
        <w:r w:rsidR="00BC3E33" w:rsidRPr="00357227">
          <w:rPr>
            <w:rStyle w:val="Hyperlink"/>
          </w:rPr>
          <w:t>СРЕДНОСРОЧНИ ЦЕЛИ НА ФИСКАЛНАТА ПОЛИТИКА</w:t>
        </w:r>
        <w:r w:rsidR="00BC3E33">
          <w:rPr>
            <w:webHidden/>
          </w:rPr>
          <w:tab/>
        </w:r>
        <w:r w:rsidR="00BC3E33">
          <w:rPr>
            <w:webHidden/>
          </w:rPr>
          <w:fldChar w:fldCharType="begin"/>
        </w:r>
        <w:r w:rsidR="00BC3E33">
          <w:rPr>
            <w:webHidden/>
          </w:rPr>
          <w:instrText xml:space="preserve"> PAGEREF _Toc151557296 \h </w:instrText>
        </w:r>
        <w:r w:rsidR="00BC3E33">
          <w:rPr>
            <w:webHidden/>
          </w:rPr>
        </w:r>
        <w:r w:rsidR="00BC3E33">
          <w:rPr>
            <w:webHidden/>
          </w:rPr>
          <w:fldChar w:fldCharType="separate"/>
        </w:r>
        <w:r w:rsidR="005A69ED">
          <w:rPr>
            <w:webHidden/>
          </w:rPr>
          <w:t>31</w:t>
        </w:r>
        <w:r w:rsidR="00BC3E33">
          <w:rPr>
            <w:webHidden/>
          </w:rPr>
          <w:fldChar w:fldCharType="end"/>
        </w:r>
      </w:hyperlink>
    </w:p>
    <w:p w:rsidR="00BC3E33" w:rsidRDefault="00A96BF2">
      <w:pPr>
        <w:pStyle w:val="TOC2"/>
        <w:tabs>
          <w:tab w:val="left" w:pos="687"/>
        </w:tabs>
        <w:rPr>
          <w:rFonts w:asciiTheme="minorHAnsi" w:hAnsiTheme="minorHAnsi"/>
          <w:bCs w:val="0"/>
          <w:caps w:val="0"/>
          <w:sz w:val="22"/>
          <w:lang w:val="bg-BG"/>
        </w:rPr>
      </w:pPr>
      <w:hyperlink w:anchor="_Toc151557297" w:history="1">
        <w:r w:rsidR="00BC3E33" w:rsidRPr="00357227">
          <w:rPr>
            <w:rStyle w:val="Hyperlink"/>
          </w:rPr>
          <w:t>2.</w:t>
        </w:r>
        <w:r w:rsidR="00BC3E33">
          <w:rPr>
            <w:rFonts w:asciiTheme="minorHAnsi" w:hAnsiTheme="minorHAnsi"/>
            <w:bCs w:val="0"/>
            <w:caps w:val="0"/>
            <w:sz w:val="22"/>
            <w:lang w:val="bg-BG"/>
          </w:rPr>
          <w:tab/>
        </w:r>
        <w:r w:rsidR="00BC3E33" w:rsidRPr="00357227">
          <w:rPr>
            <w:rStyle w:val="Hyperlink"/>
          </w:rPr>
          <w:t>ОСНОВНИ ФИСКАЛНИ ПАРАМЕТРИ ЗА ПЕРИОДА 2024-2026 г.</w:t>
        </w:r>
        <w:r w:rsidR="00BC3E33">
          <w:rPr>
            <w:webHidden/>
          </w:rPr>
          <w:tab/>
        </w:r>
        <w:r w:rsidR="00BC3E33">
          <w:rPr>
            <w:webHidden/>
          </w:rPr>
          <w:fldChar w:fldCharType="begin"/>
        </w:r>
        <w:r w:rsidR="00BC3E33">
          <w:rPr>
            <w:webHidden/>
          </w:rPr>
          <w:instrText xml:space="preserve"> PAGEREF _Toc151557297 \h </w:instrText>
        </w:r>
        <w:r w:rsidR="00BC3E33">
          <w:rPr>
            <w:webHidden/>
          </w:rPr>
        </w:r>
        <w:r w:rsidR="00BC3E33">
          <w:rPr>
            <w:webHidden/>
          </w:rPr>
          <w:fldChar w:fldCharType="separate"/>
        </w:r>
        <w:r w:rsidR="005A69ED">
          <w:rPr>
            <w:webHidden/>
          </w:rPr>
          <w:t>33</w:t>
        </w:r>
        <w:r w:rsidR="00BC3E33">
          <w:rPr>
            <w:webHidden/>
          </w:rPr>
          <w:fldChar w:fldCharType="end"/>
        </w:r>
      </w:hyperlink>
    </w:p>
    <w:p w:rsidR="00BC3E33" w:rsidRDefault="00A96BF2">
      <w:pPr>
        <w:pStyle w:val="TOC2"/>
        <w:tabs>
          <w:tab w:val="left" w:pos="687"/>
        </w:tabs>
        <w:rPr>
          <w:rFonts w:asciiTheme="minorHAnsi" w:hAnsiTheme="minorHAnsi"/>
          <w:bCs w:val="0"/>
          <w:caps w:val="0"/>
          <w:sz w:val="22"/>
          <w:lang w:val="bg-BG"/>
        </w:rPr>
      </w:pPr>
      <w:hyperlink w:anchor="_Toc151557298" w:history="1">
        <w:r w:rsidR="00BC3E33" w:rsidRPr="00357227">
          <w:rPr>
            <w:rStyle w:val="Hyperlink"/>
          </w:rPr>
          <w:t>3.</w:t>
        </w:r>
        <w:r w:rsidR="00BC3E33">
          <w:rPr>
            <w:rFonts w:asciiTheme="minorHAnsi" w:hAnsiTheme="minorHAnsi"/>
            <w:bCs w:val="0"/>
            <w:caps w:val="0"/>
            <w:sz w:val="22"/>
            <w:lang w:val="bg-BG"/>
          </w:rPr>
          <w:tab/>
        </w:r>
        <w:r w:rsidR="00BC3E33" w:rsidRPr="00357227">
          <w:rPr>
            <w:rStyle w:val="Hyperlink"/>
          </w:rPr>
          <w:t>ПРОГНОЗА ЗА СЕКТОР „ДЪРЖАВНО УПРАВЛЕНИЕ“ ЗА ПЕРИОДА 2024-2026 Г.</w:t>
        </w:r>
        <w:r w:rsidR="00BC3E33">
          <w:rPr>
            <w:webHidden/>
          </w:rPr>
          <w:tab/>
        </w:r>
        <w:r w:rsidR="00BC3E33">
          <w:rPr>
            <w:webHidden/>
          </w:rPr>
          <w:fldChar w:fldCharType="begin"/>
        </w:r>
        <w:r w:rsidR="00BC3E33">
          <w:rPr>
            <w:webHidden/>
          </w:rPr>
          <w:instrText xml:space="preserve"> PAGEREF _Toc151557298 \h </w:instrText>
        </w:r>
        <w:r w:rsidR="00BC3E33">
          <w:rPr>
            <w:webHidden/>
          </w:rPr>
        </w:r>
        <w:r w:rsidR="00BC3E33">
          <w:rPr>
            <w:webHidden/>
          </w:rPr>
          <w:fldChar w:fldCharType="separate"/>
        </w:r>
        <w:r w:rsidR="005A69ED">
          <w:rPr>
            <w:webHidden/>
          </w:rPr>
          <w:t>35</w:t>
        </w:r>
        <w:r w:rsidR="00BC3E33">
          <w:rPr>
            <w:webHidden/>
          </w:rPr>
          <w:fldChar w:fldCharType="end"/>
        </w:r>
      </w:hyperlink>
    </w:p>
    <w:p w:rsidR="00BC3E33" w:rsidRDefault="00A96BF2">
      <w:pPr>
        <w:pStyle w:val="TOC1"/>
        <w:rPr>
          <w:rFonts w:asciiTheme="minorHAnsi" w:hAnsiTheme="minorHAnsi"/>
          <w:b w:val="0"/>
          <w:color w:val="auto"/>
        </w:rPr>
      </w:pPr>
      <w:hyperlink w:anchor="_Toc151557299" w:history="1">
        <w:r w:rsidR="00BC3E33" w:rsidRPr="00357227">
          <w:rPr>
            <w:rStyle w:val="Hyperlink"/>
          </w:rPr>
          <w:t>Част III.  Приоритети на политиките и основни допускания за периода 2024-20</w:t>
        </w:r>
        <w:r w:rsidR="00BC3E33" w:rsidRPr="00357227">
          <w:rPr>
            <w:rStyle w:val="Hyperlink"/>
            <w:lang w:val="ru-RU"/>
          </w:rPr>
          <w:t>26</w:t>
        </w:r>
        <w:r w:rsidR="00BC3E33" w:rsidRPr="00357227">
          <w:rPr>
            <w:rStyle w:val="Hyperlink"/>
          </w:rPr>
          <w:t> г.</w:t>
        </w:r>
        <w:r w:rsidR="00BC3E33">
          <w:rPr>
            <w:webHidden/>
          </w:rPr>
          <w:tab/>
        </w:r>
        <w:r w:rsidR="00BC3E33">
          <w:rPr>
            <w:webHidden/>
          </w:rPr>
          <w:fldChar w:fldCharType="begin"/>
        </w:r>
        <w:r w:rsidR="00BC3E33">
          <w:rPr>
            <w:webHidden/>
          </w:rPr>
          <w:instrText xml:space="preserve"> PAGEREF _Toc151557299 \h </w:instrText>
        </w:r>
        <w:r w:rsidR="00BC3E33">
          <w:rPr>
            <w:webHidden/>
          </w:rPr>
        </w:r>
        <w:r w:rsidR="00BC3E33">
          <w:rPr>
            <w:webHidden/>
          </w:rPr>
          <w:fldChar w:fldCharType="separate"/>
        </w:r>
        <w:r w:rsidR="005A69ED">
          <w:rPr>
            <w:webHidden/>
          </w:rPr>
          <w:t>59</w:t>
        </w:r>
        <w:r w:rsidR="00BC3E33">
          <w:rPr>
            <w:webHidden/>
          </w:rPr>
          <w:fldChar w:fldCharType="end"/>
        </w:r>
      </w:hyperlink>
    </w:p>
    <w:p w:rsidR="00BC3E33" w:rsidRDefault="00A96BF2">
      <w:pPr>
        <w:pStyle w:val="TOC2"/>
        <w:tabs>
          <w:tab w:val="left" w:pos="687"/>
        </w:tabs>
        <w:rPr>
          <w:rFonts w:asciiTheme="minorHAnsi" w:hAnsiTheme="minorHAnsi"/>
          <w:bCs w:val="0"/>
          <w:caps w:val="0"/>
          <w:sz w:val="22"/>
          <w:lang w:val="bg-BG"/>
        </w:rPr>
      </w:pPr>
      <w:hyperlink w:anchor="_Toc151557300" w:history="1">
        <w:r w:rsidR="00BC3E33" w:rsidRPr="00357227">
          <w:rPr>
            <w:rStyle w:val="Hyperlink"/>
          </w:rPr>
          <w:t>1.</w:t>
        </w:r>
        <w:r w:rsidR="00BC3E33">
          <w:rPr>
            <w:rFonts w:asciiTheme="minorHAnsi" w:hAnsiTheme="minorHAnsi"/>
            <w:bCs w:val="0"/>
            <w:caps w:val="0"/>
            <w:sz w:val="22"/>
            <w:lang w:val="bg-BG"/>
          </w:rPr>
          <w:tab/>
        </w:r>
        <w:r w:rsidR="00BC3E33" w:rsidRPr="00357227">
          <w:rPr>
            <w:rStyle w:val="Hyperlink"/>
          </w:rPr>
          <w:t>ПОЛИТИКИ В ПРИХОДИТЕ ЗА ПЕРИОДА 2024-2026 г.</w:t>
        </w:r>
        <w:r w:rsidR="00BC3E33">
          <w:rPr>
            <w:webHidden/>
          </w:rPr>
          <w:tab/>
        </w:r>
        <w:r w:rsidR="00BC3E33">
          <w:rPr>
            <w:webHidden/>
          </w:rPr>
          <w:fldChar w:fldCharType="begin"/>
        </w:r>
        <w:r w:rsidR="00BC3E33">
          <w:rPr>
            <w:webHidden/>
          </w:rPr>
          <w:instrText xml:space="preserve"> PAGEREF _Toc151557300 \h </w:instrText>
        </w:r>
        <w:r w:rsidR="00BC3E33">
          <w:rPr>
            <w:webHidden/>
          </w:rPr>
        </w:r>
        <w:r w:rsidR="00BC3E33">
          <w:rPr>
            <w:webHidden/>
          </w:rPr>
          <w:fldChar w:fldCharType="separate"/>
        </w:r>
        <w:r w:rsidR="005A69ED">
          <w:rPr>
            <w:webHidden/>
          </w:rPr>
          <w:t>59</w:t>
        </w:r>
        <w:r w:rsidR="00BC3E33">
          <w:rPr>
            <w:webHidden/>
          </w:rPr>
          <w:fldChar w:fldCharType="end"/>
        </w:r>
      </w:hyperlink>
    </w:p>
    <w:p w:rsidR="00BC3E33" w:rsidRDefault="00A96BF2">
      <w:pPr>
        <w:pStyle w:val="TOC2"/>
        <w:tabs>
          <w:tab w:val="left" w:pos="687"/>
        </w:tabs>
        <w:rPr>
          <w:rFonts w:asciiTheme="minorHAnsi" w:hAnsiTheme="minorHAnsi"/>
          <w:bCs w:val="0"/>
          <w:caps w:val="0"/>
          <w:sz w:val="22"/>
          <w:lang w:val="bg-BG"/>
        </w:rPr>
      </w:pPr>
      <w:hyperlink w:anchor="_Toc151557301" w:history="1">
        <w:r w:rsidR="00BC3E33" w:rsidRPr="00357227">
          <w:rPr>
            <w:rStyle w:val="Hyperlink"/>
          </w:rPr>
          <w:t>2.</w:t>
        </w:r>
        <w:r w:rsidR="00BC3E33">
          <w:rPr>
            <w:rFonts w:asciiTheme="minorHAnsi" w:hAnsiTheme="minorHAnsi"/>
            <w:bCs w:val="0"/>
            <w:caps w:val="0"/>
            <w:sz w:val="22"/>
            <w:lang w:val="bg-BG"/>
          </w:rPr>
          <w:tab/>
        </w:r>
        <w:r w:rsidR="00BC3E33" w:rsidRPr="00357227">
          <w:rPr>
            <w:rStyle w:val="Hyperlink"/>
          </w:rPr>
          <w:t>РАЗХОДНИ ПОЛИТИКИ ЗА ПЕРИОДА 2024-2026 г.</w:t>
        </w:r>
        <w:r w:rsidR="00BC3E33">
          <w:rPr>
            <w:webHidden/>
          </w:rPr>
          <w:tab/>
        </w:r>
        <w:r w:rsidR="00BC3E33">
          <w:rPr>
            <w:webHidden/>
          </w:rPr>
          <w:fldChar w:fldCharType="begin"/>
        </w:r>
        <w:r w:rsidR="00BC3E33">
          <w:rPr>
            <w:webHidden/>
          </w:rPr>
          <w:instrText xml:space="preserve"> PAGEREF _Toc151557301 \h </w:instrText>
        </w:r>
        <w:r w:rsidR="00BC3E33">
          <w:rPr>
            <w:webHidden/>
          </w:rPr>
        </w:r>
        <w:r w:rsidR="00BC3E33">
          <w:rPr>
            <w:webHidden/>
          </w:rPr>
          <w:fldChar w:fldCharType="separate"/>
        </w:r>
        <w:r w:rsidR="005A69ED">
          <w:rPr>
            <w:webHidden/>
          </w:rPr>
          <w:t>75</w:t>
        </w:r>
        <w:r w:rsidR="00BC3E33">
          <w:rPr>
            <w:webHidden/>
          </w:rPr>
          <w:fldChar w:fldCharType="end"/>
        </w:r>
      </w:hyperlink>
    </w:p>
    <w:p w:rsidR="00BC3E33" w:rsidRDefault="00A96BF2">
      <w:pPr>
        <w:pStyle w:val="TOC1"/>
        <w:rPr>
          <w:rFonts w:asciiTheme="minorHAnsi" w:hAnsiTheme="minorHAnsi"/>
          <w:b w:val="0"/>
          <w:color w:val="auto"/>
        </w:rPr>
      </w:pPr>
      <w:hyperlink w:anchor="_Toc151557302" w:history="1">
        <w:r w:rsidR="00BC3E33" w:rsidRPr="00357227">
          <w:rPr>
            <w:rStyle w:val="Hyperlink"/>
          </w:rPr>
          <w:t>Част IV.  Фискална децентрализация и бюджетни взаимоотношения с общините за периода 2024-2026 г.</w:t>
        </w:r>
        <w:r w:rsidR="00BC3E33">
          <w:rPr>
            <w:webHidden/>
          </w:rPr>
          <w:tab/>
        </w:r>
        <w:r w:rsidR="00BC3E33">
          <w:rPr>
            <w:webHidden/>
          </w:rPr>
          <w:fldChar w:fldCharType="begin"/>
        </w:r>
        <w:r w:rsidR="00BC3E33">
          <w:rPr>
            <w:webHidden/>
          </w:rPr>
          <w:instrText xml:space="preserve"> PAGEREF _Toc151557302 \h </w:instrText>
        </w:r>
        <w:r w:rsidR="00BC3E33">
          <w:rPr>
            <w:webHidden/>
          </w:rPr>
        </w:r>
        <w:r w:rsidR="00BC3E33">
          <w:rPr>
            <w:webHidden/>
          </w:rPr>
          <w:fldChar w:fldCharType="separate"/>
        </w:r>
        <w:r w:rsidR="005A69ED">
          <w:rPr>
            <w:webHidden/>
          </w:rPr>
          <w:t>187</w:t>
        </w:r>
        <w:r w:rsidR="00BC3E33">
          <w:rPr>
            <w:webHidden/>
          </w:rPr>
          <w:fldChar w:fldCharType="end"/>
        </w:r>
      </w:hyperlink>
    </w:p>
    <w:p w:rsidR="00BC3E33" w:rsidRDefault="00A96BF2">
      <w:pPr>
        <w:pStyle w:val="TOC1"/>
        <w:rPr>
          <w:rFonts w:asciiTheme="minorHAnsi" w:hAnsiTheme="minorHAnsi"/>
          <w:b w:val="0"/>
          <w:color w:val="auto"/>
        </w:rPr>
      </w:pPr>
      <w:hyperlink w:anchor="_Toc151557303" w:history="1">
        <w:r w:rsidR="00BC3E33" w:rsidRPr="00357227">
          <w:rPr>
            <w:rStyle w:val="Hyperlink"/>
          </w:rPr>
          <w:t>Част V.  Управление на средствата от европейските фондове и програми за периода 2024-2026 г.</w:t>
        </w:r>
        <w:r w:rsidR="00BC3E33">
          <w:rPr>
            <w:webHidden/>
          </w:rPr>
          <w:tab/>
        </w:r>
        <w:r w:rsidR="00BC3E33">
          <w:rPr>
            <w:webHidden/>
          </w:rPr>
          <w:fldChar w:fldCharType="begin"/>
        </w:r>
        <w:r w:rsidR="00BC3E33">
          <w:rPr>
            <w:webHidden/>
          </w:rPr>
          <w:instrText xml:space="preserve"> PAGEREF _Toc151557303 \h </w:instrText>
        </w:r>
        <w:r w:rsidR="00BC3E33">
          <w:rPr>
            <w:webHidden/>
          </w:rPr>
        </w:r>
        <w:r w:rsidR="00BC3E33">
          <w:rPr>
            <w:webHidden/>
          </w:rPr>
          <w:fldChar w:fldCharType="separate"/>
        </w:r>
        <w:r w:rsidR="005A69ED">
          <w:rPr>
            <w:webHidden/>
          </w:rPr>
          <w:t>191</w:t>
        </w:r>
        <w:r w:rsidR="00BC3E33">
          <w:rPr>
            <w:webHidden/>
          </w:rPr>
          <w:fldChar w:fldCharType="end"/>
        </w:r>
      </w:hyperlink>
    </w:p>
    <w:p w:rsidR="00BC3E33" w:rsidRDefault="00A96BF2">
      <w:pPr>
        <w:pStyle w:val="TOC2"/>
        <w:tabs>
          <w:tab w:val="left" w:pos="687"/>
        </w:tabs>
        <w:rPr>
          <w:rFonts w:asciiTheme="minorHAnsi" w:hAnsiTheme="minorHAnsi"/>
          <w:bCs w:val="0"/>
          <w:caps w:val="0"/>
          <w:sz w:val="22"/>
          <w:lang w:val="bg-BG"/>
        </w:rPr>
      </w:pPr>
      <w:hyperlink w:anchor="_Toc151557304" w:history="1">
        <w:r w:rsidR="00BC3E33" w:rsidRPr="00357227">
          <w:rPr>
            <w:rStyle w:val="Hyperlink"/>
            <w:lang w:eastAsia="en-GB"/>
          </w:rPr>
          <w:t>1.</w:t>
        </w:r>
        <w:r w:rsidR="00BC3E33">
          <w:rPr>
            <w:rFonts w:asciiTheme="minorHAnsi" w:hAnsiTheme="minorHAnsi"/>
            <w:bCs w:val="0"/>
            <w:caps w:val="0"/>
            <w:sz w:val="22"/>
            <w:lang w:val="bg-BG"/>
          </w:rPr>
          <w:tab/>
        </w:r>
        <w:r w:rsidR="00BC3E33" w:rsidRPr="00357227">
          <w:rPr>
            <w:rStyle w:val="Hyperlink"/>
            <w:lang w:eastAsia="en-GB"/>
          </w:rPr>
          <w:t>НАЦИОНАЛЕН ФОНД</w:t>
        </w:r>
        <w:r w:rsidR="00BC3E33">
          <w:rPr>
            <w:webHidden/>
          </w:rPr>
          <w:tab/>
        </w:r>
        <w:r w:rsidR="00BC3E33">
          <w:rPr>
            <w:webHidden/>
          </w:rPr>
          <w:fldChar w:fldCharType="begin"/>
        </w:r>
        <w:r w:rsidR="00BC3E33">
          <w:rPr>
            <w:webHidden/>
          </w:rPr>
          <w:instrText xml:space="preserve"> PAGEREF _Toc151557304 \h </w:instrText>
        </w:r>
        <w:r w:rsidR="00BC3E33">
          <w:rPr>
            <w:webHidden/>
          </w:rPr>
        </w:r>
        <w:r w:rsidR="00BC3E33">
          <w:rPr>
            <w:webHidden/>
          </w:rPr>
          <w:fldChar w:fldCharType="separate"/>
        </w:r>
        <w:r w:rsidR="005A69ED">
          <w:rPr>
            <w:webHidden/>
          </w:rPr>
          <w:t>191</w:t>
        </w:r>
        <w:r w:rsidR="00BC3E33">
          <w:rPr>
            <w:webHidden/>
          </w:rPr>
          <w:fldChar w:fldCharType="end"/>
        </w:r>
      </w:hyperlink>
    </w:p>
    <w:p w:rsidR="00BC3E33" w:rsidRDefault="00A96BF2">
      <w:pPr>
        <w:pStyle w:val="TOC2"/>
        <w:tabs>
          <w:tab w:val="left" w:pos="687"/>
        </w:tabs>
        <w:rPr>
          <w:rFonts w:asciiTheme="minorHAnsi" w:hAnsiTheme="minorHAnsi"/>
          <w:bCs w:val="0"/>
          <w:caps w:val="0"/>
          <w:sz w:val="22"/>
          <w:lang w:val="bg-BG"/>
        </w:rPr>
      </w:pPr>
      <w:hyperlink w:anchor="_Toc151557305" w:history="1">
        <w:r w:rsidR="00BC3E33" w:rsidRPr="00357227">
          <w:rPr>
            <w:rStyle w:val="Hyperlink"/>
          </w:rPr>
          <w:t>2.</w:t>
        </w:r>
        <w:r w:rsidR="00BC3E33">
          <w:rPr>
            <w:rFonts w:asciiTheme="minorHAnsi" w:hAnsiTheme="minorHAnsi"/>
            <w:bCs w:val="0"/>
            <w:caps w:val="0"/>
            <w:sz w:val="22"/>
            <w:lang w:val="bg-BG"/>
          </w:rPr>
          <w:tab/>
        </w:r>
        <w:r w:rsidR="00BC3E33" w:rsidRPr="00357227">
          <w:rPr>
            <w:rStyle w:val="Hyperlink"/>
          </w:rPr>
          <w:t>Държавен Фонд „Земеделие“</w:t>
        </w:r>
        <w:r w:rsidR="00BC3E33">
          <w:rPr>
            <w:webHidden/>
          </w:rPr>
          <w:tab/>
        </w:r>
        <w:r w:rsidR="00BC3E33">
          <w:rPr>
            <w:webHidden/>
          </w:rPr>
          <w:fldChar w:fldCharType="begin"/>
        </w:r>
        <w:r w:rsidR="00BC3E33">
          <w:rPr>
            <w:webHidden/>
          </w:rPr>
          <w:instrText xml:space="preserve"> PAGEREF _Toc151557305 \h </w:instrText>
        </w:r>
        <w:r w:rsidR="00BC3E33">
          <w:rPr>
            <w:webHidden/>
          </w:rPr>
        </w:r>
        <w:r w:rsidR="00BC3E33">
          <w:rPr>
            <w:webHidden/>
          </w:rPr>
          <w:fldChar w:fldCharType="separate"/>
        </w:r>
        <w:r w:rsidR="005A69ED">
          <w:rPr>
            <w:webHidden/>
          </w:rPr>
          <w:t>198</w:t>
        </w:r>
        <w:r w:rsidR="00BC3E33">
          <w:rPr>
            <w:webHidden/>
          </w:rPr>
          <w:fldChar w:fldCharType="end"/>
        </w:r>
      </w:hyperlink>
    </w:p>
    <w:p w:rsidR="00BC3E33" w:rsidRDefault="00A96BF2">
      <w:pPr>
        <w:pStyle w:val="TOC2"/>
        <w:tabs>
          <w:tab w:val="left" w:pos="687"/>
        </w:tabs>
        <w:rPr>
          <w:rFonts w:asciiTheme="minorHAnsi" w:hAnsiTheme="minorHAnsi"/>
          <w:bCs w:val="0"/>
          <w:caps w:val="0"/>
          <w:sz w:val="22"/>
          <w:lang w:val="bg-BG"/>
        </w:rPr>
      </w:pPr>
      <w:hyperlink w:anchor="_Toc151557306" w:history="1">
        <w:r w:rsidR="00BC3E33" w:rsidRPr="00357227">
          <w:rPr>
            <w:rStyle w:val="Hyperlink"/>
          </w:rPr>
          <w:t>3.</w:t>
        </w:r>
        <w:r w:rsidR="00BC3E33">
          <w:rPr>
            <w:rFonts w:asciiTheme="minorHAnsi" w:hAnsiTheme="minorHAnsi"/>
            <w:bCs w:val="0"/>
            <w:caps w:val="0"/>
            <w:sz w:val="22"/>
            <w:lang w:val="bg-BG"/>
          </w:rPr>
          <w:tab/>
        </w:r>
        <w:r w:rsidR="00BC3E33" w:rsidRPr="00357227">
          <w:rPr>
            <w:rStyle w:val="Hyperlink"/>
          </w:rPr>
          <w:t>Други сметки за средства от ЕС и средства по международни програми и договори, за които се прилага режим на сметките за средства от ЕС</w:t>
        </w:r>
        <w:r w:rsidR="00BC3E33">
          <w:rPr>
            <w:webHidden/>
          </w:rPr>
          <w:tab/>
        </w:r>
        <w:r w:rsidR="00BC3E33">
          <w:rPr>
            <w:webHidden/>
          </w:rPr>
          <w:fldChar w:fldCharType="begin"/>
        </w:r>
        <w:r w:rsidR="00BC3E33">
          <w:rPr>
            <w:webHidden/>
          </w:rPr>
          <w:instrText xml:space="preserve"> PAGEREF _Toc151557306 \h </w:instrText>
        </w:r>
        <w:r w:rsidR="00BC3E33">
          <w:rPr>
            <w:webHidden/>
          </w:rPr>
        </w:r>
        <w:r w:rsidR="00BC3E33">
          <w:rPr>
            <w:webHidden/>
          </w:rPr>
          <w:fldChar w:fldCharType="separate"/>
        </w:r>
        <w:r w:rsidR="005A69ED">
          <w:rPr>
            <w:webHidden/>
          </w:rPr>
          <w:t>201</w:t>
        </w:r>
        <w:r w:rsidR="00BC3E33">
          <w:rPr>
            <w:webHidden/>
          </w:rPr>
          <w:fldChar w:fldCharType="end"/>
        </w:r>
      </w:hyperlink>
    </w:p>
    <w:p w:rsidR="00BC3E33" w:rsidRDefault="00A96BF2">
      <w:pPr>
        <w:pStyle w:val="TOC2"/>
        <w:tabs>
          <w:tab w:val="left" w:pos="687"/>
        </w:tabs>
        <w:rPr>
          <w:rFonts w:asciiTheme="minorHAnsi" w:hAnsiTheme="minorHAnsi"/>
          <w:bCs w:val="0"/>
          <w:caps w:val="0"/>
          <w:sz w:val="22"/>
          <w:lang w:val="bg-BG"/>
        </w:rPr>
      </w:pPr>
      <w:hyperlink w:anchor="_Toc151557307" w:history="1">
        <w:r w:rsidR="00BC3E33" w:rsidRPr="00357227">
          <w:rPr>
            <w:rStyle w:val="Hyperlink"/>
          </w:rPr>
          <w:t>4.</w:t>
        </w:r>
        <w:r w:rsidR="00BC3E33">
          <w:rPr>
            <w:rFonts w:asciiTheme="minorHAnsi" w:hAnsiTheme="minorHAnsi"/>
            <w:bCs w:val="0"/>
            <w:caps w:val="0"/>
            <w:sz w:val="22"/>
            <w:lang w:val="bg-BG"/>
          </w:rPr>
          <w:tab/>
        </w:r>
        <w:r w:rsidR="00BC3E33" w:rsidRPr="00357227">
          <w:rPr>
            <w:rStyle w:val="Hyperlink"/>
          </w:rPr>
          <w:t>Вноски в общия бюджет на ЕС за периода 2024-2026 г.</w:t>
        </w:r>
        <w:r w:rsidR="00BC3E33">
          <w:rPr>
            <w:webHidden/>
          </w:rPr>
          <w:tab/>
        </w:r>
        <w:r w:rsidR="00BC3E33">
          <w:rPr>
            <w:webHidden/>
          </w:rPr>
          <w:fldChar w:fldCharType="begin"/>
        </w:r>
        <w:r w:rsidR="00BC3E33">
          <w:rPr>
            <w:webHidden/>
          </w:rPr>
          <w:instrText xml:space="preserve"> PAGEREF _Toc151557307 \h </w:instrText>
        </w:r>
        <w:r w:rsidR="00BC3E33">
          <w:rPr>
            <w:webHidden/>
          </w:rPr>
        </w:r>
        <w:r w:rsidR="00BC3E33">
          <w:rPr>
            <w:webHidden/>
          </w:rPr>
          <w:fldChar w:fldCharType="separate"/>
        </w:r>
        <w:r w:rsidR="005A69ED">
          <w:rPr>
            <w:webHidden/>
          </w:rPr>
          <w:t>203</w:t>
        </w:r>
        <w:r w:rsidR="00BC3E33">
          <w:rPr>
            <w:webHidden/>
          </w:rPr>
          <w:fldChar w:fldCharType="end"/>
        </w:r>
      </w:hyperlink>
    </w:p>
    <w:p w:rsidR="00BC3E33" w:rsidRDefault="00A96BF2">
      <w:pPr>
        <w:pStyle w:val="TOC1"/>
        <w:rPr>
          <w:rFonts w:asciiTheme="minorHAnsi" w:hAnsiTheme="minorHAnsi"/>
          <w:b w:val="0"/>
          <w:color w:val="auto"/>
        </w:rPr>
      </w:pPr>
      <w:hyperlink w:anchor="_Toc151557308" w:history="1">
        <w:r w:rsidR="00BC3E33" w:rsidRPr="00357227">
          <w:rPr>
            <w:rStyle w:val="Hyperlink"/>
          </w:rPr>
          <w:t>Част VI.  Политика по дълга и финансирането  за периода 2024-2026 г.</w:t>
        </w:r>
        <w:r w:rsidR="00BC3E33">
          <w:rPr>
            <w:webHidden/>
          </w:rPr>
          <w:tab/>
        </w:r>
        <w:r w:rsidR="00BC3E33">
          <w:rPr>
            <w:webHidden/>
          </w:rPr>
          <w:fldChar w:fldCharType="begin"/>
        </w:r>
        <w:r w:rsidR="00BC3E33">
          <w:rPr>
            <w:webHidden/>
          </w:rPr>
          <w:instrText xml:space="preserve"> PAGEREF _Toc151557308 \h </w:instrText>
        </w:r>
        <w:r w:rsidR="00BC3E33">
          <w:rPr>
            <w:webHidden/>
          </w:rPr>
        </w:r>
        <w:r w:rsidR="00BC3E33">
          <w:rPr>
            <w:webHidden/>
          </w:rPr>
          <w:fldChar w:fldCharType="separate"/>
        </w:r>
        <w:r w:rsidR="005A69ED">
          <w:rPr>
            <w:webHidden/>
          </w:rPr>
          <w:t>209</w:t>
        </w:r>
        <w:r w:rsidR="00BC3E33">
          <w:rPr>
            <w:webHidden/>
          </w:rPr>
          <w:fldChar w:fldCharType="end"/>
        </w:r>
      </w:hyperlink>
    </w:p>
    <w:p w:rsidR="00BC3E33" w:rsidRDefault="00A96BF2">
      <w:pPr>
        <w:pStyle w:val="TOC2"/>
        <w:tabs>
          <w:tab w:val="left" w:pos="687"/>
        </w:tabs>
        <w:rPr>
          <w:rFonts w:asciiTheme="minorHAnsi" w:hAnsiTheme="minorHAnsi"/>
          <w:bCs w:val="0"/>
          <w:caps w:val="0"/>
          <w:sz w:val="22"/>
          <w:lang w:val="bg-BG"/>
        </w:rPr>
      </w:pPr>
      <w:hyperlink w:anchor="_Toc151557309" w:history="1">
        <w:r w:rsidR="00BC3E33" w:rsidRPr="00357227">
          <w:rPr>
            <w:rStyle w:val="Hyperlink"/>
          </w:rPr>
          <w:t>1.</w:t>
        </w:r>
        <w:r w:rsidR="00BC3E33">
          <w:rPr>
            <w:rFonts w:asciiTheme="minorHAnsi" w:hAnsiTheme="minorHAnsi"/>
            <w:bCs w:val="0"/>
            <w:caps w:val="0"/>
            <w:sz w:val="22"/>
            <w:lang w:val="bg-BG"/>
          </w:rPr>
          <w:tab/>
        </w:r>
        <w:r w:rsidR="00BC3E33" w:rsidRPr="00357227">
          <w:rPr>
            <w:rStyle w:val="Hyperlink"/>
          </w:rPr>
          <w:t>Държавен дълг. Обслужване и финансиране</w:t>
        </w:r>
        <w:r w:rsidR="00BC3E33">
          <w:rPr>
            <w:webHidden/>
          </w:rPr>
          <w:tab/>
        </w:r>
        <w:r w:rsidR="00BC3E33">
          <w:rPr>
            <w:webHidden/>
          </w:rPr>
          <w:fldChar w:fldCharType="begin"/>
        </w:r>
        <w:r w:rsidR="00BC3E33">
          <w:rPr>
            <w:webHidden/>
          </w:rPr>
          <w:instrText xml:space="preserve"> PAGEREF _Toc151557309 \h </w:instrText>
        </w:r>
        <w:r w:rsidR="00BC3E33">
          <w:rPr>
            <w:webHidden/>
          </w:rPr>
        </w:r>
        <w:r w:rsidR="00BC3E33">
          <w:rPr>
            <w:webHidden/>
          </w:rPr>
          <w:fldChar w:fldCharType="separate"/>
        </w:r>
        <w:r w:rsidR="005A69ED">
          <w:rPr>
            <w:webHidden/>
          </w:rPr>
          <w:t>209</w:t>
        </w:r>
        <w:r w:rsidR="00BC3E33">
          <w:rPr>
            <w:webHidden/>
          </w:rPr>
          <w:fldChar w:fldCharType="end"/>
        </w:r>
      </w:hyperlink>
    </w:p>
    <w:p w:rsidR="00BC3E33" w:rsidRDefault="00A96BF2">
      <w:pPr>
        <w:pStyle w:val="TOC2"/>
        <w:tabs>
          <w:tab w:val="left" w:pos="687"/>
        </w:tabs>
        <w:rPr>
          <w:rFonts w:asciiTheme="minorHAnsi" w:hAnsiTheme="minorHAnsi"/>
          <w:bCs w:val="0"/>
          <w:caps w:val="0"/>
          <w:sz w:val="22"/>
          <w:lang w:val="bg-BG"/>
        </w:rPr>
      </w:pPr>
      <w:hyperlink w:anchor="_Toc151557310" w:history="1">
        <w:r w:rsidR="00BC3E33" w:rsidRPr="00357227">
          <w:rPr>
            <w:rStyle w:val="Hyperlink"/>
          </w:rPr>
          <w:t>2.</w:t>
        </w:r>
        <w:r w:rsidR="00BC3E33">
          <w:rPr>
            <w:rFonts w:asciiTheme="minorHAnsi" w:hAnsiTheme="minorHAnsi"/>
            <w:bCs w:val="0"/>
            <w:caps w:val="0"/>
            <w:sz w:val="22"/>
            <w:lang w:val="bg-BG"/>
          </w:rPr>
          <w:tab/>
        </w:r>
        <w:r w:rsidR="00BC3E33" w:rsidRPr="00357227">
          <w:rPr>
            <w:rStyle w:val="Hyperlink"/>
          </w:rPr>
          <w:t>Държавногарантиран дълг</w:t>
        </w:r>
        <w:r w:rsidR="00BC3E33">
          <w:rPr>
            <w:webHidden/>
          </w:rPr>
          <w:tab/>
        </w:r>
        <w:r w:rsidR="00BC3E33">
          <w:rPr>
            <w:webHidden/>
          </w:rPr>
          <w:fldChar w:fldCharType="begin"/>
        </w:r>
        <w:r w:rsidR="00BC3E33">
          <w:rPr>
            <w:webHidden/>
          </w:rPr>
          <w:instrText xml:space="preserve"> PAGEREF _Toc151557310 \h </w:instrText>
        </w:r>
        <w:r w:rsidR="00BC3E33">
          <w:rPr>
            <w:webHidden/>
          </w:rPr>
        </w:r>
        <w:r w:rsidR="00BC3E33">
          <w:rPr>
            <w:webHidden/>
          </w:rPr>
          <w:fldChar w:fldCharType="separate"/>
        </w:r>
        <w:r w:rsidR="005A69ED">
          <w:rPr>
            <w:webHidden/>
          </w:rPr>
          <w:t>214</w:t>
        </w:r>
        <w:r w:rsidR="00BC3E33">
          <w:rPr>
            <w:webHidden/>
          </w:rPr>
          <w:fldChar w:fldCharType="end"/>
        </w:r>
      </w:hyperlink>
    </w:p>
    <w:p w:rsidR="00BC3E33" w:rsidRDefault="00A96BF2">
      <w:pPr>
        <w:pStyle w:val="TOC2"/>
        <w:tabs>
          <w:tab w:val="left" w:pos="687"/>
        </w:tabs>
        <w:rPr>
          <w:rFonts w:asciiTheme="minorHAnsi" w:hAnsiTheme="minorHAnsi"/>
          <w:bCs w:val="0"/>
          <w:caps w:val="0"/>
          <w:sz w:val="22"/>
          <w:lang w:val="bg-BG"/>
        </w:rPr>
      </w:pPr>
      <w:hyperlink w:anchor="_Toc151557311" w:history="1">
        <w:r w:rsidR="00BC3E33" w:rsidRPr="00357227">
          <w:rPr>
            <w:rStyle w:val="Hyperlink"/>
          </w:rPr>
          <w:t>3.</w:t>
        </w:r>
        <w:r w:rsidR="00BC3E33">
          <w:rPr>
            <w:rFonts w:asciiTheme="minorHAnsi" w:hAnsiTheme="minorHAnsi"/>
            <w:bCs w:val="0"/>
            <w:caps w:val="0"/>
            <w:sz w:val="22"/>
            <w:lang w:val="bg-BG"/>
          </w:rPr>
          <w:tab/>
        </w:r>
        <w:r w:rsidR="00BC3E33" w:rsidRPr="00357227">
          <w:rPr>
            <w:rStyle w:val="Hyperlink"/>
          </w:rPr>
          <w:t>Държавен дълг чрез финансов лизинг и други форми на държавен дълг</w:t>
        </w:r>
        <w:r w:rsidR="00BC3E33">
          <w:rPr>
            <w:webHidden/>
          </w:rPr>
          <w:tab/>
        </w:r>
        <w:r w:rsidR="00BC3E33">
          <w:rPr>
            <w:webHidden/>
          </w:rPr>
          <w:fldChar w:fldCharType="begin"/>
        </w:r>
        <w:r w:rsidR="00BC3E33">
          <w:rPr>
            <w:webHidden/>
          </w:rPr>
          <w:instrText xml:space="preserve"> PAGEREF _Toc151557311 \h </w:instrText>
        </w:r>
        <w:r w:rsidR="00BC3E33">
          <w:rPr>
            <w:webHidden/>
          </w:rPr>
        </w:r>
        <w:r w:rsidR="00BC3E33">
          <w:rPr>
            <w:webHidden/>
          </w:rPr>
          <w:fldChar w:fldCharType="separate"/>
        </w:r>
        <w:r w:rsidR="005A69ED">
          <w:rPr>
            <w:webHidden/>
          </w:rPr>
          <w:t>216</w:t>
        </w:r>
        <w:r w:rsidR="00BC3E33">
          <w:rPr>
            <w:webHidden/>
          </w:rPr>
          <w:fldChar w:fldCharType="end"/>
        </w:r>
      </w:hyperlink>
    </w:p>
    <w:p w:rsidR="00BC3E33" w:rsidRDefault="00A96BF2">
      <w:pPr>
        <w:pStyle w:val="TOC2"/>
        <w:tabs>
          <w:tab w:val="left" w:pos="687"/>
        </w:tabs>
        <w:rPr>
          <w:rFonts w:asciiTheme="minorHAnsi" w:hAnsiTheme="minorHAnsi"/>
          <w:bCs w:val="0"/>
          <w:caps w:val="0"/>
          <w:sz w:val="22"/>
          <w:lang w:val="bg-BG"/>
        </w:rPr>
      </w:pPr>
      <w:hyperlink w:anchor="_Toc151557312" w:history="1">
        <w:r w:rsidR="00BC3E33" w:rsidRPr="00357227">
          <w:rPr>
            <w:rStyle w:val="Hyperlink"/>
          </w:rPr>
          <w:t>4.</w:t>
        </w:r>
        <w:r w:rsidR="00BC3E33">
          <w:rPr>
            <w:rFonts w:asciiTheme="minorHAnsi" w:hAnsiTheme="minorHAnsi"/>
            <w:bCs w:val="0"/>
            <w:caps w:val="0"/>
            <w:sz w:val="22"/>
            <w:lang w:val="bg-BG"/>
          </w:rPr>
          <w:tab/>
        </w:r>
        <w:r w:rsidR="00BC3E33" w:rsidRPr="00357227">
          <w:rPr>
            <w:rStyle w:val="Hyperlink"/>
          </w:rPr>
          <w:t>Други операции в частта на финансирането</w:t>
        </w:r>
        <w:r w:rsidR="00BC3E33">
          <w:rPr>
            <w:webHidden/>
          </w:rPr>
          <w:tab/>
        </w:r>
        <w:r w:rsidR="00BC3E33">
          <w:rPr>
            <w:webHidden/>
          </w:rPr>
          <w:fldChar w:fldCharType="begin"/>
        </w:r>
        <w:r w:rsidR="00BC3E33">
          <w:rPr>
            <w:webHidden/>
          </w:rPr>
          <w:instrText xml:space="preserve"> PAGEREF _Toc151557312 \h </w:instrText>
        </w:r>
        <w:r w:rsidR="00BC3E33">
          <w:rPr>
            <w:webHidden/>
          </w:rPr>
        </w:r>
        <w:r w:rsidR="00BC3E33">
          <w:rPr>
            <w:webHidden/>
          </w:rPr>
          <w:fldChar w:fldCharType="separate"/>
        </w:r>
        <w:r w:rsidR="005A69ED">
          <w:rPr>
            <w:webHidden/>
          </w:rPr>
          <w:t>216</w:t>
        </w:r>
        <w:r w:rsidR="00BC3E33">
          <w:rPr>
            <w:webHidden/>
          </w:rPr>
          <w:fldChar w:fldCharType="end"/>
        </w:r>
      </w:hyperlink>
    </w:p>
    <w:p w:rsidR="00BC3E33" w:rsidRDefault="00A96BF2">
      <w:pPr>
        <w:pStyle w:val="TOC1"/>
        <w:rPr>
          <w:rFonts w:asciiTheme="minorHAnsi" w:hAnsiTheme="minorHAnsi"/>
          <w:b w:val="0"/>
          <w:color w:val="auto"/>
        </w:rPr>
      </w:pPr>
      <w:hyperlink w:anchor="_Toc151557313" w:history="1">
        <w:r w:rsidR="00BC3E33" w:rsidRPr="00357227">
          <w:rPr>
            <w:rStyle w:val="Hyperlink"/>
          </w:rPr>
          <w:t>Част VII.  Перспективи за развитието на публичните финанси</w:t>
        </w:r>
        <w:r w:rsidR="00BC3E33">
          <w:rPr>
            <w:webHidden/>
          </w:rPr>
          <w:tab/>
        </w:r>
        <w:r w:rsidR="00BC3E33">
          <w:rPr>
            <w:webHidden/>
          </w:rPr>
          <w:fldChar w:fldCharType="begin"/>
        </w:r>
        <w:r w:rsidR="00BC3E33">
          <w:rPr>
            <w:webHidden/>
          </w:rPr>
          <w:instrText xml:space="preserve"> PAGEREF _Toc151557313 \h </w:instrText>
        </w:r>
        <w:r w:rsidR="00BC3E33">
          <w:rPr>
            <w:webHidden/>
          </w:rPr>
        </w:r>
        <w:r w:rsidR="00BC3E33">
          <w:rPr>
            <w:webHidden/>
          </w:rPr>
          <w:fldChar w:fldCharType="separate"/>
        </w:r>
        <w:r w:rsidR="005A69ED">
          <w:rPr>
            <w:webHidden/>
          </w:rPr>
          <w:t>219</w:t>
        </w:r>
        <w:r w:rsidR="00BC3E33">
          <w:rPr>
            <w:webHidden/>
          </w:rPr>
          <w:fldChar w:fldCharType="end"/>
        </w:r>
      </w:hyperlink>
    </w:p>
    <w:p w:rsidR="00BC3E33" w:rsidRDefault="00A96BF2">
      <w:pPr>
        <w:pStyle w:val="TOC2"/>
        <w:tabs>
          <w:tab w:val="left" w:pos="687"/>
        </w:tabs>
        <w:rPr>
          <w:rFonts w:asciiTheme="minorHAnsi" w:hAnsiTheme="minorHAnsi"/>
          <w:bCs w:val="0"/>
          <w:caps w:val="0"/>
          <w:sz w:val="22"/>
          <w:lang w:val="bg-BG"/>
        </w:rPr>
      </w:pPr>
      <w:hyperlink w:anchor="_Toc151557314" w:history="1">
        <w:r w:rsidR="00BC3E33" w:rsidRPr="00357227">
          <w:rPr>
            <w:rStyle w:val="Hyperlink"/>
          </w:rPr>
          <w:t>1.</w:t>
        </w:r>
        <w:r w:rsidR="00BC3E33">
          <w:rPr>
            <w:rFonts w:asciiTheme="minorHAnsi" w:hAnsiTheme="minorHAnsi"/>
            <w:bCs w:val="0"/>
            <w:caps w:val="0"/>
            <w:sz w:val="22"/>
            <w:lang w:val="bg-BG"/>
          </w:rPr>
          <w:tab/>
        </w:r>
        <w:r w:rsidR="00BC3E33" w:rsidRPr="00357227">
          <w:rPr>
            <w:rStyle w:val="Hyperlink"/>
          </w:rPr>
          <w:t>Устойчивост на публичните финанси</w:t>
        </w:r>
        <w:r w:rsidR="00BC3E33">
          <w:rPr>
            <w:webHidden/>
          </w:rPr>
          <w:tab/>
        </w:r>
        <w:r w:rsidR="00BC3E33">
          <w:rPr>
            <w:webHidden/>
          </w:rPr>
          <w:fldChar w:fldCharType="begin"/>
        </w:r>
        <w:r w:rsidR="00BC3E33">
          <w:rPr>
            <w:webHidden/>
          </w:rPr>
          <w:instrText xml:space="preserve"> PAGEREF _Toc151557314 \h </w:instrText>
        </w:r>
        <w:r w:rsidR="00BC3E33">
          <w:rPr>
            <w:webHidden/>
          </w:rPr>
        </w:r>
        <w:r w:rsidR="00BC3E33">
          <w:rPr>
            <w:webHidden/>
          </w:rPr>
          <w:fldChar w:fldCharType="separate"/>
        </w:r>
        <w:r w:rsidR="005A69ED">
          <w:rPr>
            <w:webHidden/>
          </w:rPr>
          <w:t>219</w:t>
        </w:r>
        <w:r w:rsidR="00BC3E33">
          <w:rPr>
            <w:webHidden/>
          </w:rPr>
          <w:fldChar w:fldCharType="end"/>
        </w:r>
      </w:hyperlink>
    </w:p>
    <w:p w:rsidR="00BC3E33" w:rsidRDefault="00A96BF2">
      <w:pPr>
        <w:pStyle w:val="TOC2"/>
        <w:tabs>
          <w:tab w:val="left" w:pos="687"/>
        </w:tabs>
        <w:rPr>
          <w:rFonts w:asciiTheme="minorHAnsi" w:hAnsiTheme="minorHAnsi"/>
          <w:bCs w:val="0"/>
          <w:caps w:val="0"/>
          <w:sz w:val="22"/>
          <w:lang w:val="bg-BG"/>
        </w:rPr>
      </w:pPr>
      <w:hyperlink w:anchor="_Toc151557315" w:history="1">
        <w:r w:rsidR="00BC3E33" w:rsidRPr="00357227">
          <w:rPr>
            <w:rStyle w:val="Hyperlink"/>
          </w:rPr>
          <w:t>2.</w:t>
        </w:r>
        <w:r w:rsidR="00BC3E33">
          <w:rPr>
            <w:rFonts w:asciiTheme="minorHAnsi" w:hAnsiTheme="minorHAnsi"/>
            <w:bCs w:val="0"/>
            <w:caps w:val="0"/>
            <w:sz w:val="22"/>
            <w:lang w:val="bg-BG"/>
          </w:rPr>
          <w:tab/>
        </w:r>
        <w:r w:rsidR="00BC3E33" w:rsidRPr="00357227">
          <w:rPr>
            <w:rStyle w:val="Hyperlink"/>
          </w:rPr>
          <w:t>Анализ на чувствителността</w:t>
        </w:r>
        <w:r w:rsidR="00BC3E33">
          <w:rPr>
            <w:webHidden/>
          </w:rPr>
          <w:tab/>
        </w:r>
        <w:r w:rsidR="00BC3E33">
          <w:rPr>
            <w:webHidden/>
          </w:rPr>
          <w:fldChar w:fldCharType="begin"/>
        </w:r>
        <w:r w:rsidR="00BC3E33">
          <w:rPr>
            <w:webHidden/>
          </w:rPr>
          <w:instrText xml:space="preserve"> PAGEREF _Toc151557315 \h </w:instrText>
        </w:r>
        <w:r w:rsidR="00BC3E33">
          <w:rPr>
            <w:webHidden/>
          </w:rPr>
        </w:r>
        <w:r w:rsidR="00BC3E33">
          <w:rPr>
            <w:webHidden/>
          </w:rPr>
          <w:fldChar w:fldCharType="separate"/>
        </w:r>
        <w:r w:rsidR="005A69ED">
          <w:rPr>
            <w:webHidden/>
          </w:rPr>
          <w:t>222</w:t>
        </w:r>
        <w:r w:rsidR="00BC3E33">
          <w:rPr>
            <w:webHidden/>
          </w:rPr>
          <w:fldChar w:fldCharType="end"/>
        </w:r>
      </w:hyperlink>
    </w:p>
    <w:p w:rsidR="00BC3E33" w:rsidRDefault="00A96BF2">
      <w:pPr>
        <w:pStyle w:val="TOC2"/>
        <w:tabs>
          <w:tab w:val="left" w:pos="687"/>
        </w:tabs>
        <w:rPr>
          <w:rFonts w:asciiTheme="minorHAnsi" w:hAnsiTheme="minorHAnsi"/>
          <w:bCs w:val="0"/>
          <w:caps w:val="0"/>
          <w:sz w:val="22"/>
          <w:lang w:val="bg-BG"/>
        </w:rPr>
      </w:pPr>
      <w:hyperlink w:anchor="_Toc151557316" w:history="1">
        <w:r w:rsidR="00BC3E33" w:rsidRPr="00357227">
          <w:rPr>
            <w:rStyle w:val="Hyperlink"/>
          </w:rPr>
          <w:t>3.</w:t>
        </w:r>
        <w:r w:rsidR="00BC3E33">
          <w:rPr>
            <w:rFonts w:asciiTheme="minorHAnsi" w:hAnsiTheme="minorHAnsi"/>
            <w:bCs w:val="0"/>
            <w:caps w:val="0"/>
            <w:sz w:val="22"/>
            <w:lang w:val="bg-BG"/>
          </w:rPr>
          <w:tab/>
        </w:r>
        <w:r w:rsidR="00BC3E33" w:rsidRPr="00357227">
          <w:rPr>
            <w:rStyle w:val="Hyperlink"/>
          </w:rPr>
          <w:t>Процедури и качество на публичните финанси</w:t>
        </w:r>
        <w:r w:rsidR="00BC3E33">
          <w:rPr>
            <w:webHidden/>
          </w:rPr>
          <w:tab/>
        </w:r>
        <w:r w:rsidR="00BC3E33">
          <w:rPr>
            <w:webHidden/>
          </w:rPr>
          <w:fldChar w:fldCharType="begin"/>
        </w:r>
        <w:r w:rsidR="00BC3E33">
          <w:rPr>
            <w:webHidden/>
          </w:rPr>
          <w:instrText xml:space="preserve"> PAGEREF _Toc151557316 \h </w:instrText>
        </w:r>
        <w:r w:rsidR="00BC3E33">
          <w:rPr>
            <w:webHidden/>
          </w:rPr>
        </w:r>
        <w:r w:rsidR="00BC3E33">
          <w:rPr>
            <w:webHidden/>
          </w:rPr>
          <w:fldChar w:fldCharType="separate"/>
        </w:r>
        <w:r w:rsidR="005A69ED">
          <w:rPr>
            <w:webHidden/>
          </w:rPr>
          <w:t>225</w:t>
        </w:r>
        <w:r w:rsidR="00BC3E33">
          <w:rPr>
            <w:webHidden/>
          </w:rPr>
          <w:fldChar w:fldCharType="end"/>
        </w:r>
      </w:hyperlink>
    </w:p>
    <w:p w:rsidR="00BC3E33" w:rsidRDefault="00A96BF2">
      <w:pPr>
        <w:pStyle w:val="TOC1"/>
        <w:rPr>
          <w:rFonts w:asciiTheme="minorHAnsi" w:hAnsiTheme="minorHAnsi"/>
          <w:b w:val="0"/>
          <w:color w:val="auto"/>
        </w:rPr>
      </w:pPr>
      <w:hyperlink w:anchor="_Toc151557317" w:history="1">
        <w:r w:rsidR="00BC3E33" w:rsidRPr="00357227">
          <w:rPr>
            <w:rStyle w:val="Hyperlink"/>
          </w:rPr>
          <w:t>Част VIII.  Мотиви към предложенията за промяна на други закони в проекта на ЗДБРБ за 2024 г.</w:t>
        </w:r>
        <w:r w:rsidR="00BC3E33">
          <w:rPr>
            <w:webHidden/>
          </w:rPr>
          <w:tab/>
        </w:r>
        <w:r w:rsidR="00BC3E33">
          <w:rPr>
            <w:webHidden/>
          </w:rPr>
          <w:fldChar w:fldCharType="begin"/>
        </w:r>
        <w:r w:rsidR="00BC3E33">
          <w:rPr>
            <w:webHidden/>
          </w:rPr>
          <w:instrText xml:space="preserve"> PAGEREF _Toc151557317 \h </w:instrText>
        </w:r>
        <w:r w:rsidR="00BC3E33">
          <w:rPr>
            <w:webHidden/>
          </w:rPr>
        </w:r>
        <w:r w:rsidR="00BC3E33">
          <w:rPr>
            <w:webHidden/>
          </w:rPr>
          <w:fldChar w:fldCharType="separate"/>
        </w:r>
        <w:r w:rsidR="005A69ED">
          <w:rPr>
            <w:webHidden/>
          </w:rPr>
          <w:t>235</w:t>
        </w:r>
        <w:r w:rsidR="00BC3E33">
          <w:rPr>
            <w:webHidden/>
          </w:rPr>
          <w:fldChar w:fldCharType="end"/>
        </w:r>
      </w:hyperlink>
    </w:p>
    <w:p w:rsidR="00BC3E33" w:rsidRDefault="00A96BF2">
      <w:pPr>
        <w:pStyle w:val="TOC1"/>
        <w:rPr>
          <w:rFonts w:asciiTheme="minorHAnsi" w:hAnsiTheme="minorHAnsi"/>
          <w:b w:val="0"/>
          <w:color w:val="auto"/>
        </w:rPr>
      </w:pPr>
      <w:hyperlink w:anchor="_Toc151557318" w:history="1">
        <w:r w:rsidR="00BC3E33" w:rsidRPr="00357227">
          <w:rPr>
            <w:rStyle w:val="Hyperlink"/>
          </w:rPr>
          <w:t>Част IX.  Приложения</w:t>
        </w:r>
        <w:r w:rsidR="00BC3E33">
          <w:rPr>
            <w:webHidden/>
          </w:rPr>
          <w:tab/>
        </w:r>
        <w:r w:rsidR="00BC3E33">
          <w:rPr>
            <w:webHidden/>
          </w:rPr>
          <w:fldChar w:fldCharType="begin"/>
        </w:r>
        <w:r w:rsidR="00BC3E33">
          <w:rPr>
            <w:webHidden/>
          </w:rPr>
          <w:instrText xml:space="preserve"> PAGEREF _Toc151557318 \h </w:instrText>
        </w:r>
        <w:r w:rsidR="00BC3E33">
          <w:rPr>
            <w:webHidden/>
          </w:rPr>
        </w:r>
        <w:r w:rsidR="00BC3E33">
          <w:rPr>
            <w:webHidden/>
          </w:rPr>
          <w:fldChar w:fldCharType="separate"/>
        </w:r>
        <w:r w:rsidR="005A69ED">
          <w:rPr>
            <w:webHidden/>
          </w:rPr>
          <w:t>239</w:t>
        </w:r>
        <w:r w:rsidR="00BC3E33">
          <w:rPr>
            <w:webHidden/>
          </w:rPr>
          <w:fldChar w:fldCharType="end"/>
        </w:r>
      </w:hyperlink>
    </w:p>
    <w:p w:rsidR="00BC3E33" w:rsidRDefault="00A96BF2">
      <w:pPr>
        <w:pStyle w:val="TOC2"/>
        <w:rPr>
          <w:rFonts w:asciiTheme="minorHAnsi" w:hAnsiTheme="minorHAnsi"/>
          <w:bCs w:val="0"/>
          <w:caps w:val="0"/>
          <w:sz w:val="22"/>
          <w:lang w:val="bg-BG"/>
        </w:rPr>
      </w:pPr>
      <w:hyperlink w:anchor="_Toc151557319" w:history="1">
        <w:r w:rsidR="00BC3E33" w:rsidRPr="00357227">
          <w:rPr>
            <w:rStyle w:val="Hyperlink"/>
          </w:rPr>
          <w:t>Приложение № 1:  Преглед на изпълнението на КФП за 2022 г., изпълнение на кфп към 30.09.2023 г. и оценка за изпълнението на КФП за 2023 г.</w:t>
        </w:r>
        <w:r w:rsidR="00BC3E33">
          <w:rPr>
            <w:webHidden/>
          </w:rPr>
          <w:tab/>
        </w:r>
        <w:r w:rsidR="00BC3E33">
          <w:rPr>
            <w:webHidden/>
          </w:rPr>
          <w:fldChar w:fldCharType="begin"/>
        </w:r>
        <w:r w:rsidR="00BC3E33">
          <w:rPr>
            <w:webHidden/>
          </w:rPr>
          <w:instrText xml:space="preserve"> PAGEREF _Toc151557319 \h </w:instrText>
        </w:r>
        <w:r w:rsidR="00BC3E33">
          <w:rPr>
            <w:webHidden/>
          </w:rPr>
        </w:r>
        <w:r w:rsidR="00BC3E33">
          <w:rPr>
            <w:webHidden/>
          </w:rPr>
          <w:fldChar w:fldCharType="separate"/>
        </w:r>
        <w:r w:rsidR="005A69ED">
          <w:rPr>
            <w:webHidden/>
          </w:rPr>
          <w:t>239</w:t>
        </w:r>
        <w:r w:rsidR="00BC3E33">
          <w:rPr>
            <w:webHidden/>
          </w:rPr>
          <w:fldChar w:fldCharType="end"/>
        </w:r>
      </w:hyperlink>
    </w:p>
    <w:p w:rsidR="00BC3E33" w:rsidRDefault="00A96BF2">
      <w:pPr>
        <w:pStyle w:val="TOC2"/>
        <w:tabs>
          <w:tab w:val="left" w:pos="687"/>
        </w:tabs>
        <w:rPr>
          <w:rFonts w:asciiTheme="minorHAnsi" w:hAnsiTheme="minorHAnsi"/>
          <w:bCs w:val="0"/>
          <w:caps w:val="0"/>
          <w:sz w:val="22"/>
          <w:lang w:val="bg-BG"/>
        </w:rPr>
      </w:pPr>
      <w:hyperlink w:anchor="_Toc151557320" w:history="1">
        <w:r w:rsidR="00BC3E33" w:rsidRPr="00357227">
          <w:rPr>
            <w:rStyle w:val="Hyperlink"/>
          </w:rPr>
          <w:t>1.</w:t>
        </w:r>
        <w:r w:rsidR="00BC3E33">
          <w:rPr>
            <w:rFonts w:asciiTheme="minorHAnsi" w:hAnsiTheme="minorHAnsi"/>
            <w:bCs w:val="0"/>
            <w:caps w:val="0"/>
            <w:sz w:val="22"/>
            <w:lang w:val="bg-BG"/>
          </w:rPr>
          <w:tab/>
        </w:r>
        <w:r w:rsidR="00BC3E33" w:rsidRPr="00357227">
          <w:rPr>
            <w:rStyle w:val="Hyperlink"/>
          </w:rPr>
          <w:t>Преглед на изпълнението на КФП за 2022 г.</w:t>
        </w:r>
        <w:r w:rsidR="00BC3E33">
          <w:rPr>
            <w:webHidden/>
          </w:rPr>
          <w:tab/>
        </w:r>
        <w:r w:rsidR="00BC3E33">
          <w:rPr>
            <w:webHidden/>
          </w:rPr>
          <w:fldChar w:fldCharType="begin"/>
        </w:r>
        <w:r w:rsidR="00BC3E33">
          <w:rPr>
            <w:webHidden/>
          </w:rPr>
          <w:instrText xml:space="preserve"> PAGEREF _Toc151557320 \h </w:instrText>
        </w:r>
        <w:r w:rsidR="00BC3E33">
          <w:rPr>
            <w:webHidden/>
          </w:rPr>
        </w:r>
        <w:r w:rsidR="00BC3E33">
          <w:rPr>
            <w:webHidden/>
          </w:rPr>
          <w:fldChar w:fldCharType="separate"/>
        </w:r>
        <w:r w:rsidR="005A69ED">
          <w:rPr>
            <w:webHidden/>
          </w:rPr>
          <w:t>239</w:t>
        </w:r>
        <w:r w:rsidR="00BC3E33">
          <w:rPr>
            <w:webHidden/>
          </w:rPr>
          <w:fldChar w:fldCharType="end"/>
        </w:r>
      </w:hyperlink>
    </w:p>
    <w:p w:rsidR="00BC3E33" w:rsidRDefault="00A96BF2">
      <w:pPr>
        <w:pStyle w:val="TOC2"/>
        <w:tabs>
          <w:tab w:val="left" w:pos="687"/>
        </w:tabs>
        <w:rPr>
          <w:rFonts w:asciiTheme="minorHAnsi" w:hAnsiTheme="minorHAnsi"/>
          <w:bCs w:val="0"/>
          <w:caps w:val="0"/>
          <w:sz w:val="22"/>
          <w:lang w:val="bg-BG"/>
        </w:rPr>
      </w:pPr>
      <w:hyperlink w:anchor="_Toc151557321" w:history="1">
        <w:r w:rsidR="00BC3E33" w:rsidRPr="00357227">
          <w:rPr>
            <w:rStyle w:val="Hyperlink"/>
          </w:rPr>
          <w:t>2.</w:t>
        </w:r>
        <w:r w:rsidR="00BC3E33">
          <w:rPr>
            <w:rFonts w:asciiTheme="minorHAnsi" w:hAnsiTheme="minorHAnsi"/>
            <w:bCs w:val="0"/>
            <w:caps w:val="0"/>
            <w:sz w:val="22"/>
            <w:lang w:val="bg-BG"/>
          </w:rPr>
          <w:tab/>
        </w:r>
        <w:r w:rsidR="00BC3E33" w:rsidRPr="00357227">
          <w:rPr>
            <w:rStyle w:val="Hyperlink"/>
          </w:rPr>
          <w:t>Изпълнение на КФП към 30.09.2023 Г.</w:t>
        </w:r>
        <w:r w:rsidR="00BC3E33">
          <w:rPr>
            <w:webHidden/>
          </w:rPr>
          <w:tab/>
        </w:r>
        <w:r w:rsidR="00BC3E33">
          <w:rPr>
            <w:webHidden/>
          </w:rPr>
          <w:fldChar w:fldCharType="begin"/>
        </w:r>
        <w:r w:rsidR="00BC3E33">
          <w:rPr>
            <w:webHidden/>
          </w:rPr>
          <w:instrText xml:space="preserve"> PAGEREF _Toc151557321 \h </w:instrText>
        </w:r>
        <w:r w:rsidR="00BC3E33">
          <w:rPr>
            <w:webHidden/>
          </w:rPr>
        </w:r>
        <w:r w:rsidR="00BC3E33">
          <w:rPr>
            <w:webHidden/>
          </w:rPr>
          <w:fldChar w:fldCharType="separate"/>
        </w:r>
        <w:r w:rsidR="005A69ED">
          <w:rPr>
            <w:webHidden/>
          </w:rPr>
          <w:t>244</w:t>
        </w:r>
        <w:r w:rsidR="00BC3E33">
          <w:rPr>
            <w:webHidden/>
          </w:rPr>
          <w:fldChar w:fldCharType="end"/>
        </w:r>
      </w:hyperlink>
    </w:p>
    <w:p w:rsidR="00BC3E33" w:rsidRDefault="00A96BF2">
      <w:pPr>
        <w:pStyle w:val="TOC2"/>
        <w:tabs>
          <w:tab w:val="left" w:pos="687"/>
        </w:tabs>
        <w:rPr>
          <w:rFonts w:asciiTheme="minorHAnsi" w:hAnsiTheme="minorHAnsi"/>
          <w:bCs w:val="0"/>
          <w:caps w:val="0"/>
          <w:sz w:val="22"/>
          <w:lang w:val="bg-BG"/>
        </w:rPr>
      </w:pPr>
      <w:hyperlink w:anchor="_Toc151557322" w:history="1">
        <w:r w:rsidR="00BC3E33" w:rsidRPr="00357227">
          <w:rPr>
            <w:rStyle w:val="Hyperlink"/>
          </w:rPr>
          <w:t>3.</w:t>
        </w:r>
        <w:r w:rsidR="00BC3E33">
          <w:rPr>
            <w:rFonts w:asciiTheme="minorHAnsi" w:hAnsiTheme="minorHAnsi"/>
            <w:bCs w:val="0"/>
            <w:caps w:val="0"/>
            <w:sz w:val="22"/>
            <w:lang w:val="bg-BG"/>
          </w:rPr>
          <w:tab/>
        </w:r>
        <w:r w:rsidR="00BC3E33" w:rsidRPr="00357227">
          <w:rPr>
            <w:rStyle w:val="Hyperlink"/>
          </w:rPr>
          <w:t>Оценка за изпълнението на КФП ЗА 2023 г.</w:t>
        </w:r>
        <w:r w:rsidR="00BC3E33">
          <w:rPr>
            <w:webHidden/>
          </w:rPr>
          <w:tab/>
        </w:r>
        <w:r w:rsidR="00BC3E33">
          <w:rPr>
            <w:webHidden/>
          </w:rPr>
          <w:fldChar w:fldCharType="begin"/>
        </w:r>
        <w:r w:rsidR="00BC3E33">
          <w:rPr>
            <w:webHidden/>
          </w:rPr>
          <w:instrText xml:space="preserve"> PAGEREF _Toc151557322 \h </w:instrText>
        </w:r>
        <w:r w:rsidR="00BC3E33">
          <w:rPr>
            <w:webHidden/>
          </w:rPr>
        </w:r>
        <w:r w:rsidR="00BC3E33">
          <w:rPr>
            <w:webHidden/>
          </w:rPr>
          <w:fldChar w:fldCharType="separate"/>
        </w:r>
        <w:r w:rsidR="005A69ED">
          <w:rPr>
            <w:webHidden/>
          </w:rPr>
          <w:t>249</w:t>
        </w:r>
        <w:r w:rsidR="00BC3E33">
          <w:rPr>
            <w:webHidden/>
          </w:rPr>
          <w:fldChar w:fldCharType="end"/>
        </w:r>
      </w:hyperlink>
    </w:p>
    <w:p w:rsidR="00BC3E33" w:rsidRDefault="00A96BF2">
      <w:pPr>
        <w:pStyle w:val="TOC2"/>
        <w:rPr>
          <w:rFonts w:asciiTheme="minorHAnsi" w:hAnsiTheme="minorHAnsi"/>
          <w:bCs w:val="0"/>
          <w:caps w:val="0"/>
          <w:sz w:val="22"/>
          <w:lang w:val="bg-BG"/>
        </w:rPr>
      </w:pPr>
      <w:hyperlink w:anchor="_Toc151557323" w:history="1">
        <w:r w:rsidR="00BC3E33" w:rsidRPr="00357227">
          <w:rPr>
            <w:rStyle w:val="Hyperlink"/>
          </w:rPr>
          <w:t>Приложение № 2:  Основни допускания по актуализираната средносрочна бюджетна прогноза за периода 2023-2026 г.</w:t>
        </w:r>
        <w:r w:rsidR="00BC3E33">
          <w:rPr>
            <w:webHidden/>
          </w:rPr>
          <w:tab/>
        </w:r>
        <w:r w:rsidR="00BC3E33">
          <w:rPr>
            <w:webHidden/>
          </w:rPr>
          <w:fldChar w:fldCharType="begin"/>
        </w:r>
        <w:r w:rsidR="00BC3E33">
          <w:rPr>
            <w:webHidden/>
          </w:rPr>
          <w:instrText xml:space="preserve"> PAGEREF _Toc151557323 \h </w:instrText>
        </w:r>
        <w:r w:rsidR="00BC3E33">
          <w:rPr>
            <w:webHidden/>
          </w:rPr>
        </w:r>
        <w:r w:rsidR="00BC3E33">
          <w:rPr>
            <w:webHidden/>
          </w:rPr>
          <w:fldChar w:fldCharType="separate"/>
        </w:r>
        <w:r w:rsidR="005A69ED">
          <w:rPr>
            <w:webHidden/>
          </w:rPr>
          <w:t>251</w:t>
        </w:r>
        <w:r w:rsidR="00BC3E33">
          <w:rPr>
            <w:webHidden/>
          </w:rPr>
          <w:fldChar w:fldCharType="end"/>
        </w:r>
      </w:hyperlink>
    </w:p>
    <w:p w:rsidR="00BC3E33" w:rsidRDefault="00A96BF2">
      <w:pPr>
        <w:pStyle w:val="TOC2"/>
        <w:rPr>
          <w:rFonts w:asciiTheme="minorHAnsi" w:hAnsiTheme="minorHAnsi"/>
          <w:bCs w:val="0"/>
          <w:caps w:val="0"/>
          <w:sz w:val="22"/>
          <w:lang w:val="bg-BG"/>
        </w:rPr>
      </w:pPr>
      <w:hyperlink w:anchor="_Toc151557324" w:history="1">
        <w:r w:rsidR="00BC3E33" w:rsidRPr="00357227">
          <w:rPr>
            <w:rStyle w:val="Hyperlink"/>
          </w:rPr>
          <w:t>Приложение № 3:  Консолидирана фискална програма за периода 2021-2026 г.</w:t>
        </w:r>
        <w:r w:rsidR="00BC3E33">
          <w:rPr>
            <w:webHidden/>
          </w:rPr>
          <w:tab/>
        </w:r>
        <w:r w:rsidR="00BC3E33">
          <w:rPr>
            <w:webHidden/>
          </w:rPr>
          <w:fldChar w:fldCharType="begin"/>
        </w:r>
        <w:r w:rsidR="00BC3E33">
          <w:rPr>
            <w:webHidden/>
          </w:rPr>
          <w:instrText xml:space="preserve"> PAGEREF _Toc151557324 \h </w:instrText>
        </w:r>
        <w:r w:rsidR="00BC3E33">
          <w:rPr>
            <w:webHidden/>
          </w:rPr>
        </w:r>
        <w:r w:rsidR="00BC3E33">
          <w:rPr>
            <w:webHidden/>
          </w:rPr>
          <w:fldChar w:fldCharType="separate"/>
        </w:r>
        <w:r w:rsidR="005A69ED">
          <w:rPr>
            <w:webHidden/>
          </w:rPr>
          <w:t>263</w:t>
        </w:r>
        <w:r w:rsidR="00BC3E33">
          <w:rPr>
            <w:webHidden/>
          </w:rPr>
          <w:fldChar w:fldCharType="end"/>
        </w:r>
      </w:hyperlink>
    </w:p>
    <w:p w:rsidR="00BC3E33" w:rsidRDefault="00A96BF2">
      <w:pPr>
        <w:pStyle w:val="TOC2"/>
        <w:rPr>
          <w:rFonts w:asciiTheme="minorHAnsi" w:hAnsiTheme="minorHAnsi"/>
          <w:bCs w:val="0"/>
          <w:caps w:val="0"/>
          <w:sz w:val="22"/>
          <w:lang w:val="bg-BG"/>
        </w:rPr>
      </w:pPr>
      <w:hyperlink w:anchor="_Toc151557325" w:history="1">
        <w:r w:rsidR="00BC3E33" w:rsidRPr="00357227">
          <w:rPr>
            <w:rStyle w:val="Hyperlink"/>
          </w:rPr>
          <w:t>Приложение № 4:  Тавани на разходите по бюджетни организации за периода 2024-2026 г.</w:t>
        </w:r>
        <w:r w:rsidR="00BC3E33">
          <w:rPr>
            <w:webHidden/>
          </w:rPr>
          <w:tab/>
        </w:r>
        <w:r w:rsidR="00BC3E33">
          <w:rPr>
            <w:webHidden/>
          </w:rPr>
          <w:fldChar w:fldCharType="begin"/>
        </w:r>
        <w:r w:rsidR="00BC3E33">
          <w:rPr>
            <w:webHidden/>
          </w:rPr>
          <w:instrText xml:space="preserve"> PAGEREF _Toc151557325 \h </w:instrText>
        </w:r>
        <w:r w:rsidR="00BC3E33">
          <w:rPr>
            <w:webHidden/>
          </w:rPr>
        </w:r>
        <w:r w:rsidR="00BC3E33">
          <w:rPr>
            <w:webHidden/>
          </w:rPr>
          <w:fldChar w:fldCharType="separate"/>
        </w:r>
        <w:r w:rsidR="005A69ED">
          <w:rPr>
            <w:webHidden/>
          </w:rPr>
          <w:t>267</w:t>
        </w:r>
        <w:r w:rsidR="00BC3E33">
          <w:rPr>
            <w:webHidden/>
          </w:rPr>
          <w:fldChar w:fldCharType="end"/>
        </w:r>
      </w:hyperlink>
    </w:p>
    <w:p w:rsidR="00BC3E33" w:rsidRDefault="00A96BF2">
      <w:pPr>
        <w:pStyle w:val="TOC2"/>
        <w:rPr>
          <w:rFonts w:asciiTheme="minorHAnsi" w:hAnsiTheme="minorHAnsi"/>
          <w:bCs w:val="0"/>
          <w:caps w:val="0"/>
          <w:sz w:val="22"/>
          <w:lang w:val="bg-BG"/>
        </w:rPr>
      </w:pPr>
      <w:hyperlink w:anchor="_Toc151557326" w:history="1">
        <w:r w:rsidR="00BC3E33" w:rsidRPr="00357227">
          <w:rPr>
            <w:rStyle w:val="Hyperlink"/>
          </w:rPr>
          <w:t>Приложение № 5:  Препоръчителни тавани на разходите по бюджетите на Народното събрание и на съдебната власт за периода 2024-2026 г.</w:t>
        </w:r>
        <w:r w:rsidR="00BC3E33">
          <w:rPr>
            <w:webHidden/>
          </w:rPr>
          <w:tab/>
        </w:r>
        <w:r w:rsidR="00BC3E33">
          <w:rPr>
            <w:webHidden/>
          </w:rPr>
          <w:fldChar w:fldCharType="begin"/>
        </w:r>
        <w:r w:rsidR="00BC3E33">
          <w:rPr>
            <w:webHidden/>
          </w:rPr>
          <w:instrText xml:space="preserve"> PAGEREF _Toc151557326 \h </w:instrText>
        </w:r>
        <w:r w:rsidR="00BC3E33">
          <w:rPr>
            <w:webHidden/>
          </w:rPr>
        </w:r>
        <w:r w:rsidR="00BC3E33">
          <w:rPr>
            <w:webHidden/>
          </w:rPr>
          <w:fldChar w:fldCharType="separate"/>
        </w:r>
        <w:r w:rsidR="005A69ED">
          <w:rPr>
            <w:webHidden/>
          </w:rPr>
          <w:t>269</w:t>
        </w:r>
        <w:r w:rsidR="00BC3E33">
          <w:rPr>
            <w:webHidden/>
          </w:rPr>
          <w:fldChar w:fldCharType="end"/>
        </w:r>
      </w:hyperlink>
    </w:p>
    <w:p w:rsidR="00BC3E33" w:rsidRDefault="00A96BF2">
      <w:pPr>
        <w:pStyle w:val="TOC2"/>
        <w:rPr>
          <w:rFonts w:asciiTheme="minorHAnsi" w:hAnsiTheme="minorHAnsi"/>
          <w:bCs w:val="0"/>
          <w:caps w:val="0"/>
          <w:sz w:val="22"/>
          <w:lang w:val="bg-BG"/>
        </w:rPr>
      </w:pPr>
      <w:hyperlink w:anchor="_Toc151557327" w:history="1">
        <w:r w:rsidR="00BC3E33" w:rsidRPr="00357227">
          <w:rPr>
            <w:rStyle w:val="Hyperlink"/>
          </w:rPr>
          <w:t>Приложение № 6:  Размери на бюджетните взаимоотношения (трансферите) на държавния бюджет с бюджетите на БНТ, БНР, БТА, БАН, държавните висши училища и държавните висши военни училища за периода 2024-2026 г.</w:t>
        </w:r>
        <w:r w:rsidR="00BC3E33">
          <w:rPr>
            <w:webHidden/>
          </w:rPr>
          <w:tab/>
        </w:r>
        <w:r w:rsidR="00BC3E33">
          <w:rPr>
            <w:webHidden/>
          </w:rPr>
          <w:fldChar w:fldCharType="begin"/>
        </w:r>
        <w:r w:rsidR="00BC3E33">
          <w:rPr>
            <w:webHidden/>
          </w:rPr>
          <w:instrText xml:space="preserve"> PAGEREF _Toc151557327 \h </w:instrText>
        </w:r>
        <w:r w:rsidR="00BC3E33">
          <w:rPr>
            <w:webHidden/>
          </w:rPr>
        </w:r>
        <w:r w:rsidR="00BC3E33">
          <w:rPr>
            <w:webHidden/>
          </w:rPr>
          <w:fldChar w:fldCharType="separate"/>
        </w:r>
        <w:r w:rsidR="005A69ED">
          <w:rPr>
            <w:webHidden/>
          </w:rPr>
          <w:t>269</w:t>
        </w:r>
        <w:r w:rsidR="00BC3E33">
          <w:rPr>
            <w:webHidden/>
          </w:rPr>
          <w:fldChar w:fldCharType="end"/>
        </w:r>
      </w:hyperlink>
    </w:p>
    <w:p w:rsidR="00BC3E33" w:rsidRDefault="00A96BF2">
      <w:pPr>
        <w:pStyle w:val="TOC2"/>
        <w:rPr>
          <w:rFonts w:asciiTheme="minorHAnsi" w:hAnsiTheme="minorHAnsi"/>
          <w:bCs w:val="0"/>
          <w:caps w:val="0"/>
          <w:sz w:val="22"/>
          <w:lang w:val="bg-BG"/>
        </w:rPr>
      </w:pPr>
      <w:hyperlink w:anchor="_Toc151557328" w:history="1">
        <w:r w:rsidR="00BC3E33" w:rsidRPr="00357227">
          <w:rPr>
            <w:rStyle w:val="Hyperlink"/>
          </w:rPr>
          <w:t>Приложение № 7:  Размери на разходите и трансферите (нето) по сметките за средствата от Европейския съюз за периода 2024-2026 г.</w:t>
        </w:r>
        <w:r w:rsidR="00BC3E33">
          <w:rPr>
            <w:webHidden/>
          </w:rPr>
          <w:tab/>
        </w:r>
        <w:r w:rsidR="00BC3E33">
          <w:rPr>
            <w:webHidden/>
          </w:rPr>
          <w:fldChar w:fldCharType="begin"/>
        </w:r>
        <w:r w:rsidR="00BC3E33">
          <w:rPr>
            <w:webHidden/>
          </w:rPr>
          <w:instrText xml:space="preserve"> PAGEREF _Toc151557328 \h </w:instrText>
        </w:r>
        <w:r w:rsidR="00BC3E33">
          <w:rPr>
            <w:webHidden/>
          </w:rPr>
        </w:r>
        <w:r w:rsidR="00BC3E33">
          <w:rPr>
            <w:webHidden/>
          </w:rPr>
          <w:fldChar w:fldCharType="separate"/>
        </w:r>
        <w:r w:rsidR="005A69ED">
          <w:rPr>
            <w:webHidden/>
          </w:rPr>
          <w:t>270</w:t>
        </w:r>
        <w:r w:rsidR="00BC3E33">
          <w:rPr>
            <w:webHidden/>
          </w:rPr>
          <w:fldChar w:fldCharType="end"/>
        </w:r>
      </w:hyperlink>
    </w:p>
    <w:p w:rsidR="00BC3E33" w:rsidRDefault="00A96BF2">
      <w:pPr>
        <w:pStyle w:val="TOC2"/>
        <w:rPr>
          <w:rFonts w:asciiTheme="minorHAnsi" w:hAnsiTheme="minorHAnsi"/>
          <w:bCs w:val="0"/>
          <w:caps w:val="0"/>
          <w:sz w:val="22"/>
          <w:lang w:val="bg-BG"/>
        </w:rPr>
      </w:pPr>
      <w:hyperlink w:anchor="_Toc151557329" w:history="1">
        <w:r w:rsidR="00BC3E33" w:rsidRPr="00357227">
          <w:rPr>
            <w:rStyle w:val="Hyperlink"/>
          </w:rPr>
          <w:t>Приложение № 8:  Размери на разходите и трансферите (нето) по други икономически обособени лица и структурни единици, включени в КФП за периода 2024-2026 г.</w:t>
        </w:r>
        <w:r w:rsidR="00BC3E33">
          <w:rPr>
            <w:webHidden/>
          </w:rPr>
          <w:tab/>
        </w:r>
        <w:r w:rsidR="00BC3E33">
          <w:rPr>
            <w:webHidden/>
          </w:rPr>
          <w:fldChar w:fldCharType="begin"/>
        </w:r>
        <w:r w:rsidR="00BC3E33">
          <w:rPr>
            <w:webHidden/>
          </w:rPr>
          <w:instrText xml:space="preserve"> PAGEREF _Toc151557329 \h </w:instrText>
        </w:r>
        <w:r w:rsidR="00BC3E33">
          <w:rPr>
            <w:webHidden/>
          </w:rPr>
        </w:r>
        <w:r w:rsidR="00BC3E33">
          <w:rPr>
            <w:webHidden/>
          </w:rPr>
          <w:fldChar w:fldCharType="separate"/>
        </w:r>
        <w:r w:rsidR="005A69ED">
          <w:rPr>
            <w:webHidden/>
          </w:rPr>
          <w:t>271</w:t>
        </w:r>
        <w:r w:rsidR="00BC3E33">
          <w:rPr>
            <w:webHidden/>
          </w:rPr>
          <w:fldChar w:fldCharType="end"/>
        </w:r>
      </w:hyperlink>
    </w:p>
    <w:p w:rsidR="00BC3E33" w:rsidRDefault="00A96BF2">
      <w:pPr>
        <w:pStyle w:val="TOC2"/>
        <w:rPr>
          <w:rFonts w:asciiTheme="minorHAnsi" w:hAnsiTheme="minorHAnsi"/>
          <w:bCs w:val="0"/>
          <w:caps w:val="0"/>
          <w:sz w:val="22"/>
          <w:lang w:val="bg-BG"/>
        </w:rPr>
      </w:pPr>
      <w:hyperlink w:anchor="_Toc151557330" w:history="1">
        <w:r w:rsidR="00BC3E33" w:rsidRPr="00357227">
          <w:rPr>
            <w:rStyle w:val="Hyperlink"/>
          </w:rPr>
          <w:t>Приложение № 9:  Размери на основните бюджетни взаимоотношения между централния бюджет и бюджетите на общините за периода 2024-2026 г.</w:t>
        </w:r>
        <w:r w:rsidR="00BC3E33">
          <w:rPr>
            <w:webHidden/>
          </w:rPr>
          <w:tab/>
        </w:r>
        <w:r w:rsidR="00BC3E33">
          <w:rPr>
            <w:webHidden/>
          </w:rPr>
          <w:fldChar w:fldCharType="begin"/>
        </w:r>
        <w:r w:rsidR="00BC3E33">
          <w:rPr>
            <w:webHidden/>
          </w:rPr>
          <w:instrText xml:space="preserve"> PAGEREF _Toc151557330 \h </w:instrText>
        </w:r>
        <w:r w:rsidR="00BC3E33">
          <w:rPr>
            <w:webHidden/>
          </w:rPr>
        </w:r>
        <w:r w:rsidR="00BC3E33">
          <w:rPr>
            <w:webHidden/>
          </w:rPr>
          <w:fldChar w:fldCharType="separate"/>
        </w:r>
        <w:r w:rsidR="005A69ED">
          <w:rPr>
            <w:webHidden/>
          </w:rPr>
          <w:t>272</w:t>
        </w:r>
        <w:r w:rsidR="00BC3E33">
          <w:rPr>
            <w:webHidden/>
          </w:rPr>
          <w:fldChar w:fldCharType="end"/>
        </w:r>
      </w:hyperlink>
    </w:p>
    <w:p w:rsidR="00BC3E33" w:rsidRDefault="00A96BF2">
      <w:pPr>
        <w:pStyle w:val="TOC2"/>
        <w:rPr>
          <w:rFonts w:asciiTheme="minorHAnsi" w:hAnsiTheme="minorHAnsi"/>
          <w:bCs w:val="0"/>
          <w:caps w:val="0"/>
          <w:sz w:val="22"/>
          <w:lang w:val="bg-BG"/>
        </w:rPr>
      </w:pPr>
      <w:hyperlink w:anchor="_Toc151557331" w:history="1">
        <w:r w:rsidR="00BC3E33" w:rsidRPr="00357227">
          <w:rPr>
            <w:rStyle w:val="Hyperlink"/>
          </w:rPr>
          <w:t>Приложение № 10:  Данъчни разходи за 2022 и 2024 г.</w:t>
        </w:r>
        <w:r w:rsidR="00BC3E33">
          <w:rPr>
            <w:webHidden/>
          </w:rPr>
          <w:tab/>
        </w:r>
        <w:r w:rsidR="00BC3E33">
          <w:rPr>
            <w:webHidden/>
          </w:rPr>
          <w:fldChar w:fldCharType="begin"/>
        </w:r>
        <w:r w:rsidR="00BC3E33">
          <w:rPr>
            <w:webHidden/>
          </w:rPr>
          <w:instrText xml:space="preserve"> PAGEREF _Toc151557331 \h </w:instrText>
        </w:r>
        <w:r w:rsidR="00BC3E33">
          <w:rPr>
            <w:webHidden/>
          </w:rPr>
        </w:r>
        <w:r w:rsidR="00BC3E33">
          <w:rPr>
            <w:webHidden/>
          </w:rPr>
          <w:fldChar w:fldCharType="separate"/>
        </w:r>
        <w:r w:rsidR="005A69ED">
          <w:rPr>
            <w:webHidden/>
          </w:rPr>
          <w:t>273</w:t>
        </w:r>
        <w:r w:rsidR="00BC3E33">
          <w:rPr>
            <w:webHidden/>
          </w:rPr>
          <w:fldChar w:fldCharType="end"/>
        </w:r>
      </w:hyperlink>
    </w:p>
    <w:p w:rsidR="00310779" w:rsidRPr="00874FBD" w:rsidRDefault="00E269CB" w:rsidP="004C3CD4">
      <w:pPr>
        <w:spacing w:after="0"/>
        <w:jc w:val="left"/>
        <w:rPr>
          <w:b/>
          <w:bCs/>
          <w:caps/>
          <w:sz w:val="28"/>
          <w:szCs w:val="32"/>
          <w:lang w:val="en-US"/>
        </w:rPr>
      </w:pPr>
      <w:r w:rsidRPr="0025229D">
        <w:rPr>
          <w:w w:val="90"/>
          <w:lang w:eastAsia="zh-CN"/>
        </w:rPr>
        <w:fldChar w:fldCharType="end"/>
      </w:r>
    </w:p>
    <w:p w:rsidR="004C3CD4" w:rsidRDefault="004C3CD4" w:rsidP="00106543">
      <w:pPr>
        <w:rPr>
          <w:rStyle w:val="Hyperlink"/>
          <w:rFonts w:eastAsia="Times New Roman"/>
          <w:szCs w:val="20"/>
          <w:lang w:eastAsia="en-GB"/>
        </w:rPr>
      </w:pPr>
      <w:r>
        <w:rPr>
          <w:rStyle w:val="Hyperlink"/>
          <w:rFonts w:eastAsia="Times New Roman"/>
          <w:szCs w:val="20"/>
          <w:lang w:eastAsia="en-GB"/>
        </w:rPr>
        <w:br w:type="page"/>
      </w:r>
    </w:p>
    <w:p w:rsidR="004C3CD4" w:rsidRPr="00E25A58" w:rsidRDefault="004C3CD4" w:rsidP="003153D7">
      <w:pPr>
        <w:rPr>
          <w:spacing w:val="12"/>
          <w:sz w:val="32"/>
        </w:rPr>
      </w:pPr>
      <w:bookmarkStart w:id="16" w:name="_Toc464746958"/>
      <w:bookmarkStart w:id="17" w:name="_Toc465070435"/>
      <w:bookmarkStart w:id="18" w:name="_Toc465176563"/>
      <w:bookmarkStart w:id="19" w:name="_Toc465177067"/>
      <w:bookmarkStart w:id="20" w:name="_Toc465177880"/>
      <w:bookmarkStart w:id="21" w:name="_Toc465177988"/>
      <w:bookmarkStart w:id="22" w:name="_Toc465178096"/>
      <w:r w:rsidRPr="00E25A58">
        <w:rPr>
          <w:spacing w:val="12"/>
          <w:sz w:val="32"/>
        </w:rPr>
        <w:t>Списък с включените в текста таблици</w:t>
      </w:r>
      <w:bookmarkEnd w:id="16"/>
      <w:bookmarkEnd w:id="17"/>
      <w:bookmarkEnd w:id="18"/>
      <w:bookmarkEnd w:id="19"/>
      <w:bookmarkEnd w:id="20"/>
      <w:bookmarkEnd w:id="21"/>
      <w:bookmarkEnd w:id="22"/>
    </w:p>
    <w:p w:rsidR="004C3CD4" w:rsidRDefault="004C3CD4" w:rsidP="00280B15">
      <w:pPr>
        <w:rPr>
          <w:rStyle w:val="Hyperlink"/>
          <w:rFonts w:eastAsia="Times New Roman"/>
          <w:szCs w:val="20"/>
          <w:lang w:eastAsia="en-GB"/>
        </w:rPr>
      </w:pPr>
    </w:p>
    <w:p w:rsidR="009163AE" w:rsidRPr="000E5E1F" w:rsidRDefault="004C3CD4" w:rsidP="000E5E1F">
      <w:pPr>
        <w:pStyle w:val="TableofFigures"/>
        <w:tabs>
          <w:tab w:val="left" w:pos="1134"/>
          <w:tab w:val="right" w:leader="dot" w:pos="9060"/>
        </w:tabs>
        <w:rPr>
          <w:rFonts w:asciiTheme="minorHAnsi" w:eastAsiaTheme="minorEastAsia" w:hAnsiTheme="minorHAnsi"/>
          <w:noProof/>
          <w:sz w:val="22"/>
          <w:lang w:eastAsia="bg-BG"/>
        </w:rPr>
      </w:pPr>
      <w:r w:rsidRPr="005A2C13">
        <w:rPr>
          <w:rStyle w:val="Hyperlink"/>
          <w:sz w:val="22"/>
          <w:highlight w:val="yellow"/>
        </w:rPr>
        <w:fldChar w:fldCharType="begin"/>
      </w:r>
      <w:r w:rsidRPr="005A2C13">
        <w:rPr>
          <w:rStyle w:val="Hyperlink"/>
          <w:sz w:val="22"/>
          <w:highlight w:val="yellow"/>
        </w:rPr>
        <w:instrText xml:space="preserve"> TOC \h \z \c "Табл." </w:instrText>
      </w:r>
      <w:r w:rsidRPr="005A2C13">
        <w:rPr>
          <w:rStyle w:val="Hyperlink"/>
          <w:sz w:val="22"/>
          <w:highlight w:val="yellow"/>
        </w:rPr>
        <w:fldChar w:fldCharType="separate"/>
      </w:r>
      <w:hyperlink w:anchor="_Toc150443410" w:history="1">
        <w:r w:rsidR="009163AE" w:rsidRPr="000E5E1F">
          <w:rPr>
            <w:rStyle w:val="Hyperlink"/>
            <w:rFonts w:eastAsiaTheme="majorEastAsia"/>
            <w:noProof/>
            <w:sz w:val="22"/>
          </w:rPr>
          <w:t>Табл. I</w:t>
        </w:r>
        <w:r w:rsidR="009163AE" w:rsidRPr="000E5E1F">
          <w:rPr>
            <w:rStyle w:val="Hyperlink"/>
            <w:rFonts w:eastAsiaTheme="majorEastAsia"/>
            <w:noProof/>
            <w:sz w:val="22"/>
          </w:rPr>
          <w:noBreakHyphen/>
          <w:t>1:</w:t>
        </w:r>
        <w:r w:rsidR="009163AE" w:rsidRPr="000E5E1F">
          <w:rPr>
            <w:rFonts w:asciiTheme="minorHAnsi" w:eastAsiaTheme="minorEastAsia" w:hAnsiTheme="minorHAnsi"/>
            <w:noProof/>
            <w:sz w:val="22"/>
            <w:lang w:eastAsia="bg-BG"/>
          </w:rPr>
          <w:tab/>
        </w:r>
        <w:r w:rsidR="009163AE" w:rsidRPr="000E5E1F">
          <w:rPr>
            <w:rStyle w:val="Hyperlink"/>
            <w:noProof/>
            <w:sz w:val="22"/>
            <w:lang w:eastAsia="en-US"/>
          </w:rPr>
          <w:t>Основни допускания за развитието на външната среда</w:t>
        </w:r>
        <w:r w:rsidR="009163AE" w:rsidRPr="000E5E1F">
          <w:rPr>
            <w:noProof/>
            <w:webHidden/>
            <w:sz w:val="22"/>
          </w:rPr>
          <w:tab/>
        </w:r>
        <w:r w:rsidR="009163AE" w:rsidRPr="000E5E1F">
          <w:rPr>
            <w:noProof/>
            <w:webHidden/>
            <w:sz w:val="22"/>
          </w:rPr>
          <w:fldChar w:fldCharType="begin"/>
        </w:r>
        <w:r w:rsidR="009163AE" w:rsidRPr="000E5E1F">
          <w:rPr>
            <w:noProof/>
            <w:webHidden/>
            <w:sz w:val="22"/>
          </w:rPr>
          <w:instrText xml:space="preserve"> PAGEREF _Toc150443410 \h </w:instrText>
        </w:r>
        <w:r w:rsidR="009163AE" w:rsidRPr="000E5E1F">
          <w:rPr>
            <w:noProof/>
            <w:webHidden/>
            <w:sz w:val="22"/>
          </w:rPr>
        </w:r>
        <w:r w:rsidR="009163AE" w:rsidRPr="000E5E1F">
          <w:rPr>
            <w:noProof/>
            <w:webHidden/>
            <w:sz w:val="22"/>
          </w:rPr>
          <w:fldChar w:fldCharType="separate"/>
        </w:r>
        <w:r w:rsidR="005A69ED">
          <w:rPr>
            <w:noProof/>
            <w:webHidden/>
            <w:sz w:val="22"/>
          </w:rPr>
          <w:t>23</w:t>
        </w:r>
        <w:r w:rsidR="009163AE" w:rsidRPr="000E5E1F">
          <w:rPr>
            <w:noProof/>
            <w:webHidden/>
            <w:sz w:val="22"/>
          </w:rPr>
          <w:fldChar w:fldCharType="end"/>
        </w:r>
      </w:hyperlink>
    </w:p>
    <w:p w:rsidR="009163AE" w:rsidRPr="000E5E1F" w:rsidRDefault="00A96BF2" w:rsidP="000E5E1F">
      <w:pPr>
        <w:pStyle w:val="TableofFigures"/>
        <w:tabs>
          <w:tab w:val="left" w:pos="1134"/>
          <w:tab w:val="right" w:leader="dot" w:pos="9060"/>
        </w:tabs>
        <w:rPr>
          <w:rFonts w:asciiTheme="minorHAnsi" w:eastAsiaTheme="minorEastAsia" w:hAnsiTheme="minorHAnsi"/>
          <w:noProof/>
          <w:sz w:val="22"/>
          <w:lang w:eastAsia="bg-BG"/>
        </w:rPr>
      </w:pPr>
      <w:hyperlink w:anchor="_Toc150443411" w:history="1">
        <w:r w:rsidR="009163AE" w:rsidRPr="000E5E1F">
          <w:rPr>
            <w:rStyle w:val="Hyperlink"/>
            <w:rFonts w:eastAsiaTheme="majorEastAsia"/>
            <w:noProof/>
            <w:sz w:val="22"/>
          </w:rPr>
          <w:t>Табл. I</w:t>
        </w:r>
        <w:r w:rsidR="009163AE" w:rsidRPr="000E5E1F">
          <w:rPr>
            <w:rStyle w:val="Hyperlink"/>
            <w:rFonts w:eastAsiaTheme="majorEastAsia"/>
            <w:noProof/>
            <w:sz w:val="22"/>
          </w:rPr>
          <w:noBreakHyphen/>
          <w:t>2:</w:t>
        </w:r>
        <w:r w:rsidR="009163AE" w:rsidRPr="000E5E1F">
          <w:rPr>
            <w:rFonts w:asciiTheme="minorHAnsi" w:eastAsiaTheme="minorEastAsia" w:hAnsiTheme="minorHAnsi"/>
            <w:noProof/>
            <w:sz w:val="22"/>
            <w:lang w:eastAsia="bg-BG"/>
          </w:rPr>
          <w:tab/>
        </w:r>
        <w:r w:rsidR="009163AE" w:rsidRPr="000E5E1F">
          <w:rPr>
            <w:rStyle w:val="Hyperlink"/>
            <w:noProof/>
            <w:sz w:val="22"/>
            <w:lang w:eastAsia="en-US"/>
          </w:rPr>
          <w:t>Основни макроикономически показатели</w:t>
        </w:r>
        <w:r w:rsidR="009163AE" w:rsidRPr="000E5E1F">
          <w:rPr>
            <w:noProof/>
            <w:webHidden/>
            <w:sz w:val="22"/>
          </w:rPr>
          <w:tab/>
        </w:r>
        <w:r w:rsidR="009163AE" w:rsidRPr="000E5E1F">
          <w:rPr>
            <w:noProof/>
            <w:webHidden/>
            <w:sz w:val="22"/>
          </w:rPr>
          <w:fldChar w:fldCharType="begin"/>
        </w:r>
        <w:r w:rsidR="009163AE" w:rsidRPr="000E5E1F">
          <w:rPr>
            <w:noProof/>
            <w:webHidden/>
            <w:sz w:val="22"/>
          </w:rPr>
          <w:instrText xml:space="preserve"> PAGEREF _Toc150443411 \h </w:instrText>
        </w:r>
        <w:r w:rsidR="009163AE" w:rsidRPr="000E5E1F">
          <w:rPr>
            <w:noProof/>
            <w:webHidden/>
            <w:sz w:val="22"/>
          </w:rPr>
        </w:r>
        <w:r w:rsidR="009163AE" w:rsidRPr="000E5E1F">
          <w:rPr>
            <w:noProof/>
            <w:webHidden/>
            <w:sz w:val="22"/>
          </w:rPr>
          <w:fldChar w:fldCharType="separate"/>
        </w:r>
        <w:r w:rsidR="005A69ED">
          <w:rPr>
            <w:noProof/>
            <w:webHidden/>
            <w:sz w:val="22"/>
          </w:rPr>
          <w:t>23</w:t>
        </w:r>
        <w:r w:rsidR="009163AE" w:rsidRPr="000E5E1F">
          <w:rPr>
            <w:noProof/>
            <w:webHidden/>
            <w:sz w:val="22"/>
          </w:rPr>
          <w:fldChar w:fldCharType="end"/>
        </w:r>
      </w:hyperlink>
    </w:p>
    <w:p w:rsidR="009163AE" w:rsidRPr="000E5E1F" w:rsidRDefault="00A96BF2" w:rsidP="000E5E1F">
      <w:pPr>
        <w:pStyle w:val="TableofFigures"/>
        <w:tabs>
          <w:tab w:val="left" w:pos="1134"/>
          <w:tab w:val="right" w:leader="dot" w:pos="9060"/>
        </w:tabs>
        <w:rPr>
          <w:rFonts w:asciiTheme="minorHAnsi" w:eastAsiaTheme="minorEastAsia" w:hAnsiTheme="minorHAnsi"/>
          <w:noProof/>
          <w:sz w:val="22"/>
          <w:lang w:eastAsia="bg-BG"/>
        </w:rPr>
      </w:pPr>
      <w:hyperlink w:anchor="_Toc150443412" w:history="1">
        <w:r w:rsidR="009163AE" w:rsidRPr="000E5E1F">
          <w:rPr>
            <w:rStyle w:val="Hyperlink"/>
            <w:rFonts w:eastAsiaTheme="majorEastAsia"/>
            <w:noProof/>
            <w:sz w:val="22"/>
          </w:rPr>
          <w:t>Табл. I</w:t>
        </w:r>
        <w:r w:rsidR="009163AE" w:rsidRPr="000E5E1F">
          <w:rPr>
            <w:rStyle w:val="Hyperlink"/>
            <w:rFonts w:eastAsiaTheme="majorEastAsia"/>
            <w:noProof/>
            <w:sz w:val="22"/>
          </w:rPr>
          <w:noBreakHyphen/>
          <w:t>3:</w:t>
        </w:r>
        <w:r w:rsidR="009163AE" w:rsidRPr="000E5E1F">
          <w:rPr>
            <w:rFonts w:asciiTheme="minorHAnsi" w:eastAsiaTheme="minorEastAsia" w:hAnsiTheme="minorHAnsi"/>
            <w:noProof/>
            <w:sz w:val="22"/>
            <w:lang w:eastAsia="bg-BG"/>
          </w:rPr>
          <w:tab/>
        </w:r>
        <w:r w:rsidR="009163AE" w:rsidRPr="000E5E1F">
          <w:rPr>
            <w:rStyle w:val="Hyperlink"/>
            <w:noProof/>
            <w:sz w:val="22"/>
            <w:lang w:eastAsia="en-US"/>
          </w:rPr>
          <w:t>Стойности на потенциалния растеж и на отклонението от потенциалния БВП</w:t>
        </w:r>
        <w:r w:rsidR="009163AE" w:rsidRPr="000E5E1F">
          <w:rPr>
            <w:noProof/>
            <w:webHidden/>
            <w:sz w:val="22"/>
          </w:rPr>
          <w:tab/>
        </w:r>
        <w:r w:rsidR="009163AE" w:rsidRPr="000E5E1F">
          <w:rPr>
            <w:noProof/>
            <w:webHidden/>
            <w:sz w:val="22"/>
          </w:rPr>
          <w:fldChar w:fldCharType="begin"/>
        </w:r>
        <w:r w:rsidR="009163AE" w:rsidRPr="000E5E1F">
          <w:rPr>
            <w:noProof/>
            <w:webHidden/>
            <w:sz w:val="22"/>
          </w:rPr>
          <w:instrText xml:space="preserve"> PAGEREF _Toc150443412 \h </w:instrText>
        </w:r>
        <w:r w:rsidR="009163AE" w:rsidRPr="000E5E1F">
          <w:rPr>
            <w:noProof/>
            <w:webHidden/>
            <w:sz w:val="22"/>
          </w:rPr>
        </w:r>
        <w:r w:rsidR="009163AE" w:rsidRPr="000E5E1F">
          <w:rPr>
            <w:noProof/>
            <w:webHidden/>
            <w:sz w:val="22"/>
          </w:rPr>
          <w:fldChar w:fldCharType="separate"/>
        </w:r>
        <w:r w:rsidR="005A69ED">
          <w:rPr>
            <w:noProof/>
            <w:webHidden/>
            <w:sz w:val="22"/>
          </w:rPr>
          <w:t>28</w:t>
        </w:r>
        <w:r w:rsidR="009163AE" w:rsidRPr="000E5E1F">
          <w:rPr>
            <w:noProof/>
            <w:webHidden/>
            <w:sz w:val="22"/>
          </w:rPr>
          <w:fldChar w:fldCharType="end"/>
        </w:r>
      </w:hyperlink>
    </w:p>
    <w:p w:rsidR="009163AE" w:rsidRPr="000E5E1F" w:rsidRDefault="00A96BF2" w:rsidP="000E5E1F">
      <w:pPr>
        <w:pStyle w:val="TableofFigures"/>
        <w:tabs>
          <w:tab w:val="left" w:pos="1134"/>
          <w:tab w:val="right" w:leader="dot" w:pos="9060"/>
        </w:tabs>
        <w:rPr>
          <w:rFonts w:asciiTheme="minorHAnsi" w:eastAsiaTheme="minorEastAsia" w:hAnsiTheme="minorHAnsi"/>
          <w:noProof/>
          <w:sz w:val="22"/>
          <w:lang w:eastAsia="bg-BG"/>
        </w:rPr>
      </w:pPr>
      <w:hyperlink w:anchor="_Toc150443413" w:history="1">
        <w:r w:rsidR="009163AE" w:rsidRPr="000E5E1F">
          <w:rPr>
            <w:rStyle w:val="Hyperlink"/>
            <w:rFonts w:eastAsiaTheme="majorEastAsia"/>
            <w:noProof/>
            <w:sz w:val="22"/>
          </w:rPr>
          <w:t>Табл. I</w:t>
        </w:r>
        <w:r w:rsidR="009163AE" w:rsidRPr="000E5E1F">
          <w:rPr>
            <w:rStyle w:val="Hyperlink"/>
            <w:rFonts w:eastAsiaTheme="majorEastAsia"/>
            <w:noProof/>
            <w:sz w:val="22"/>
          </w:rPr>
          <w:noBreakHyphen/>
          <w:t>4:</w:t>
        </w:r>
        <w:r w:rsidR="009163AE" w:rsidRPr="000E5E1F">
          <w:rPr>
            <w:rFonts w:asciiTheme="minorHAnsi" w:eastAsiaTheme="minorEastAsia" w:hAnsiTheme="minorHAnsi"/>
            <w:noProof/>
            <w:sz w:val="22"/>
            <w:lang w:eastAsia="bg-BG"/>
          </w:rPr>
          <w:tab/>
        </w:r>
        <w:r w:rsidR="009163AE" w:rsidRPr="000E5E1F">
          <w:rPr>
            <w:rStyle w:val="Hyperlink"/>
            <w:rFonts w:eastAsiaTheme="majorEastAsia"/>
            <w:noProof/>
            <w:sz w:val="22"/>
          </w:rPr>
          <w:t>Приноси към потенциалния растеж (пр.п.)</w:t>
        </w:r>
        <w:r w:rsidR="009163AE" w:rsidRPr="000E5E1F">
          <w:rPr>
            <w:noProof/>
            <w:webHidden/>
            <w:sz w:val="22"/>
          </w:rPr>
          <w:tab/>
        </w:r>
        <w:r w:rsidR="009163AE" w:rsidRPr="000E5E1F">
          <w:rPr>
            <w:noProof/>
            <w:webHidden/>
            <w:sz w:val="22"/>
          </w:rPr>
          <w:fldChar w:fldCharType="begin"/>
        </w:r>
        <w:r w:rsidR="009163AE" w:rsidRPr="000E5E1F">
          <w:rPr>
            <w:noProof/>
            <w:webHidden/>
            <w:sz w:val="22"/>
          </w:rPr>
          <w:instrText xml:space="preserve"> PAGEREF _Toc150443413 \h </w:instrText>
        </w:r>
        <w:r w:rsidR="009163AE" w:rsidRPr="000E5E1F">
          <w:rPr>
            <w:noProof/>
            <w:webHidden/>
            <w:sz w:val="22"/>
          </w:rPr>
        </w:r>
        <w:r w:rsidR="009163AE" w:rsidRPr="000E5E1F">
          <w:rPr>
            <w:noProof/>
            <w:webHidden/>
            <w:sz w:val="22"/>
          </w:rPr>
          <w:fldChar w:fldCharType="separate"/>
        </w:r>
        <w:r w:rsidR="005A69ED">
          <w:rPr>
            <w:noProof/>
            <w:webHidden/>
            <w:sz w:val="22"/>
          </w:rPr>
          <w:t>28</w:t>
        </w:r>
        <w:r w:rsidR="009163AE" w:rsidRPr="000E5E1F">
          <w:rPr>
            <w:noProof/>
            <w:webHidden/>
            <w:sz w:val="22"/>
          </w:rPr>
          <w:fldChar w:fldCharType="end"/>
        </w:r>
      </w:hyperlink>
    </w:p>
    <w:p w:rsidR="009163AE" w:rsidRPr="000E5E1F" w:rsidRDefault="00A96BF2" w:rsidP="000E5E1F">
      <w:pPr>
        <w:pStyle w:val="TableofFigures"/>
        <w:tabs>
          <w:tab w:val="left" w:pos="1134"/>
          <w:tab w:val="right" w:leader="dot" w:pos="9060"/>
        </w:tabs>
        <w:rPr>
          <w:rFonts w:asciiTheme="minorHAnsi" w:eastAsiaTheme="minorEastAsia" w:hAnsiTheme="minorHAnsi"/>
          <w:noProof/>
          <w:sz w:val="22"/>
          <w:lang w:eastAsia="bg-BG"/>
        </w:rPr>
      </w:pPr>
      <w:hyperlink w:anchor="_Toc150443414" w:history="1">
        <w:r w:rsidR="009163AE" w:rsidRPr="000E5E1F">
          <w:rPr>
            <w:rStyle w:val="Hyperlink"/>
            <w:rFonts w:eastAsiaTheme="majorEastAsia"/>
            <w:noProof/>
            <w:sz w:val="22"/>
          </w:rPr>
          <w:t>Табл. I</w:t>
        </w:r>
        <w:r w:rsidR="009163AE" w:rsidRPr="000E5E1F">
          <w:rPr>
            <w:rStyle w:val="Hyperlink"/>
            <w:rFonts w:eastAsiaTheme="majorEastAsia"/>
            <w:noProof/>
            <w:sz w:val="22"/>
          </w:rPr>
          <w:noBreakHyphen/>
          <w:t>5:</w:t>
        </w:r>
        <w:r w:rsidR="009163AE" w:rsidRPr="000E5E1F">
          <w:rPr>
            <w:rFonts w:asciiTheme="minorHAnsi" w:eastAsiaTheme="minorEastAsia" w:hAnsiTheme="minorHAnsi"/>
            <w:noProof/>
            <w:sz w:val="22"/>
            <w:lang w:eastAsia="bg-BG"/>
          </w:rPr>
          <w:tab/>
        </w:r>
        <w:r w:rsidR="009163AE" w:rsidRPr="000E5E1F">
          <w:rPr>
            <w:rStyle w:val="Hyperlink"/>
            <w:rFonts w:eastAsiaTheme="majorEastAsia"/>
            <w:noProof/>
            <w:sz w:val="22"/>
          </w:rPr>
          <w:t>Сравнение на макроикономическата прогноза на МФ с прогнозата на ЕК</w:t>
        </w:r>
        <w:r w:rsidR="009163AE" w:rsidRPr="000E5E1F">
          <w:rPr>
            <w:noProof/>
            <w:webHidden/>
            <w:sz w:val="22"/>
          </w:rPr>
          <w:tab/>
        </w:r>
        <w:r w:rsidR="009163AE" w:rsidRPr="000E5E1F">
          <w:rPr>
            <w:noProof/>
            <w:webHidden/>
            <w:sz w:val="22"/>
          </w:rPr>
          <w:fldChar w:fldCharType="begin"/>
        </w:r>
        <w:r w:rsidR="009163AE" w:rsidRPr="000E5E1F">
          <w:rPr>
            <w:noProof/>
            <w:webHidden/>
            <w:sz w:val="22"/>
          </w:rPr>
          <w:instrText xml:space="preserve"> PAGEREF _Toc150443414 \h </w:instrText>
        </w:r>
        <w:r w:rsidR="009163AE" w:rsidRPr="000E5E1F">
          <w:rPr>
            <w:noProof/>
            <w:webHidden/>
            <w:sz w:val="22"/>
          </w:rPr>
        </w:r>
        <w:r w:rsidR="009163AE" w:rsidRPr="000E5E1F">
          <w:rPr>
            <w:noProof/>
            <w:webHidden/>
            <w:sz w:val="22"/>
          </w:rPr>
          <w:fldChar w:fldCharType="separate"/>
        </w:r>
        <w:r w:rsidR="005A69ED">
          <w:rPr>
            <w:noProof/>
            <w:webHidden/>
            <w:sz w:val="22"/>
          </w:rPr>
          <w:t>29</w:t>
        </w:r>
        <w:r w:rsidR="009163AE" w:rsidRPr="000E5E1F">
          <w:rPr>
            <w:noProof/>
            <w:webHidden/>
            <w:sz w:val="22"/>
          </w:rPr>
          <w:fldChar w:fldCharType="end"/>
        </w:r>
      </w:hyperlink>
    </w:p>
    <w:p w:rsidR="009163AE" w:rsidRPr="000E5E1F" w:rsidRDefault="00A96BF2" w:rsidP="000E5E1F">
      <w:pPr>
        <w:pStyle w:val="TableofFigures"/>
        <w:tabs>
          <w:tab w:val="left" w:pos="1134"/>
          <w:tab w:val="left" w:pos="1276"/>
          <w:tab w:val="right" w:leader="dot" w:pos="9060"/>
        </w:tabs>
        <w:rPr>
          <w:rFonts w:asciiTheme="minorHAnsi" w:eastAsiaTheme="minorEastAsia" w:hAnsiTheme="minorHAnsi"/>
          <w:noProof/>
          <w:sz w:val="22"/>
          <w:lang w:eastAsia="bg-BG"/>
        </w:rPr>
      </w:pPr>
      <w:hyperlink w:anchor="_Toc150443415" w:history="1">
        <w:r w:rsidR="009163AE" w:rsidRPr="000E5E1F">
          <w:rPr>
            <w:rStyle w:val="Hyperlink"/>
            <w:rFonts w:eastAsiaTheme="majorEastAsia"/>
            <w:noProof/>
            <w:sz w:val="22"/>
          </w:rPr>
          <w:t>Табл. II</w:t>
        </w:r>
        <w:r w:rsidR="009163AE" w:rsidRPr="000E5E1F">
          <w:rPr>
            <w:rStyle w:val="Hyperlink"/>
            <w:rFonts w:eastAsiaTheme="majorEastAsia"/>
            <w:noProof/>
            <w:sz w:val="22"/>
          </w:rPr>
          <w:noBreakHyphen/>
          <w:t>1:</w:t>
        </w:r>
        <w:r w:rsidR="009163AE" w:rsidRPr="000E5E1F">
          <w:rPr>
            <w:rFonts w:asciiTheme="minorHAnsi" w:eastAsiaTheme="minorEastAsia" w:hAnsiTheme="minorHAnsi"/>
            <w:noProof/>
            <w:sz w:val="22"/>
            <w:lang w:eastAsia="bg-BG"/>
          </w:rPr>
          <w:tab/>
        </w:r>
        <w:r w:rsidR="009163AE" w:rsidRPr="000E5E1F">
          <w:rPr>
            <w:rStyle w:val="Hyperlink"/>
            <w:rFonts w:eastAsiaTheme="majorEastAsia"/>
            <w:noProof/>
            <w:sz w:val="22"/>
          </w:rPr>
          <w:t>Основни показатели на КФП (касова основа)</w:t>
        </w:r>
        <w:r w:rsidR="009163AE" w:rsidRPr="000E5E1F">
          <w:rPr>
            <w:rStyle w:val="Hyperlink"/>
            <w:rFonts w:eastAsiaTheme="majorEastAsia"/>
            <w:noProof/>
            <w:sz w:val="22"/>
            <w:vertAlign w:val="superscript"/>
          </w:rPr>
          <w:t xml:space="preserve"> </w:t>
        </w:r>
        <w:r w:rsidR="009163AE" w:rsidRPr="000E5E1F">
          <w:rPr>
            <w:noProof/>
            <w:webHidden/>
            <w:sz w:val="22"/>
          </w:rPr>
          <w:tab/>
        </w:r>
        <w:r w:rsidR="009163AE" w:rsidRPr="000E5E1F">
          <w:rPr>
            <w:noProof/>
            <w:webHidden/>
            <w:sz w:val="22"/>
          </w:rPr>
          <w:fldChar w:fldCharType="begin"/>
        </w:r>
        <w:r w:rsidR="009163AE" w:rsidRPr="000E5E1F">
          <w:rPr>
            <w:noProof/>
            <w:webHidden/>
            <w:sz w:val="22"/>
          </w:rPr>
          <w:instrText xml:space="preserve"> PAGEREF _Toc150443415 \h </w:instrText>
        </w:r>
        <w:r w:rsidR="009163AE" w:rsidRPr="000E5E1F">
          <w:rPr>
            <w:noProof/>
            <w:webHidden/>
            <w:sz w:val="22"/>
          </w:rPr>
        </w:r>
        <w:r w:rsidR="009163AE" w:rsidRPr="000E5E1F">
          <w:rPr>
            <w:noProof/>
            <w:webHidden/>
            <w:sz w:val="22"/>
          </w:rPr>
          <w:fldChar w:fldCharType="separate"/>
        </w:r>
        <w:r w:rsidR="005A69ED">
          <w:rPr>
            <w:noProof/>
            <w:webHidden/>
            <w:sz w:val="22"/>
          </w:rPr>
          <w:t>31</w:t>
        </w:r>
        <w:r w:rsidR="009163AE" w:rsidRPr="000E5E1F">
          <w:rPr>
            <w:noProof/>
            <w:webHidden/>
            <w:sz w:val="22"/>
          </w:rPr>
          <w:fldChar w:fldCharType="end"/>
        </w:r>
      </w:hyperlink>
    </w:p>
    <w:p w:rsidR="009163AE" w:rsidRPr="000E5E1F" w:rsidRDefault="00A96BF2" w:rsidP="000E5E1F">
      <w:pPr>
        <w:pStyle w:val="TableofFigures"/>
        <w:tabs>
          <w:tab w:val="left" w:pos="1134"/>
          <w:tab w:val="left" w:pos="1276"/>
          <w:tab w:val="right" w:leader="dot" w:pos="9060"/>
        </w:tabs>
        <w:rPr>
          <w:rFonts w:asciiTheme="minorHAnsi" w:eastAsiaTheme="minorEastAsia" w:hAnsiTheme="minorHAnsi"/>
          <w:noProof/>
          <w:sz w:val="22"/>
          <w:lang w:eastAsia="bg-BG"/>
        </w:rPr>
      </w:pPr>
      <w:hyperlink w:anchor="_Toc150443416" w:history="1">
        <w:r w:rsidR="009163AE" w:rsidRPr="000E5E1F">
          <w:rPr>
            <w:rStyle w:val="Hyperlink"/>
            <w:rFonts w:eastAsiaTheme="majorEastAsia"/>
            <w:noProof/>
            <w:sz w:val="22"/>
          </w:rPr>
          <w:t>Табл. II</w:t>
        </w:r>
        <w:r w:rsidR="009163AE" w:rsidRPr="000E5E1F">
          <w:rPr>
            <w:rStyle w:val="Hyperlink"/>
            <w:rFonts w:eastAsiaTheme="majorEastAsia"/>
            <w:noProof/>
            <w:sz w:val="22"/>
          </w:rPr>
          <w:noBreakHyphen/>
          <w:t>2:</w:t>
        </w:r>
        <w:r w:rsidR="009163AE" w:rsidRPr="000E5E1F">
          <w:rPr>
            <w:rFonts w:asciiTheme="minorHAnsi" w:eastAsiaTheme="minorEastAsia" w:hAnsiTheme="minorHAnsi"/>
            <w:noProof/>
            <w:sz w:val="22"/>
            <w:lang w:eastAsia="bg-BG"/>
          </w:rPr>
          <w:tab/>
        </w:r>
        <w:r w:rsidR="009163AE" w:rsidRPr="000E5E1F">
          <w:rPr>
            <w:rStyle w:val="Hyperlink"/>
            <w:rFonts w:eastAsiaTheme="majorEastAsia"/>
            <w:noProof/>
            <w:sz w:val="22"/>
          </w:rPr>
          <w:t>Основни показатели по КФП (2023-2026 г.)</w:t>
        </w:r>
        <w:r w:rsidR="009163AE" w:rsidRPr="000E5E1F">
          <w:rPr>
            <w:noProof/>
            <w:webHidden/>
            <w:sz w:val="22"/>
          </w:rPr>
          <w:tab/>
        </w:r>
        <w:r w:rsidR="009163AE" w:rsidRPr="000E5E1F">
          <w:rPr>
            <w:noProof/>
            <w:webHidden/>
            <w:sz w:val="22"/>
          </w:rPr>
          <w:fldChar w:fldCharType="begin"/>
        </w:r>
        <w:r w:rsidR="009163AE" w:rsidRPr="000E5E1F">
          <w:rPr>
            <w:noProof/>
            <w:webHidden/>
            <w:sz w:val="22"/>
          </w:rPr>
          <w:instrText xml:space="preserve"> PAGEREF _Toc150443416 \h </w:instrText>
        </w:r>
        <w:r w:rsidR="009163AE" w:rsidRPr="000E5E1F">
          <w:rPr>
            <w:noProof/>
            <w:webHidden/>
            <w:sz w:val="22"/>
          </w:rPr>
        </w:r>
        <w:r w:rsidR="009163AE" w:rsidRPr="000E5E1F">
          <w:rPr>
            <w:noProof/>
            <w:webHidden/>
            <w:sz w:val="22"/>
          </w:rPr>
          <w:fldChar w:fldCharType="separate"/>
        </w:r>
        <w:r w:rsidR="005A69ED">
          <w:rPr>
            <w:noProof/>
            <w:webHidden/>
            <w:sz w:val="22"/>
          </w:rPr>
          <w:t>33</w:t>
        </w:r>
        <w:r w:rsidR="009163AE" w:rsidRPr="000E5E1F">
          <w:rPr>
            <w:noProof/>
            <w:webHidden/>
            <w:sz w:val="22"/>
          </w:rPr>
          <w:fldChar w:fldCharType="end"/>
        </w:r>
      </w:hyperlink>
    </w:p>
    <w:p w:rsidR="009163AE" w:rsidRPr="000E5E1F" w:rsidRDefault="00A96BF2" w:rsidP="000E5E1F">
      <w:pPr>
        <w:pStyle w:val="TableofFigures"/>
        <w:tabs>
          <w:tab w:val="left" w:pos="1134"/>
          <w:tab w:val="left" w:pos="1276"/>
          <w:tab w:val="right" w:leader="dot" w:pos="9060"/>
        </w:tabs>
        <w:rPr>
          <w:rFonts w:asciiTheme="minorHAnsi" w:eastAsiaTheme="minorEastAsia" w:hAnsiTheme="minorHAnsi"/>
          <w:noProof/>
          <w:sz w:val="22"/>
          <w:lang w:eastAsia="bg-BG"/>
        </w:rPr>
      </w:pPr>
      <w:hyperlink w:anchor="_Toc150443417" w:history="1">
        <w:r w:rsidR="009163AE" w:rsidRPr="000E5E1F">
          <w:rPr>
            <w:rStyle w:val="Hyperlink"/>
            <w:rFonts w:eastAsiaTheme="majorEastAsia"/>
            <w:noProof/>
            <w:sz w:val="22"/>
          </w:rPr>
          <w:t>Табл. II</w:t>
        </w:r>
        <w:r w:rsidR="009163AE" w:rsidRPr="000E5E1F">
          <w:rPr>
            <w:rStyle w:val="Hyperlink"/>
            <w:rFonts w:eastAsiaTheme="majorEastAsia"/>
            <w:noProof/>
            <w:sz w:val="22"/>
          </w:rPr>
          <w:noBreakHyphen/>
          <w:t>3:</w:t>
        </w:r>
        <w:r w:rsidR="009163AE" w:rsidRPr="000E5E1F">
          <w:rPr>
            <w:rFonts w:asciiTheme="minorHAnsi" w:eastAsiaTheme="minorEastAsia" w:hAnsiTheme="minorHAnsi"/>
            <w:noProof/>
            <w:sz w:val="22"/>
            <w:lang w:eastAsia="bg-BG"/>
          </w:rPr>
          <w:tab/>
        </w:r>
        <w:r w:rsidR="009163AE" w:rsidRPr="000E5E1F">
          <w:rPr>
            <w:rStyle w:val="Hyperlink"/>
            <w:rFonts w:eastAsiaTheme="majorEastAsia"/>
            <w:noProof/>
            <w:sz w:val="22"/>
          </w:rPr>
          <w:t>КФП – Национален бюджет (2023-2026 г.)</w:t>
        </w:r>
        <w:r w:rsidR="009163AE" w:rsidRPr="000E5E1F">
          <w:rPr>
            <w:noProof/>
            <w:webHidden/>
            <w:sz w:val="22"/>
          </w:rPr>
          <w:tab/>
        </w:r>
        <w:r w:rsidR="009163AE" w:rsidRPr="000E5E1F">
          <w:rPr>
            <w:noProof/>
            <w:webHidden/>
            <w:sz w:val="22"/>
          </w:rPr>
          <w:fldChar w:fldCharType="begin"/>
        </w:r>
        <w:r w:rsidR="009163AE" w:rsidRPr="000E5E1F">
          <w:rPr>
            <w:noProof/>
            <w:webHidden/>
            <w:sz w:val="22"/>
          </w:rPr>
          <w:instrText xml:space="preserve"> PAGEREF _Toc150443417 \h </w:instrText>
        </w:r>
        <w:r w:rsidR="009163AE" w:rsidRPr="000E5E1F">
          <w:rPr>
            <w:noProof/>
            <w:webHidden/>
            <w:sz w:val="22"/>
          </w:rPr>
        </w:r>
        <w:r w:rsidR="009163AE" w:rsidRPr="000E5E1F">
          <w:rPr>
            <w:noProof/>
            <w:webHidden/>
            <w:sz w:val="22"/>
          </w:rPr>
          <w:fldChar w:fldCharType="separate"/>
        </w:r>
        <w:r w:rsidR="005A69ED">
          <w:rPr>
            <w:noProof/>
            <w:webHidden/>
            <w:sz w:val="22"/>
          </w:rPr>
          <w:t>33</w:t>
        </w:r>
        <w:r w:rsidR="009163AE" w:rsidRPr="000E5E1F">
          <w:rPr>
            <w:noProof/>
            <w:webHidden/>
            <w:sz w:val="22"/>
          </w:rPr>
          <w:fldChar w:fldCharType="end"/>
        </w:r>
      </w:hyperlink>
    </w:p>
    <w:p w:rsidR="009163AE" w:rsidRPr="000E5E1F" w:rsidRDefault="00A96BF2" w:rsidP="000E5E1F">
      <w:pPr>
        <w:pStyle w:val="TableofFigures"/>
        <w:tabs>
          <w:tab w:val="left" w:pos="1134"/>
          <w:tab w:val="left" w:pos="1276"/>
          <w:tab w:val="right" w:leader="dot" w:pos="9060"/>
        </w:tabs>
        <w:rPr>
          <w:rFonts w:asciiTheme="minorHAnsi" w:eastAsiaTheme="minorEastAsia" w:hAnsiTheme="minorHAnsi"/>
          <w:noProof/>
          <w:sz w:val="22"/>
          <w:lang w:eastAsia="bg-BG"/>
        </w:rPr>
      </w:pPr>
      <w:hyperlink w:anchor="_Toc150443418" w:history="1">
        <w:r w:rsidR="009163AE" w:rsidRPr="000E5E1F">
          <w:rPr>
            <w:rStyle w:val="Hyperlink"/>
            <w:rFonts w:eastAsiaTheme="majorEastAsia"/>
            <w:noProof/>
            <w:sz w:val="22"/>
          </w:rPr>
          <w:t>Табл. II</w:t>
        </w:r>
        <w:r w:rsidR="009163AE" w:rsidRPr="000E5E1F">
          <w:rPr>
            <w:rStyle w:val="Hyperlink"/>
            <w:rFonts w:eastAsiaTheme="majorEastAsia"/>
            <w:noProof/>
            <w:sz w:val="22"/>
          </w:rPr>
          <w:noBreakHyphen/>
          <w:t>4:</w:t>
        </w:r>
        <w:r w:rsidR="009163AE" w:rsidRPr="000E5E1F">
          <w:rPr>
            <w:rFonts w:asciiTheme="minorHAnsi" w:eastAsiaTheme="minorEastAsia" w:hAnsiTheme="minorHAnsi"/>
            <w:noProof/>
            <w:sz w:val="22"/>
            <w:lang w:eastAsia="bg-BG"/>
          </w:rPr>
          <w:tab/>
        </w:r>
        <w:r w:rsidR="009163AE" w:rsidRPr="000E5E1F">
          <w:rPr>
            <w:rStyle w:val="Hyperlink"/>
            <w:rFonts w:eastAsiaTheme="majorEastAsia"/>
            <w:noProof/>
            <w:sz w:val="22"/>
          </w:rPr>
          <w:t>КФП – Сметки за средства от ЕС (2023-2026 г.)</w:t>
        </w:r>
        <w:r w:rsidR="009163AE" w:rsidRPr="000E5E1F">
          <w:rPr>
            <w:rStyle w:val="Hyperlink"/>
            <w:rFonts w:eastAsiaTheme="majorEastAsia"/>
            <w:noProof/>
            <w:sz w:val="22"/>
            <w:vertAlign w:val="superscript"/>
          </w:rPr>
          <w:t xml:space="preserve"> </w:t>
        </w:r>
        <w:r w:rsidR="009163AE" w:rsidRPr="000E5E1F">
          <w:rPr>
            <w:noProof/>
            <w:webHidden/>
            <w:sz w:val="22"/>
          </w:rPr>
          <w:tab/>
        </w:r>
        <w:r w:rsidR="009163AE" w:rsidRPr="000E5E1F">
          <w:rPr>
            <w:noProof/>
            <w:webHidden/>
            <w:sz w:val="22"/>
          </w:rPr>
          <w:fldChar w:fldCharType="begin"/>
        </w:r>
        <w:r w:rsidR="009163AE" w:rsidRPr="000E5E1F">
          <w:rPr>
            <w:noProof/>
            <w:webHidden/>
            <w:sz w:val="22"/>
          </w:rPr>
          <w:instrText xml:space="preserve"> PAGEREF _Toc150443418 \h </w:instrText>
        </w:r>
        <w:r w:rsidR="009163AE" w:rsidRPr="000E5E1F">
          <w:rPr>
            <w:noProof/>
            <w:webHidden/>
            <w:sz w:val="22"/>
          </w:rPr>
        </w:r>
        <w:r w:rsidR="009163AE" w:rsidRPr="000E5E1F">
          <w:rPr>
            <w:noProof/>
            <w:webHidden/>
            <w:sz w:val="22"/>
          </w:rPr>
          <w:fldChar w:fldCharType="separate"/>
        </w:r>
        <w:r w:rsidR="005A69ED">
          <w:rPr>
            <w:noProof/>
            <w:webHidden/>
            <w:sz w:val="22"/>
          </w:rPr>
          <w:t>34</w:t>
        </w:r>
        <w:r w:rsidR="009163AE" w:rsidRPr="000E5E1F">
          <w:rPr>
            <w:noProof/>
            <w:webHidden/>
            <w:sz w:val="22"/>
          </w:rPr>
          <w:fldChar w:fldCharType="end"/>
        </w:r>
      </w:hyperlink>
    </w:p>
    <w:p w:rsidR="009163AE" w:rsidRPr="000E5E1F" w:rsidRDefault="00A96BF2" w:rsidP="000E5E1F">
      <w:pPr>
        <w:pStyle w:val="TableofFigures"/>
        <w:tabs>
          <w:tab w:val="left" w:pos="1134"/>
          <w:tab w:val="left" w:pos="1314"/>
          <w:tab w:val="right" w:leader="dot" w:pos="9060"/>
        </w:tabs>
        <w:ind w:left="1134" w:hanging="1134"/>
        <w:rPr>
          <w:rFonts w:asciiTheme="minorHAnsi" w:eastAsiaTheme="minorEastAsia" w:hAnsiTheme="minorHAnsi"/>
          <w:noProof/>
          <w:sz w:val="22"/>
          <w:lang w:eastAsia="bg-BG"/>
        </w:rPr>
      </w:pPr>
      <w:hyperlink w:anchor="_Toc150443419" w:history="1">
        <w:r w:rsidR="009163AE" w:rsidRPr="000E5E1F">
          <w:rPr>
            <w:rStyle w:val="Hyperlink"/>
            <w:rFonts w:eastAsiaTheme="majorEastAsia"/>
            <w:noProof/>
            <w:sz w:val="22"/>
          </w:rPr>
          <w:t>Табл. II</w:t>
        </w:r>
        <w:r w:rsidR="009163AE" w:rsidRPr="000E5E1F">
          <w:rPr>
            <w:rStyle w:val="Hyperlink"/>
            <w:rFonts w:eastAsiaTheme="majorEastAsia"/>
            <w:noProof/>
            <w:sz w:val="22"/>
          </w:rPr>
          <w:noBreakHyphen/>
          <w:t>5:</w:t>
        </w:r>
        <w:r w:rsidR="009163AE" w:rsidRPr="000E5E1F">
          <w:rPr>
            <w:rFonts w:asciiTheme="minorHAnsi" w:eastAsiaTheme="minorEastAsia" w:hAnsiTheme="minorHAnsi"/>
            <w:noProof/>
            <w:sz w:val="22"/>
            <w:lang w:eastAsia="bg-BG"/>
          </w:rPr>
          <w:tab/>
        </w:r>
        <w:r w:rsidR="009163AE" w:rsidRPr="000E5E1F">
          <w:rPr>
            <w:rStyle w:val="Hyperlink"/>
            <w:rFonts w:eastAsiaTheme="majorEastAsia"/>
            <w:noProof/>
            <w:sz w:val="22"/>
          </w:rPr>
          <w:t>Изменение на показателите на сектор „Държавно управление“ за периода 2024-2026 г.</w:t>
        </w:r>
        <w:r w:rsidR="000E5E1F">
          <w:rPr>
            <w:noProof/>
            <w:webHidden/>
            <w:sz w:val="22"/>
          </w:rPr>
          <w:tab/>
        </w:r>
        <w:r w:rsidR="009163AE" w:rsidRPr="000E5E1F">
          <w:rPr>
            <w:noProof/>
            <w:webHidden/>
            <w:sz w:val="22"/>
          </w:rPr>
          <w:fldChar w:fldCharType="begin"/>
        </w:r>
        <w:r w:rsidR="009163AE" w:rsidRPr="000E5E1F">
          <w:rPr>
            <w:noProof/>
            <w:webHidden/>
            <w:sz w:val="22"/>
          </w:rPr>
          <w:instrText xml:space="preserve"> PAGEREF _Toc150443419 \h </w:instrText>
        </w:r>
        <w:r w:rsidR="009163AE" w:rsidRPr="000E5E1F">
          <w:rPr>
            <w:noProof/>
            <w:webHidden/>
            <w:sz w:val="22"/>
          </w:rPr>
        </w:r>
        <w:r w:rsidR="009163AE" w:rsidRPr="000E5E1F">
          <w:rPr>
            <w:noProof/>
            <w:webHidden/>
            <w:sz w:val="22"/>
          </w:rPr>
          <w:fldChar w:fldCharType="separate"/>
        </w:r>
        <w:r w:rsidR="005A69ED">
          <w:rPr>
            <w:noProof/>
            <w:webHidden/>
            <w:sz w:val="22"/>
          </w:rPr>
          <w:t>37</w:t>
        </w:r>
        <w:r w:rsidR="009163AE" w:rsidRPr="000E5E1F">
          <w:rPr>
            <w:noProof/>
            <w:webHidden/>
            <w:sz w:val="22"/>
          </w:rPr>
          <w:fldChar w:fldCharType="end"/>
        </w:r>
      </w:hyperlink>
    </w:p>
    <w:p w:rsidR="009163AE" w:rsidRPr="000E5E1F" w:rsidRDefault="00A96BF2" w:rsidP="005E18EA">
      <w:pPr>
        <w:pStyle w:val="TableofFigures"/>
        <w:tabs>
          <w:tab w:val="left" w:pos="1134"/>
          <w:tab w:val="left" w:pos="1333"/>
          <w:tab w:val="right" w:leader="dot" w:pos="9060"/>
        </w:tabs>
        <w:ind w:left="1134" w:hanging="1134"/>
        <w:rPr>
          <w:rFonts w:asciiTheme="minorHAnsi" w:eastAsiaTheme="minorEastAsia" w:hAnsiTheme="minorHAnsi"/>
          <w:noProof/>
          <w:sz w:val="22"/>
          <w:lang w:eastAsia="bg-BG"/>
        </w:rPr>
      </w:pPr>
      <w:hyperlink w:anchor="_Toc150443420" w:history="1">
        <w:r w:rsidR="009163AE" w:rsidRPr="000E5E1F">
          <w:rPr>
            <w:rStyle w:val="Hyperlink"/>
            <w:rFonts w:eastAsiaTheme="majorEastAsia"/>
            <w:noProof/>
            <w:sz w:val="22"/>
          </w:rPr>
          <w:t>Табл. II</w:t>
        </w:r>
        <w:r w:rsidR="009163AE" w:rsidRPr="000E5E1F">
          <w:rPr>
            <w:rStyle w:val="Hyperlink"/>
            <w:rFonts w:eastAsiaTheme="majorEastAsia"/>
            <w:noProof/>
            <w:sz w:val="22"/>
          </w:rPr>
          <w:noBreakHyphen/>
          <w:t>6:</w:t>
        </w:r>
        <w:r w:rsidR="009163AE" w:rsidRPr="000E5E1F">
          <w:rPr>
            <w:rFonts w:asciiTheme="minorHAnsi" w:eastAsiaTheme="minorEastAsia" w:hAnsiTheme="minorHAnsi"/>
            <w:noProof/>
            <w:sz w:val="22"/>
            <w:lang w:eastAsia="bg-BG"/>
          </w:rPr>
          <w:tab/>
        </w:r>
        <w:r w:rsidR="009163AE" w:rsidRPr="000E5E1F">
          <w:rPr>
            <w:rStyle w:val="Hyperlink"/>
            <w:rFonts w:eastAsiaTheme="majorEastAsia"/>
            <w:noProof/>
            <w:sz w:val="22"/>
          </w:rPr>
          <w:t>Бюджетна прогноза на сектор „Държавно управление“ при непроменени политики за периода 2024-2026 г.</w:t>
        </w:r>
        <w:r w:rsidR="009163AE" w:rsidRPr="000E5E1F">
          <w:rPr>
            <w:noProof/>
            <w:webHidden/>
            <w:sz w:val="22"/>
          </w:rPr>
          <w:tab/>
        </w:r>
        <w:r w:rsidR="009163AE" w:rsidRPr="000E5E1F">
          <w:rPr>
            <w:noProof/>
            <w:webHidden/>
            <w:sz w:val="22"/>
          </w:rPr>
          <w:fldChar w:fldCharType="begin"/>
        </w:r>
        <w:r w:rsidR="009163AE" w:rsidRPr="000E5E1F">
          <w:rPr>
            <w:noProof/>
            <w:webHidden/>
            <w:sz w:val="22"/>
          </w:rPr>
          <w:instrText xml:space="preserve"> PAGEREF _Toc150443420 \h </w:instrText>
        </w:r>
        <w:r w:rsidR="009163AE" w:rsidRPr="000E5E1F">
          <w:rPr>
            <w:noProof/>
            <w:webHidden/>
            <w:sz w:val="22"/>
          </w:rPr>
        </w:r>
        <w:r w:rsidR="009163AE" w:rsidRPr="000E5E1F">
          <w:rPr>
            <w:noProof/>
            <w:webHidden/>
            <w:sz w:val="22"/>
          </w:rPr>
          <w:fldChar w:fldCharType="separate"/>
        </w:r>
        <w:r w:rsidR="005A69ED">
          <w:rPr>
            <w:noProof/>
            <w:webHidden/>
            <w:sz w:val="22"/>
          </w:rPr>
          <w:t>39</w:t>
        </w:r>
        <w:r w:rsidR="009163AE" w:rsidRPr="000E5E1F">
          <w:rPr>
            <w:noProof/>
            <w:webHidden/>
            <w:sz w:val="22"/>
          </w:rPr>
          <w:fldChar w:fldCharType="end"/>
        </w:r>
      </w:hyperlink>
    </w:p>
    <w:p w:rsidR="009163AE" w:rsidRPr="000E5E1F" w:rsidRDefault="00A96BF2" w:rsidP="000E5E1F">
      <w:pPr>
        <w:pStyle w:val="TableofFigures"/>
        <w:tabs>
          <w:tab w:val="left" w:pos="1134"/>
          <w:tab w:val="left" w:pos="1276"/>
          <w:tab w:val="right" w:leader="dot" w:pos="9060"/>
        </w:tabs>
        <w:rPr>
          <w:rFonts w:asciiTheme="minorHAnsi" w:eastAsiaTheme="minorEastAsia" w:hAnsiTheme="minorHAnsi"/>
          <w:noProof/>
          <w:sz w:val="22"/>
          <w:lang w:eastAsia="bg-BG"/>
        </w:rPr>
      </w:pPr>
      <w:hyperlink w:anchor="_Toc150443421" w:history="1">
        <w:r w:rsidR="009163AE" w:rsidRPr="000E5E1F">
          <w:rPr>
            <w:rStyle w:val="Hyperlink"/>
            <w:rFonts w:eastAsiaTheme="majorEastAsia"/>
            <w:noProof/>
            <w:sz w:val="22"/>
          </w:rPr>
          <w:t>Табл. II</w:t>
        </w:r>
        <w:r w:rsidR="009163AE" w:rsidRPr="000E5E1F">
          <w:rPr>
            <w:rStyle w:val="Hyperlink"/>
            <w:rFonts w:eastAsiaTheme="majorEastAsia"/>
            <w:noProof/>
            <w:sz w:val="22"/>
          </w:rPr>
          <w:noBreakHyphen/>
          <w:t>7:</w:t>
        </w:r>
        <w:r w:rsidR="009163AE" w:rsidRPr="000E5E1F">
          <w:rPr>
            <w:rFonts w:asciiTheme="minorHAnsi" w:eastAsiaTheme="minorEastAsia" w:hAnsiTheme="minorHAnsi"/>
            <w:noProof/>
            <w:sz w:val="22"/>
            <w:lang w:eastAsia="bg-BG"/>
          </w:rPr>
          <w:tab/>
        </w:r>
        <w:r w:rsidR="009163AE" w:rsidRPr="000E5E1F">
          <w:rPr>
            <w:rStyle w:val="Hyperlink"/>
            <w:rFonts w:eastAsiaTheme="majorEastAsia"/>
            <w:noProof/>
            <w:sz w:val="22"/>
          </w:rPr>
          <w:t>Дискреционни приходни мерки на начислена основа, млн. лв.</w:t>
        </w:r>
        <w:r w:rsidR="009163AE" w:rsidRPr="000E5E1F">
          <w:rPr>
            <w:noProof/>
            <w:webHidden/>
            <w:sz w:val="22"/>
          </w:rPr>
          <w:tab/>
        </w:r>
        <w:r w:rsidR="009163AE" w:rsidRPr="000E5E1F">
          <w:rPr>
            <w:noProof/>
            <w:webHidden/>
            <w:sz w:val="22"/>
          </w:rPr>
          <w:fldChar w:fldCharType="begin"/>
        </w:r>
        <w:r w:rsidR="009163AE" w:rsidRPr="000E5E1F">
          <w:rPr>
            <w:noProof/>
            <w:webHidden/>
            <w:sz w:val="22"/>
          </w:rPr>
          <w:instrText xml:space="preserve"> PAGEREF _Toc150443421 \h </w:instrText>
        </w:r>
        <w:r w:rsidR="009163AE" w:rsidRPr="000E5E1F">
          <w:rPr>
            <w:noProof/>
            <w:webHidden/>
            <w:sz w:val="22"/>
          </w:rPr>
        </w:r>
        <w:r w:rsidR="009163AE" w:rsidRPr="000E5E1F">
          <w:rPr>
            <w:noProof/>
            <w:webHidden/>
            <w:sz w:val="22"/>
          </w:rPr>
          <w:fldChar w:fldCharType="separate"/>
        </w:r>
        <w:r w:rsidR="005A69ED">
          <w:rPr>
            <w:noProof/>
            <w:webHidden/>
            <w:sz w:val="22"/>
          </w:rPr>
          <w:t>44</w:t>
        </w:r>
        <w:r w:rsidR="009163AE" w:rsidRPr="000E5E1F">
          <w:rPr>
            <w:noProof/>
            <w:webHidden/>
            <w:sz w:val="22"/>
          </w:rPr>
          <w:fldChar w:fldCharType="end"/>
        </w:r>
      </w:hyperlink>
    </w:p>
    <w:p w:rsidR="009163AE" w:rsidRPr="000E5E1F" w:rsidRDefault="00A96BF2" w:rsidP="000E5E1F">
      <w:pPr>
        <w:pStyle w:val="TableofFigures"/>
        <w:tabs>
          <w:tab w:val="left" w:pos="1134"/>
          <w:tab w:val="left" w:pos="1276"/>
          <w:tab w:val="right" w:leader="dot" w:pos="9060"/>
        </w:tabs>
        <w:rPr>
          <w:rFonts w:asciiTheme="minorHAnsi" w:eastAsiaTheme="minorEastAsia" w:hAnsiTheme="minorHAnsi"/>
          <w:noProof/>
          <w:sz w:val="22"/>
          <w:lang w:eastAsia="bg-BG"/>
        </w:rPr>
      </w:pPr>
      <w:hyperlink w:anchor="_Toc150443422" w:history="1">
        <w:r w:rsidR="009163AE" w:rsidRPr="000E5E1F">
          <w:rPr>
            <w:rStyle w:val="Hyperlink"/>
            <w:rFonts w:eastAsiaTheme="majorEastAsia"/>
            <w:noProof/>
            <w:sz w:val="22"/>
          </w:rPr>
          <w:t>Табл. II</w:t>
        </w:r>
        <w:r w:rsidR="009163AE" w:rsidRPr="000E5E1F">
          <w:rPr>
            <w:rStyle w:val="Hyperlink"/>
            <w:rFonts w:eastAsiaTheme="majorEastAsia"/>
            <w:noProof/>
            <w:sz w:val="22"/>
          </w:rPr>
          <w:noBreakHyphen/>
          <w:t>8:</w:t>
        </w:r>
        <w:r w:rsidR="009163AE" w:rsidRPr="000E5E1F">
          <w:rPr>
            <w:rFonts w:asciiTheme="minorHAnsi" w:eastAsiaTheme="minorEastAsia" w:hAnsiTheme="minorHAnsi"/>
            <w:noProof/>
            <w:sz w:val="22"/>
            <w:lang w:eastAsia="bg-BG"/>
          </w:rPr>
          <w:tab/>
        </w:r>
        <w:r w:rsidR="009163AE" w:rsidRPr="000E5E1F">
          <w:rPr>
            <w:rStyle w:val="Hyperlink"/>
            <w:rFonts w:eastAsiaTheme="majorEastAsia"/>
            <w:noProof/>
            <w:sz w:val="22"/>
          </w:rPr>
          <w:t>Дискреционни разходни мерки на начислена основа, млн. лв.</w:t>
        </w:r>
        <w:r w:rsidR="009163AE" w:rsidRPr="000E5E1F">
          <w:rPr>
            <w:noProof/>
            <w:webHidden/>
            <w:sz w:val="22"/>
          </w:rPr>
          <w:tab/>
        </w:r>
        <w:r w:rsidR="009163AE" w:rsidRPr="000E5E1F">
          <w:rPr>
            <w:noProof/>
            <w:webHidden/>
            <w:sz w:val="22"/>
          </w:rPr>
          <w:fldChar w:fldCharType="begin"/>
        </w:r>
        <w:r w:rsidR="009163AE" w:rsidRPr="000E5E1F">
          <w:rPr>
            <w:noProof/>
            <w:webHidden/>
            <w:sz w:val="22"/>
          </w:rPr>
          <w:instrText xml:space="preserve"> PAGEREF _Toc150443422 \h </w:instrText>
        </w:r>
        <w:r w:rsidR="009163AE" w:rsidRPr="000E5E1F">
          <w:rPr>
            <w:noProof/>
            <w:webHidden/>
            <w:sz w:val="22"/>
          </w:rPr>
        </w:r>
        <w:r w:rsidR="009163AE" w:rsidRPr="000E5E1F">
          <w:rPr>
            <w:noProof/>
            <w:webHidden/>
            <w:sz w:val="22"/>
          </w:rPr>
          <w:fldChar w:fldCharType="separate"/>
        </w:r>
        <w:r w:rsidR="005A69ED">
          <w:rPr>
            <w:noProof/>
            <w:webHidden/>
            <w:sz w:val="22"/>
          </w:rPr>
          <w:t>46</w:t>
        </w:r>
        <w:r w:rsidR="009163AE" w:rsidRPr="000E5E1F">
          <w:rPr>
            <w:noProof/>
            <w:webHidden/>
            <w:sz w:val="22"/>
          </w:rPr>
          <w:fldChar w:fldCharType="end"/>
        </w:r>
      </w:hyperlink>
    </w:p>
    <w:p w:rsidR="009163AE" w:rsidRPr="000E5E1F" w:rsidRDefault="00A96BF2" w:rsidP="000E5E1F">
      <w:pPr>
        <w:pStyle w:val="TableofFigures"/>
        <w:tabs>
          <w:tab w:val="left" w:pos="1134"/>
          <w:tab w:val="left" w:pos="1276"/>
          <w:tab w:val="right" w:leader="dot" w:pos="9060"/>
        </w:tabs>
        <w:rPr>
          <w:rFonts w:asciiTheme="minorHAnsi" w:eastAsiaTheme="minorEastAsia" w:hAnsiTheme="minorHAnsi"/>
          <w:noProof/>
          <w:sz w:val="22"/>
          <w:lang w:eastAsia="bg-BG"/>
        </w:rPr>
      </w:pPr>
      <w:hyperlink w:anchor="_Toc150443423" w:history="1">
        <w:r w:rsidR="009163AE" w:rsidRPr="000E5E1F">
          <w:rPr>
            <w:rStyle w:val="Hyperlink"/>
            <w:rFonts w:eastAsiaTheme="majorEastAsia"/>
            <w:noProof/>
            <w:sz w:val="22"/>
          </w:rPr>
          <w:t>Табл. II</w:t>
        </w:r>
        <w:r w:rsidR="009163AE" w:rsidRPr="000E5E1F">
          <w:rPr>
            <w:rStyle w:val="Hyperlink"/>
            <w:rFonts w:eastAsiaTheme="majorEastAsia"/>
            <w:noProof/>
            <w:sz w:val="22"/>
          </w:rPr>
          <w:noBreakHyphen/>
          <w:t>9:</w:t>
        </w:r>
        <w:r w:rsidR="009163AE" w:rsidRPr="000E5E1F">
          <w:rPr>
            <w:rFonts w:asciiTheme="minorHAnsi" w:eastAsiaTheme="minorEastAsia" w:hAnsiTheme="minorHAnsi"/>
            <w:noProof/>
            <w:sz w:val="22"/>
            <w:lang w:eastAsia="bg-BG"/>
          </w:rPr>
          <w:tab/>
        </w:r>
        <w:r w:rsidR="009163AE" w:rsidRPr="000E5E1F">
          <w:rPr>
            <w:rStyle w:val="Hyperlink"/>
            <w:rFonts w:eastAsiaTheme="majorEastAsia"/>
            <w:noProof/>
            <w:sz w:val="22"/>
          </w:rPr>
          <w:t>Сравнение на бюджетната прогноза на МФ с прогнозата на ЕК</w:t>
        </w:r>
        <w:r w:rsidR="009163AE" w:rsidRPr="000E5E1F">
          <w:rPr>
            <w:noProof/>
            <w:webHidden/>
            <w:sz w:val="22"/>
          </w:rPr>
          <w:tab/>
        </w:r>
        <w:r w:rsidR="009163AE" w:rsidRPr="000E5E1F">
          <w:rPr>
            <w:noProof/>
            <w:webHidden/>
            <w:sz w:val="22"/>
          </w:rPr>
          <w:fldChar w:fldCharType="begin"/>
        </w:r>
        <w:r w:rsidR="009163AE" w:rsidRPr="000E5E1F">
          <w:rPr>
            <w:noProof/>
            <w:webHidden/>
            <w:sz w:val="22"/>
          </w:rPr>
          <w:instrText xml:space="preserve"> PAGEREF _Toc150443423 \h </w:instrText>
        </w:r>
        <w:r w:rsidR="009163AE" w:rsidRPr="000E5E1F">
          <w:rPr>
            <w:noProof/>
            <w:webHidden/>
            <w:sz w:val="22"/>
          </w:rPr>
        </w:r>
        <w:r w:rsidR="009163AE" w:rsidRPr="000E5E1F">
          <w:rPr>
            <w:noProof/>
            <w:webHidden/>
            <w:sz w:val="22"/>
          </w:rPr>
          <w:fldChar w:fldCharType="separate"/>
        </w:r>
        <w:r w:rsidR="005A69ED">
          <w:rPr>
            <w:noProof/>
            <w:webHidden/>
            <w:sz w:val="22"/>
          </w:rPr>
          <w:t>47</w:t>
        </w:r>
        <w:r w:rsidR="009163AE" w:rsidRPr="000E5E1F">
          <w:rPr>
            <w:noProof/>
            <w:webHidden/>
            <w:sz w:val="22"/>
          </w:rPr>
          <w:fldChar w:fldCharType="end"/>
        </w:r>
      </w:hyperlink>
    </w:p>
    <w:p w:rsidR="009163AE" w:rsidRPr="000E5E1F" w:rsidRDefault="00A96BF2" w:rsidP="00BC3E33">
      <w:pPr>
        <w:pStyle w:val="TableofFigures"/>
        <w:tabs>
          <w:tab w:val="left" w:pos="1134"/>
          <w:tab w:val="left" w:pos="1367"/>
          <w:tab w:val="right" w:leader="dot" w:pos="9060"/>
        </w:tabs>
        <w:ind w:left="1170" w:hanging="1170"/>
        <w:rPr>
          <w:rFonts w:asciiTheme="minorHAnsi" w:eastAsiaTheme="minorEastAsia" w:hAnsiTheme="minorHAnsi"/>
          <w:noProof/>
          <w:sz w:val="22"/>
          <w:lang w:eastAsia="bg-BG"/>
        </w:rPr>
      </w:pPr>
      <w:hyperlink w:anchor="_Toc150443424" w:history="1">
        <w:r w:rsidR="009163AE" w:rsidRPr="000E5E1F">
          <w:rPr>
            <w:rStyle w:val="Hyperlink"/>
            <w:rFonts w:eastAsiaTheme="majorEastAsia"/>
            <w:noProof/>
            <w:sz w:val="22"/>
          </w:rPr>
          <w:t>Табл. III</w:t>
        </w:r>
        <w:r w:rsidR="009163AE" w:rsidRPr="000E5E1F">
          <w:rPr>
            <w:rStyle w:val="Hyperlink"/>
            <w:rFonts w:eastAsiaTheme="majorEastAsia"/>
            <w:noProof/>
            <w:sz w:val="22"/>
          </w:rPr>
          <w:noBreakHyphen/>
          <w:t>1:</w:t>
        </w:r>
        <w:r w:rsidR="009163AE" w:rsidRPr="000E5E1F">
          <w:rPr>
            <w:rFonts w:asciiTheme="minorHAnsi" w:eastAsiaTheme="minorEastAsia" w:hAnsiTheme="minorHAnsi"/>
            <w:noProof/>
            <w:sz w:val="22"/>
            <w:lang w:eastAsia="bg-BG"/>
          </w:rPr>
          <w:tab/>
        </w:r>
        <w:r w:rsidR="009163AE" w:rsidRPr="000E5E1F">
          <w:rPr>
            <w:rStyle w:val="Hyperlink"/>
            <w:rFonts w:eastAsiaTheme="majorEastAsia" w:cs="Calibri"/>
            <w:noProof/>
            <w:sz w:val="22"/>
          </w:rPr>
          <w:t>Разходи по функции по КФП за периода 2023-2026 г. с разпределен резерв по функции (без вноска в общия бюджет на ЕС)</w:t>
        </w:r>
        <w:r w:rsidR="009163AE" w:rsidRPr="000E5E1F">
          <w:rPr>
            <w:noProof/>
            <w:webHidden/>
            <w:sz w:val="22"/>
          </w:rPr>
          <w:tab/>
        </w:r>
        <w:r w:rsidR="009163AE" w:rsidRPr="000E5E1F">
          <w:rPr>
            <w:noProof/>
            <w:webHidden/>
            <w:sz w:val="22"/>
          </w:rPr>
          <w:fldChar w:fldCharType="begin"/>
        </w:r>
        <w:r w:rsidR="009163AE" w:rsidRPr="000E5E1F">
          <w:rPr>
            <w:noProof/>
            <w:webHidden/>
            <w:sz w:val="22"/>
          </w:rPr>
          <w:instrText xml:space="preserve"> PAGEREF _Toc150443424 \h </w:instrText>
        </w:r>
        <w:r w:rsidR="009163AE" w:rsidRPr="000E5E1F">
          <w:rPr>
            <w:noProof/>
            <w:webHidden/>
            <w:sz w:val="22"/>
          </w:rPr>
        </w:r>
        <w:r w:rsidR="009163AE" w:rsidRPr="000E5E1F">
          <w:rPr>
            <w:noProof/>
            <w:webHidden/>
            <w:sz w:val="22"/>
          </w:rPr>
          <w:fldChar w:fldCharType="separate"/>
        </w:r>
        <w:r w:rsidR="005A69ED">
          <w:rPr>
            <w:noProof/>
            <w:webHidden/>
            <w:sz w:val="22"/>
          </w:rPr>
          <w:t>75</w:t>
        </w:r>
        <w:r w:rsidR="009163AE" w:rsidRPr="000E5E1F">
          <w:rPr>
            <w:noProof/>
            <w:webHidden/>
            <w:sz w:val="22"/>
          </w:rPr>
          <w:fldChar w:fldCharType="end"/>
        </w:r>
      </w:hyperlink>
    </w:p>
    <w:p w:rsidR="009163AE" w:rsidRPr="000E5E1F" w:rsidRDefault="00A96BF2" w:rsidP="000E5E1F">
      <w:pPr>
        <w:pStyle w:val="TableofFigures"/>
        <w:tabs>
          <w:tab w:val="left" w:pos="1134"/>
          <w:tab w:val="left" w:pos="1341"/>
          <w:tab w:val="right" w:leader="dot" w:pos="9060"/>
        </w:tabs>
        <w:rPr>
          <w:rFonts w:asciiTheme="minorHAnsi" w:eastAsiaTheme="minorEastAsia" w:hAnsiTheme="minorHAnsi"/>
          <w:noProof/>
          <w:sz w:val="22"/>
          <w:lang w:eastAsia="bg-BG"/>
        </w:rPr>
      </w:pPr>
      <w:hyperlink w:anchor="_Toc150443425" w:history="1">
        <w:r w:rsidR="009163AE" w:rsidRPr="000E5E1F">
          <w:rPr>
            <w:rStyle w:val="Hyperlink"/>
            <w:rFonts w:eastAsiaTheme="majorEastAsia"/>
            <w:noProof/>
            <w:sz w:val="22"/>
          </w:rPr>
          <w:t>Табл. III</w:t>
        </w:r>
        <w:r w:rsidR="009163AE" w:rsidRPr="000E5E1F">
          <w:rPr>
            <w:rStyle w:val="Hyperlink"/>
            <w:rFonts w:eastAsiaTheme="majorEastAsia"/>
            <w:noProof/>
            <w:sz w:val="22"/>
          </w:rPr>
          <w:noBreakHyphen/>
          <w:t>2:</w:t>
        </w:r>
        <w:r w:rsidR="009163AE" w:rsidRPr="000E5E1F">
          <w:rPr>
            <w:rFonts w:asciiTheme="minorHAnsi" w:eastAsiaTheme="minorEastAsia" w:hAnsiTheme="minorHAnsi"/>
            <w:noProof/>
            <w:sz w:val="22"/>
            <w:lang w:eastAsia="bg-BG"/>
          </w:rPr>
          <w:tab/>
        </w:r>
        <w:r w:rsidR="009163AE" w:rsidRPr="000E5E1F">
          <w:rPr>
            <w:rStyle w:val="Hyperlink"/>
            <w:rFonts w:eastAsiaTheme="majorEastAsia"/>
            <w:noProof/>
            <w:sz w:val="22"/>
          </w:rPr>
          <w:t>Разходи за отбрана за периода 2023-2026 г.</w:t>
        </w:r>
        <w:r w:rsidR="009163AE" w:rsidRPr="000E5E1F">
          <w:rPr>
            <w:noProof/>
            <w:webHidden/>
            <w:sz w:val="22"/>
          </w:rPr>
          <w:tab/>
        </w:r>
        <w:r w:rsidR="009163AE" w:rsidRPr="000E5E1F">
          <w:rPr>
            <w:noProof/>
            <w:webHidden/>
            <w:sz w:val="22"/>
          </w:rPr>
          <w:fldChar w:fldCharType="begin"/>
        </w:r>
        <w:r w:rsidR="009163AE" w:rsidRPr="000E5E1F">
          <w:rPr>
            <w:noProof/>
            <w:webHidden/>
            <w:sz w:val="22"/>
          </w:rPr>
          <w:instrText xml:space="preserve"> PAGEREF _Toc150443425 \h </w:instrText>
        </w:r>
        <w:r w:rsidR="009163AE" w:rsidRPr="000E5E1F">
          <w:rPr>
            <w:noProof/>
            <w:webHidden/>
            <w:sz w:val="22"/>
          </w:rPr>
        </w:r>
        <w:r w:rsidR="009163AE" w:rsidRPr="000E5E1F">
          <w:rPr>
            <w:noProof/>
            <w:webHidden/>
            <w:sz w:val="22"/>
          </w:rPr>
          <w:fldChar w:fldCharType="separate"/>
        </w:r>
        <w:r w:rsidR="005A69ED">
          <w:rPr>
            <w:noProof/>
            <w:webHidden/>
            <w:sz w:val="22"/>
          </w:rPr>
          <w:t>98</w:t>
        </w:r>
        <w:r w:rsidR="009163AE" w:rsidRPr="000E5E1F">
          <w:rPr>
            <w:noProof/>
            <w:webHidden/>
            <w:sz w:val="22"/>
          </w:rPr>
          <w:fldChar w:fldCharType="end"/>
        </w:r>
      </w:hyperlink>
    </w:p>
    <w:p w:rsidR="009163AE" w:rsidRPr="000E5E1F" w:rsidRDefault="00A96BF2" w:rsidP="005E18EA">
      <w:pPr>
        <w:pStyle w:val="TableofFigures"/>
        <w:tabs>
          <w:tab w:val="left" w:pos="1134"/>
          <w:tab w:val="left" w:pos="1367"/>
          <w:tab w:val="right" w:leader="dot" w:pos="9060"/>
        </w:tabs>
        <w:ind w:left="1134" w:hanging="1134"/>
        <w:rPr>
          <w:rFonts w:asciiTheme="minorHAnsi" w:eastAsiaTheme="minorEastAsia" w:hAnsiTheme="minorHAnsi"/>
          <w:noProof/>
          <w:sz w:val="22"/>
          <w:lang w:eastAsia="bg-BG"/>
        </w:rPr>
      </w:pPr>
      <w:hyperlink w:anchor="_Toc150443426" w:history="1">
        <w:r w:rsidR="009163AE" w:rsidRPr="000E5E1F">
          <w:rPr>
            <w:rStyle w:val="Hyperlink"/>
            <w:rFonts w:eastAsiaTheme="majorEastAsia"/>
            <w:noProof/>
            <w:sz w:val="22"/>
          </w:rPr>
          <w:t>Табл. IV</w:t>
        </w:r>
        <w:r w:rsidR="009163AE" w:rsidRPr="000E5E1F">
          <w:rPr>
            <w:rStyle w:val="Hyperlink"/>
            <w:rFonts w:eastAsiaTheme="majorEastAsia"/>
            <w:noProof/>
            <w:sz w:val="22"/>
          </w:rPr>
          <w:noBreakHyphen/>
          <w:t>1:</w:t>
        </w:r>
        <w:r w:rsidR="009163AE" w:rsidRPr="000E5E1F">
          <w:rPr>
            <w:rFonts w:asciiTheme="minorHAnsi" w:eastAsiaTheme="minorEastAsia" w:hAnsiTheme="minorHAnsi"/>
            <w:noProof/>
            <w:sz w:val="22"/>
            <w:lang w:eastAsia="bg-BG"/>
          </w:rPr>
          <w:tab/>
        </w:r>
        <w:r w:rsidR="009163AE" w:rsidRPr="000E5E1F">
          <w:rPr>
            <w:rStyle w:val="Hyperlink"/>
            <w:rFonts w:eastAsiaTheme="majorEastAsia"/>
            <w:noProof/>
            <w:sz w:val="22"/>
          </w:rPr>
          <w:t>Основни бюджетни взаимоотношения на общините с централния бюджет за периода 2024-2026 г. (в хил. лв.)</w:t>
        </w:r>
        <w:r w:rsidR="009163AE" w:rsidRPr="000E5E1F">
          <w:rPr>
            <w:noProof/>
            <w:webHidden/>
            <w:sz w:val="22"/>
          </w:rPr>
          <w:tab/>
        </w:r>
        <w:r w:rsidR="009163AE" w:rsidRPr="000E5E1F">
          <w:rPr>
            <w:noProof/>
            <w:webHidden/>
            <w:sz w:val="22"/>
          </w:rPr>
          <w:fldChar w:fldCharType="begin"/>
        </w:r>
        <w:r w:rsidR="009163AE" w:rsidRPr="000E5E1F">
          <w:rPr>
            <w:noProof/>
            <w:webHidden/>
            <w:sz w:val="22"/>
          </w:rPr>
          <w:instrText xml:space="preserve"> PAGEREF _Toc150443426 \h </w:instrText>
        </w:r>
        <w:r w:rsidR="009163AE" w:rsidRPr="000E5E1F">
          <w:rPr>
            <w:noProof/>
            <w:webHidden/>
            <w:sz w:val="22"/>
          </w:rPr>
        </w:r>
        <w:r w:rsidR="009163AE" w:rsidRPr="000E5E1F">
          <w:rPr>
            <w:noProof/>
            <w:webHidden/>
            <w:sz w:val="22"/>
          </w:rPr>
          <w:fldChar w:fldCharType="separate"/>
        </w:r>
        <w:r w:rsidR="005A69ED">
          <w:rPr>
            <w:noProof/>
            <w:webHidden/>
            <w:sz w:val="22"/>
          </w:rPr>
          <w:t>188</w:t>
        </w:r>
        <w:r w:rsidR="009163AE" w:rsidRPr="000E5E1F">
          <w:rPr>
            <w:noProof/>
            <w:webHidden/>
            <w:sz w:val="22"/>
          </w:rPr>
          <w:fldChar w:fldCharType="end"/>
        </w:r>
      </w:hyperlink>
    </w:p>
    <w:p w:rsidR="009163AE" w:rsidRPr="000E5E1F" w:rsidRDefault="00A96BF2" w:rsidP="000E5E1F">
      <w:pPr>
        <w:pStyle w:val="TableofFigures"/>
        <w:tabs>
          <w:tab w:val="left" w:pos="1134"/>
          <w:tab w:val="left" w:pos="1276"/>
          <w:tab w:val="right" w:leader="dot" w:pos="9060"/>
        </w:tabs>
        <w:rPr>
          <w:rFonts w:asciiTheme="minorHAnsi" w:eastAsiaTheme="minorEastAsia" w:hAnsiTheme="minorHAnsi"/>
          <w:noProof/>
          <w:sz w:val="22"/>
          <w:lang w:eastAsia="bg-BG"/>
        </w:rPr>
      </w:pPr>
      <w:hyperlink w:anchor="_Toc150443427" w:history="1">
        <w:r w:rsidR="009163AE" w:rsidRPr="000E5E1F">
          <w:rPr>
            <w:rStyle w:val="Hyperlink"/>
            <w:rFonts w:eastAsiaTheme="majorEastAsia"/>
            <w:noProof/>
            <w:sz w:val="22"/>
          </w:rPr>
          <w:t>Табл. V</w:t>
        </w:r>
        <w:r w:rsidR="009163AE" w:rsidRPr="000E5E1F">
          <w:rPr>
            <w:rStyle w:val="Hyperlink"/>
            <w:rFonts w:eastAsiaTheme="majorEastAsia"/>
            <w:noProof/>
            <w:sz w:val="22"/>
          </w:rPr>
          <w:noBreakHyphen/>
          <w:t>1:</w:t>
        </w:r>
        <w:r w:rsidR="009163AE" w:rsidRPr="000E5E1F">
          <w:rPr>
            <w:rFonts w:asciiTheme="minorHAnsi" w:eastAsiaTheme="minorEastAsia" w:hAnsiTheme="minorHAnsi"/>
            <w:noProof/>
            <w:sz w:val="22"/>
            <w:lang w:eastAsia="bg-BG"/>
          </w:rPr>
          <w:tab/>
        </w:r>
        <w:r w:rsidR="009163AE" w:rsidRPr="000E5E1F">
          <w:rPr>
            <w:rStyle w:val="Hyperlink"/>
            <w:rFonts w:eastAsiaTheme="majorEastAsia"/>
            <w:noProof/>
            <w:sz w:val="22"/>
          </w:rPr>
          <w:t>Разходи и плащания за селскостопанската политика за периода 2024-2026 г.</w:t>
        </w:r>
        <w:r w:rsidR="009163AE" w:rsidRPr="000E5E1F">
          <w:rPr>
            <w:noProof/>
            <w:webHidden/>
            <w:sz w:val="22"/>
          </w:rPr>
          <w:tab/>
        </w:r>
        <w:r w:rsidR="001F479A" w:rsidRPr="000E5E1F">
          <w:rPr>
            <w:noProof/>
            <w:webHidden/>
            <w:sz w:val="22"/>
          </w:rPr>
          <w:tab/>
        </w:r>
        <w:r w:rsidR="000E5E1F">
          <w:rPr>
            <w:noProof/>
            <w:webHidden/>
            <w:sz w:val="22"/>
          </w:rPr>
          <w:tab/>
        </w:r>
        <w:r w:rsidR="000E5E1F">
          <w:rPr>
            <w:noProof/>
            <w:webHidden/>
            <w:sz w:val="22"/>
          </w:rPr>
          <w:tab/>
        </w:r>
        <w:r w:rsidR="009163AE" w:rsidRPr="000E5E1F">
          <w:rPr>
            <w:noProof/>
            <w:webHidden/>
            <w:sz w:val="22"/>
          </w:rPr>
          <w:fldChar w:fldCharType="begin"/>
        </w:r>
        <w:r w:rsidR="009163AE" w:rsidRPr="000E5E1F">
          <w:rPr>
            <w:noProof/>
            <w:webHidden/>
            <w:sz w:val="22"/>
          </w:rPr>
          <w:instrText xml:space="preserve"> PAGEREF _Toc150443427 \h </w:instrText>
        </w:r>
        <w:r w:rsidR="009163AE" w:rsidRPr="000E5E1F">
          <w:rPr>
            <w:noProof/>
            <w:webHidden/>
            <w:sz w:val="22"/>
          </w:rPr>
        </w:r>
        <w:r w:rsidR="009163AE" w:rsidRPr="000E5E1F">
          <w:rPr>
            <w:noProof/>
            <w:webHidden/>
            <w:sz w:val="22"/>
          </w:rPr>
          <w:fldChar w:fldCharType="separate"/>
        </w:r>
        <w:r w:rsidR="005A69ED">
          <w:rPr>
            <w:noProof/>
            <w:webHidden/>
            <w:sz w:val="22"/>
          </w:rPr>
          <w:t>201</w:t>
        </w:r>
        <w:r w:rsidR="009163AE" w:rsidRPr="000E5E1F">
          <w:rPr>
            <w:noProof/>
            <w:webHidden/>
            <w:sz w:val="22"/>
          </w:rPr>
          <w:fldChar w:fldCharType="end"/>
        </w:r>
      </w:hyperlink>
    </w:p>
    <w:p w:rsidR="009163AE" w:rsidRPr="000E5E1F" w:rsidRDefault="00A96BF2" w:rsidP="000E5E1F">
      <w:pPr>
        <w:pStyle w:val="TableofFigures"/>
        <w:tabs>
          <w:tab w:val="left" w:pos="1134"/>
          <w:tab w:val="left" w:pos="1276"/>
          <w:tab w:val="right" w:leader="dot" w:pos="9060"/>
        </w:tabs>
        <w:rPr>
          <w:rFonts w:asciiTheme="minorHAnsi" w:eastAsiaTheme="minorEastAsia" w:hAnsiTheme="minorHAnsi"/>
          <w:noProof/>
          <w:sz w:val="22"/>
          <w:lang w:eastAsia="bg-BG"/>
        </w:rPr>
      </w:pPr>
      <w:hyperlink w:anchor="_Toc150443428" w:history="1">
        <w:r w:rsidR="009163AE" w:rsidRPr="000E5E1F">
          <w:rPr>
            <w:rStyle w:val="Hyperlink"/>
            <w:rFonts w:eastAsiaTheme="majorEastAsia"/>
            <w:noProof/>
            <w:sz w:val="22"/>
          </w:rPr>
          <w:t>Табл. V</w:t>
        </w:r>
        <w:r w:rsidR="009163AE" w:rsidRPr="000E5E1F">
          <w:rPr>
            <w:rStyle w:val="Hyperlink"/>
            <w:rFonts w:eastAsiaTheme="majorEastAsia"/>
            <w:noProof/>
            <w:sz w:val="22"/>
          </w:rPr>
          <w:noBreakHyphen/>
          <w:t>2:</w:t>
        </w:r>
        <w:r w:rsidR="009163AE" w:rsidRPr="000E5E1F">
          <w:rPr>
            <w:rFonts w:asciiTheme="minorHAnsi" w:eastAsiaTheme="minorEastAsia" w:hAnsiTheme="minorHAnsi"/>
            <w:noProof/>
            <w:sz w:val="22"/>
            <w:lang w:eastAsia="bg-BG"/>
          </w:rPr>
          <w:tab/>
        </w:r>
        <w:r w:rsidR="009163AE" w:rsidRPr="000E5E1F">
          <w:rPr>
            <w:rStyle w:val="Hyperlink"/>
            <w:rFonts w:eastAsiaTheme="majorEastAsia" w:cs="Calibri"/>
            <w:noProof/>
            <w:sz w:val="22"/>
          </w:rPr>
          <w:t>Разходи и плащания за рибарската политика за периода 2024-2026 г.</w:t>
        </w:r>
        <w:r w:rsidR="009163AE" w:rsidRPr="000E5E1F">
          <w:rPr>
            <w:noProof/>
            <w:webHidden/>
            <w:sz w:val="22"/>
          </w:rPr>
          <w:tab/>
        </w:r>
        <w:r w:rsidR="009163AE" w:rsidRPr="000E5E1F">
          <w:rPr>
            <w:noProof/>
            <w:webHidden/>
            <w:sz w:val="22"/>
          </w:rPr>
          <w:fldChar w:fldCharType="begin"/>
        </w:r>
        <w:r w:rsidR="009163AE" w:rsidRPr="000E5E1F">
          <w:rPr>
            <w:noProof/>
            <w:webHidden/>
            <w:sz w:val="22"/>
          </w:rPr>
          <w:instrText xml:space="preserve"> PAGEREF _Toc150443428 \h </w:instrText>
        </w:r>
        <w:r w:rsidR="009163AE" w:rsidRPr="000E5E1F">
          <w:rPr>
            <w:noProof/>
            <w:webHidden/>
            <w:sz w:val="22"/>
          </w:rPr>
        </w:r>
        <w:r w:rsidR="009163AE" w:rsidRPr="000E5E1F">
          <w:rPr>
            <w:noProof/>
            <w:webHidden/>
            <w:sz w:val="22"/>
          </w:rPr>
          <w:fldChar w:fldCharType="separate"/>
        </w:r>
        <w:r w:rsidR="005A69ED">
          <w:rPr>
            <w:noProof/>
            <w:webHidden/>
            <w:sz w:val="22"/>
          </w:rPr>
          <w:t>201</w:t>
        </w:r>
        <w:r w:rsidR="009163AE" w:rsidRPr="000E5E1F">
          <w:rPr>
            <w:noProof/>
            <w:webHidden/>
            <w:sz w:val="22"/>
          </w:rPr>
          <w:fldChar w:fldCharType="end"/>
        </w:r>
      </w:hyperlink>
    </w:p>
    <w:p w:rsidR="009163AE" w:rsidRPr="000E5E1F" w:rsidRDefault="00A96BF2" w:rsidP="000E5E1F">
      <w:pPr>
        <w:pStyle w:val="TableofFigures"/>
        <w:tabs>
          <w:tab w:val="left" w:pos="1134"/>
          <w:tab w:val="left" w:pos="1355"/>
          <w:tab w:val="right" w:leader="dot" w:pos="9060"/>
        </w:tabs>
        <w:rPr>
          <w:rFonts w:asciiTheme="minorHAnsi" w:eastAsiaTheme="minorEastAsia" w:hAnsiTheme="minorHAnsi"/>
          <w:noProof/>
          <w:sz w:val="22"/>
          <w:lang w:eastAsia="bg-BG"/>
        </w:rPr>
      </w:pPr>
      <w:hyperlink w:anchor="_Toc150443429" w:history="1">
        <w:r w:rsidR="009163AE" w:rsidRPr="000E5E1F">
          <w:rPr>
            <w:rStyle w:val="Hyperlink"/>
            <w:rFonts w:eastAsiaTheme="majorEastAsia"/>
            <w:noProof/>
            <w:sz w:val="22"/>
          </w:rPr>
          <w:t>Табл. VI</w:t>
        </w:r>
        <w:r w:rsidR="009163AE" w:rsidRPr="000E5E1F">
          <w:rPr>
            <w:rStyle w:val="Hyperlink"/>
            <w:rFonts w:eastAsiaTheme="majorEastAsia"/>
            <w:noProof/>
            <w:sz w:val="22"/>
          </w:rPr>
          <w:noBreakHyphen/>
          <w:t>1:</w:t>
        </w:r>
        <w:r w:rsidR="009163AE" w:rsidRPr="000E5E1F">
          <w:rPr>
            <w:rFonts w:asciiTheme="minorHAnsi" w:eastAsiaTheme="minorEastAsia" w:hAnsiTheme="minorHAnsi"/>
            <w:noProof/>
            <w:sz w:val="22"/>
            <w:lang w:eastAsia="bg-BG"/>
          </w:rPr>
          <w:tab/>
        </w:r>
        <w:r w:rsidR="009163AE" w:rsidRPr="000E5E1F">
          <w:rPr>
            <w:rStyle w:val="Hyperlink"/>
            <w:rFonts w:eastAsiaTheme="majorEastAsia" w:cs="Calibri"/>
            <w:noProof/>
            <w:sz w:val="22"/>
          </w:rPr>
          <w:t>Държавен дълг – показатели за вътрешен и външен дълг</w:t>
        </w:r>
        <w:r w:rsidR="009163AE" w:rsidRPr="000E5E1F">
          <w:rPr>
            <w:noProof/>
            <w:webHidden/>
            <w:sz w:val="22"/>
          </w:rPr>
          <w:tab/>
        </w:r>
        <w:r w:rsidR="009163AE" w:rsidRPr="000E5E1F">
          <w:rPr>
            <w:noProof/>
            <w:webHidden/>
            <w:sz w:val="22"/>
          </w:rPr>
          <w:fldChar w:fldCharType="begin"/>
        </w:r>
        <w:r w:rsidR="009163AE" w:rsidRPr="000E5E1F">
          <w:rPr>
            <w:noProof/>
            <w:webHidden/>
            <w:sz w:val="22"/>
          </w:rPr>
          <w:instrText xml:space="preserve"> PAGEREF _Toc150443429 \h </w:instrText>
        </w:r>
        <w:r w:rsidR="009163AE" w:rsidRPr="000E5E1F">
          <w:rPr>
            <w:noProof/>
            <w:webHidden/>
            <w:sz w:val="22"/>
          </w:rPr>
        </w:r>
        <w:r w:rsidR="009163AE" w:rsidRPr="000E5E1F">
          <w:rPr>
            <w:noProof/>
            <w:webHidden/>
            <w:sz w:val="22"/>
          </w:rPr>
          <w:fldChar w:fldCharType="separate"/>
        </w:r>
        <w:r w:rsidR="005A69ED">
          <w:rPr>
            <w:noProof/>
            <w:webHidden/>
            <w:sz w:val="22"/>
          </w:rPr>
          <w:t>212</w:t>
        </w:r>
        <w:r w:rsidR="009163AE" w:rsidRPr="000E5E1F">
          <w:rPr>
            <w:noProof/>
            <w:webHidden/>
            <w:sz w:val="22"/>
          </w:rPr>
          <w:fldChar w:fldCharType="end"/>
        </w:r>
      </w:hyperlink>
    </w:p>
    <w:p w:rsidR="009163AE" w:rsidRPr="000E5E1F" w:rsidRDefault="00A96BF2" w:rsidP="000E5E1F">
      <w:pPr>
        <w:pStyle w:val="TableofFigures"/>
        <w:tabs>
          <w:tab w:val="left" w:pos="1134"/>
          <w:tab w:val="left" w:pos="1355"/>
          <w:tab w:val="right" w:leader="dot" w:pos="9060"/>
        </w:tabs>
        <w:rPr>
          <w:rFonts w:asciiTheme="minorHAnsi" w:eastAsiaTheme="minorEastAsia" w:hAnsiTheme="minorHAnsi"/>
          <w:noProof/>
          <w:sz w:val="22"/>
          <w:lang w:eastAsia="bg-BG"/>
        </w:rPr>
      </w:pPr>
      <w:hyperlink w:anchor="_Toc150443430" w:history="1">
        <w:r w:rsidR="009163AE" w:rsidRPr="000E5E1F">
          <w:rPr>
            <w:rStyle w:val="Hyperlink"/>
            <w:rFonts w:eastAsiaTheme="majorEastAsia"/>
            <w:noProof/>
            <w:sz w:val="22"/>
          </w:rPr>
          <w:t>Табл. VI</w:t>
        </w:r>
        <w:r w:rsidR="009163AE" w:rsidRPr="000E5E1F">
          <w:rPr>
            <w:rStyle w:val="Hyperlink"/>
            <w:rFonts w:eastAsiaTheme="majorEastAsia"/>
            <w:noProof/>
            <w:sz w:val="22"/>
          </w:rPr>
          <w:noBreakHyphen/>
          <w:t>2:</w:t>
        </w:r>
        <w:r w:rsidR="009163AE" w:rsidRPr="000E5E1F">
          <w:rPr>
            <w:rFonts w:asciiTheme="minorHAnsi" w:eastAsiaTheme="minorEastAsia" w:hAnsiTheme="minorHAnsi"/>
            <w:noProof/>
            <w:sz w:val="22"/>
            <w:lang w:eastAsia="bg-BG"/>
          </w:rPr>
          <w:tab/>
        </w:r>
        <w:r w:rsidR="009163AE" w:rsidRPr="000E5E1F">
          <w:rPr>
            <w:rStyle w:val="Hyperlink"/>
            <w:rFonts w:eastAsiaTheme="majorEastAsia"/>
            <w:noProof/>
            <w:sz w:val="22"/>
          </w:rPr>
          <w:t>Структура на държавния дълг за периода 2022-2026 г.</w:t>
        </w:r>
        <w:r w:rsidR="009163AE" w:rsidRPr="000E5E1F">
          <w:rPr>
            <w:noProof/>
            <w:webHidden/>
            <w:sz w:val="22"/>
          </w:rPr>
          <w:tab/>
        </w:r>
        <w:r w:rsidR="009163AE" w:rsidRPr="000E5E1F">
          <w:rPr>
            <w:noProof/>
            <w:webHidden/>
            <w:sz w:val="22"/>
          </w:rPr>
          <w:fldChar w:fldCharType="begin"/>
        </w:r>
        <w:r w:rsidR="009163AE" w:rsidRPr="000E5E1F">
          <w:rPr>
            <w:noProof/>
            <w:webHidden/>
            <w:sz w:val="22"/>
          </w:rPr>
          <w:instrText xml:space="preserve"> PAGEREF _Toc150443430 \h </w:instrText>
        </w:r>
        <w:r w:rsidR="009163AE" w:rsidRPr="000E5E1F">
          <w:rPr>
            <w:noProof/>
            <w:webHidden/>
            <w:sz w:val="22"/>
          </w:rPr>
        </w:r>
        <w:r w:rsidR="009163AE" w:rsidRPr="000E5E1F">
          <w:rPr>
            <w:noProof/>
            <w:webHidden/>
            <w:sz w:val="22"/>
          </w:rPr>
          <w:fldChar w:fldCharType="separate"/>
        </w:r>
        <w:r w:rsidR="005A69ED">
          <w:rPr>
            <w:noProof/>
            <w:webHidden/>
            <w:sz w:val="22"/>
          </w:rPr>
          <w:t>212</w:t>
        </w:r>
        <w:r w:rsidR="009163AE" w:rsidRPr="000E5E1F">
          <w:rPr>
            <w:noProof/>
            <w:webHidden/>
            <w:sz w:val="22"/>
          </w:rPr>
          <w:fldChar w:fldCharType="end"/>
        </w:r>
      </w:hyperlink>
    </w:p>
    <w:p w:rsidR="009163AE" w:rsidRPr="000E5E1F" w:rsidRDefault="00A96BF2" w:rsidP="000E5E1F">
      <w:pPr>
        <w:pStyle w:val="TableofFigures"/>
        <w:tabs>
          <w:tab w:val="left" w:pos="1134"/>
          <w:tab w:val="left" w:pos="1435"/>
          <w:tab w:val="right" w:leader="dot" w:pos="9060"/>
        </w:tabs>
        <w:rPr>
          <w:rFonts w:asciiTheme="minorHAnsi" w:eastAsiaTheme="minorEastAsia" w:hAnsiTheme="minorHAnsi"/>
          <w:noProof/>
          <w:sz w:val="22"/>
          <w:lang w:eastAsia="bg-BG"/>
        </w:rPr>
      </w:pPr>
      <w:hyperlink w:anchor="_Toc150443431" w:history="1">
        <w:r w:rsidR="009163AE" w:rsidRPr="000E5E1F">
          <w:rPr>
            <w:rStyle w:val="Hyperlink"/>
            <w:rFonts w:eastAsiaTheme="majorEastAsia"/>
            <w:noProof/>
            <w:sz w:val="22"/>
          </w:rPr>
          <w:t>Табл. VII</w:t>
        </w:r>
        <w:r w:rsidR="009163AE" w:rsidRPr="000E5E1F">
          <w:rPr>
            <w:rStyle w:val="Hyperlink"/>
            <w:rFonts w:eastAsiaTheme="majorEastAsia"/>
            <w:noProof/>
            <w:sz w:val="22"/>
          </w:rPr>
          <w:noBreakHyphen/>
          <w:t>1:</w:t>
        </w:r>
        <w:r w:rsidR="009163AE" w:rsidRPr="000E5E1F">
          <w:rPr>
            <w:rFonts w:asciiTheme="minorHAnsi" w:eastAsiaTheme="minorEastAsia" w:hAnsiTheme="minorHAnsi"/>
            <w:noProof/>
            <w:sz w:val="22"/>
            <w:lang w:eastAsia="bg-BG"/>
          </w:rPr>
          <w:tab/>
        </w:r>
        <w:r w:rsidR="009163AE" w:rsidRPr="000E5E1F">
          <w:rPr>
            <w:rStyle w:val="Hyperlink"/>
            <w:rFonts w:eastAsia="MS Mincho"/>
            <w:noProof/>
            <w:sz w:val="22"/>
            <w:lang w:eastAsia="ar-SA"/>
          </w:rPr>
          <w:t>Индикатори за устойчивост</w:t>
        </w:r>
        <w:r w:rsidR="009163AE" w:rsidRPr="000E5E1F">
          <w:rPr>
            <w:noProof/>
            <w:webHidden/>
            <w:sz w:val="22"/>
          </w:rPr>
          <w:tab/>
        </w:r>
        <w:r w:rsidR="009163AE" w:rsidRPr="000E5E1F">
          <w:rPr>
            <w:noProof/>
            <w:webHidden/>
            <w:sz w:val="22"/>
          </w:rPr>
          <w:fldChar w:fldCharType="begin"/>
        </w:r>
        <w:r w:rsidR="009163AE" w:rsidRPr="000E5E1F">
          <w:rPr>
            <w:noProof/>
            <w:webHidden/>
            <w:sz w:val="22"/>
          </w:rPr>
          <w:instrText xml:space="preserve"> PAGEREF _Toc150443431 \h </w:instrText>
        </w:r>
        <w:r w:rsidR="009163AE" w:rsidRPr="000E5E1F">
          <w:rPr>
            <w:noProof/>
            <w:webHidden/>
            <w:sz w:val="22"/>
          </w:rPr>
        </w:r>
        <w:r w:rsidR="009163AE" w:rsidRPr="000E5E1F">
          <w:rPr>
            <w:noProof/>
            <w:webHidden/>
            <w:sz w:val="22"/>
          </w:rPr>
          <w:fldChar w:fldCharType="separate"/>
        </w:r>
        <w:r w:rsidR="005A69ED">
          <w:rPr>
            <w:noProof/>
            <w:webHidden/>
            <w:sz w:val="22"/>
          </w:rPr>
          <w:t>219</w:t>
        </w:r>
        <w:r w:rsidR="009163AE" w:rsidRPr="000E5E1F">
          <w:rPr>
            <w:noProof/>
            <w:webHidden/>
            <w:sz w:val="22"/>
          </w:rPr>
          <w:fldChar w:fldCharType="end"/>
        </w:r>
      </w:hyperlink>
    </w:p>
    <w:p w:rsidR="009163AE" w:rsidRPr="000E5E1F" w:rsidRDefault="00A96BF2" w:rsidP="00BC3E33">
      <w:pPr>
        <w:pStyle w:val="TableofFigures"/>
        <w:tabs>
          <w:tab w:val="left" w:pos="1134"/>
          <w:tab w:val="left" w:pos="1560"/>
          <w:tab w:val="right" w:leader="dot" w:pos="9060"/>
        </w:tabs>
        <w:ind w:left="1170" w:hanging="1170"/>
        <w:rPr>
          <w:rFonts w:asciiTheme="minorHAnsi" w:eastAsiaTheme="minorEastAsia" w:hAnsiTheme="minorHAnsi"/>
          <w:noProof/>
          <w:sz w:val="22"/>
          <w:lang w:eastAsia="bg-BG"/>
        </w:rPr>
      </w:pPr>
      <w:hyperlink w:anchor="_Toc150443432" w:history="1">
        <w:r w:rsidR="009163AE" w:rsidRPr="000E5E1F">
          <w:rPr>
            <w:rStyle w:val="Hyperlink"/>
            <w:rFonts w:eastAsiaTheme="majorEastAsia"/>
            <w:noProof/>
            <w:sz w:val="22"/>
          </w:rPr>
          <w:t>Табл. VII</w:t>
        </w:r>
        <w:r w:rsidR="009163AE" w:rsidRPr="000E5E1F">
          <w:rPr>
            <w:rStyle w:val="Hyperlink"/>
            <w:rFonts w:eastAsiaTheme="majorEastAsia"/>
            <w:noProof/>
            <w:sz w:val="22"/>
          </w:rPr>
          <w:noBreakHyphen/>
          <w:t>2:</w:t>
        </w:r>
        <w:r w:rsidR="009163AE" w:rsidRPr="000E5E1F">
          <w:rPr>
            <w:rFonts w:asciiTheme="minorHAnsi" w:eastAsiaTheme="minorEastAsia" w:hAnsiTheme="minorHAnsi"/>
            <w:noProof/>
            <w:sz w:val="22"/>
            <w:lang w:eastAsia="bg-BG"/>
          </w:rPr>
          <w:tab/>
        </w:r>
        <w:r w:rsidR="009163AE" w:rsidRPr="000E5E1F">
          <w:rPr>
            <w:rStyle w:val="Hyperlink"/>
            <w:rFonts w:eastAsiaTheme="majorEastAsia"/>
            <w:noProof/>
            <w:sz w:val="22"/>
          </w:rPr>
          <w:t>Обобщение на допусканията, използвани в алтернативния сценарий (отклонение спрямо основния сценарий)</w:t>
        </w:r>
        <w:r w:rsidR="009163AE" w:rsidRPr="000E5E1F">
          <w:rPr>
            <w:noProof/>
            <w:webHidden/>
            <w:sz w:val="22"/>
          </w:rPr>
          <w:tab/>
        </w:r>
        <w:r w:rsidR="009163AE" w:rsidRPr="000E5E1F">
          <w:rPr>
            <w:noProof/>
            <w:webHidden/>
            <w:sz w:val="22"/>
          </w:rPr>
          <w:fldChar w:fldCharType="begin"/>
        </w:r>
        <w:r w:rsidR="009163AE" w:rsidRPr="000E5E1F">
          <w:rPr>
            <w:noProof/>
            <w:webHidden/>
            <w:sz w:val="22"/>
          </w:rPr>
          <w:instrText xml:space="preserve"> PAGEREF _Toc150443432 \h </w:instrText>
        </w:r>
        <w:r w:rsidR="009163AE" w:rsidRPr="000E5E1F">
          <w:rPr>
            <w:noProof/>
            <w:webHidden/>
            <w:sz w:val="22"/>
          </w:rPr>
        </w:r>
        <w:r w:rsidR="009163AE" w:rsidRPr="000E5E1F">
          <w:rPr>
            <w:noProof/>
            <w:webHidden/>
            <w:sz w:val="22"/>
          </w:rPr>
          <w:fldChar w:fldCharType="separate"/>
        </w:r>
        <w:r w:rsidR="005A69ED">
          <w:rPr>
            <w:noProof/>
            <w:webHidden/>
            <w:sz w:val="22"/>
          </w:rPr>
          <w:t>223</w:t>
        </w:r>
        <w:r w:rsidR="009163AE" w:rsidRPr="000E5E1F">
          <w:rPr>
            <w:noProof/>
            <w:webHidden/>
            <w:sz w:val="22"/>
          </w:rPr>
          <w:fldChar w:fldCharType="end"/>
        </w:r>
      </w:hyperlink>
    </w:p>
    <w:p w:rsidR="009163AE" w:rsidRDefault="00A96BF2" w:rsidP="000E5E1F">
      <w:pPr>
        <w:pStyle w:val="TableofFigures"/>
        <w:tabs>
          <w:tab w:val="left" w:pos="1134"/>
          <w:tab w:val="left" w:pos="1461"/>
          <w:tab w:val="right" w:leader="dot" w:pos="9060"/>
        </w:tabs>
        <w:ind w:left="1134" w:hanging="1134"/>
        <w:rPr>
          <w:rFonts w:asciiTheme="minorHAnsi" w:eastAsiaTheme="minorEastAsia" w:hAnsiTheme="minorHAnsi"/>
          <w:noProof/>
          <w:sz w:val="22"/>
          <w:lang w:eastAsia="bg-BG"/>
        </w:rPr>
      </w:pPr>
      <w:hyperlink w:anchor="_Toc150443433" w:history="1">
        <w:r w:rsidR="009163AE" w:rsidRPr="000E5E1F">
          <w:rPr>
            <w:rStyle w:val="Hyperlink"/>
            <w:rFonts w:eastAsiaTheme="majorEastAsia"/>
            <w:noProof/>
            <w:sz w:val="22"/>
          </w:rPr>
          <w:t>Табл. VII</w:t>
        </w:r>
        <w:r w:rsidR="009163AE" w:rsidRPr="000E5E1F">
          <w:rPr>
            <w:rStyle w:val="Hyperlink"/>
            <w:rFonts w:eastAsiaTheme="majorEastAsia"/>
            <w:noProof/>
            <w:sz w:val="22"/>
          </w:rPr>
          <w:noBreakHyphen/>
          <w:t>3:</w:t>
        </w:r>
        <w:r w:rsidR="009163AE" w:rsidRPr="000E5E1F">
          <w:rPr>
            <w:rFonts w:asciiTheme="minorHAnsi" w:eastAsiaTheme="minorEastAsia" w:hAnsiTheme="minorHAnsi"/>
            <w:noProof/>
            <w:sz w:val="22"/>
            <w:lang w:eastAsia="bg-BG"/>
          </w:rPr>
          <w:tab/>
        </w:r>
        <w:r w:rsidR="009163AE" w:rsidRPr="000E5E1F">
          <w:rPr>
            <w:rStyle w:val="Hyperlink"/>
            <w:rFonts w:eastAsiaTheme="majorEastAsia"/>
            <w:noProof/>
            <w:sz w:val="22"/>
          </w:rPr>
          <w:t>Промени в основните макроикономически показатели (отклонение спрямо основния сценарий)</w:t>
        </w:r>
        <w:r w:rsidR="000E5E1F">
          <w:rPr>
            <w:noProof/>
            <w:webHidden/>
            <w:sz w:val="22"/>
          </w:rPr>
          <w:tab/>
        </w:r>
        <w:r w:rsidR="009163AE" w:rsidRPr="000E5E1F">
          <w:rPr>
            <w:noProof/>
            <w:webHidden/>
            <w:sz w:val="22"/>
          </w:rPr>
          <w:fldChar w:fldCharType="begin"/>
        </w:r>
        <w:r w:rsidR="009163AE" w:rsidRPr="000E5E1F">
          <w:rPr>
            <w:noProof/>
            <w:webHidden/>
            <w:sz w:val="22"/>
          </w:rPr>
          <w:instrText xml:space="preserve"> PAGEREF _Toc150443433 \h </w:instrText>
        </w:r>
        <w:r w:rsidR="009163AE" w:rsidRPr="000E5E1F">
          <w:rPr>
            <w:noProof/>
            <w:webHidden/>
            <w:sz w:val="22"/>
          </w:rPr>
        </w:r>
        <w:r w:rsidR="009163AE" w:rsidRPr="000E5E1F">
          <w:rPr>
            <w:noProof/>
            <w:webHidden/>
            <w:sz w:val="22"/>
          </w:rPr>
          <w:fldChar w:fldCharType="separate"/>
        </w:r>
        <w:r w:rsidR="005A69ED">
          <w:rPr>
            <w:noProof/>
            <w:webHidden/>
            <w:sz w:val="22"/>
          </w:rPr>
          <w:t>224</w:t>
        </w:r>
        <w:r w:rsidR="009163AE" w:rsidRPr="000E5E1F">
          <w:rPr>
            <w:noProof/>
            <w:webHidden/>
            <w:sz w:val="22"/>
          </w:rPr>
          <w:fldChar w:fldCharType="end"/>
        </w:r>
      </w:hyperlink>
    </w:p>
    <w:p w:rsidR="00804EF6" w:rsidRPr="00063A48" w:rsidRDefault="004C3CD4" w:rsidP="005A2C13">
      <w:pPr>
        <w:pStyle w:val="TOC4"/>
        <w:ind w:left="993" w:hanging="993"/>
        <w:jc w:val="both"/>
      </w:pPr>
      <w:r w:rsidRPr="005A2C13">
        <w:rPr>
          <w:rStyle w:val="Hyperlink"/>
          <w:sz w:val="22"/>
          <w:szCs w:val="22"/>
          <w:highlight w:val="yellow"/>
        </w:rPr>
        <w:fldChar w:fldCharType="end"/>
      </w:r>
      <w:r w:rsidR="00106543" w:rsidRPr="00A80138">
        <w:rPr>
          <w:rStyle w:val="Hyperlink"/>
          <w:rFonts w:eastAsia="Times New Roman"/>
          <w:sz w:val="22"/>
          <w:szCs w:val="22"/>
          <w:lang w:eastAsia="en-GB"/>
        </w:rPr>
        <w:br w:type="page"/>
      </w:r>
      <w:bookmarkStart w:id="23" w:name="_Toc464746959"/>
      <w:bookmarkStart w:id="24" w:name="_Toc465070436"/>
      <w:r w:rsidR="00874FBD" w:rsidRPr="00063A48">
        <w:t>С</w:t>
      </w:r>
      <w:r w:rsidR="00E25A58" w:rsidRPr="00063A48">
        <w:t>писък на</w:t>
      </w:r>
      <w:r w:rsidR="00804EF6" w:rsidRPr="00063A48">
        <w:t xml:space="preserve"> </w:t>
      </w:r>
      <w:r w:rsidR="00E25A58" w:rsidRPr="00063A48">
        <w:t>използваните</w:t>
      </w:r>
      <w:r w:rsidR="00804EF6" w:rsidRPr="00063A48">
        <w:t xml:space="preserve"> </w:t>
      </w:r>
      <w:bookmarkEnd w:id="23"/>
      <w:bookmarkEnd w:id="24"/>
      <w:r w:rsidR="00E25A58" w:rsidRPr="00063A48">
        <w:t>съкращения</w:t>
      </w:r>
    </w:p>
    <w:p w:rsidR="00926F99" w:rsidRPr="00063A48" w:rsidRDefault="00926F99" w:rsidP="00926F99">
      <w:pPr>
        <w:spacing w:after="120"/>
        <w:contextualSpacing/>
        <w:rPr>
          <w:b/>
          <w:bCs/>
          <w:caps/>
          <w:spacing w:val="54"/>
          <w:szCs w:val="48"/>
          <w:highlight w:val="yellow"/>
        </w:rPr>
      </w:pPr>
    </w:p>
    <w:tbl>
      <w:tblPr>
        <w:tblW w:w="9224" w:type="dxa"/>
        <w:jc w:val="center"/>
        <w:tblBorders>
          <w:insideV w:val="single" w:sz="4" w:space="0" w:color="943634"/>
        </w:tblBorders>
        <w:tblCellMar>
          <w:left w:w="70" w:type="dxa"/>
          <w:right w:w="70" w:type="dxa"/>
        </w:tblCellMar>
        <w:tblLook w:val="00A0" w:firstRow="1" w:lastRow="0" w:firstColumn="1" w:lastColumn="0" w:noHBand="0" w:noVBand="0"/>
      </w:tblPr>
      <w:tblGrid>
        <w:gridCol w:w="1638"/>
        <w:gridCol w:w="7586"/>
      </w:tblGrid>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АД</w:t>
            </w:r>
          </w:p>
        </w:tc>
        <w:tc>
          <w:tcPr>
            <w:tcW w:w="7586" w:type="dxa"/>
          </w:tcPr>
          <w:p w:rsidR="008F35D9" w:rsidRPr="00063A48" w:rsidRDefault="008F35D9" w:rsidP="008F35D9">
            <w:pPr>
              <w:spacing w:after="0"/>
              <w:rPr>
                <w:sz w:val="22"/>
              </w:rPr>
            </w:pPr>
            <w:r w:rsidRPr="00063A48">
              <w:rPr>
                <w:sz w:val="22"/>
              </w:rPr>
              <w:t>Акционерно дружество</w:t>
            </w:r>
          </w:p>
        </w:tc>
      </w:tr>
      <w:tr w:rsidR="001A7D1F" w:rsidRPr="00063A48" w:rsidTr="00626AC5">
        <w:trPr>
          <w:trHeight w:val="312"/>
          <w:jc w:val="center"/>
        </w:trPr>
        <w:tc>
          <w:tcPr>
            <w:tcW w:w="1638" w:type="dxa"/>
          </w:tcPr>
          <w:p w:rsidR="001A7D1F" w:rsidRPr="00063A48" w:rsidRDefault="001A7D1F" w:rsidP="008F35D9">
            <w:pPr>
              <w:spacing w:after="0"/>
              <w:rPr>
                <w:sz w:val="22"/>
              </w:rPr>
            </w:pPr>
            <w:r w:rsidRPr="00063A48">
              <w:rPr>
                <w:sz w:val="22"/>
              </w:rPr>
              <w:t>АМ</w:t>
            </w:r>
          </w:p>
        </w:tc>
        <w:tc>
          <w:tcPr>
            <w:tcW w:w="7586" w:type="dxa"/>
          </w:tcPr>
          <w:p w:rsidR="001A7D1F" w:rsidRPr="00063A48" w:rsidRDefault="001A7D1F" w:rsidP="008F35D9">
            <w:pPr>
              <w:spacing w:after="0"/>
              <w:rPr>
                <w:sz w:val="22"/>
              </w:rPr>
            </w:pPr>
            <w:r w:rsidRPr="00063A48">
              <w:rPr>
                <w:sz w:val="22"/>
              </w:rPr>
              <w:t>Агенция „Митници“</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АМ</w:t>
            </w:r>
          </w:p>
        </w:tc>
        <w:tc>
          <w:tcPr>
            <w:tcW w:w="7586" w:type="dxa"/>
          </w:tcPr>
          <w:p w:rsidR="008F35D9" w:rsidRPr="00063A48" w:rsidRDefault="008F35D9" w:rsidP="008F35D9">
            <w:pPr>
              <w:spacing w:after="0"/>
              <w:rPr>
                <w:sz w:val="22"/>
              </w:rPr>
            </w:pPr>
            <w:r w:rsidRPr="00063A48">
              <w:rPr>
                <w:sz w:val="22"/>
              </w:rPr>
              <w:t>Автомагистрала</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АСБП</w:t>
            </w:r>
          </w:p>
        </w:tc>
        <w:tc>
          <w:tcPr>
            <w:tcW w:w="7586" w:type="dxa"/>
          </w:tcPr>
          <w:p w:rsidR="008F35D9" w:rsidRPr="00063A48" w:rsidRDefault="008F35D9" w:rsidP="008F35D9">
            <w:pPr>
              <w:spacing w:after="0"/>
              <w:rPr>
                <w:sz w:val="22"/>
              </w:rPr>
            </w:pPr>
            <w:r w:rsidRPr="00063A48">
              <w:rPr>
                <w:sz w:val="22"/>
              </w:rPr>
              <w:t>Актуализирана средносрочна бюджетна прогноза</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БАН</w:t>
            </w:r>
          </w:p>
        </w:tc>
        <w:tc>
          <w:tcPr>
            <w:tcW w:w="7586" w:type="dxa"/>
          </w:tcPr>
          <w:p w:rsidR="008F35D9" w:rsidRPr="00063A48" w:rsidRDefault="008F35D9" w:rsidP="008F35D9">
            <w:pPr>
              <w:spacing w:after="0"/>
              <w:rPr>
                <w:sz w:val="22"/>
              </w:rPr>
            </w:pPr>
            <w:r w:rsidRPr="00063A48">
              <w:rPr>
                <w:sz w:val="22"/>
              </w:rPr>
              <w:t>Българска академия на науките</w:t>
            </w:r>
          </w:p>
        </w:tc>
      </w:tr>
      <w:tr w:rsidR="00A80138" w:rsidRPr="00063A48" w:rsidTr="00626AC5">
        <w:trPr>
          <w:trHeight w:val="312"/>
          <w:jc w:val="center"/>
        </w:trPr>
        <w:tc>
          <w:tcPr>
            <w:tcW w:w="1638" w:type="dxa"/>
          </w:tcPr>
          <w:p w:rsidR="00A80138" w:rsidRPr="00063A48" w:rsidRDefault="00A80138" w:rsidP="008F35D9">
            <w:pPr>
              <w:spacing w:after="0"/>
              <w:rPr>
                <w:sz w:val="22"/>
              </w:rPr>
            </w:pPr>
            <w:r w:rsidRPr="00063A48">
              <w:rPr>
                <w:sz w:val="22"/>
              </w:rPr>
              <w:t>ББР</w:t>
            </w:r>
          </w:p>
        </w:tc>
        <w:tc>
          <w:tcPr>
            <w:tcW w:w="7586" w:type="dxa"/>
          </w:tcPr>
          <w:p w:rsidR="00A80138" w:rsidRPr="00063A48" w:rsidRDefault="00A80138" w:rsidP="008F35D9">
            <w:pPr>
              <w:spacing w:after="0"/>
              <w:rPr>
                <w:sz w:val="22"/>
              </w:rPr>
            </w:pPr>
            <w:r w:rsidRPr="00063A48">
              <w:rPr>
                <w:sz w:val="22"/>
              </w:rPr>
              <w:t>Българска банка за развитие</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БВП</w:t>
            </w:r>
          </w:p>
        </w:tc>
        <w:tc>
          <w:tcPr>
            <w:tcW w:w="7586" w:type="dxa"/>
          </w:tcPr>
          <w:p w:rsidR="008F35D9" w:rsidRPr="00063A48" w:rsidRDefault="008F35D9" w:rsidP="008F35D9">
            <w:pPr>
              <w:spacing w:after="0"/>
              <w:rPr>
                <w:sz w:val="22"/>
              </w:rPr>
            </w:pPr>
            <w:r w:rsidRPr="00063A48">
              <w:rPr>
                <w:sz w:val="22"/>
              </w:rPr>
              <w:t>Брутен вътрешен продукт</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БДЖ</w:t>
            </w:r>
          </w:p>
        </w:tc>
        <w:tc>
          <w:tcPr>
            <w:tcW w:w="7586" w:type="dxa"/>
          </w:tcPr>
          <w:p w:rsidR="008F35D9" w:rsidRPr="00063A48" w:rsidRDefault="008F35D9" w:rsidP="008F35D9">
            <w:pPr>
              <w:spacing w:after="0"/>
              <w:rPr>
                <w:sz w:val="22"/>
              </w:rPr>
            </w:pPr>
            <w:r w:rsidRPr="00063A48">
              <w:rPr>
                <w:sz w:val="22"/>
              </w:rPr>
              <w:t>Български държавни железници</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БНБ</w:t>
            </w:r>
          </w:p>
        </w:tc>
        <w:tc>
          <w:tcPr>
            <w:tcW w:w="7586" w:type="dxa"/>
          </w:tcPr>
          <w:p w:rsidR="008F35D9" w:rsidRPr="00063A48" w:rsidRDefault="008F35D9" w:rsidP="008F35D9">
            <w:pPr>
              <w:spacing w:after="0"/>
              <w:rPr>
                <w:sz w:val="22"/>
              </w:rPr>
            </w:pPr>
            <w:r w:rsidRPr="00063A48">
              <w:rPr>
                <w:sz w:val="22"/>
              </w:rPr>
              <w:t>Българска народна банка</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БНД</w:t>
            </w:r>
          </w:p>
        </w:tc>
        <w:tc>
          <w:tcPr>
            <w:tcW w:w="7586" w:type="dxa"/>
          </w:tcPr>
          <w:p w:rsidR="008F35D9" w:rsidRPr="00063A48" w:rsidRDefault="008F35D9" w:rsidP="008F35D9">
            <w:pPr>
              <w:spacing w:after="0"/>
              <w:rPr>
                <w:sz w:val="22"/>
              </w:rPr>
            </w:pPr>
            <w:r w:rsidRPr="00063A48">
              <w:rPr>
                <w:sz w:val="22"/>
              </w:rPr>
              <w:t>Брутен национален доход</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БНР</w:t>
            </w:r>
          </w:p>
        </w:tc>
        <w:tc>
          <w:tcPr>
            <w:tcW w:w="7586" w:type="dxa"/>
          </w:tcPr>
          <w:p w:rsidR="008F35D9" w:rsidRPr="00063A48" w:rsidRDefault="008F35D9" w:rsidP="008F35D9">
            <w:pPr>
              <w:spacing w:after="0"/>
              <w:rPr>
                <w:sz w:val="22"/>
              </w:rPr>
            </w:pPr>
            <w:r w:rsidRPr="00063A48">
              <w:rPr>
                <w:sz w:val="22"/>
              </w:rPr>
              <w:t>Българско национално радио</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БНТ</w:t>
            </w:r>
          </w:p>
        </w:tc>
        <w:tc>
          <w:tcPr>
            <w:tcW w:w="7586" w:type="dxa"/>
          </w:tcPr>
          <w:p w:rsidR="008F35D9" w:rsidRPr="00063A48" w:rsidRDefault="008F35D9" w:rsidP="008F35D9">
            <w:pPr>
              <w:spacing w:after="0"/>
              <w:rPr>
                <w:sz w:val="22"/>
              </w:rPr>
            </w:pPr>
            <w:r w:rsidRPr="00063A48">
              <w:rPr>
                <w:sz w:val="22"/>
              </w:rPr>
              <w:t>Българска национална телевизия</w:t>
            </w:r>
          </w:p>
        </w:tc>
      </w:tr>
      <w:tr w:rsidR="00D61111" w:rsidRPr="00063A48" w:rsidTr="00626AC5">
        <w:trPr>
          <w:trHeight w:val="312"/>
          <w:jc w:val="center"/>
        </w:trPr>
        <w:tc>
          <w:tcPr>
            <w:tcW w:w="1638" w:type="dxa"/>
          </w:tcPr>
          <w:p w:rsidR="00D61111" w:rsidRPr="00063A48" w:rsidRDefault="00D61111" w:rsidP="008F35D9">
            <w:pPr>
              <w:spacing w:after="0"/>
              <w:rPr>
                <w:sz w:val="22"/>
              </w:rPr>
            </w:pPr>
            <w:r w:rsidRPr="00063A48">
              <w:rPr>
                <w:sz w:val="22"/>
              </w:rPr>
              <w:t>БРСЕ</w:t>
            </w:r>
          </w:p>
        </w:tc>
        <w:tc>
          <w:tcPr>
            <w:tcW w:w="7586" w:type="dxa"/>
          </w:tcPr>
          <w:p w:rsidR="00D61111" w:rsidRPr="00063A48" w:rsidRDefault="00D61111" w:rsidP="008F35D9">
            <w:pPr>
              <w:spacing w:after="0"/>
              <w:rPr>
                <w:sz w:val="22"/>
              </w:rPr>
            </w:pPr>
            <w:r w:rsidRPr="00063A48">
              <w:rPr>
                <w:sz w:val="22"/>
              </w:rPr>
              <w:t>Банка за развитие на Съвета на Европа</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БТА</w:t>
            </w:r>
          </w:p>
        </w:tc>
        <w:tc>
          <w:tcPr>
            <w:tcW w:w="7586" w:type="dxa"/>
          </w:tcPr>
          <w:p w:rsidR="008F35D9" w:rsidRPr="00063A48" w:rsidRDefault="008F35D9" w:rsidP="008F35D9">
            <w:pPr>
              <w:spacing w:after="0"/>
              <w:rPr>
                <w:sz w:val="22"/>
              </w:rPr>
            </w:pPr>
            <w:r w:rsidRPr="00063A48">
              <w:rPr>
                <w:sz w:val="22"/>
              </w:rPr>
              <w:t>Българска телеграфна агенция</w:t>
            </w:r>
          </w:p>
        </w:tc>
      </w:tr>
      <w:tr w:rsidR="006840CA" w:rsidRPr="00063A48" w:rsidTr="00626AC5">
        <w:trPr>
          <w:trHeight w:val="312"/>
          <w:jc w:val="center"/>
        </w:trPr>
        <w:tc>
          <w:tcPr>
            <w:tcW w:w="1638" w:type="dxa"/>
          </w:tcPr>
          <w:p w:rsidR="006840CA" w:rsidRPr="00063A48" w:rsidRDefault="006840CA" w:rsidP="008F35D9">
            <w:pPr>
              <w:spacing w:after="0"/>
              <w:rPr>
                <w:sz w:val="22"/>
              </w:rPr>
            </w:pPr>
            <w:r>
              <w:rPr>
                <w:sz w:val="22"/>
              </w:rPr>
              <w:t>БЧК</w:t>
            </w:r>
          </w:p>
        </w:tc>
        <w:tc>
          <w:tcPr>
            <w:tcW w:w="7586" w:type="dxa"/>
          </w:tcPr>
          <w:p w:rsidR="006840CA" w:rsidRPr="00063A48" w:rsidRDefault="004E6F53" w:rsidP="008F35D9">
            <w:pPr>
              <w:spacing w:after="0"/>
              <w:rPr>
                <w:sz w:val="22"/>
              </w:rPr>
            </w:pPr>
            <w:r>
              <w:rPr>
                <w:sz w:val="22"/>
              </w:rPr>
              <w:t>Български Ч</w:t>
            </w:r>
            <w:r w:rsidR="006840CA">
              <w:rPr>
                <w:sz w:val="22"/>
              </w:rPr>
              <w:t>ервен кръст</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ВИ</w:t>
            </w:r>
          </w:p>
        </w:tc>
        <w:tc>
          <w:tcPr>
            <w:tcW w:w="7586" w:type="dxa"/>
          </w:tcPr>
          <w:p w:rsidR="008F35D9" w:rsidRPr="00063A48" w:rsidRDefault="008F35D9" w:rsidP="008F35D9">
            <w:pPr>
              <w:spacing w:after="0"/>
              <w:rPr>
                <w:sz w:val="22"/>
              </w:rPr>
            </w:pPr>
            <w:r w:rsidRPr="00063A48">
              <w:rPr>
                <w:sz w:val="22"/>
              </w:rPr>
              <w:t>Възобновяеми източници</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ВС</w:t>
            </w:r>
          </w:p>
        </w:tc>
        <w:tc>
          <w:tcPr>
            <w:tcW w:w="7586" w:type="dxa"/>
          </w:tcPr>
          <w:p w:rsidR="008F35D9" w:rsidRPr="00063A48" w:rsidRDefault="008F35D9" w:rsidP="008F35D9">
            <w:pPr>
              <w:spacing w:after="0"/>
              <w:rPr>
                <w:sz w:val="22"/>
              </w:rPr>
            </w:pPr>
            <w:r w:rsidRPr="00063A48">
              <w:rPr>
                <w:sz w:val="22"/>
              </w:rPr>
              <w:t>Въоръжени сили</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ВМС</w:t>
            </w:r>
          </w:p>
        </w:tc>
        <w:tc>
          <w:tcPr>
            <w:tcW w:w="7586" w:type="dxa"/>
          </w:tcPr>
          <w:p w:rsidR="008F35D9" w:rsidRPr="00063A48" w:rsidRDefault="008F35D9" w:rsidP="008F35D9">
            <w:pPr>
              <w:spacing w:after="0"/>
              <w:rPr>
                <w:sz w:val="22"/>
              </w:rPr>
            </w:pPr>
            <w:r w:rsidRPr="00063A48">
              <w:rPr>
                <w:sz w:val="22"/>
              </w:rPr>
              <w:t>Военноморски сили</w:t>
            </w:r>
          </w:p>
        </w:tc>
      </w:tr>
      <w:tr w:rsidR="004A1BE9" w:rsidRPr="00063A48" w:rsidTr="00626AC5">
        <w:trPr>
          <w:trHeight w:val="312"/>
          <w:jc w:val="center"/>
        </w:trPr>
        <w:tc>
          <w:tcPr>
            <w:tcW w:w="1638" w:type="dxa"/>
          </w:tcPr>
          <w:p w:rsidR="004A1BE9" w:rsidRPr="00063A48" w:rsidRDefault="004A1BE9" w:rsidP="008F35D9">
            <w:pPr>
              <w:spacing w:after="0"/>
              <w:rPr>
                <w:sz w:val="22"/>
              </w:rPr>
            </w:pPr>
            <w:r w:rsidRPr="00063A48">
              <w:rPr>
                <w:sz w:val="22"/>
              </w:rPr>
              <w:t>ВСС</w:t>
            </w:r>
          </w:p>
        </w:tc>
        <w:tc>
          <w:tcPr>
            <w:tcW w:w="7586" w:type="dxa"/>
          </w:tcPr>
          <w:p w:rsidR="004A1BE9" w:rsidRPr="00063A48" w:rsidRDefault="004A1BE9" w:rsidP="008F35D9">
            <w:pPr>
              <w:spacing w:after="0"/>
              <w:rPr>
                <w:sz w:val="22"/>
              </w:rPr>
            </w:pPr>
            <w:r w:rsidRPr="00063A48">
              <w:rPr>
                <w:sz w:val="22"/>
              </w:rPr>
              <w:t>Висш съдебен съвет</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ДВ</w:t>
            </w:r>
          </w:p>
        </w:tc>
        <w:tc>
          <w:tcPr>
            <w:tcW w:w="7586" w:type="dxa"/>
          </w:tcPr>
          <w:p w:rsidR="008F35D9" w:rsidRPr="00063A48" w:rsidRDefault="008F35D9" w:rsidP="008F35D9">
            <w:pPr>
              <w:spacing w:after="0"/>
              <w:rPr>
                <w:sz w:val="22"/>
              </w:rPr>
            </w:pPr>
            <w:r w:rsidRPr="00063A48">
              <w:rPr>
                <w:sz w:val="22"/>
              </w:rPr>
              <w:t>Държавен вестник</w:t>
            </w:r>
          </w:p>
        </w:tc>
      </w:tr>
      <w:tr w:rsidR="00967DD0" w:rsidRPr="00063A48" w:rsidTr="00626AC5">
        <w:trPr>
          <w:trHeight w:val="312"/>
          <w:jc w:val="center"/>
        </w:trPr>
        <w:tc>
          <w:tcPr>
            <w:tcW w:w="1638" w:type="dxa"/>
          </w:tcPr>
          <w:p w:rsidR="00967DD0" w:rsidRPr="00063A48" w:rsidRDefault="00967DD0" w:rsidP="008F35D9">
            <w:pPr>
              <w:spacing w:after="0"/>
              <w:rPr>
                <w:sz w:val="22"/>
              </w:rPr>
            </w:pPr>
            <w:r w:rsidRPr="00063A48">
              <w:rPr>
                <w:sz w:val="22"/>
              </w:rPr>
              <w:t>ДВУ</w:t>
            </w:r>
          </w:p>
        </w:tc>
        <w:tc>
          <w:tcPr>
            <w:tcW w:w="7586" w:type="dxa"/>
          </w:tcPr>
          <w:p w:rsidR="00967DD0" w:rsidRPr="00063A48" w:rsidRDefault="00967DD0" w:rsidP="008F35D9">
            <w:pPr>
              <w:spacing w:after="0"/>
              <w:rPr>
                <w:sz w:val="22"/>
              </w:rPr>
            </w:pPr>
            <w:r w:rsidRPr="00063A48">
              <w:rPr>
                <w:sz w:val="22"/>
              </w:rPr>
              <w:t>Държавни висши училища</w:t>
            </w:r>
          </w:p>
        </w:tc>
      </w:tr>
      <w:tr w:rsidR="00967DD0" w:rsidRPr="00063A48" w:rsidTr="00626AC5">
        <w:trPr>
          <w:trHeight w:val="312"/>
          <w:jc w:val="center"/>
        </w:trPr>
        <w:tc>
          <w:tcPr>
            <w:tcW w:w="1638" w:type="dxa"/>
          </w:tcPr>
          <w:p w:rsidR="00967DD0" w:rsidRPr="00063A48" w:rsidRDefault="00967DD0" w:rsidP="008F35D9">
            <w:pPr>
              <w:spacing w:after="0"/>
              <w:rPr>
                <w:sz w:val="22"/>
              </w:rPr>
            </w:pPr>
            <w:r w:rsidRPr="00063A48">
              <w:rPr>
                <w:sz w:val="22"/>
              </w:rPr>
              <w:t>ДВВУ</w:t>
            </w:r>
          </w:p>
        </w:tc>
        <w:tc>
          <w:tcPr>
            <w:tcW w:w="7586" w:type="dxa"/>
          </w:tcPr>
          <w:p w:rsidR="00967DD0" w:rsidRPr="00063A48" w:rsidRDefault="00967DD0" w:rsidP="008F35D9">
            <w:pPr>
              <w:spacing w:after="0"/>
              <w:rPr>
                <w:sz w:val="22"/>
              </w:rPr>
            </w:pPr>
            <w:r w:rsidRPr="00063A48">
              <w:rPr>
                <w:sz w:val="22"/>
              </w:rPr>
              <w:t>Държавни висши военни училища</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ДДС</w:t>
            </w:r>
          </w:p>
        </w:tc>
        <w:tc>
          <w:tcPr>
            <w:tcW w:w="7586" w:type="dxa"/>
          </w:tcPr>
          <w:p w:rsidR="008F35D9" w:rsidRPr="00063A48" w:rsidRDefault="008F35D9" w:rsidP="008F35D9">
            <w:pPr>
              <w:spacing w:after="0"/>
              <w:rPr>
                <w:sz w:val="22"/>
              </w:rPr>
            </w:pPr>
            <w:r w:rsidRPr="00063A48">
              <w:rPr>
                <w:sz w:val="22"/>
              </w:rPr>
              <w:t>Данък върху добавената стойност</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ДДФЛ</w:t>
            </w:r>
          </w:p>
        </w:tc>
        <w:tc>
          <w:tcPr>
            <w:tcW w:w="7586" w:type="dxa"/>
          </w:tcPr>
          <w:p w:rsidR="008F35D9" w:rsidRPr="00063A48" w:rsidRDefault="008F35D9" w:rsidP="008F35D9">
            <w:pPr>
              <w:spacing w:after="0"/>
              <w:rPr>
                <w:sz w:val="22"/>
              </w:rPr>
            </w:pPr>
            <w:r w:rsidRPr="00063A48">
              <w:rPr>
                <w:sz w:val="22"/>
              </w:rPr>
              <w:t>Данък върху доходите на физически лица</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ДИЗ</w:t>
            </w:r>
          </w:p>
        </w:tc>
        <w:tc>
          <w:tcPr>
            <w:tcW w:w="7586" w:type="dxa"/>
          </w:tcPr>
          <w:p w:rsidR="008F35D9" w:rsidRPr="00063A48" w:rsidRDefault="008F35D9" w:rsidP="008F35D9">
            <w:pPr>
              <w:spacing w:after="0"/>
              <w:rPr>
                <w:sz w:val="22"/>
              </w:rPr>
            </w:pPr>
            <w:r w:rsidRPr="00063A48">
              <w:rPr>
                <w:sz w:val="22"/>
              </w:rPr>
              <w:t>Държавни инвестиционни заеми</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ДОО</w:t>
            </w:r>
          </w:p>
        </w:tc>
        <w:tc>
          <w:tcPr>
            <w:tcW w:w="7586" w:type="dxa"/>
          </w:tcPr>
          <w:p w:rsidR="008F35D9" w:rsidRPr="00063A48" w:rsidRDefault="008F35D9" w:rsidP="008F35D9">
            <w:pPr>
              <w:spacing w:after="0"/>
              <w:rPr>
                <w:sz w:val="22"/>
              </w:rPr>
            </w:pPr>
            <w:r w:rsidRPr="00063A48">
              <w:rPr>
                <w:sz w:val="22"/>
              </w:rPr>
              <w:t>Държавно обществено осигуряване</w:t>
            </w:r>
          </w:p>
        </w:tc>
      </w:tr>
      <w:tr w:rsidR="005904B7" w:rsidRPr="00063A48" w:rsidTr="00626AC5">
        <w:trPr>
          <w:trHeight w:val="312"/>
          <w:jc w:val="center"/>
        </w:trPr>
        <w:tc>
          <w:tcPr>
            <w:tcW w:w="1638" w:type="dxa"/>
          </w:tcPr>
          <w:p w:rsidR="005904B7" w:rsidRPr="00063A48" w:rsidRDefault="005904B7" w:rsidP="008F35D9">
            <w:pPr>
              <w:spacing w:after="0"/>
              <w:rPr>
                <w:sz w:val="22"/>
              </w:rPr>
            </w:pPr>
            <w:r w:rsidRPr="00063A48">
              <w:rPr>
                <w:sz w:val="22"/>
              </w:rPr>
              <w:t>ДОПК</w:t>
            </w:r>
          </w:p>
        </w:tc>
        <w:tc>
          <w:tcPr>
            <w:tcW w:w="7586" w:type="dxa"/>
          </w:tcPr>
          <w:p w:rsidR="005904B7" w:rsidRPr="00063A48" w:rsidRDefault="005904B7" w:rsidP="008F35D9">
            <w:pPr>
              <w:spacing w:after="0"/>
              <w:rPr>
                <w:sz w:val="22"/>
              </w:rPr>
            </w:pPr>
            <w:r w:rsidRPr="00063A48">
              <w:rPr>
                <w:sz w:val="22"/>
              </w:rPr>
              <w:t>Данъчно-осигурителен процесуален кодекс</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ДП</w:t>
            </w:r>
          </w:p>
        </w:tc>
        <w:tc>
          <w:tcPr>
            <w:tcW w:w="7586" w:type="dxa"/>
          </w:tcPr>
          <w:p w:rsidR="008F35D9" w:rsidRPr="00063A48" w:rsidRDefault="008F35D9" w:rsidP="008F35D9">
            <w:pPr>
              <w:spacing w:after="0"/>
              <w:rPr>
                <w:sz w:val="22"/>
              </w:rPr>
            </w:pPr>
            <w:r w:rsidRPr="00063A48">
              <w:rPr>
                <w:sz w:val="22"/>
              </w:rPr>
              <w:t>Държавно предприятие</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ДФ</w:t>
            </w:r>
          </w:p>
        </w:tc>
        <w:tc>
          <w:tcPr>
            <w:tcW w:w="7586" w:type="dxa"/>
          </w:tcPr>
          <w:p w:rsidR="008F35D9" w:rsidRPr="00063A48" w:rsidRDefault="008F35D9" w:rsidP="008F35D9">
            <w:pPr>
              <w:spacing w:after="0"/>
              <w:rPr>
                <w:sz w:val="22"/>
              </w:rPr>
            </w:pPr>
            <w:r w:rsidRPr="00063A48">
              <w:rPr>
                <w:sz w:val="22"/>
              </w:rPr>
              <w:t>Държавен фонд</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ДУ</w:t>
            </w:r>
          </w:p>
        </w:tc>
        <w:tc>
          <w:tcPr>
            <w:tcW w:w="7586" w:type="dxa"/>
          </w:tcPr>
          <w:p w:rsidR="008F35D9" w:rsidRPr="00063A48" w:rsidRDefault="008F35D9" w:rsidP="008F35D9">
            <w:pPr>
              <w:spacing w:after="0"/>
              <w:rPr>
                <w:sz w:val="22"/>
              </w:rPr>
            </w:pPr>
            <w:r w:rsidRPr="00063A48">
              <w:rPr>
                <w:sz w:val="22"/>
              </w:rPr>
              <w:t>Държавно управление</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ДЦК</w:t>
            </w:r>
          </w:p>
        </w:tc>
        <w:tc>
          <w:tcPr>
            <w:tcW w:w="7586" w:type="dxa"/>
          </w:tcPr>
          <w:p w:rsidR="008F35D9" w:rsidRPr="00063A48" w:rsidRDefault="008F35D9" w:rsidP="008F35D9">
            <w:pPr>
              <w:spacing w:after="0"/>
              <w:rPr>
                <w:sz w:val="22"/>
              </w:rPr>
            </w:pPr>
            <w:r w:rsidRPr="00063A48">
              <w:rPr>
                <w:sz w:val="22"/>
              </w:rPr>
              <w:t>Държавни ценни книжа</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ЕАД</w:t>
            </w:r>
          </w:p>
        </w:tc>
        <w:tc>
          <w:tcPr>
            <w:tcW w:w="7586" w:type="dxa"/>
          </w:tcPr>
          <w:p w:rsidR="008F35D9" w:rsidRPr="00063A48" w:rsidRDefault="008F35D9" w:rsidP="008F35D9">
            <w:pPr>
              <w:spacing w:after="0"/>
              <w:rPr>
                <w:sz w:val="22"/>
              </w:rPr>
            </w:pPr>
            <w:r w:rsidRPr="00063A48">
              <w:rPr>
                <w:sz w:val="22"/>
              </w:rPr>
              <w:t>Еднолично акционерно дружество</w:t>
            </w:r>
          </w:p>
        </w:tc>
      </w:tr>
      <w:tr w:rsidR="008925D0" w:rsidRPr="00063A48" w:rsidTr="00626AC5">
        <w:trPr>
          <w:trHeight w:val="312"/>
          <w:jc w:val="center"/>
        </w:trPr>
        <w:tc>
          <w:tcPr>
            <w:tcW w:w="1638" w:type="dxa"/>
          </w:tcPr>
          <w:p w:rsidR="008925D0" w:rsidRPr="00063A48" w:rsidRDefault="008925D0" w:rsidP="008F35D9">
            <w:pPr>
              <w:spacing w:after="0"/>
              <w:rPr>
                <w:sz w:val="22"/>
              </w:rPr>
            </w:pPr>
            <w:r w:rsidRPr="00063A48">
              <w:rPr>
                <w:sz w:val="22"/>
              </w:rPr>
              <w:t>ЕБВР</w:t>
            </w:r>
          </w:p>
        </w:tc>
        <w:tc>
          <w:tcPr>
            <w:tcW w:w="7586" w:type="dxa"/>
          </w:tcPr>
          <w:p w:rsidR="008925D0" w:rsidRPr="00063A48" w:rsidRDefault="008925D0" w:rsidP="008925D0">
            <w:pPr>
              <w:spacing w:after="0"/>
              <w:rPr>
                <w:sz w:val="22"/>
              </w:rPr>
            </w:pPr>
            <w:r w:rsidRPr="00063A48">
              <w:rPr>
                <w:sz w:val="22"/>
              </w:rPr>
              <w:t xml:space="preserve">Европейска банка за възстановяване и развитие </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Евратом</w:t>
            </w:r>
          </w:p>
        </w:tc>
        <w:tc>
          <w:tcPr>
            <w:tcW w:w="7586" w:type="dxa"/>
          </w:tcPr>
          <w:p w:rsidR="008F35D9" w:rsidRPr="00063A48" w:rsidRDefault="008F35D9" w:rsidP="008F35D9">
            <w:pPr>
              <w:spacing w:after="0"/>
              <w:rPr>
                <w:sz w:val="22"/>
              </w:rPr>
            </w:pPr>
            <w:r w:rsidRPr="00063A48">
              <w:rPr>
                <w:sz w:val="22"/>
              </w:rPr>
              <w:t>Европейска общност за атомна енергия</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Евростат</w:t>
            </w:r>
          </w:p>
        </w:tc>
        <w:tc>
          <w:tcPr>
            <w:tcW w:w="7586" w:type="dxa"/>
          </w:tcPr>
          <w:p w:rsidR="008F35D9" w:rsidRPr="00063A48" w:rsidRDefault="008F35D9" w:rsidP="008F35D9">
            <w:pPr>
              <w:spacing w:after="0"/>
              <w:rPr>
                <w:sz w:val="22"/>
              </w:rPr>
            </w:pPr>
            <w:r w:rsidRPr="00063A48">
              <w:rPr>
                <w:sz w:val="22"/>
              </w:rPr>
              <w:t>Статистическа служба към Европейската комисия</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ЕЗФРСР</w:t>
            </w:r>
          </w:p>
        </w:tc>
        <w:tc>
          <w:tcPr>
            <w:tcW w:w="7586" w:type="dxa"/>
          </w:tcPr>
          <w:p w:rsidR="008F35D9" w:rsidRPr="00063A48" w:rsidRDefault="008F35D9" w:rsidP="008F35D9">
            <w:pPr>
              <w:spacing w:after="0"/>
              <w:rPr>
                <w:sz w:val="22"/>
              </w:rPr>
            </w:pPr>
            <w:r w:rsidRPr="00063A48">
              <w:rPr>
                <w:sz w:val="22"/>
              </w:rPr>
              <w:t>Европейски земеделски фонд за развитие на селските райони</w:t>
            </w:r>
          </w:p>
        </w:tc>
      </w:tr>
      <w:tr w:rsidR="008925D0" w:rsidRPr="00063A48" w:rsidTr="00626AC5">
        <w:trPr>
          <w:trHeight w:val="312"/>
          <w:jc w:val="center"/>
        </w:trPr>
        <w:tc>
          <w:tcPr>
            <w:tcW w:w="1638" w:type="dxa"/>
          </w:tcPr>
          <w:p w:rsidR="008925D0" w:rsidRPr="00063A48" w:rsidRDefault="008925D0" w:rsidP="008F35D9">
            <w:pPr>
              <w:spacing w:after="0"/>
              <w:rPr>
                <w:sz w:val="22"/>
              </w:rPr>
            </w:pPr>
            <w:r w:rsidRPr="00063A48">
              <w:rPr>
                <w:sz w:val="22"/>
              </w:rPr>
              <w:t>ЕИБ</w:t>
            </w:r>
          </w:p>
        </w:tc>
        <w:tc>
          <w:tcPr>
            <w:tcW w:w="7586" w:type="dxa"/>
          </w:tcPr>
          <w:p w:rsidR="008925D0" w:rsidRPr="00063A48" w:rsidRDefault="008925D0" w:rsidP="008925D0">
            <w:pPr>
              <w:spacing w:after="0"/>
              <w:rPr>
                <w:sz w:val="22"/>
              </w:rPr>
            </w:pPr>
            <w:r w:rsidRPr="00063A48">
              <w:rPr>
                <w:sz w:val="22"/>
              </w:rPr>
              <w:t xml:space="preserve">Европейска инвестиционна банка </w:t>
            </w:r>
          </w:p>
        </w:tc>
      </w:tr>
      <w:tr w:rsidR="00B2738E" w:rsidRPr="00063A48" w:rsidTr="00626AC5">
        <w:trPr>
          <w:trHeight w:val="312"/>
          <w:jc w:val="center"/>
        </w:trPr>
        <w:tc>
          <w:tcPr>
            <w:tcW w:w="1638" w:type="dxa"/>
          </w:tcPr>
          <w:p w:rsidR="00B2738E" w:rsidRPr="00063A48" w:rsidRDefault="00B2738E" w:rsidP="008F35D9">
            <w:pPr>
              <w:spacing w:after="0"/>
              <w:rPr>
                <w:sz w:val="22"/>
              </w:rPr>
            </w:pPr>
            <w:r w:rsidRPr="00063A48">
              <w:rPr>
                <w:sz w:val="22"/>
              </w:rPr>
              <w:t>ЕИП</w:t>
            </w:r>
          </w:p>
        </w:tc>
        <w:tc>
          <w:tcPr>
            <w:tcW w:w="7586" w:type="dxa"/>
          </w:tcPr>
          <w:p w:rsidR="00B2738E" w:rsidRPr="00063A48" w:rsidRDefault="00B2738E" w:rsidP="008F35D9">
            <w:pPr>
              <w:spacing w:after="0"/>
              <w:rPr>
                <w:sz w:val="22"/>
              </w:rPr>
            </w:pPr>
            <w:r w:rsidRPr="00063A48">
              <w:rPr>
                <w:sz w:val="22"/>
              </w:rPr>
              <w:t>Европейско икономическо пространство</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ЕК</w:t>
            </w:r>
          </w:p>
        </w:tc>
        <w:tc>
          <w:tcPr>
            <w:tcW w:w="7586" w:type="dxa"/>
          </w:tcPr>
          <w:p w:rsidR="008F35D9" w:rsidRPr="00063A48" w:rsidRDefault="008F35D9" w:rsidP="008F35D9">
            <w:pPr>
              <w:spacing w:after="0"/>
              <w:rPr>
                <w:sz w:val="22"/>
              </w:rPr>
            </w:pPr>
            <w:r w:rsidRPr="00063A48">
              <w:rPr>
                <w:sz w:val="22"/>
              </w:rPr>
              <w:t>Европейска комисия</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ЕООД</w:t>
            </w:r>
          </w:p>
        </w:tc>
        <w:tc>
          <w:tcPr>
            <w:tcW w:w="7586" w:type="dxa"/>
          </w:tcPr>
          <w:p w:rsidR="008F35D9" w:rsidRPr="00063A48" w:rsidRDefault="008F35D9" w:rsidP="008F35D9">
            <w:pPr>
              <w:spacing w:after="0"/>
              <w:rPr>
                <w:sz w:val="22"/>
              </w:rPr>
            </w:pPr>
            <w:r w:rsidRPr="00063A48">
              <w:rPr>
                <w:sz w:val="22"/>
              </w:rPr>
              <w:t>Еднолично дружество с ограничена отговорност</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ЕО</w:t>
            </w:r>
          </w:p>
        </w:tc>
        <w:tc>
          <w:tcPr>
            <w:tcW w:w="7586" w:type="dxa"/>
          </w:tcPr>
          <w:p w:rsidR="008F35D9" w:rsidRPr="00063A48" w:rsidRDefault="008F35D9" w:rsidP="008F35D9">
            <w:pPr>
              <w:spacing w:after="0"/>
              <w:rPr>
                <w:sz w:val="22"/>
              </w:rPr>
            </w:pPr>
            <w:r w:rsidRPr="00063A48">
              <w:rPr>
                <w:sz w:val="22"/>
              </w:rPr>
              <w:t>Европейска общност</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ЕС</w:t>
            </w:r>
          </w:p>
        </w:tc>
        <w:tc>
          <w:tcPr>
            <w:tcW w:w="7586" w:type="dxa"/>
          </w:tcPr>
          <w:p w:rsidR="008F35D9" w:rsidRPr="00063A48" w:rsidRDefault="008F35D9" w:rsidP="008F35D9">
            <w:pPr>
              <w:spacing w:after="0"/>
              <w:rPr>
                <w:sz w:val="22"/>
              </w:rPr>
            </w:pPr>
            <w:r w:rsidRPr="00063A48">
              <w:rPr>
                <w:sz w:val="22"/>
              </w:rPr>
              <w:t>Европейски съюз</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ЕСИФ</w:t>
            </w:r>
          </w:p>
        </w:tc>
        <w:tc>
          <w:tcPr>
            <w:tcW w:w="7586" w:type="dxa"/>
          </w:tcPr>
          <w:p w:rsidR="008F35D9" w:rsidRPr="00063A48" w:rsidRDefault="008F35D9" w:rsidP="008F35D9">
            <w:pPr>
              <w:spacing w:after="0"/>
              <w:rPr>
                <w:sz w:val="22"/>
              </w:rPr>
            </w:pPr>
            <w:r w:rsidRPr="00063A48">
              <w:rPr>
                <w:sz w:val="22"/>
              </w:rPr>
              <w:t xml:space="preserve">Европейски структурни и инвестиционни фондове </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ЕСС</w:t>
            </w:r>
          </w:p>
        </w:tc>
        <w:tc>
          <w:tcPr>
            <w:tcW w:w="7586" w:type="dxa"/>
          </w:tcPr>
          <w:p w:rsidR="008F35D9" w:rsidRPr="00063A48" w:rsidRDefault="008F35D9" w:rsidP="008F35D9">
            <w:pPr>
              <w:spacing w:after="0"/>
              <w:rPr>
                <w:sz w:val="22"/>
              </w:rPr>
            </w:pPr>
            <w:r w:rsidRPr="00063A48">
              <w:rPr>
                <w:sz w:val="22"/>
              </w:rPr>
              <w:t>Европейска система от сметки</w:t>
            </w:r>
          </w:p>
        </w:tc>
      </w:tr>
      <w:tr w:rsidR="007957FD" w:rsidRPr="00063A48" w:rsidTr="00626AC5">
        <w:trPr>
          <w:trHeight w:val="312"/>
          <w:jc w:val="center"/>
        </w:trPr>
        <w:tc>
          <w:tcPr>
            <w:tcW w:w="1638" w:type="dxa"/>
          </w:tcPr>
          <w:p w:rsidR="007957FD" w:rsidRPr="00063A48" w:rsidRDefault="007957FD" w:rsidP="008F35D9">
            <w:pPr>
              <w:spacing w:after="0"/>
              <w:rPr>
                <w:sz w:val="22"/>
              </w:rPr>
            </w:pPr>
            <w:r w:rsidRPr="00063A48">
              <w:rPr>
                <w:sz w:val="22"/>
              </w:rPr>
              <w:t>ЕСФ+</w:t>
            </w:r>
          </w:p>
        </w:tc>
        <w:tc>
          <w:tcPr>
            <w:tcW w:w="7586" w:type="dxa"/>
          </w:tcPr>
          <w:p w:rsidR="007957FD" w:rsidRPr="00063A48" w:rsidRDefault="007957FD" w:rsidP="007957FD">
            <w:pPr>
              <w:spacing w:after="0"/>
              <w:rPr>
                <w:sz w:val="22"/>
              </w:rPr>
            </w:pPr>
            <w:r w:rsidRPr="00063A48">
              <w:rPr>
                <w:sz w:val="22"/>
              </w:rPr>
              <w:t>Европейски социален фонд плюс</w:t>
            </w:r>
          </w:p>
        </w:tc>
      </w:tr>
      <w:tr w:rsidR="007957FD" w:rsidRPr="00063A48" w:rsidTr="00626AC5">
        <w:trPr>
          <w:trHeight w:val="312"/>
          <w:jc w:val="center"/>
        </w:trPr>
        <w:tc>
          <w:tcPr>
            <w:tcW w:w="1638" w:type="dxa"/>
          </w:tcPr>
          <w:p w:rsidR="007957FD" w:rsidRPr="00063A48" w:rsidRDefault="007957FD" w:rsidP="008F35D9">
            <w:pPr>
              <w:spacing w:after="0"/>
              <w:rPr>
                <w:sz w:val="22"/>
              </w:rPr>
            </w:pPr>
            <w:r w:rsidRPr="00063A48">
              <w:rPr>
                <w:sz w:val="22"/>
              </w:rPr>
              <w:t>ЕФМДР</w:t>
            </w:r>
          </w:p>
        </w:tc>
        <w:tc>
          <w:tcPr>
            <w:tcW w:w="7586" w:type="dxa"/>
          </w:tcPr>
          <w:p w:rsidR="007957FD" w:rsidRPr="00063A48" w:rsidRDefault="007957FD" w:rsidP="007957FD">
            <w:pPr>
              <w:spacing w:after="0"/>
              <w:rPr>
                <w:sz w:val="22"/>
              </w:rPr>
            </w:pPr>
            <w:r w:rsidRPr="00063A48">
              <w:rPr>
                <w:sz w:val="22"/>
              </w:rPr>
              <w:t>Европейски фонд за морско дело и рибарство</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ЕФР</w:t>
            </w:r>
          </w:p>
        </w:tc>
        <w:tc>
          <w:tcPr>
            <w:tcW w:w="7586" w:type="dxa"/>
          </w:tcPr>
          <w:p w:rsidR="008F35D9" w:rsidRPr="00063A48" w:rsidRDefault="008F35D9" w:rsidP="008F35D9">
            <w:pPr>
              <w:spacing w:after="0"/>
              <w:rPr>
                <w:sz w:val="22"/>
              </w:rPr>
            </w:pPr>
            <w:r w:rsidRPr="00063A48">
              <w:rPr>
                <w:sz w:val="22"/>
              </w:rPr>
              <w:t>Европейски фонд за рибарство</w:t>
            </w:r>
          </w:p>
        </w:tc>
      </w:tr>
      <w:tr w:rsidR="007957FD" w:rsidRPr="00063A48" w:rsidTr="00626AC5">
        <w:trPr>
          <w:trHeight w:val="312"/>
          <w:jc w:val="center"/>
        </w:trPr>
        <w:tc>
          <w:tcPr>
            <w:tcW w:w="1638" w:type="dxa"/>
          </w:tcPr>
          <w:p w:rsidR="007957FD" w:rsidRPr="00063A48" w:rsidRDefault="007957FD" w:rsidP="008F35D9">
            <w:pPr>
              <w:spacing w:after="0"/>
              <w:rPr>
                <w:sz w:val="22"/>
              </w:rPr>
            </w:pPr>
            <w:r w:rsidRPr="00063A48">
              <w:rPr>
                <w:sz w:val="22"/>
              </w:rPr>
              <w:t>ЕФРР</w:t>
            </w:r>
          </w:p>
        </w:tc>
        <w:tc>
          <w:tcPr>
            <w:tcW w:w="7586" w:type="dxa"/>
          </w:tcPr>
          <w:p w:rsidR="007957FD" w:rsidRPr="00063A48" w:rsidRDefault="007957FD" w:rsidP="008F35D9">
            <w:pPr>
              <w:spacing w:after="0"/>
              <w:rPr>
                <w:bCs/>
                <w:sz w:val="22"/>
              </w:rPr>
            </w:pPr>
            <w:r w:rsidRPr="00063A48">
              <w:rPr>
                <w:bCs/>
                <w:sz w:val="22"/>
              </w:rPr>
              <w:t>Европейски фонд за регионално развитие</w:t>
            </w:r>
          </w:p>
        </w:tc>
      </w:tr>
      <w:tr w:rsidR="00B2738E" w:rsidRPr="00063A48" w:rsidTr="00626AC5">
        <w:trPr>
          <w:trHeight w:val="312"/>
          <w:jc w:val="center"/>
        </w:trPr>
        <w:tc>
          <w:tcPr>
            <w:tcW w:w="1638" w:type="dxa"/>
          </w:tcPr>
          <w:p w:rsidR="00B2738E" w:rsidRPr="00063A48" w:rsidRDefault="00B2738E" w:rsidP="008F35D9">
            <w:pPr>
              <w:spacing w:after="0"/>
              <w:rPr>
                <w:sz w:val="22"/>
              </w:rPr>
            </w:pPr>
            <w:r w:rsidRPr="00063A48">
              <w:rPr>
                <w:sz w:val="22"/>
              </w:rPr>
              <w:t>ЕЦБ</w:t>
            </w:r>
          </w:p>
        </w:tc>
        <w:tc>
          <w:tcPr>
            <w:tcW w:w="7586" w:type="dxa"/>
          </w:tcPr>
          <w:p w:rsidR="00B2738E" w:rsidRPr="00063A48" w:rsidRDefault="00B2738E" w:rsidP="008F35D9">
            <w:pPr>
              <w:spacing w:after="0"/>
              <w:rPr>
                <w:sz w:val="22"/>
              </w:rPr>
            </w:pPr>
            <w:r w:rsidRPr="00063A48">
              <w:rPr>
                <w:bCs/>
                <w:sz w:val="22"/>
              </w:rPr>
              <w:t>Европейска централна банка</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ЗАДС</w:t>
            </w:r>
          </w:p>
        </w:tc>
        <w:tc>
          <w:tcPr>
            <w:tcW w:w="7586" w:type="dxa"/>
          </w:tcPr>
          <w:p w:rsidR="008F35D9" w:rsidRPr="00063A48" w:rsidRDefault="008F35D9" w:rsidP="008F35D9">
            <w:pPr>
              <w:spacing w:after="0"/>
              <w:rPr>
                <w:sz w:val="22"/>
              </w:rPr>
            </w:pPr>
            <w:r w:rsidRPr="00063A48">
              <w:rPr>
                <w:sz w:val="22"/>
              </w:rPr>
              <w:t>Закон за акцизите и данъчните складове</w:t>
            </w:r>
          </w:p>
        </w:tc>
      </w:tr>
      <w:tr w:rsidR="00724B3A" w:rsidRPr="00063A48" w:rsidTr="00626AC5">
        <w:trPr>
          <w:trHeight w:val="312"/>
          <w:jc w:val="center"/>
        </w:trPr>
        <w:tc>
          <w:tcPr>
            <w:tcW w:w="1638" w:type="dxa"/>
          </w:tcPr>
          <w:p w:rsidR="00724B3A" w:rsidRPr="00063A48" w:rsidRDefault="00724B3A" w:rsidP="008F35D9">
            <w:pPr>
              <w:spacing w:after="0"/>
              <w:rPr>
                <w:sz w:val="22"/>
              </w:rPr>
            </w:pPr>
            <w:r w:rsidRPr="00063A48">
              <w:rPr>
                <w:sz w:val="22"/>
              </w:rPr>
              <w:t>ЗБДОО</w:t>
            </w:r>
          </w:p>
        </w:tc>
        <w:tc>
          <w:tcPr>
            <w:tcW w:w="7586" w:type="dxa"/>
          </w:tcPr>
          <w:p w:rsidR="00724B3A" w:rsidRPr="00063A48" w:rsidRDefault="00724B3A" w:rsidP="008F35D9">
            <w:pPr>
              <w:spacing w:after="0"/>
              <w:rPr>
                <w:sz w:val="22"/>
              </w:rPr>
            </w:pPr>
            <w:r w:rsidRPr="00063A48">
              <w:rPr>
                <w:sz w:val="22"/>
              </w:rPr>
              <w:t>Закон за бюджета на държавното обществено осигуряване</w:t>
            </w:r>
          </w:p>
        </w:tc>
      </w:tr>
      <w:tr w:rsidR="00D674F2" w:rsidRPr="00063A48" w:rsidTr="00626AC5">
        <w:trPr>
          <w:trHeight w:val="312"/>
          <w:jc w:val="center"/>
        </w:trPr>
        <w:tc>
          <w:tcPr>
            <w:tcW w:w="1638" w:type="dxa"/>
          </w:tcPr>
          <w:p w:rsidR="00D674F2" w:rsidRPr="00063A48" w:rsidRDefault="00D674F2" w:rsidP="008F35D9">
            <w:pPr>
              <w:spacing w:after="0"/>
              <w:rPr>
                <w:sz w:val="22"/>
              </w:rPr>
            </w:pPr>
            <w:r w:rsidRPr="00063A48">
              <w:rPr>
                <w:sz w:val="22"/>
              </w:rPr>
              <w:t>ЗБНЗОК</w:t>
            </w:r>
          </w:p>
        </w:tc>
        <w:tc>
          <w:tcPr>
            <w:tcW w:w="7586" w:type="dxa"/>
          </w:tcPr>
          <w:p w:rsidR="00D674F2" w:rsidRPr="00063A48" w:rsidRDefault="00D674F2" w:rsidP="008F35D9">
            <w:pPr>
              <w:spacing w:after="0"/>
              <w:rPr>
                <w:sz w:val="22"/>
              </w:rPr>
            </w:pPr>
            <w:r w:rsidRPr="00063A48">
              <w:rPr>
                <w:sz w:val="22"/>
              </w:rPr>
              <w:t>Закон за бюджета на Националната здравноосигурителна каса</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ЗДБРБ</w:t>
            </w:r>
          </w:p>
        </w:tc>
        <w:tc>
          <w:tcPr>
            <w:tcW w:w="7586" w:type="dxa"/>
          </w:tcPr>
          <w:p w:rsidR="008F35D9" w:rsidRPr="00063A48" w:rsidRDefault="008F35D9" w:rsidP="008F35D9">
            <w:pPr>
              <w:spacing w:after="0"/>
              <w:rPr>
                <w:sz w:val="22"/>
              </w:rPr>
            </w:pPr>
            <w:r w:rsidRPr="00063A48">
              <w:rPr>
                <w:sz w:val="22"/>
              </w:rPr>
              <w:t>Закон за държавния бюджет на Република България</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ЗДДС</w:t>
            </w:r>
          </w:p>
        </w:tc>
        <w:tc>
          <w:tcPr>
            <w:tcW w:w="7586" w:type="dxa"/>
          </w:tcPr>
          <w:p w:rsidR="008F35D9" w:rsidRPr="00063A48" w:rsidRDefault="008F35D9" w:rsidP="008F35D9">
            <w:pPr>
              <w:spacing w:after="0"/>
              <w:rPr>
                <w:sz w:val="22"/>
              </w:rPr>
            </w:pPr>
            <w:r w:rsidRPr="00063A48">
              <w:rPr>
                <w:sz w:val="22"/>
              </w:rPr>
              <w:t>Закон за данък върху добавената стойност</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ЗДДФЛ</w:t>
            </w:r>
          </w:p>
        </w:tc>
        <w:tc>
          <w:tcPr>
            <w:tcW w:w="7586" w:type="dxa"/>
          </w:tcPr>
          <w:p w:rsidR="008F35D9" w:rsidRPr="00063A48" w:rsidRDefault="008F35D9" w:rsidP="008F35D9">
            <w:pPr>
              <w:spacing w:after="0"/>
              <w:rPr>
                <w:sz w:val="22"/>
              </w:rPr>
            </w:pPr>
            <w:r w:rsidRPr="00063A48">
              <w:rPr>
                <w:sz w:val="22"/>
              </w:rPr>
              <w:t>Закон за данъците върху доходите на физическите лица</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ЗЕЗ</w:t>
            </w:r>
          </w:p>
        </w:tc>
        <w:tc>
          <w:tcPr>
            <w:tcW w:w="7586" w:type="dxa"/>
          </w:tcPr>
          <w:p w:rsidR="008F35D9" w:rsidRPr="00063A48" w:rsidRDefault="008F35D9" w:rsidP="008F35D9">
            <w:pPr>
              <w:spacing w:after="0"/>
              <w:rPr>
                <w:sz w:val="22"/>
              </w:rPr>
            </w:pPr>
            <w:r w:rsidRPr="00063A48">
              <w:rPr>
                <w:sz w:val="22"/>
              </w:rPr>
              <w:t>Закон за експортното застраховане</w:t>
            </w:r>
          </w:p>
        </w:tc>
      </w:tr>
      <w:tr w:rsidR="00B810E5" w:rsidRPr="00063A48" w:rsidTr="00626AC5">
        <w:trPr>
          <w:trHeight w:val="312"/>
          <w:jc w:val="center"/>
        </w:trPr>
        <w:tc>
          <w:tcPr>
            <w:tcW w:w="1638" w:type="dxa"/>
          </w:tcPr>
          <w:p w:rsidR="00B810E5" w:rsidRPr="00063A48" w:rsidRDefault="00B810E5" w:rsidP="008F35D9">
            <w:pPr>
              <w:spacing w:after="0"/>
              <w:rPr>
                <w:sz w:val="22"/>
              </w:rPr>
            </w:pPr>
            <w:r w:rsidRPr="00063A48">
              <w:rPr>
                <w:sz w:val="22"/>
              </w:rPr>
              <w:t>ЗЗД</w:t>
            </w:r>
          </w:p>
        </w:tc>
        <w:tc>
          <w:tcPr>
            <w:tcW w:w="7586" w:type="dxa"/>
          </w:tcPr>
          <w:p w:rsidR="00B810E5" w:rsidRPr="00063A48" w:rsidRDefault="00B810E5" w:rsidP="008F35D9">
            <w:pPr>
              <w:spacing w:after="0"/>
              <w:rPr>
                <w:sz w:val="22"/>
              </w:rPr>
            </w:pPr>
            <w:r w:rsidRPr="00063A48">
              <w:rPr>
                <w:sz w:val="22"/>
              </w:rPr>
              <w:t>Закон за закрила на детето</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ЗКПО</w:t>
            </w:r>
          </w:p>
        </w:tc>
        <w:tc>
          <w:tcPr>
            <w:tcW w:w="7586" w:type="dxa"/>
          </w:tcPr>
          <w:p w:rsidR="008F35D9" w:rsidRPr="00063A48" w:rsidRDefault="008F35D9" w:rsidP="008F35D9">
            <w:pPr>
              <w:spacing w:after="0"/>
              <w:rPr>
                <w:sz w:val="22"/>
              </w:rPr>
            </w:pPr>
            <w:r w:rsidRPr="00063A48">
              <w:rPr>
                <w:sz w:val="22"/>
              </w:rPr>
              <w:t>Закон за корпоративното подоходно облагане</w:t>
            </w:r>
          </w:p>
        </w:tc>
      </w:tr>
      <w:tr w:rsidR="005B4C8E" w:rsidRPr="00063A48" w:rsidTr="00626AC5">
        <w:trPr>
          <w:trHeight w:val="312"/>
          <w:jc w:val="center"/>
        </w:trPr>
        <w:tc>
          <w:tcPr>
            <w:tcW w:w="1638" w:type="dxa"/>
          </w:tcPr>
          <w:p w:rsidR="005B4C8E" w:rsidRPr="00063A48" w:rsidRDefault="005B4C8E" w:rsidP="008F35D9">
            <w:pPr>
              <w:spacing w:after="0"/>
              <w:rPr>
                <w:sz w:val="22"/>
              </w:rPr>
            </w:pPr>
            <w:r w:rsidRPr="00063A48">
              <w:rPr>
                <w:sz w:val="22"/>
              </w:rPr>
              <w:t>ЗЛП</w:t>
            </w:r>
          </w:p>
        </w:tc>
        <w:tc>
          <w:tcPr>
            <w:tcW w:w="7586" w:type="dxa"/>
          </w:tcPr>
          <w:p w:rsidR="005B4C8E" w:rsidRPr="00063A48" w:rsidRDefault="005B4C8E" w:rsidP="008F35D9">
            <w:pPr>
              <w:spacing w:after="0"/>
              <w:rPr>
                <w:sz w:val="22"/>
              </w:rPr>
            </w:pPr>
            <w:r w:rsidRPr="00063A48">
              <w:rPr>
                <w:sz w:val="22"/>
              </w:rPr>
              <w:t>Закон за личната помощ</w:t>
            </w:r>
          </w:p>
        </w:tc>
      </w:tr>
      <w:tr w:rsidR="009C3FC4" w:rsidRPr="00063A48" w:rsidTr="00626AC5">
        <w:trPr>
          <w:trHeight w:val="312"/>
          <w:jc w:val="center"/>
        </w:trPr>
        <w:tc>
          <w:tcPr>
            <w:tcW w:w="1638" w:type="dxa"/>
          </w:tcPr>
          <w:p w:rsidR="009C3FC4" w:rsidRPr="00063A48" w:rsidRDefault="009C3FC4" w:rsidP="008F35D9">
            <w:pPr>
              <w:spacing w:after="0"/>
              <w:rPr>
                <w:sz w:val="22"/>
              </w:rPr>
            </w:pPr>
            <w:r w:rsidRPr="00063A48">
              <w:rPr>
                <w:sz w:val="22"/>
              </w:rPr>
              <w:t>ЗМ</w:t>
            </w:r>
          </w:p>
        </w:tc>
        <w:tc>
          <w:tcPr>
            <w:tcW w:w="7586" w:type="dxa"/>
          </w:tcPr>
          <w:p w:rsidR="009C3FC4" w:rsidRPr="00063A48" w:rsidRDefault="009C3FC4" w:rsidP="008F35D9">
            <w:pPr>
              <w:spacing w:after="0"/>
              <w:rPr>
                <w:sz w:val="22"/>
              </w:rPr>
            </w:pPr>
            <w:r w:rsidRPr="00063A48">
              <w:rPr>
                <w:sz w:val="22"/>
              </w:rPr>
              <w:t>Закон за митниците</w:t>
            </w:r>
          </w:p>
        </w:tc>
      </w:tr>
      <w:tr w:rsidR="00D235BF" w:rsidRPr="00063A48" w:rsidTr="00626AC5">
        <w:trPr>
          <w:trHeight w:val="312"/>
          <w:jc w:val="center"/>
        </w:trPr>
        <w:tc>
          <w:tcPr>
            <w:tcW w:w="1638" w:type="dxa"/>
          </w:tcPr>
          <w:p w:rsidR="00D235BF" w:rsidRPr="00063A48" w:rsidRDefault="00D235BF" w:rsidP="008F35D9">
            <w:pPr>
              <w:spacing w:after="0"/>
              <w:rPr>
                <w:sz w:val="22"/>
              </w:rPr>
            </w:pPr>
            <w:r w:rsidRPr="00063A48">
              <w:rPr>
                <w:sz w:val="22"/>
              </w:rPr>
              <w:t>ЗМФ</w:t>
            </w:r>
          </w:p>
        </w:tc>
        <w:tc>
          <w:tcPr>
            <w:tcW w:w="7586" w:type="dxa"/>
          </w:tcPr>
          <w:p w:rsidR="00D235BF" w:rsidRPr="00063A48" w:rsidRDefault="00D235BF" w:rsidP="008F35D9">
            <w:pPr>
              <w:spacing w:after="0"/>
              <w:rPr>
                <w:sz w:val="22"/>
              </w:rPr>
            </w:pPr>
            <w:r w:rsidRPr="00063A48">
              <w:rPr>
                <w:sz w:val="22"/>
              </w:rPr>
              <w:t>Заповед на министъра на финансите</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ЗПФ</w:t>
            </w:r>
          </w:p>
        </w:tc>
        <w:tc>
          <w:tcPr>
            <w:tcW w:w="7586" w:type="dxa"/>
          </w:tcPr>
          <w:p w:rsidR="008F35D9" w:rsidRPr="00063A48" w:rsidRDefault="008F35D9" w:rsidP="008F35D9">
            <w:pPr>
              <w:spacing w:after="0"/>
              <w:rPr>
                <w:sz w:val="22"/>
              </w:rPr>
            </w:pPr>
            <w:r w:rsidRPr="00063A48">
              <w:rPr>
                <w:sz w:val="22"/>
              </w:rPr>
              <w:t>Закон за публичните финанси</w:t>
            </w:r>
          </w:p>
        </w:tc>
      </w:tr>
      <w:tr w:rsidR="005B4C8E" w:rsidRPr="00063A48" w:rsidTr="00626AC5">
        <w:trPr>
          <w:trHeight w:val="312"/>
          <w:jc w:val="center"/>
        </w:trPr>
        <w:tc>
          <w:tcPr>
            <w:tcW w:w="1638" w:type="dxa"/>
          </w:tcPr>
          <w:p w:rsidR="005B4C8E" w:rsidRPr="00063A48" w:rsidRDefault="005B4C8E" w:rsidP="008F35D9">
            <w:pPr>
              <w:spacing w:after="0"/>
              <w:rPr>
                <w:sz w:val="22"/>
              </w:rPr>
            </w:pPr>
            <w:r w:rsidRPr="00063A48">
              <w:rPr>
                <w:sz w:val="22"/>
              </w:rPr>
              <w:t>ЗСП</w:t>
            </w:r>
          </w:p>
        </w:tc>
        <w:tc>
          <w:tcPr>
            <w:tcW w:w="7586" w:type="dxa"/>
          </w:tcPr>
          <w:p w:rsidR="005B4C8E" w:rsidRPr="00063A48" w:rsidRDefault="00D91A80" w:rsidP="008F35D9">
            <w:pPr>
              <w:spacing w:after="0"/>
              <w:rPr>
                <w:sz w:val="22"/>
              </w:rPr>
            </w:pPr>
            <w:r w:rsidRPr="00063A48">
              <w:rPr>
                <w:sz w:val="22"/>
              </w:rPr>
              <w:t>Закон за социално</w:t>
            </w:r>
            <w:r w:rsidR="00B810E5" w:rsidRPr="00063A48">
              <w:rPr>
                <w:sz w:val="22"/>
              </w:rPr>
              <w:t xml:space="preserve"> подпомагане</w:t>
            </w:r>
          </w:p>
        </w:tc>
      </w:tr>
      <w:tr w:rsidR="00B810E5" w:rsidRPr="00063A48" w:rsidTr="00626AC5">
        <w:trPr>
          <w:trHeight w:val="312"/>
          <w:jc w:val="center"/>
        </w:trPr>
        <w:tc>
          <w:tcPr>
            <w:tcW w:w="1638" w:type="dxa"/>
          </w:tcPr>
          <w:p w:rsidR="00B810E5" w:rsidRPr="00063A48" w:rsidRDefault="00B810E5" w:rsidP="008F35D9">
            <w:pPr>
              <w:spacing w:after="0"/>
              <w:rPr>
                <w:sz w:val="22"/>
              </w:rPr>
            </w:pPr>
            <w:r w:rsidRPr="00063A48">
              <w:rPr>
                <w:sz w:val="22"/>
              </w:rPr>
              <w:t>ЗСПД</w:t>
            </w:r>
          </w:p>
        </w:tc>
        <w:tc>
          <w:tcPr>
            <w:tcW w:w="7586" w:type="dxa"/>
          </w:tcPr>
          <w:p w:rsidR="00B810E5" w:rsidRPr="00063A48" w:rsidRDefault="00B810E5" w:rsidP="008F35D9">
            <w:pPr>
              <w:spacing w:after="0"/>
              <w:rPr>
                <w:sz w:val="22"/>
              </w:rPr>
            </w:pPr>
            <w:r w:rsidRPr="00063A48">
              <w:rPr>
                <w:sz w:val="22"/>
              </w:rPr>
              <w:t>Закон за семейни помощи за деца</w:t>
            </w:r>
          </w:p>
        </w:tc>
      </w:tr>
      <w:tr w:rsidR="005B4C8E" w:rsidRPr="00063A48" w:rsidTr="00626AC5">
        <w:trPr>
          <w:trHeight w:val="312"/>
          <w:jc w:val="center"/>
        </w:trPr>
        <w:tc>
          <w:tcPr>
            <w:tcW w:w="1638" w:type="dxa"/>
          </w:tcPr>
          <w:p w:rsidR="005B4C8E" w:rsidRPr="00063A48" w:rsidRDefault="005B4C8E" w:rsidP="008F35D9">
            <w:pPr>
              <w:spacing w:after="0"/>
              <w:rPr>
                <w:sz w:val="22"/>
              </w:rPr>
            </w:pPr>
            <w:r w:rsidRPr="00063A48">
              <w:rPr>
                <w:sz w:val="22"/>
              </w:rPr>
              <w:t>ЗХУ</w:t>
            </w:r>
          </w:p>
        </w:tc>
        <w:tc>
          <w:tcPr>
            <w:tcW w:w="7586" w:type="dxa"/>
          </w:tcPr>
          <w:p w:rsidR="005B4C8E" w:rsidRPr="00063A48" w:rsidRDefault="005B4C8E" w:rsidP="008F35D9">
            <w:pPr>
              <w:spacing w:after="0"/>
              <w:rPr>
                <w:sz w:val="22"/>
              </w:rPr>
            </w:pPr>
            <w:r w:rsidRPr="00063A48">
              <w:rPr>
                <w:sz w:val="22"/>
              </w:rPr>
              <w:t>Закон за хората с увреждания</w:t>
            </w:r>
          </w:p>
        </w:tc>
      </w:tr>
      <w:tr w:rsidR="00174C2E" w:rsidRPr="00063A48" w:rsidTr="00626AC5">
        <w:trPr>
          <w:trHeight w:val="312"/>
          <w:jc w:val="center"/>
        </w:trPr>
        <w:tc>
          <w:tcPr>
            <w:tcW w:w="1638" w:type="dxa"/>
          </w:tcPr>
          <w:p w:rsidR="00174C2E" w:rsidRPr="00063A48" w:rsidRDefault="00174C2E" w:rsidP="008F35D9">
            <w:pPr>
              <w:spacing w:after="0"/>
              <w:rPr>
                <w:sz w:val="22"/>
              </w:rPr>
            </w:pPr>
            <w:r w:rsidRPr="00063A48">
              <w:rPr>
                <w:sz w:val="22"/>
              </w:rPr>
              <w:t>ИАП</w:t>
            </w:r>
          </w:p>
        </w:tc>
        <w:tc>
          <w:tcPr>
            <w:tcW w:w="7586" w:type="dxa"/>
          </w:tcPr>
          <w:p w:rsidR="00174C2E" w:rsidRPr="00063A48" w:rsidRDefault="00174C2E" w:rsidP="008F35D9">
            <w:pPr>
              <w:spacing w:after="0"/>
              <w:rPr>
                <w:sz w:val="22"/>
              </w:rPr>
            </w:pPr>
            <w:r w:rsidRPr="00063A48">
              <w:rPr>
                <w:sz w:val="22"/>
              </w:rPr>
              <w:t>Институт за анализи и прогнози</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ИКТ</w:t>
            </w:r>
            <w:r w:rsidR="00574F0F" w:rsidRPr="00063A48">
              <w:rPr>
                <w:sz w:val="22"/>
              </w:rPr>
              <w:t>/ ИТ</w:t>
            </w:r>
          </w:p>
        </w:tc>
        <w:tc>
          <w:tcPr>
            <w:tcW w:w="7586" w:type="dxa"/>
          </w:tcPr>
          <w:p w:rsidR="008F35D9" w:rsidRPr="00063A48" w:rsidRDefault="008F35D9" w:rsidP="008F35D9">
            <w:pPr>
              <w:spacing w:after="0"/>
              <w:rPr>
                <w:sz w:val="22"/>
              </w:rPr>
            </w:pPr>
            <w:r w:rsidRPr="00063A48">
              <w:rPr>
                <w:sz w:val="22"/>
              </w:rPr>
              <w:t>Информационни и комуникационни технологии</w:t>
            </w:r>
            <w:r w:rsidR="00574F0F" w:rsidRPr="00063A48">
              <w:rPr>
                <w:sz w:val="22"/>
              </w:rPr>
              <w:t>/ Информационни технологии</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ИПП</w:t>
            </w:r>
          </w:p>
        </w:tc>
        <w:tc>
          <w:tcPr>
            <w:tcW w:w="7586" w:type="dxa"/>
          </w:tcPr>
          <w:p w:rsidR="008F35D9" w:rsidRPr="00063A48" w:rsidRDefault="008F35D9" w:rsidP="008F35D9">
            <w:pPr>
              <w:spacing w:after="0"/>
              <w:rPr>
                <w:sz w:val="22"/>
              </w:rPr>
            </w:pPr>
            <w:r w:rsidRPr="00063A48">
              <w:rPr>
                <w:sz w:val="22"/>
              </w:rPr>
              <w:t xml:space="preserve">Инструмент за предприсъединителна помощ </w:t>
            </w:r>
          </w:p>
        </w:tc>
      </w:tr>
      <w:tr w:rsidR="009A7F5D" w:rsidRPr="00063A48" w:rsidTr="00626AC5">
        <w:trPr>
          <w:trHeight w:val="312"/>
          <w:jc w:val="center"/>
        </w:trPr>
        <w:tc>
          <w:tcPr>
            <w:tcW w:w="1638" w:type="dxa"/>
          </w:tcPr>
          <w:p w:rsidR="009A7F5D" w:rsidRPr="00063A48" w:rsidRDefault="009A7F5D" w:rsidP="008F35D9">
            <w:pPr>
              <w:spacing w:after="0"/>
              <w:rPr>
                <w:sz w:val="22"/>
              </w:rPr>
            </w:pPr>
            <w:r w:rsidRPr="00063A48">
              <w:rPr>
                <w:sz w:val="22"/>
              </w:rPr>
              <w:t>КН</w:t>
            </w:r>
          </w:p>
        </w:tc>
        <w:tc>
          <w:tcPr>
            <w:tcW w:w="7586" w:type="dxa"/>
          </w:tcPr>
          <w:p w:rsidR="009A7F5D" w:rsidRPr="00063A48" w:rsidRDefault="009A7F5D" w:rsidP="008F35D9">
            <w:pPr>
              <w:spacing w:after="0"/>
              <w:rPr>
                <w:sz w:val="22"/>
              </w:rPr>
            </w:pPr>
            <w:r w:rsidRPr="00063A48">
              <w:rPr>
                <w:sz w:val="22"/>
              </w:rPr>
              <w:t>Комбинирана номенклатура</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КСО</w:t>
            </w:r>
          </w:p>
        </w:tc>
        <w:tc>
          <w:tcPr>
            <w:tcW w:w="7586" w:type="dxa"/>
          </w:tcPr>
          <w:p w:rsidR="008F35D9" w:rsidRPr="00063A48" w:rsidRDefault="008F35D9" w:rsidP="008F35D9">
            <w:pPr>
              <w:spacing w:after="0"/>
              <w:rPr>
                <w:sz w:val="22"/>
              </w:rPr>
            </w:pPr>
            <w:r w:rsidRPr="00063A48">
              <w:rPr>
                <w:sz w:val="22"/>
              </w:rPr>
              <w:t>Кодекс за социално осигуряване</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КФП</w:t>
            </w:r>
          </w:p>
        </w:tc>
        <w:tc>
          <w:tcPr>
            <w:tcW w:w="7586" w:type="dxa"/>
          </w:tcPr>
          <w:p w:rsidR="008F35D9" w:rsidRPr="00063A48" w:rsidRDefault="008F35D9" w:rsidP="008F35D9">
            <w:pPr>
              <w:spacing w:after="0"/>
              <w:rPr>
                <w:sz w:val="22"/>
              </w:rPr>
            </w:pPr>
            <w:r w:rsidRPr="00063A48">
              <w:rPr>
                <w:sz w:val="22"/>
              </w:rPr>
              <w:t>Консолидирана фискална програма</w:t>
            </w:r>
          </w:p>
        </w:tc>
      </w:tr>
      <w:tr w:rsidR="008F35D9" w:rsidRPr="00063A48" w:rsidTr="00626AC5">
        <w:trPr>
          <w:trHeight w:val="312"/>
          <w:jc w:val="center"/>
        </w:trPr>
        <w:tc>
          <w:tcPr>
            <w:tcW w:w="1638" w:type="dxa"/>
          </w:tcPr>
          <w:p w:rsidR="008F35D9" w:rsidRPr="00063A48" w:rsidRDefault="003B508D" w:rsidP="008F35D9">
            <w:pPr>
              <w:spacing w:after="0"/>
              <w:rPr>
                <w:sz w:val="22"/>
              </w:rPr>
            </w:pPr>
            <w:r w:rsidRPr="00063A48">
              <w:rPr>
                <w:sz w:val="22"/>
              </w:rPr>
              <w:t>МБВР</w:t>
            </w:r>
          </w:p>
        </w:tc>
        <w:tc>
          <w:tcPr>
            <w:tcW w:w="7586" w:type="dxa"/>
          </w:tcPr>
          <w:p w:rsidR="008F35D9" w:rsidRPr="00063A48" w:rsidRDefault="008F35D9" w:rsidP="008F35D9">
            <w:pPr>
              <w:spacing w:after="0"/>
              <w:rPr>
                <w:sz w:val="22"/>
              </w:rPr>
            </w:pPr>
            <w:r w:rsidRPr="00063A48">
              <w:rPr>
                <w:sz w:val="22"/>
              </w:rPr>
              <w:t>М</w:t>
            </w:r>
            <w:r w:rsidR="003B508D" w:rsidRPr="00063A48">
              <w:rPr>
                <w:sz w:val="22"/>
              </w:rPr>
              <w:t>еждународна банка за възстановяване и развитие</w:t>
            </w:r>
          </w:p>
        </w:tc>
      </w:tr>
      <w:tr w:rsidR="002B34C5" w:rsidRPr="00063A48" w:rsidTr="00626AC5">
        <w:trPr>
          <w:trHeight w:val="312"/>
          <w:jc w:val="center"/>
        </w:trPr>
        <w:tc>
          <w:tcPr>
            <w:tcW w:w="1638" w:type="dxa"/>
          </w:tcPr>
          <w:p w:rsidR="002B34C5" w:rsidRPr="00063A48" w:rsidRDefault="002B34C5" w:rsidP="008F35D9">
            <w:pPr>
              <w:spacing w:after="0"/>
              <w:rPr>
                <w:sz w:val="22"/>
              </w:rPr>
            </w:pPr>
            <w:r w:rsidRPr="00063A48">
              <w:rPr>
                <w:sz w:val="22"/>
              </w:rPr>
              <w:t>МВ</w:t>
            </w:r>
            <w:r w:rsidR="001A77FE" w:rsidRPr="00063A48">
              <w:rPr>
                <w:sz w:val="22"/>
              </w:rPr>
              <w:t>н</w:t>
            </w:r>
            <w:r w:rsidRPr="00063A48">
              <w:rPr>
                <w:sz w:val="22"/>
              </w:rPr>
              <w:t>Р</w:t>
            </w:r>
          </w:p>
        </w:tc>
        <w:tc>
          <w:tcPr>
            <w:tcW w:w="7586" w:type="dxa"/>
          </w:tcPr>
          <w:p w:rsidR="002B34C5" w:rsidRPr="00063A48" w:rsidRDefault="002B34C5" w:rsidP="008F35D9">
            <w:pPr>
              <w:spacing w:after="0"/>
              <w:rPr>
                <w:sz w:val="22"/>
              </w:rPr>
            </w:pPr>
            <w:r w:rsidRPr="00063A48">
              <w:rPr>
                <w:sz w:val="22"/>
              </w:rPr>
              <w:t>Министерство на външните работи</w:t>
            </w:r>
          </w:p>
        </w:tc>
      </w:tr>
      <w:tr w:rsidR="00497750" w:rsidRPr="00063A48" w:rsidTr="00626AC5">
        <w:trPr>
          <w:trHeight w:val="312"/>
          <w:jc w:val="center"/>
        </w:trPr>
        <w:tc>
          <w:tcPr>
            <w:tcW w:w="1638" w:type="dxa"/>
          </w:tcPr>
          <w:p w:rsidR="00497750" w:rsidRPr="00063A48" w:rsidRDefault="00497750" w:rsidP="008F35D9">
            <w:pPr>
              <w:spacing w:after="0"/>
              <w:rPr>
                <w:sz w:val="22"/>
              </w:rPr>
            </w:pPr>
            <w:r w:rsidRPr="00063A48">
              <w:rPr>
                <w:sz w:val="22"/>
              </w:rPr>
              <w:t>МВУ</w:t>
            </w:r>
          </w:p>
        </w:tc>
        <w:tc>
          <w:tcPr>
            <w:tcW w:w="7586" w:type="dxa"/>
          </w:tcPr>
          <w:p w:rsidR="00497750" w:rsidRPr="00063A48" w:rsidRDefault="00497750" w:rsidP="008F35D9">
            <w:pPr>
              <w:spacing w:after="0"/>
              <w:rPr>
                <w:sz w:val="22"/>
              </w:rPr>
            </w:pPr>
            <w:r w:rsidRPr="00063A48">
              <w:rPr>
                <w:sz w:val="22"/>
              </w:rPr>
              <w:t>Механизъм за възстановяване и устойчивост</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МВФ</w:t>
            </w:r>
          </w:p>
        </w:tc>
        <w:tc>
          <w:tcPr>
            <w:tcW w:w="7586" w:type="dxa"/>
          </w:tcPr>
          <w:p w:rsidR="008F35D9" w:rsidRPr="00063A48" w:rsidRDefault="008F35D9" w:rsidP="008F35D9">
            <w:pPr>
              <w:spacing w:after="0"/>
              <w:rPr>
                <w:sz w:val="22"/>
              </w:rPr>
            </w:pPr>
            <w:r w:rsidRPr="00063A48">
              <w:rPr>
                <w:sz w:val="22"/>
              </w:rPr>
              <w:t>Международен валутен фонд</w:t>
            </w:r>
          </w:p>
        </w:tc>
      </w:tr>
      <w:tr w:rsidR="001B68AE" w:rsidRPr="00063A48" w:rsidTr="00626AC5">
        <w:trPr>
          <w:trHeight w:val="312"/>
          <w:jc w:val="center"/>
        </w:trPr>
        <w:tc>
          <w:tcPr>
            <w:tcW w:w="1638" w:type="dxa"/>
          </w:tcPr>
          <w:p w:rsidR="001B68AE" w:rsidRPr="00063A48" w:rsidRDefault="001B68AE" w:rsidP="008F35D9">
            <w:pPr>
              <w:spacing w:after="0"/>
              <w:rPr>
                <w:sz w:val="22"/>
              </w:rPr>
            </w:pPr>
            <w:r w:rsidRPr="00063A48">
              <w:rPr>
                <w:sz w:val="22"/>
              </w:rPr>
              <w:t>МЕУ</w:t>
            </w:r>
          </w:p>
        </w:tc>
        <w:tc>
          <w:tcPr>
            <w:tcW w:w="7586" w:type="dxa"/>
          </w:tcPr>
          <w:p w:rsidR="001B68AE" w:rsidRPr="00063A48" w:rsidRDefault="001B68AE" w:rsidP="008F35D9">
            <w:pPr>
              <w:spacing w:after="0"/>
              <w:rPr>
                <w:sz w:val="22"/>
              </w:rPr>
            </w:pPr>
            <w:r w:rsidRPr="00063A48">
              <w:rPr>
                <w:sz w:val="22"/>
              </w:rPr>
              <w:t>Министерство на електронното управление</w:t>
            </w:r>
          </w:p>
        </w:tc>
      </w:tr>
      <w:tr w:rsidR="00347210" w:rsidRPr="00063A48" w:rsidTr="00626AC5">
        <w:trPr>
          <w:trHeight w:val="312"/>
          <w:jc w:val="center"/>
        </w:trPr>
        <w:tc>
          <w:tcPr>
            <w:tcW w:w="1638" w:type="dxa"/>
          </w:tcPr>
          <w:p w:rsidR="00347210" w:rsidRPr="00063A48" w:rsidRDefault="00347210" w:rsidP="008F35D9">
            <w:pPr>
              <w:spacing w:after="0"/>
              <w:rPr>
                <w:sz w:val="22"/>
              </w:rPr>
            </w:pPr>
            <w:r w:rsidRPr="00063A48">
              <w:rPr>
                <w:sz w:val="22"/>
              </w:rPr>
              <w:t>МЗ</w:t>
            </w:r>
            <w:r w:rsidR="00EA6D6B" w:rsidRPr="00063A48">
              <w:rPr>
                <w:sz w:val="22"/>
              </w:rPr>
              <w:t>Х</w:t>
            </w:r>
          </w:p>
        </w:tc>
        <w:tc>
          <w:tcPr>
            <w:tcW w:w="7586" w:type="dxa"/>
          </w:tcPr>
          <w:p w:rsidR="00347210" w:rsidRPr="00063A48" w:rsidRDefault="00347210" w:rsidP="008F35D9">
            <w:pPr>
              <w:spacing w:after="0"/>
              <w:rPr>
                <w:sz w:val="22"/>
              </w:rPr>
            </w:pPr>
            <w:r w:rsidRPr="00063A48">
              <w:rPr>
                <w:sz w:val="22"/>
              </w:rPr>
              <w:t>Министерство на земеделието</w:t>
            </w:r>
            <w:r w:rsidR="00EA6D6B" w:rsidRPr="00063A48">
              <w:rPr>
                <w:sz w:val="22"/>
              </w:rPr>
              <w:t xml:space="preserve"> и храните</w:t>
            </w:r>
          </w:p>
        </w:tc>
      </w:tr>
      <w:tr w:rsidR="00347210" w:rsidRPr="00063A48" w:rsidTr="00626AC5">
        <w:trPr>
          <w:trHeight w:val="312"/>
          <w:jc w:val="center"/>
        </w:trPr>
        <w:tc>
          <w:tcPr>
            <w:tcW w:w="1638" w:type="dxa"/>
          </w:tcPr>
          <w:p w:rsidR="00347210" w:rsidRPr="00063A48" w:rsidRDefault="00347210" w:rsidP="008F35D9">
            <w:pPr>
              <w:spacing w:after="0"/>
              <w:rPr>
                <w:sz w:val="22"/>
              </w:rPr>
            </w:pPr>
            <w:r w:rsidRPr="00063A48">
              <w:rPr>
                <w:sz w:val="22"/>
              </w:rPr>
              <w:t>МИР</w:t>
            </w:r>
          </w:p>
        </w:tc>
        <w:tc>
          <w:tcPr>
            <w:tcW w:w="7586" w:type="dxa"/>
          </w:tcPr>
          <w:p w:rsidR="00347210" w:rsidRPr="00063A48" w:rsidRDefault="00347210" w:rsidP="008F35D9">
            <w:pPr>
              <w:spacing w:after="0"/>
              <w:rPr>
                <w:sz w:val="22"/>
              </w:rPr>
            </w:pPr>
            <w:r w:rsidRPr="00063A48">
              <w:rPr>
                <w:sz w:val="22"/>
              </w:rPr>
              <w:t>Министерство на иновациите и растежа</w:t>
            </w:r>
          </w:p>
        </w:tc>
      </w:tr>
      <w:tr w:rsidR="002959CD" w:rsidRPr="00063A48" w:rsidTr="00626AC5">
        <w:trPr>
          <w:trHeight w:val="312"/>
          <w:jc w:val="center"/>
        </w:trPr>
        <w:tc>
          <w:tcPr>
            <w:tcW w:w="1638" w:type="dxa"/>
          </w:tcPr>
          <w:p w:rsidR="002959CD" w:rsidRPr="00063A48" w:rsidRDefault="002959CD" w:rsidP="008F35D9">
            <w:pPr>
              <w:spacing w:after="0"/>
              <w:rPr>
                <w:sz w:val="22"/>
              </w:rPr>
            </w:pPr>
            <w:r w:rsidRPr="00063A48">
              <w:rPr>
                <w:sz w:val="22"/>
              </w:rPr>
              <w:t>МКП</w:t>
            </w:r>
          </w:p>
        </w:tc>
        <w:tc>
          <w:tcPr>
            <w:tcW w:w="7586" w:type="dxa"/>
          </w:tcPr>
          <w:p w:rsidR="002959CD" w:rsidRPr="00063A48" w:rsidRDefault="002959CD" w:rsidP="008F35D9">
            <w:pPr>
              <w:spacing w:after="0"/>
              <w:rPr>
                <w:sz w:val="22"/>
              </w:rPr>
            </w:pPr>
            <w:r w:rsidRPr="00063A48">
              <w:rPr>
                <w:sz w:val="22"/>
              </w:rPr>
              <w:t>Международни капиталови пазари</w:t>
            </w:r>
          </w:p>
        </w:tc>
      </w:tr>
      <w:tr w:rsidR="00347210" w:rsidRPr="00063A48" w:rsidTr="00626AC5">
        <w:trPr>
          <w:trHeight w:val="312"/>
          <w:jc w:val="center"/>
        </w:trPr>
        <w:tc>
          <w:tcPr>
            <w:tcW w:w="1638" w:type="dxa"/>
          </w:tcPr>
          <w:p w:rsidR="00347210" w:rsidRPr="00063A48" w:rsidRDefault="00347210" w:rsidP="008F35D9">
            <w:pPr>
              <w:spacing w:after="0"/>
              <w:rPr>
                <w:sz w:val="22"/>
              </w:rPr>
            </w:pPr>
            <w:r w:rsidRPr="00063A48">
              <w:rPr>
                <w:sz w:val="22"/>
              </w:rPr>
              <w:t>ММС</w:t>
            </w:r>
          </w:p>
        </w:tc>
        <w:tc>
          <w:tcPr>
            <w:tcW w:w="7586" w:type="dxa"/>
          </w:tcPr>
          <w:p w:rsidR="00347210" w:rsidRPr="00063A48" w:rsidRDefault="00347210" w:rsidP="008F35D9">
            <w:pPr>
              <w:spacing w:after="0"/>
              <w:rPr>
                <w:sz w:val="22"/>
              </w:rPr>
            </w:pPr>
            <w:r w:rsidRPr="00063A48">
              <w:rPr>
                <w:sz w:val="22"/>
              </w:rPr>
              <w:t>Министерство на младежта и спорта</w:t>
            </w:r>
          </w:p>
        </w:tc>
      </w:tr>
      <w:tr w:rsidR="00A50053" w:rsidRPr="00063A48" w:rsidTr="00626AC5">
        <w:trPr>
          <w:trHeight w:val="312"/>
          <w:jc w:val="center"/>
        </w:trPr>
        <w:tc>
          <w:tcPr>
            <w:tcW w:w="1638" w:type="dxa"/>
          </w:tcPr>
          <w:p w:rsidR="00A50053" w:rsidRPr="00063A48" w:rsidRDefault="00A50053" w:rsidP="008F35D9">
            <w:pPr>
              <w:spacing w:after="0"/>
              <w:rPr>
                <w:sz w:val="22"/>
              </w:rPr>
            </w:pPr>
            <w:r w:rsidRPr="00063A48">
              <w:rPr>
                <w:sz w:val="22"/>
              </w:rPr>
              <w:t>МО</w:t>
            </w:r>
          </w:p>
        </w:tc>
        <w:tc>
          <w:tcPr>
            <w:tcW w:w="7586" w:type="dxa"/>
          </w:tcPr>
          <w:p w:rsidR="00A50053" w:rsidRPr="00063A48" w:rsidRDefault="00A50053" w:rsidP="008F35D9">
            <w:pPr>
              <w:spacing w:after="0"/>
              <w:rPr>
                <w:sz w:val="22"/>
              </w:rPr>
            </w:pPr>
            <w:r w:rsidRPr="00063A48">
              <w:rPr>
                <w:sz w:val="22"/>
              </w:rPr>
              <w:t>Министерство на отбраната</w:t>
            </w:r>
          </w:p>
        </w:tc>
      </w:tr>
      <w:tr w:rsidR="002B34C5" w:rsidRPr="00063A48" w:rsidTr="00626AC5">
        <w:trPr>
          <w:trHeight w:val="312"/>
          <w:jc w:val="center"/>
        </w:trPr>
        <w:tc>
          <w:tcPr>
            <w:tcW w:w="1638" w:type="dxa"/>
          </w:tcPr>
          <w:p w:rsidR="002B34C5" w:rsidRPr="00063A48" w:rsidRDefault="002B34C5" w:rsidP="008F35D9">
            <w:pPr>
              <w:spacing w:after="0"/>
              <w:rPr>
                <w:sz w:val="22"/>
              </w:rPr>
            </w:pPr>
            <w:r w:rsidRPr="00063A48">
              <w:rPr>
                <w:sz w:val="22"/>
              </w:rPr>
              <w:t>МОН</w:t>
            </w:r>
          </w:p>
        </w:tc>
        <w:tc>
          <w:tcPr>
            <w:tcW w:w="7586" w:type="dxa"/>
          </w:tcPr>
          <w:p w:rsidR="002B34C5" w:rsidRPr="00063A48" w:rsidRDefault="002B34C5" w:rsidP="008F35D9">
            <w:pPr>
              <w:spacing w:after="0"/>
              <w:rPr>
                <w:sz w:val="22"/>
              </w:rPr>
            </w:pPr>
            <w:r w:rsidRPr="00063A48">
              <w:rPr>
                <w:sz w:val="22"/>
              </w:rPr>
              <w:t>Министерство на образованието и науката</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МРЗ</w:t>
            </w:r>
          </w:p>
        </w:tc>
        <w:tc>
          <w:tcPr>
            <w:tcW w:w="7586" w:type="dxa"/>
          </w:tcPr>
          <w:p w:rsidR="008F35D9" w:rsidRPr="00063A48" w:rsidRDefault="008F35D9" w:rsidP="008F35D9">
            <w:pPr>
              <w:spacing w:after="0"/>
              <w:rPr>
                <w:sz w:val="22"/>
              </w:rPr>
            </w:pPr>
            <w:r w:rsidRPr="00063A48">
              <w:rPr>
                <w:sz w:val="22"/>
              </w:rPr>
              <w:t>Минимална работна заплата</w:t>
            </w:r>
          </w:p>
        </w:tc>
      </w:tr>
      <w:tr w:rsidR="002B34C5" w:rsidRPr="00063A48" w:rsidTr="00626AC5">
        <w:trPr>
          <w:trHeight w:val="312"/>
          <w:jc w:val="center"/>
        </w:trPr>
        <w:tc>
          <w:tcPr>
            <w:tcW w:w="1638" w:type="dxa"/>
          </w:tcPr>
          <w:p w:rsidR="002B34C5" w:rsidRPr="00063A48" w:rsidRDefault="002B34C5" w:rsidP="008F35D9">
            <w:pPr>
              <w:spacing w:after="0"/>
              <w:rPr>
                <w:sz w:val="22"/>
              </w:rPr>
            </w:pPr>
            <w:r w:rsidRPr="00063A48">
              <w:rPr>
                <w:sz w:val="22"/>
              </w:rPr>
              <w:t>МРРБ</w:t>
            </w:r>
          </w:p>
        </w:tc>
        <w:tc>
          <w:tcPr>
            <w:tcW w:w="7586" w:type="dxa"/>
          </w:tcPr>
          <w:p w:rsidR="002B34C5" w:rsidRPr="00063A48" w:rsidRDefault="002B34C5" w:rsidP="008F35D9">
            <w:pPr>
              <w:spacing w:after="0"/>
              <w:rPr>
                <w:sz w:val="22"/>
              </w:rPr>
            </w:pPr>
            <w:r w:rsidRPr="00063A48">
              <w:rPr>
                <w:sz w:val="22"/>
              </w:rPr>
              <w:t>Министерство на регионалното развитие и благоустройството</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МС</w:t>
            </w:r>
          </w:p>
        </w:tc>
        <w:tc>
          <w:tcPr>
            <w:tcW w:w="7586" w:type="dxa"/>
          </w:tcPr>
          <w:p w:rsidR="008F35D9" w:rsidRPr="00063A48" w:rsidRDefault="008F35D9" w:rsidP="008F35D9">
            <w:pPr>
              <w:spacing w:after="0"/>
              <w:rPr>
                <w:sz w:val="22"/>
              </w:rPr>
            </w:pPr>
            <w:r w:rsidRPr="00063A48">
              <w:rPr>
                <w:sz w:val="22"/>
              </w:rPr>
              <w:t>Министерски съвет</w:t>
            </w:r>
          </w:p>
        </w:tc>
      </w:tr>
      <w:tr w:rsidR="00AE1A93" w:rsidRPr="00063A48" w:rsidTr="00626AC5">
        <w:trPr>
          <w:trHeight w:val="312"/>
          <w:jc w:val="center"/>
        </w:trPr>
        <w:tc>
          <w:tcPr>
            <w:tcW w:w="1638" w:type="dxa"/>
          </w:tcPr>
          <w:p w:rsidR="00AE1A93" w:rsidRPr="00063A48" w:rsidRDefault="00AE1A93" w:rsidP="008F35D9">
            <w:pPr>
              <w:spacing w:after="0"/>
              <w:rPr>
                <w:sz w:val="22"/>
              </w:rPr>
            </w:pPr>
            <w:r w:rsidRPr="00063A48">
              <w:rPr>
                <w:sz w:val="22"/>
              </w:rPr>
              <w:t>МСК</w:t>
            </w:r>
          </w:p>
        </w:tc>
        <w:tc>
          <w:tcPr>
            <w:tcW w:w="7586" w:type="dxa"/>
          </w:tcPr>
          <w:p w:rsidR="00AE1A93" w:rsidRPr="00063A48" w:rsidRDefault="00AE1A93" w:rsidP="008F35D9">
            <w:pPr>
              <w:spacing w:after="0"/>
              <w:jc w:val="left"/>
              <w:rPr>
                <w:sz w:val="22"/>
              </w:rPr>
            </w:pPr>
            <w:r w:rsidRPr="00063A48">
              <w:rPr>
                <w:sz w:val="22"/>
              </w:rPr>
              <w:t>Международен спортен календар</w:t>
            </w:r>
          </w:p>
        </w:tc>
      </w:tr>
      <w:tr w:rsidR="008F483C" w:rsidRPr="00063A48" w:rsidTr="00626AC5">
        <w:trPr>
          <w:trHeight w:val="312"/>
          <w:jc w:val="center"/>
        </w:trPr>
        <w:tc>
          <w:tcPr>
            <w:tcW w:w="1638" w:type="dxa"/>
          </w:tcPr>
          <w:p w:rsidR="008F483C" w:rsidRPr="00063A48" w:rsidRDefault="008F483C" w:rsidP="008F35D9">
            <w:pPr>
              <w:spacing w:after="0"/>
              <w:rPr>
                <w:sz w:val="22"/>
              </w:rPr>
            </w:pPr>
            <w:r w:rsidRPr="00063A48">
              <w:rPr>
                <w:sz w:val="22"/>
              </w:rPr>
              <w:t>МСП</w:t>
            </w:r>
          </w:p>
        </w:tc>
        <w:tc>
          <w:tcPr>
            <w:tcW w:w="7586" w:type="dxa"/>
          </w:tcPr>
          <w:p w:rsidR="008F483C" w:rsidRPr="00063A48" w:rsidRDefault="008F483C" w:rsidP="008F35D9">
            <w:pPr>
              <w:spacing w:after="0"/>
              <w:jc w:val="left"/>
              <w:rPr>
                <w:sz w:val="22"/>
              </w:rPr>
            </w:pPr>
            <w:r w:rsidRPr="00063A48">
              <w:rPr>
                <w:sz w:val="22"/>
              </w:rPr>
              <w:t>Малки и средни предприятия</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МТСП</w:t>
            </w:r>
          </w:p>
        </w:tc>
        <w:tc>
          <w:tcPr>
            <w:tcW w:w="7586" w:type="dxa"/>
          </w:tcPr>
          <w:p w:rsidR="008F35D9" w:rsidRPr="00063A48" w:rsidRDefault="008F35D9" w:rsidP="008F35D9">
            <w:pPr>
              <w:spacing w:after="0"/>
              <w:rPr>
                <w:sz w:val="22"/>
              </w:rPr>
            </w:pPr>
            <w:r w:rsidRPr="00063A48">
              <w:rPr>
                <w:sz w:val="22"/>
              </w:rPr>
              <w:t>Министерство на труда и социалната политика</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МФ</w:t>
            </w:r>
          </w:p>
        </w:tc>
        <w:tc>
          <w:tcPr>
            <w:tcW w:w="7586" w:type="dxa"/>
          </w:tcPr>
          <w:p w:rsidR="008F35D9" w:rsidRPr="00063A48" w:rsidRDefault="008F35D9" w:rsidP="008F35D9">
            <w:pPr>
              <w:spacing w:after="0"/>
              <w:rPr>
                <w:sz w:val="22"/>
              </w:rPr>
            </w:pPr>
            <w:r w:rsidRPr="00063A48">
              <w:rPr>
                <w:sz w:val="22"/>
              </w:rPr>
              <w:t>Министерство на финансите</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МФР</w:t>
            </w:r>
          </w:p>
        </w:tc>
        <w:tc>
          <w:tcPr>
            <w:tcW w:w="7586" w:type="dxa"/>
          </w:tcPr>
          <w:p w:rsidR="008F35D9" w:rsidRPr="00063A48" w:rsidRDefault="008F35D9" w:rsidP="008F35D9">
            <w:pPr>
              <w:spacing w:after="0"/>
              <w:rPr>
                <w:sz w:val="22"/>
              </w:rPr>
            </w:pPr>
            <w:r w:rsidRPr="00063A48">
              <w:rPr>
                <w:sz w:val="22"/>
              </w:rPr>
              <w:t>Многогодишна финансова рамка</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НАП</w:t>
            </w:r>
          </w:p>
        </w:tc>
        <w:tc>
          <w:tcPr>
            <w:tcW w:w="7586" w:type="dxa"/>
          </w:tcPr>
          <w:p w:rsidR="008F35D9" w:rsidRPr="00063A48" w:rsidRDefault="008F35D9" w:rsidP="008F35D9">
            <w:pPr>
              <w:spacing w:after="0"/>
              <w:rPr>
                <w:sz w:val="22"/>
              </w:rPr>
            </w:pPr>
            <w:r w:rsidRPr="00063A48">
              <w:rPr>
                <w:sz w:val="22"/>
              </w:rPr>
              <w:t>Национална агенция за приходите</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НАТО</w:t>
            </w:r>
          </w:p>
        </w:tc>
        <w:tc>
          <w:tcPr>
            <w:tcW w:w="7586" w:type="dxa"/>
          </w:tcPr>
          <w:p w:rsidR="008F35D9" w:rsidRPr="00063A48" w:rsidRDefault="008F35D9" w:rsidP="008F35D9">
            <w:pPr>
              <w:spacing w:after="0"/>
              <w:rPr>
                <w:sz w:val="22"/>
              </w:rPr>
            </w:pPr>
            <w:r w:rsidRPr="00063A48">
              <w:rPr>
                <w:sz w:val="22"/>
              </w:rPr>
              <w:t>Организация на Северноатлантическия договор</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НЗОК</w:t>
            </w:r>
          </w:p>
        </w:tc>
        <w:tc>
          <w:tcPr>
            <w:tcW w:w="7586" w:type="dxa"/>
          </w:tcPr>
          <w:p w:rsidR="008F35D9" w:rsidRPr="00063A48" w:rsidRDefault="008F35D9" w:rsidP="008F35D9">
            <w:pPr>
              <w:spacing w:after="0"/>
              <w:rPr>
                <w:sz w:val="22"/>
              </w:rPr>
            </w:pPr>
            <w:r w:rsidRPr="00063A48">
              <w:rPr>
                <w:sz w:val="22"/>
              </w:rPr>
              <w:t>Национална здравноосигурителна каса</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НОИ</w:t>
            </w:r>
          </w:p>
        </w:tc>
        <w:tc>
          <w:tcPr>
            <w:tcW w:w="7586" w:type="dxa"/>
          </w:tcPr>
          <w:p w:rsidR="008F35D9" w:rsidRPr="00063A48" w:rsidRDefault="008F35D9" w:rsidP="008F35D9">
            <w:pPr>
              <w:spacing w:after="0"/>
              <w:rPr>
                <w:sz w:val="22"/>
              </w:rPr>
            </w:pPr>
            <w:r w:rsidRPr="00063A48">
              <w:rPr>
                <w:sz w:val="22"/>
              </w:rPr>
              <w:t>Национален осигурителен институт</w:t>
            </w:r>
          </w:p>
        </w:tc>
      </w:tr>
      <w:tr w:rsidR="001516E1" w:rsidRPr="00063A48" w:rsidTr="00626AC5">
        <w:trPr>
          <w:trHeight w:val="312"/>
          <w:jc w:val="center"/>
        </w:trPr>
        <w:tc>
          <w:tcPr>
            <w:tcW w:w="1638" w:type="dxa"/>
          </w:tcPr>
          <w:p w:rsidR="001516E1" w:rsidRPr="00063A48" w:rsidRDefault="001516E1" w:rsidP="008F35D9">
            <w:pPr>
              <w:spacing w:after="0"/>
              <w:rPr>
                <w:sz w:val="22"/>
              </w:rPr>
            </w:pPr>
            <w:r w:rsidRPr="00063A48">
              <w:rPr>
                <w:sz w:val="22"/>
              </w:rPr>
              <w:t>НПР</w:t>
            </w:r>
          </w:p>
        </w:tc>
        <w:tc>
          <w:tcPr>
            <w:tcW w:w="7586" w:type="dxa"/>
          </w:tcPr>
          <w:p w:rsidR="001516E1" w:rsidRPr="00063A48" w:rsidRDefault="001516E1" w:rsidP="008F35D9">
            <w:pPr>
              <w:spacing w:after="0"/>
              <w:rPr>
                <w:sz w:val="22"/>
              </w:rPr>
            </w:pPr>
            <w:r w:rsidRPr="00063A48">
              <w:rPr>
                <w:sz w:val="22"/>
              </w:rPr>
              <w:t>Национална програма за р</w:t>
            </w:r>
            <w:r w:rsidR="00350E2F" w:rsidRPr="00063A48">
              <w:rPr>
                <w:sz w:val="22"/>
              </w:rPr>
              <w:t>азвитие</w:t>
            </w:r>
          </w:p>
        </w:tc>
      </w:tr>
      <w:tr w:rsidR="00355EF4" w:rsidRPr="00063A48" w:rsidTr="00626AC5">
        <w:trPr>
          <w:trHeight w:val="312"/>
          <w:jc w:val="center"/>
        </w:trPr>
        <w:tc>
          <w:tcPr>
            <w:tcW w:w="1638" w:type="dxa"/>
          </w:tcPr>
          <w:p w:rsidR="00355EF4" w:rsidRPr="00063A48" w:rsidRDefault="00355EF4" w:rsidP="008F35D9">
            <w:pPr>
              <w:spacing w:after="0"/>
              <w:rPr>
                <w:sz w:val="22"/>
              </w:rPr>
            </w:pPr>
            <w:r w:rsidRPr="00063A48">
              <w:rPr>
                <w:sz w:val="22"/>
              </w:rPr>
              <w:t>НПВУ</w:t>
            </w:r>
            <w:r w:rsidR="00E95358" w:rsidRPr="00063A48">
              <w:rPr>
                <w:sz w:val="22"/>
              </w:rPr>
              <w:t>/ПВУ</w:t>
            </w:r>
          </w:p>
        </w:tc>
        <w:tc>
          <w:tcPr>
            <w:tcW w:w="7586" w:type="dxa"/>
          </w:tcPr>
          <w:p w:rsidR="00355EF4" w:rsidRPr="00063A48" w:rsidRDefault="00E95358" w:rsidP="008F35D9">
            <w:pPr>
              <w:spacing w:after="0"/>
              <w:rPr>
                <w:sz w:val="22"/>
              </w:rPr>
            </w:pPr>
            <w:r w:rsidRPr="00063A48">
              <w:rPr>
                <w:bCs/>
                <w:sz w:val="22"/>
                <w:lang w:bidi="bg-BG"/>
              </w:rPr>
              <w:t xml:space="preserve">Национален/ </w:t>
            </w:r>
            <w:r w:rsidR="00355EF4" w:rsidRPr="00063A48">
              <w:rPr>
                <w:bCs/>
                <w:sz w:val="22"/>
                <w:lang w:bidi="bg-BG"/>
              </w:rPr>
              <w:t>план за възстановяване и устойчивост</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НРС</w:t>
            </w:r>
          </w:p>
        </w:tc>
        <w:tc>
          <w:tcPr>
            <w:tcW w:w="7586" w:type="dxa"/>
          </w:tcPr>
          <w:p w:rsidR="008F35D9" w:rsidRPr="00063A48" w:rsidRDefault="008F35D9" w:rsidP="008F35D9">
            <w:pPr>
              <w:spacing w:after="0"/>
              <w:rPr>
                <w:sz w:val="22"/>
              </w:rPr>
            </w:pPr>
            <w:r w:rsidRPr="00063A48">
              <w:rPr>
                <w:sz w:val="22"/>
              </w:rPr>
              <w:t>Наблюдение на работната сила</w:t>
            </w:r>
          </w:p>
        </w:tc>
      </w:tr>
      <w:tr w:rsidR="00A9620F" w:rsidRPr="00063A48" w:rsidTr="00626AC5">
        <w:trPr>
          <w:trHeight w:val="312"/>
          <w:jc w:val="center"/>
        </w:trPr>
        <w:tc>
          <w:tcPr>
            <w:tcW w:w="1638" w:type="dxa"/>
          </w:tcPr>
          <w:p w:rsidR="00A9620F" w:rsidRPr="00063A48" w:rsidRDefault="00A9620F" w:rsidP="008F35D9">
            <w:pPr>
              <w:spacing w:after="0"/>
              <w:rPr>
                <w:sz w:val="22"/>
              </w:rPr>
            </w:pPr>
            <w:r w:rsidRPr="00063A48">
              <w:rPr>
                <w:sz w:val="22"/>
              </w:rPr>
              <w:t>НС</w:t>
            </w:r>
          </w:p>
        </w:tc>
        <w:tc>
          <w:tcPr>
            <w:tcW w:w="7586" w:type="dxa"/>
          </w:tcPr>
          <w:p w:rsidR="00A9620F" w:rsidRPr="00063A48" w:rsidRDefault="00A9620F" w:rsidP="008F35D9">
            <w:pPr>
              <w:spacing w:after="0"/>
              <w:rPr>
                <w:sz w:val="22"/>
              </w:rPr>
            </w:pPr>
            <w:r w:rsidRPr="00063A48">
              <w:rPr>
                <w:sz w:val="22"/>
              </w:rPr>
              <w:t>Народно събрание</w:t>
            </w:r>
          </w:p>
        </w:tc>
      </w:tr>
      <w:tr w:rsidR="00441F6F" w:rsidRPr="00063A48" w:rsidTr="00626AC5">
        <w:trPr>
          <w:trHeight w:val="312"/>
          <w:jc w:val="center"/>
        </w:trPr>
        <w:tc>
          <w:tcPr>
            <w:tcW w:w="1638" w:type="dxa"/>
          </w:tcPr>
          <w:p w:rsidR="00441F6F" w:rsidRPr="00063A48" w:rsidRDefault="00441F6F" w:rsidP="008F35D9">
            <w:pPr>
              <w:spacing w:after="0"/>
              <w:rPr>
                <w:sz w:val="22"/>
              </w:rPr>
            </w:pPr>
            <w:r w:rsidRPr="00063A48">
              <w:rPr>
                <w:sz w:val="22"/>
              </w:rPr>
              <w:t>НСИ</w:t>
            </w:r>
          </w:p>
        </w:tc>
        <w:tc>
          <w:tcPr>
            <w:tcW w:w="7586" w:type="dxa"/>
          </w:tcPr>
          <w:p w:rsidR="00441F6F" w:rsidRPr="00063A48" w:rsidRDefault="00441F6F" w:rsidP="008F35D9">
            <w:pPr>
              <w:spacing w:after="0"/>
              <w:rPr>
                <w:sz w:val="22"/>
              </w:rPr>
            </w:pPr>
            <w:r w:rsidRPr="00063A48">
              <w:rPr>
                <w:sz w:val="22"/>
              </w:rPr>
              <w:t>Национален статистически институт</w:t>
            </w:r>
          </w:p>
        </w:tc>
      </w:tr>
      <w:tr w:rsidR="004D6D10" w:rsidRPr="00063A48" w:rsidTr="00626AC5">
        <w:trPr>
          <w:trHeight w:val="312"/>
          <w:jc w:val="center"/>
        </w:trPr>
        <w:tc>
          <w:tcPr>
            <w:tcW w:w="1638" w:type="dxa"/>
          </w:tcPr>
          <w:p w:rsidR="004D6D10" w:rsidRPr="00063A48" w:rsidRDefault="004D6D10" w:rsidP="008F35D9">
            <w:pPr>
              <w:spacing w:after="0"/>
              <w:rPr>
                <w:sz w:val="22"/>
              </w:rPr>
            </w:pPr>
            <w:r w:rsidRPr="00063A48">
              <w:rPr>
                <w:sz w:val="22"/>
              </w:rPr>
              <w:t>НФМ</w:t>
            </w:r>
          </w:p>
        </w:tc>
        <w:tc>
          <w:tcPr>
            <w:tcW w:w="7586" w:type="dxa"/>
          </w:tcPr>
          <w:p w:rsidR="004D6D10" w:rsidRPr="00063A48" w:rsidRDefault="004D6D10" w:rsidP="008F35D9">
            <w:pPr>
              <w:spacing w:after="0"/>
              <w:rPr>
                <w:sz w:val="22"/>
              </w:rPr>
            </w:pPr>
            <w:r w:rsidRPr="00063A48">
              <w:rPr>
                <w:sz w:val="22"/>
              </w:rPr>
              <w:t>Норвежки финансов механизъм</w:t>
            </w:r>
          </w:p>
        </w:tc>
      </w:tr>
      <w:tr w:rsidR="003F592F" w:rsidRPr="00063A48" w:rsidTr="00626AC5">
        <w:trPr>
          <w:trHeight w:val="312"/>
          <w:jc w:val="center"/>
        </w:trPr>
        <w:tc>
          <w:tcPr>
            <w:tcW w:w="1638" w:type="dxa"/>
          </w:tcPr>
          <w:p w:rsidR="003F592F" w:rsidRPr="00063A48" w:rsidRDefault="003F592F" w:rsidP="008F35D9">
            <w:pPr>
              <w:spacing w:after="0"/>
              <w:rPr>
                <w:sz w:val="22"/>
              </w:rPr>
            </w:pPr>
            <w:r w:rsidRPr="00063A48">
              <w:rPr>
                <w:sz w:val="22"/>
              </w:rPr>
              <w:t>ОИСР</w:t>
            </w:r>
          </w:p>
        </w:tc>
        <w:tc>
          <w:tcPr>
            <w:tcW w:w="7586" w:type="dxa"/>
          </w:tcPr>
          <w:p w:rsidR="003F592F" w:rsidRPr="00063A48" w:rsidRDefault="003F592F" w:rsidP="008F35D9">
            <w:pPr>
              <w:spacing w:after="0"/>
              <w:rPr>
                <w:sz w:val="22"/>
              </w:rPr>
            </w:pPr>
            <w:r w:rsidRPr="00063A48">
              <w:rPr>
                <w:sz w:val="22"/>
              </w:rPr>
              <w:t>Организация за икономическо сътрудничество и развитие</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ООД</w:t>
            </w:r>
          </w:p>
        </w:tc>
        <w:tc>
          <w:tcPr>
            <w:tcW w:w="7586" w:type="dxa"/>
          </w:tcPr>
          <w:p w:rsidR="008F35D9" w:rsidRPr="00063A48" w:rsidRDefault="008F35D9" w:rsidP="008F35D9">
            <w:pPr>
              <w:spacing w:after="0"/>
              <w:rPr>
                <w:sz w:val="22"/>
              </w:rPr>
            </w:pPr>
            <w:r w:rsidRPr="00063A48">
              <w:rPr>
                <w:sz w:val="22"/>
              </w:rPr>
              <w:t>Дружество с ограничена отговорност</w:t>
            </w:r>
          </w:p>
        </w:tc>
      </w:tr>
      <w:tr w:rsidR="00F253FD" w:rsidRPr="00063A48" w:rsidTr="00626AC5">
        <w:trPr>
          <w:trHeight w:val="312"/>
          <w:jc w:val="center"/>
        </w:trPr>
        <w:tc>
          <w:tcPr>
            <w:tcW w:w="1638" w:type="dxa"/>
          </w:tcPr>
          <w:p w:rsidR="00F253FD" w:rsidRPr="00063A48" w:rsidRDefault="00F253FD" w:rsidP="008F35D9">
            <w:pPr>
              <w:spacing w:after="0"/>
              <w:rPr>
                <w:sz w:val="22"/>
              </w:rPr>
            </w:pPr>
            <w:r w:rsidRPr="00063A48">
              <w:rPr>
                <w:sz w:val="22"/>
              </w:rPr>
              <w:t>ООН</w:t>
            </w:r>
          </w:p>
        </w:tc>
        <w:tc>
          <w:tcPr>
            <w:tcW w:w="7586" w:type="dxa"/>
          </w:tcPr>
          <w:p w:rsidR="00F253FD" w:rsidRPr="00063A48" w:rsidRDefault="00F253FD" w:rsidP="008F35D9">
            <w:pPr>
              <w:spacing w:after="0"/>
              <w:rPr>
                <w:sz w:val="22"/>
              </w:rPr>
            </w:pPr>
            <w:r w:rsidRPr="00063A48">
              <w:rPr>
                <w:sz w:val="22"/>
              </w:rPr>
              <w:t>Организация на обединените нации</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ОП</w:t>
            </w:r>
          </w:p>
        </w:tc>
        <w:tc>
          <w:tcPr>
            <w:tcW w:w="7586" w:type="dxa"/>
          </w:tcPr>
          <w:p w:rsidR="008F35D9" w:rsidRPr="00063A48" w:rsidRDefault="008F35D9" w:rsidP="008F35D9">
            <w:pPr>
              <w:spacing w:after="0"/>
              <w:rPr>
                <w:sz w:val="22"/>
              </w:rPr>
            </w:pPr>
            <w:r w:rsidRPr="00063A48">
              <w:rPr>
                <w:sz w:val="22"/>
              </w:rPr>
              <w:t>Оперативна програма</w:t>
            </w:r>
          </w:p>
        </w:tc>
      </w:tr>
      <w:tr w:rsidR="00B068E4" w:rsidRPr="00063A48" w:rsidTr="00626AC5">
        <w:trPr>
          <w:trHeight w:val="312"/>
          <w:jc w:val="center"/>
        </w:trPr>
        <w:tc>
          <w:tcPr>
            <w:tcW w:w="1638" w:type="dxa"/>
          </w:tcPr>
          <w:p w:rsidR="00B068E4" w:rsidRPr="00063A48" w:rsidRDefault="00B068E4" w:rsidP="008F35D9">
            <w:pPr>
              <w:spacing w:after="0"/>
              <w:rPr>
                <w:sz w:val="22"/>
              </w:rPr>
            </w:pPr>
            <w:r w:rsidRPr="00063A48">
              <w:rPr>
                <w:sz w:val="22"/>
              </w:rPr>
              <w:t>ОПДУ</w:t>
            </w:r>
          </w:p>
        </w:tc>
        <w:tc>
          <w:tcPr>
            <w:tcW w:w="7586" w:type="dxa"/>
          </w:tcPr>
          <w:p w:rsidR="00B068E4" w:rsidRPr="00063A48" w:rsidRDefault="00B068E4" w:rsidP="008F35D9">
            <w:pPr>
              <w:spacing w:after="0"/>
              <w:rPr>
                <w:sz w:val="22"/>
              </w:rPr>
            </w:pPr>
            <w:r w:rsidRPr="00063A48">
              <w:rPr>
                <w:sz w:val="22"/>
              </w:rPr>
              <w:t>Оперативна програма „Добро управление“</w:t>
            </w:r>
          </w:p>
        </w:tc>
      </w:tr>
      <w:tr w:rsidR="002A4B9C" w:rsidRPr="00063A48" w:rsidTr="00626AC5">
        <w:trPr>
          <w:trHeight w:val="312"/>
          <w:jc w:val="center"/>
        </w:trPr>
        <w:tc>
          <w:tcPr>
            <w:tcW w:w="1638" w:type="dxa"/>
          </w:tcPr>
          <w:p w:rsidR="002A4B9C" w:rsidRPr="00063A48" w:rsidRDefault="002A4B9C" w:rsidP="008F35D9">
            <w:pPr>
              <w:spacing w:after="0"/>
              <w:rPr>
                <w:sz w:val="22"/>
              </w:rPr>
            </w:pPr>
            <w:r w:rsidRPr="00063A48">
              <w:rPr>
                <w:sz w:val="22"/>
              </w:rPr>
              <w:t>ОПИК</w:t>
            </w:r>
          </w:p>
        </w:tc>
        <w:tc>
          <w:tcPr>
            <w:tcW w:w="7586" w:type="dxa"/>
          </w:tcPr>
          <w:p w:rsidR="002A4B9C" w:rsidRPr="00063A48" w:rsidRDefault="002A4B9C" w:rsidP="008F35D9">
            <w:pPr>
              <w:spacing w:after="0"/>
              <w:rPr>
                <w:sz w:val="22"/>
              </w:rPr>
            </w:pPr>
            <w:r w:rsidRPr="00063A48">
              <w:rPr>
                <w:sz w:val="22"/>
              </w:rPr>
              <w:t>Оперативна програма „Иновации и конкурентоспособност“</w:t>
            </w:r>
          </w:p>
        </w:tc>
      </w:tr>
      <w:tr w:rsidR="00355EF4" w:rsidRPr="00063A48" w:rsidTr="00626AC5">
        <w:trPr>
          <w:trHeight w:val="312"/>
          <w:jc w:val="center"/>
        </w:trPr>
        <w:tc>
          <w:tcPr>
            <w:tcW w:w="1638" w:type="dxa"/>
          </w:tcPr>
          <w:p w:rsidR="00355EF4" w:rsidRPr="00063A48" w:rsidRDefault="00355EF4" w:rsidP="008F35D9">
            <w:pPr>
              <w:spacing w:after="0"/>
              <w:rPr>
                <w:sz w:val="22"/>
              </w:rPr>
            </w:pPr>
            <w:r w:rsidRPr="00063A48">
              <w:rPr>
                <w:sz w:val="22"/>
              </w:rPr>
              <w:t>ОПОС</w:t>
            </w:r>
          </w:p>
        </w:tc>
        <w:tc>
          <w:tcPr>
            <w:tcW w:w="7586" w:type="dxa"/>
          </w:tcPr>
          <w:p w:rsidR="00355EF4" w:rsidRPr="00063A48" w:rsidRDefault="00355EF4" w:rsidP="008F35D9">
            <w:pPr>
              <w:spacing w:after="0"/>
              <w:rPr>
                <w:bCs/>
                <w:sz w:val="22"/>
              </w:rPr>
            </w:pPr>
            <w:r w:rsidRPr="00063A48">
              <w:rPr>
                <w:bCs/>
                <w:sz w:val="22"/>
              </w:rPr>
              <w:t>Оперативна програма „Околна среда“</w:t>
            </w:r>
          </w:p>
        </w:tc>
      </w:tr>
      <w:tr w:rsidR="007B6B72" w:rsidRPr="00063A48" w:rsidTr="00626AC5">
        <w:trPr>
          <w:trHeight w:val="312"/>
          <w:jc w:val="center"/>
        </w:trPr>
        <w:tc>
          <w:tcPr>
            <w:tcW w:w="1638" w:type="dxa"/>
          </w:tcPr>
          <w:p w:rsidR="007B6B72" w:rsidRPr="00063A48" w:rsidRDefault="007B6B72" w:rsidP="008F35D9">
            <w:pPr>
              <w:spacing w:after="0"/>
              <w:rPr>
                <w:sz w:val="22"/>
              </w:rPr>
            </w:pPr>
            <w:r w:rsidRPr="00063A48">
              <w:rPr>
                <w:sz w:val="22"/>
              </w:rPr>
              <w:t>ОПРР</w:t>
            </w:r>
          </w:p>
        </w:tc>
        <w:tc>
          <w:tcPr>
            <w:tcW w:w="7586" w:type="dxa"/>
          </w:tcPr>
          <w:p w:rsidR="007B6B72" w:rsidRPr="00063A48" w:rsidRDefault="007B6B72" w:rsidP="008F35D9">
            <w:pPr>
              <w:spacing w:after="0"/>
              <w:rPr>
                <w:bCs/>
                <w:sz w:val="22"/>
              </w:rPr>
            </w:pPr>
            <w:r w:rsidRPr="00063A48">
              <w:rPr>
                <w:bCs/>
                <w:sz w:val="22"/>
              </w:rPr>
              <w:t>Оперативна програма „Региони в растеж“</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ОСП</w:t>
            </w:r>
          </w:p>
        </w:tc>
        <w:tc>
          <w:tcPr>
            <w:tcW w:w="7586" w:type="dxa"/>
          </w:tcPr>
          <w:p w:rsidR="008F35D9" w:rsidRPr="00063A48" w:rsidRDefault="008F35D9" w:rsidP="008F35D9">
            <w:pPr>
              <w:spacing w:after="0"/>
              <w:rPr>
                <w:sz w:val="22"/>
              </w:rPr>
            </w:pPr>
            <w:r w:rsidRPr="00063A48">
              <w:rPr>
                <w:sz w:val="22"/>
              </w:rPr>
              <w:t>Обща селскостопанска политика</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ОФП</w:t>
            </w:r>
          </w:p>
        </w:tc>
        <w:tc>
          <w:tcPr>
            <w:tcW w:w="7586" w:type="dxa"/>
          </w:tcPr>
          <w:p w:rsidR="008F35D9" w:rsidRPr="00063A48" w:rsidRDefault="008F35D9" w:rsidP="008F35D9">
            <w:pPr>
              <w:spacing w:after="0"/>
              <w:rPr>
                <w:sz w:val="22"/>
              </w:rPr>
            </w:pPr>
            <w:r w:rsidRPr="00063A48">
              <w:rPr>
                <w:sz w:val="22"/>
              </w:rPr>
              <w:t>Обща факторна производителност</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РМС</w:t>
            </w:r>
          </w:p>
        </w:tc>
        <w:tc>
          <w:tcPr>
            <w:tcW w:w="7586" w:type="dxa"/>
          </w:tcPr>
          <w:p w:rsidR="008F35D9" w:rsidRPr="00063A48" w:rsidRDefault="008F35D9" w:rsidP="008F35D9">
            <w:pPr>
              <w:spacing w:after="0"/>
              <w:rPr>
                <w:sz w:val="22"/>
              </w:rPr>
            </w:pPr>
            <w:r w:rsidRPr="00063A48">
              <w:rPr>
                <w:sz w:val="22"/>
              </w:rPr>
              <w:t>Решение на Министерския съвет</w:t>
            </w:r>
          </w:p>
        </w:tc>
      </w:tr>
      <w:tr w:rsidR="005E777C" w:rsidRPr="00063A48" w:rsidTr="00626AC5">
        <w:trPr>
          <w:trHeight w:val="312"/>
          <w:jc w:val="center"/>
        </w:trPr>
        <w:tc>
          <w:tcPr>
            <w:tcW w:w="1638" w:type="dxa"/>
          </w:tcPr>
          <w:p w:rsidR="005E777C" w:rsidRPr="00063A48" w:rsidRDefault="005E777C" w:rsidP="008F35D9">
            <w:pPr>
              <w:spacing w:after="0"/>
              <w:rPr>
                <w:sz w:val="22"/>
              </w:rPr>
            </w:pPr>
            <w:r w:rsidRPr="00063A48">
              <w:rPr>
                <w:sz w:val="22"/>
              </w:rPr>
              <w:t>ПЗР</w:t>
            </w:r>
          </w:p>
        </w:tc>
        <w:tc>
          <w:tcPr>
            <w:tcW w:w="7586" w:type="dxa"/>
          </w:tcPr>
          <w:p w:rsidR="005E777C" w:rsidRPr="00063A48" w:rsidRDefault="005E777C" w:rsidP="008F35D9">
            <w:pPr>
              <w:spacing w:after="0"/>
              <w:rPr>
                <w:sz w:val="22"/>
              </w:rPr>
            </w:pPr>
            <w:r w:rsidRPr="00063A48">
              <w:rPr>
                <w:sz w:val="22"/>
              </w:rPr>
              <w:t>Преходни и заключителни разпоредби</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ПМС</w:t>
            </w:r>
          </w:p>
        </w:tc>
        <w:tc>
          <w:tcPr>
            <w:tcW w:w="7586" w:type="dxa"/>
          </w:tcPr>
          <w:p w:rsidR="008F35D9" w:rsidRPr="00063A48" w:rsidRDefault="008F35D9" w:rsidP="008F35D9">
            <w:pPr>
              <w:spacing w:after="0"/>
              <w:rPr>
                <w:sz w:val="22"/>
              </w:rPr>
            </w:pPr>
            <w:r w:rsidRPr="00063A48">
              <w:rPr>
                <w:sz w:val="22"/>
              </w:rPr>
              <w:t>Постановление на Министерския съвет</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пр.п.</w:t>
            </w:r>
          </w:p>
        </w:tc>
        <w:tc>
          <w:tcPr>
            <w:tcW w:w="7586" w:type="dxa"/>
          </w:tcPr>
          <w:p w:rsidR="008F35D9" w:rsidRPr="00063A48" w:rsidRDefault="008F35D9" w:rsidP="008F35D9">
            <w:pPr>
              <w:spacing w:after="0"/>
              <w:rPr>
                <w:sz w:val="22"/>
              </w:rPr>
            </w:pPr>
            <w:r w:rsidRPr="00063A48">
              <w:rPr>
                <w:sz w:val="22"/>
              </w:rPr>
              <w:t>Процентен пункт</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ПРБ</w:t>
            </w:r>
          </w:p>
        </w:tc>
        <w:tc>
          <w:tcPr>
            <w:tcW w:w="7586" w:type="dxa"/>
          </w:tcPr>
          <w:p w:rsidR="008F35D9" w:rsidRPr="00063A48" w:rsidRDefault="008F35D9" w:rsidP="008F35D9">
            <w:pPr>
              <w:spacing w:after="0"/>
              <w:rPr>
                <w:sz w:val="22"/>
              </w:rPr>
            </w:pPr>
            <w:r w:rsidRPr="00063A48">
              <w:rPr>
                <w:sz w:val="22"/>
              </w:rPr>
              <w:t>Първостепенен разпоредител с бюджет</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ПСР</w:t>
            </w:r>
          </w:p>
        </w:tc>
        <w:tc>
          <w:tcPr>
            <w:tcW w:w="7586" w:type="dxa"/>
          </w:tcPr>
          <w:p w:rsidR="008F35D9" w:rsidRPr="00063A48" w:rsidRDefault="008F35D9" w:rsidP="008F35D9">
            <w:pPr>
              <w:spacing w:after="0"/>
              <w:rPr>
                <w:sz w:val="22"/>
              </w:rPr>
            </w:pPr>
            <w:r w:rsidRPr="00063A48">
              <w:rPr>
                <w:sz w:val="22"/>
              </w:rPr>
              <w:t>Пакт за стабилност и растеж</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ПЧИ</w:t>
            </w:r>
          </w:p>
        </w:tc>
        <w:tc>
          <w:tcPr>
            <w:tcW w:w="7586" w:type="dxa"/>
          </w:tcPr>
          <w:p w:rsidR="008F35D9" w:rsidRPr="00063A48" w:rsidRDefault="008F35D9" w:rsidP="008F35D9">
            <w:pPr>
              <w:spacing w:after="0"/>
              <w:rPr>
                <w:sz w:val="22"/>
              </w:rPr>
            </w:pPr>
            <w:r w:rsidRPr="00063A48">
              <w:rPr>
                <w:sz w:val="22"/>
              </w:rPr>
              <w:t>Преки чуждестранни инвестиции</w:t>
            </w:r>
          </w:p>
        </w:tc>
      </w:tr>
      <w:tr w:rsidR="0004648A" w:rsidRPr="00063A48" w:rsidTr="00626AC5">
        <w:trPr>
          <w:trHeight w:val="312"/>
          <w:jc w:val="center"/>
        </w:trPr>
        <w:tc>
          <w:tcPr>
            <w:tcW w:w="1638" w:type="dxa"/>
          </w:tcPr>
          <w:p w:rsidR="0004648A" w:rsidRPr="00063A48" w:rsidRDefault="0004648A" w:rsidP="008F35D9">
            <w:pPr>
              <w:spacing w:after="0"/>
              <w:rPr>
                <w:sz w:val="22"/>
              </w:rPr>
            </w:pPr>
            <w:r w:rsidRPr="00063A48">
              <w:rPr>
                <w:sz w:val="22"/>
              </w:rPr>
              <w:t>ПУДООС</w:t>
            </w:r>
          </w:p>
        </w:tc>
        <w:tc>
          <w:tcPr>
            <w:tcW w:w="7586" w:type="dxa"/>
          </w:tcPr>
          <w:p w:rsidR="0004648A" w:rsidRPr="00063A48" w:rsidRDefault="0004648A" w:rsidP="008F35D9">
            <w:pPr>
              <w:spacing w:after="0"/>
              <w:rPr>
                <w:sz w:val="22"/>
              </w:rPr>
            </w:pPr>
            <w:r w:rsidRPr="00063A48">
              <w:rPr>
                <w:sz w:val="22"/>
              </w:rPr>
              <w:t>Предприятие за управление на дейностите по опазване на околната среда</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САЩ</w:t>
            </w:r>
          </w:p>
        </w:tc>
        <w:tc>
          <w:tcPr>
            <w:tcW w:w="7586" w:type="dxa"/>
          </w:tcPr>
          <w:p w:rsidR="008F35D9" w:rsidRPr="00063A48" w:rsidRDefault="008F35D9" w:rsidP="008F35D9">
            <w:pPr>
              <w:spacing w:after="0"/>
              <w:rPr>
                <w:sz w:val="22"/>
              </w:rPr>
            </w:pPr>
            <w:r w:rsidRPr="00063A48">
              <w:rPr>
                <w:sz w:val="22"/>
              </w:rPr>
              <w:t>Съединени американски щати</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СБП</w:t>
            </w:r>
          </w:p>
        </w:tc>
        <w:tc>
          <w:tcPr>
            <w:tcW w:w="7586" w:type="dxa"/>
          </w:tcPr>
          <w:p w:rsidR="008F35D9" w:rsidRPr="00063A48" w:rsidRDefault="008F35D9" w:rsidP="008F35D9">
            <w:pPr>
              <w:spacing w:after="0"/>
              <w:rPr>
                <w:sz w:val="22"/>
              </w:rPr>
            </w:pPr>
            <w:r w:rsidRPr="00063A48">
              <w:rPr>
                <w:sz w:val="22"/>
              </w:rPr>
              <w:t>Средносрочна бюджетна прогноза</w:t>
            </w:r>
          </w:p>
        </w:tc>
      </w:tr>
      <w:tr w:rsidR="00E728CE" w:rsidRPr="00063A48" w:rsidTr="00626AC5">
        <w:trPr>
          <w:trHeight w:val="312"/>
          <w:jc w:val="center"/>
        </w:trPr>
        <w:tc>
          <w:tcPr>
            <w:tcW w:w="1638" w:type="dxa"/>
          </w:tcPr>
          <w:p w:rsidR="00E728CE" w:rsidRPr="00063A48" w:rsidRDefault="00E728CE" w:rsidP="008F35D9">
            <w:pPr>
              <w:spacing w:after="0"/>
              <w:rPr>
                <w:sz w:val="22"/>
              </w:rPr>
            </w:pPr>
            <w:r w:rsidRPr="00063A48">
              <w:rPr>
                <w:sz w:val="22"/>
              </w:rPr>
              <w:t>СБРЗ</w:t>
            </w:r>
          </w:p>
        </w:tc>
        <w:tc>
          <w:tcPr>
            <w:tcW w:w="7586" w:type="dxa"/>
          </w:tcPr>
          <w:p w:rsidR="00E728CE" w:rsidRPr="00063A48" w:rsidRDefault="00E728CE" w:rsidP="008F35D9">
            <w:pPr>
              <w:spacing w:after="0"/>
              <w:rPr>
                <w:sz w:val="22"/>
              </w:rPr>
            </w:pPr>
            <w:r w:rsidRPr="00063A48">
              <w:rPr>
                <w:sz w:val="22"/>
              </w:rPr>
              <w:t>Средна брутна работна заплата</w:t>
            </w:r>
          </w:p>
        </w:tc>
      </w:tr>
      <w:tr w:rsidR="00306B7B" w:rsidRPr="00063A48" w:rsidTr="00626AC5">
        <w:trPr>
          <w:trHeight w:val="312"/>
          <w:jc w:val="center"/>
        </w:trPr>
        <w:tc>
          <w:tcPr>
            <w:tcW w:w="1638" w:type="dxa"/>
          </w:tcPr>
          <w:p w:rsidR="00306B7B" w:rsidRPr="00063A48" w:rsidRDefault="00306B7B" w:rsidP="008F35D9">
            <w:pPr>
              <w:spacing w:after="0"/>
              <w:rPr>
                <w:sz w:val="22"/>
              </w:rPr>
            </w:pPr>
            <w:r w:rsidRPr="00063A48">
              <w:rPr>
                <w:sz w:val="22"/>
              </w:rPr>
              <w:t>СВП</w:t>
            </w:r>
          </w:p>
        </w:tc>
        <w:tc>
          <w:tcPr>
            <w:tcW w:w="7586" w:type="dxa"/>
          </w:tcPr>
          <w:p w:rsidR="00306B7B" w:rsidRPr="00063A48" w:rsidRDefault="00306B7B" w:rsidP="008F35D9">
            <w:pPr>
              <w:spacing w:after="0"/>
              <w:rPr>
                <w:sz w:val="22"/>
              </w:rPr>
            </w:pPr>
            <w:r w:rsidRPr="00063A48">
              <w:rPr>
                <w:sz w:val="22"/>
              </w:rPr>
              <w:t>Спорт за високи постижения</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СНС</w:t>
            </w:r>
          </w:p>
        </w:tc>
        <w:tc>
          <w:tcPr>
            <w:tcW w:w="7586" w:type="dxa"/>
          </w:tcPr>
          <w:p w:rsidR="008F35D9" w:rsidRPr="00063A48" w:rsidRDefault="008F35D9" w:rsidP="008F35D9">
            <w:pPr>
              <w:spacing w:after="0"/>
              <w:rPr>
                <w:sz w:val="22"/>
              </w:rPr>
            </w:pPr>
            <w:r w:rsidRPr="00063A48">
              <w:rPr>
                <w:sz w:val="22"/>
              </w:rPr>
              <w:t>Система на националните сметки</w:t>
            </w:r>
          </w:p>
        </w:tc>
      </w:tr>
      <w:tr w:rsidR="00E9058E" w:rsidRPr="00063A48" w:rsidTr="00626AC5">
        <w:trPr>
          <w:trHeight w:val="312"/>
          <w:jc w:val="center"/>
        </w:trPr>
        <w:tc>
          <w:tcPr>
            <w:tcW w:w="1638" w:type="dxa"/>
          </w:tcPr>
          <w:p w:rsidR="00E9058E" w:rsidRPr="00063A48" w:rsidRDefault="00E9058E" w:rsidP="008F35D9">
            <w:pPr>
              <w:spacing w:after="0"/>
              <w:rPr>
                <w:sz w:val="22"/>
              </w:rPr>
            </w:pPr>
            <w:r w:rsidRPr="00063A48">
              <w:rPr>
                <w:sz w:val="22"/>
              </w:rPr>
              <w:t>ССЕС</w:t>
            </w:r>
          </w:p>
        </w:tc>
        <w:tc>
          <w:tcPr>
            <w:tcW w:w="7586" w:type="dxa"/>
          </w:tcPr>
          <w:p w:rsidR="00E9058E" w:rsidRPr="00063A48" w:rsidRDefault="00E9058E" w:rsidP="008F35D9">
            <w:pPr>
              <w:spacing w:after="0"/>
              <w:rPr>
                <w:sz w:val="22"/>
              </w:rPr>
            </w:pPr>
            <w:r w:rsidRPr="00063A48">
              <w:rPr>
                <w:sz w:val="22"/>
              </w:rPr>
              <w:t>Сметки за средства от Европейския съюз</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Съвета</w:t>
            </w:r>
          </w:p>
        </w:tc>
        <w:tc>
          <w:tcPr>
            <w:tcW w:w="7586" w:type="dxa"/>
          </w:tcPr>
          <w:p w:rsidR="008F35D9" w:rsidRPr="00063A48" w:rsidRDefault="008F35D9" w:rsidP="008F35D9">
            <w:pPr>
              <w:spacing w:after="0"/>
              <w:rPr>
                <w:sz w:val="22"/>
              </w:rPr>
            </w:pPr>
            <w:r w:rsidRPr="00063A48">
              <w:rPr>
                <w:sz w:val="22"/>
              </w:rPr>
              <w:t>Съвета на ЕС</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ТГС</w:t>
            </w:r>
          </w:p>
        </w:tc>
        <w:tc>
          <w:tcPr>
            <w:tcW w:w="7586" w:type="dxa"/>
          </w:tcPr>
          <w:p w:rsidR="008F35D9" w:rsidRPr="00063A48" w:rsidRDefault="008F35D9" w:rsidP="008F35D9">
            <w:pPr>
              <w:spacing w:after="0"/>
              <w:rPr>
                <w:sz w:val="22"/>
              </w:rPr>
            </w:pPr>
            <w:r w:rsidRPr="00063A48">
              <w:rPr>
                <w:sz w:val="22"/>
              </w:rPr>
              <w:t>Трансгранично сътрудничество</w:t>
            </w:r>
          </w:p>
        </w:tc>
      </w:tr>
      <w:tr w:rsidR="00513570" w:rsidRPr="00063A48" w:rsidTr="00626AC5">
        <w:trPr>
          <w:trHeight w:val="312"/>
          <w:jc w:val="center"/>
        </w:trPr>
        <w:tc>
          <w:tcPr>
            <w:tcW w:w="1638" w:type="dxa"/>
          </w:tcPr>
          <w:p w:rsidR="00513570" w:rsidRPr="00063A48" w:rsidRDefault="00513570" w:rsidP="008F35D9">
            <w:pPr>
              <w:spacing w:after="0"/>
              <w:rPr>
                <w:sz w:val="22"/>
              </w:rPr>
            </w:pPr>
            <w:r w:rsidRPr="00063A48">
              <w:rPr>
                <w:sz w:val="22"/>
              </w:rPr>
              <w:t>ФСЕС</w:t>
            </w:r>
          </w:p>
        </w:tc>
        <w:tc>
          <w:tcPr>
            <w:tcW w:w="7586" w:type="dxa"/>
          </w:tcPr>
          <w:p w:rsidR="00513570" w:rsidRPr="00063A48" w:rsidRDefault="00513570" w:rsidP="008F35D9">
            <w:pPr>
              <w:spacing w:after="0"/>
              <w:rPr>
                <w:sz w:val="22"/>
              </w:rPr>
            </w:pPr>
            <w:r w:rsidRPr="00063A48">
              <w:rPr>
                <w:sz w:val="22"/>
              </w:rPr>
              <w:t>Фонд „Сигурност на електроенергийната система“</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ХИПЦ</w:t>
            </w:r>
          </w:p>
        </w:tc>
        <w:tc>
          <w:tcPr>
            <w:tcW w:w="7586" w:type="dxa"/>
          </w:tcPr>
          <w:p w:rsidR="008F35D9" w:rsidRPr="00063A48" w:rsidRDefault="008F35D9" w:rsidP="008F35D9">
            <w:pPr>
              <w:spacing w:after="0"/>
              <w:rPr>
                <w:sz w:val="22"/>
              </w:rPr>
            </w:pPr>
            <w:r w:rsidRPr="00063A48">
              <w:rPr>
                <w:sz w:val="22"/>
              </w:rPr>
              <w:t>Хармонизиран индекс на потребителските цени</w:t>
            </w:r>
          </w:p>
        </w:tc>
      </w:tr>
      <w:tr w:rsidR="006932A6" w:rsidRPr="00063A48" w:rsidTr="00626AC5">
        <w:trPr>
          <w:trHeight w:val="312"/>
          <w:jc w:val="center"/>
        </w:trPr>
        <w:tc>
          <w:tcPr>
            <w:tcW w:w="1638" w:type="dxa"/>
          </w:tcPr>
          <w:p w:rsidR="006932A6" w:rsidRPr="00063A48" w:rsidRDefault="006932A6" w:rsidP="008F35D9">
            <w:pPr>
              <w:spacing w:after="0"/>
              <w:rPr>
                <w:sz w:val="22"/>
              </w:rPr>
            </w:pPr>
            <w:r w:rsidRPr="00063A48">
              <w:rPr>
                <w:sz w:val="22"/>
              </w:rPr>
              <w:t>ха</w:t>
            </w:r>
          </w:p>
        </w:tc>
        <w:tc>
          <w:tcPr>
            <w:tcW w:w="7586" w:type="dxa"/>
          </w:tcPr>
          <w:p w:rsidR="006932A6" w:rsidRPr="00063A48" w:rsidRDefault="006932A6" w:rsidP="008F35D9">
            <w:pPr>
              <w:spacing w:after="0"/>
              <w:rPr>
                <w:sz w:val="22"/>
              </w:rPr>
            </w:pPr>
            <w:r w:rsidRPr="00063A48">
              <w:rPr>
                <w:sz w:val="22"/>
              </w:rPr>
              <w:t>Хектара</w:t>
            </w:r>
          </w:p>
        </w:tc>
      </w:tr>
      <w:tr w:rsidR="00E931D9" w:rsidRPr="00063A48" w:rsidTr="00626AC5">
        <w:trPr>
          <w:trHeight w:val="312"/>
          <w:jc w:val="center"/>
        </w:trPr>
        <w:tc>
          <w:tcPr>
            <w:tcW w:w="1638" w:type="dxa"/>
          </w:tcPr>
          <w:p w:rsidR="00E931D9" w:rsidRPr="00063A48" w:rsidRDefault="00E931D9" w:rsidP="008F35D9">
            <w:pPr>
              <w:spacing w:after="0"/>
              <w:rPr>
                <w:sz w:val="22"/>
              </w:rPr>
            </w:pPr>
            <w:r w:rsidRPr="00063A48">
              <w:rPr>
                <w:sz w:val="22"/>
              </w:rPr>
              <w:t>ЦБ</w:t>
            </w:r>
          </w:p>
        </w:tc>
        <w:tc>
          <w:tcPr>
            <w:tcW w:w="7586" w:type="dxa"/>
          </w:tcPr>
          <w:p w:rsidR="00E931D9" w:rsidRPr="00063A48" w:rsidRDefault="00E931D9" w:rsidP="008F35D9">
            <w:pPr>
              <w:spacing w:after="0"/>
              <w:rPr>
                <w:sz w:val="22"/>
              </w:rPr>
            </w:pPr>
            <w:r w:rsidRPr="00063A48">
              <w:rPr>
                <w:sz w:val="22"/>
              </w:rPr>
              <w:t>Централен бюджет</w:t>
            </w:r>
          </w:p>
        </w:tc>
      </w:tr>
      <w:tr w:rsidR="004A1BE9" w:rsidRPr="00063A48" w:rsidTr="00626AC5">
        <w:trPr>
          <w:trHeight w:val="312"/>
          <w:jc w:val="center"/>
        </w:trPr>
        <w:tc>
          <w:tcPr>
            <w:tcW w:w="1638" w:type="dxa"/>
          </w:tcPr>
          <w:p w:rsidR="004A1BE9" w:rsidRPr="00063A48" w:rsidRDefault="004A1BE9" w:rsidP="008F35D9">
            <w:pPr>
              <w:spacing w:after="0"/>
              <w:rPr>
                <w:sz w:val="22"/>
              </w:rPr>
            </w:pPr>
            <w:r w:rsidRPr="00063A48">
              <w:rPr>
                <w:sz w:val="22"/>
              </w:rPr>
              <w:t>ШБПС</w:t>
            </w:r>
          </w:p>
        </w:tc>
        <w:tc>
          <w:tcPr>
            <w:tcW w:w="7586" w:type="dxa"/>
          </w:tcPr>
          <w:p w:rsidR="004A1BE9" w:rsidRPr="00063A48" w:rsidRDefault="004A1BE9" w:rsidP="008F35D9">
            <w:pPr>
              <w:spacing w:after="0"/>
              <w:rPr>
                <w:sz w:val="22"/>
              </w:rPr>
            </w:pPr>
            <w:r w:rsidRPr="00063A48">
              <w:rPr>
                <w:sz w:val="22"/>
              </w:rPr>
              <w:t>Швейцарско-Българска програма за сътрудничество</w:t>
            </w:r>
          </w:p>
        </w:tc>
      </w:tr>
      <w:tr w:rsidR="008F35D9" w:rsidRPr="00063A48" w:rsidTr="00626AC5">
        <w:trPr>
          <w:trHeight w:val="312"/>
          <w:jc w:val="center"/>
        </w:trPr>
        <w:tc>
          <w:tcPr>
            <w:tcW w:w="1638" w:type="dxa"/>
          </w:tcPr>
          <w:p w:rsidR="008F35D9" w:rsidRPr="00063A48" w:rsidRDefault="008F35D9" w:rsidP="008F35D9">
            <w:pPr>
              <w:spacing w:after="0"/>
              <w:rPr>
                <w:sz w:val="22"/>
              </w:rPr>
            </w:pPr>
            <w:r w:rsidRPr="00063A48">
              <w:rPr>
                <w:sz w:val="22"/>
              </w:rPr>
              <w:t>щ.д.</w:t>
            </w:r>
          </w:p>
        </w:tc>
        <w:tc>
          <w:tcPr>
            <w:tcW w:w="7586" w:type="dxa"/>
          </w:tcPr>
          <w:p w:rsidR="008F35D9" w:rsidRPr="00063A48" w:rsidRDefault="008F35D9" w:rsidP="008F35D9">
            <w:pPr>
              <w:spacing w:after="0"/>
              <w:rPr>
                <w:sz w:val="22"/>
              </w:rPr>
            </w:pPr>
            <w:r w:rsidRPr="00063A48">
              <w:rPr>
                <w:sz w:val="22"/>
              </w:rPr>
              <w:t>Щатски долар</w:t>
            </w:r>
          </w:p>
        </w:tc>
      </w:tr>
      <w:tr w:rsidR="008E6BB8" w:rsidRPr="00063A48" w:rsidTr="00626AC5">
        <w:trPr>
          <w:trHeight w:val="312"/>
          <w:jc w:val="center"/>
        </w:trPr>
        <w:tc>
          <w:tcPr>
            <w:tcW w:w="1638" w:type="dxa"/>
          </w:tcPr>
          <w:p w:rsidR="008E6BB8" w:rsidRPr="00063A48" w:rsidRDefault="008E6BB8" w:rsidP="008F35D9">
            <w:pPr>
              <w:spacing w:after="0"/>
              <w:rPr>
                <w:sz w:val="22"/>
              </w:rPr>
            </w:pPr>
            <w:r w:rsidRPr="00063A48">
              <w:rPr>
                <w:sz w:val="22"/>
              </w:rPr>
              <w:t>ЮЛНЦ</w:t>
            </w:r>
          </w:p>
        </w:tc>
        <w:tc>
          <w:tcPr>
            <w:tcW w:w="7586" w:type="dxa"/>
          </w:tcPr>
          <w:p w:rsidR="008E6BB8" w:rsidRPr="00063A48" w:rsidRDefault="008E6BB8" w:rsidP="008F35D9">
            <w:pPr>
              <w:spacing w:after="0"/>
              <w:rPr>
                <w:sz w:val="22"/>
              </w:rPr>
            </w:pPr>
            <w:r w:rsidRPr="00063A48">
              <w:rPr>
                <w:sz w:val="22"/>
              </w:rPr>
              <w:t>Юридически лица с нестопанска цел</w:t>
            </w:r>
          </w:p>
        </w:tc>
      </w:tr>
    </w:tbl>
    <w:p w:rsidR="00981C9E" w:rsidRPr="00063A48" w:rsidRDefault="00981C9E" w:rsidP="008E1EE5">
      <w:pPr>
        <w:pStyle w:val="Heading1"/>
        <w:numPr>
          <w:ilvl w:val="0"/>
          <w:numId w:val="0"/>
        </w:numPr>
        <w:sectPr w:rsidR="00981C9E" w:rsidRPr="00063A48" w:rsidSect="00F10E07">
          <w:headerReference w:type="even" r:id="rId10"/>
          <w:headerReference w:type="default" r:id="rId11"/>
          <w:footerReference w:type="even" r:id="rId12"/>
          <w:footerReference w:type="default" r:id="rId13"/>
          <w:footerReference w:type="first" r:id="rId14"/>
          <w:type w:val="evenPage"/>
          <w:pgSz w:w="11906" w:h="16838" w:code="9"/>
          <w:pgMar w:top="1418" w:right="1418" w:bottom="851" w:left="1418" w:header="709" w:footer="709" w:gutter="0"/>
          <w:cols w:space="708"/>
          <w:titlePg/>
          <w:docGrid w:linePitch="360"/>
        </w:sectPr>
      </w:pPr>
      <w:bookmarkStart w:id="25" w:name="_Toc464470169"/>
      <w:bookmarkStart w:id="26" w:name="_Toc464470213"/>
      <w:bookmarkStart w:id="27" w:name="_Toc464644944"/>
      <w:bookmarkStart w:id="28" w:name="_Toc464646345"/>
      <w:bookmarkStart w:id="29" w:name="_Toc465205487"/>
    </w:p>
    <w:p w:rsidR="00083361" w:rsidRPr="00063A48" w:rsidRDefault="00083361" w:rsidP="008E1EE5">
      <w:pPr>
        <w:pStyle w:val="Heading1"/>
        <w:numPr>
          <w:ilvl w:val="0"/>
          <w:numId w:val="0"/>
        </w:numPr>
      </w:pPr>
      <w:bookmarkStart w:id="30" w:name="_Toc151557289"/>
      <w:r w:rsidRPr="00063A48">
        <w:t>Въведение</w:t>
      </w:r>
      <w:bookmarkEnd w:id="25"/>
      <w:bookmarkEnd w:id="26"/>
      <w:bookmarkEnd w:id="27"/>
      <w:bookmarkEnd w:id="28"/>
      <w:bookmarkEnd w:id="29"/>
      <w:bookmarkEnd w:id="30"/>
    </w:p>
    <w:p w:rsidR="00B74041" w:rsidRPr="00EA6851" w:rsidRDefault="00B74041" w:rsidP="00B74041">
      <w:pPr>
        <w:rPr>
          <w:rFonts w:eastAsia="Times New Roman" w:cs="Times New Roman"/>
          <w:lang w:eastAsia="zh-CN"/>
        </w:rPr>
      </w:pPr>
      <w:r w:rsidRPr="00EA6851">
        <w:rPr>
          <w:rFonts w:eastAsia="Times New Roman" w:cs="Times New Roman"/>
          <w:lang w:eastAsia="zh-CN"/>
        </w:rPr>
        <w:t>Актуализираната средносрочна бюджетна прогноза за периода 2024-2026 г. (АСБП 2024-2026) е изготвена на основание чл. 79 от Закона за публичните финанси. Тя представлява мотиви към законопроекта за държавния бюджет на Република България за 2024 г.</w:t>
      </w:r>
    </w:p>
    <w:p w:rsidR="00B74041" w:rsidRPr="00EA6851" w:rsidRDefault="00B74041" w:rsidP="00B74041">
      <w:pPr>
        <w:rPr>
          <w:rFonts w:eastAsia="Times New Roman" w:cs="Times New Roman"/>
          <w:lang w:bidi="bg-BG"/>
        </w:rPr>
      </w:pPr>
      <w:r w:rsidRPr="00EA6851">
        <w:rPr>
          <w:rFonts w:eastAsia="Times New Roman" w:cs="Times New Roman"/>
          <w:lang w:bidi="bg-BG"/>
        </w:rPr>
        <w:t>Изготвянето на Бюджет 2024 в рамките на втория етап на бюджетната процедура за 2024 г. беше повлияно от късното приемане на Закона за държавния бюджет на Република България за 2023 г., като в него намериха отражение целогодишните ефекти от измененията в политиките и основните допускания, приети с Бюджет 2023.</w:t>
      </w:r>
    </w:p>
    <w:p w:rsidR="00B74041" w:rsidRPr="00EA6851" w:rsidRDefault="00B74041" w:rsidP="00B74041">
      <w:pPr>
        <w:rPr>
          <w:rFonts w:eastAsia="Times New Roman" w:cs="Times New Roman"/>
          <w:lang w:bidi="bg-BG"/>
        </w:rPr>
      </w:pPr>
      <w:r w:rsidRPr="00EA6851">
        <w:rPr>
          <w:rFonts w:eastAsia="Times New Roman" w:cs="Times New Roman"/>
          <w:lang w:bidi="bg-BG"/>
        </w:rPr>
        <w:t xml:space="preserve">Параметрите и допусканията, при които е разработена общата рамка на Бюджет 2024 и прогнозата за 2025 </w:t>
      </w:r>
      <w:r w:rsidR="00006D65" w:rsidRPr="00EA6851">
        <w:rPr>
          <w:rFonts w:eastAsia="Times New Roman" w:cs="Times New Roman"/>
          <w:lang w:bidi="bg-BG"/>
        </w:rPr>
        <w:t xml:space="preserve">г. </w:t>
      </w:r>
      <w:r w:rsidRPr="00EA6851">
        <w:rPr>
          <w:rFonts w:eastAsia="Times New Roman" w:cs="Times New Roman"/>
          <w:lang w:bidi="bg-BG"/>
        </w:rPr>
        <w:t>и 2026 г., се базират на есенната макроикономическа прогноза на Министерството на финансите, действащото законодателство, прилагане</w:t>
      </w:r>
      <w:r w:rsidR="00291C06">
        <w:rPr>
          <w:rFonts w:eastAsia="Times New Roman" w:cs="Times New Roman"/>
          <w:lang w:bidi="bg-BG"/>
        </w:rPr>
        <w:t>то</w:t>
      </w:r>
      <w:r w:rsidRPr="00EA6851">
        <w:rPr>
          <w:rFonts w:eastAsia="Times New Roman" w:cs="Times New Roman"/>
          <w:lang w:bidi="bg-BG"/>
        </w:rPr>
        <w:t xml:space="preserve"> на възприетите политики и допускания от правителството за 2024-2026 г., отчетни</w:t>
      </w:r>
      <w:r w:rsidR="00945E13">
        <w:rPr>
          <w:rFonts w:eastAsia="Times New Roman" w:cs="Times New Roman"/>
          <w:lang w:bidi="bg-BG"/>
        </w:rPr>
        <w:t>те</w:t>
      </w:r>
      <w:r w:rsidRPr="00EA6851">
        <w:rPr>
          <w:rFonts w:eastAsia="Times New Roman" w:cs="Times New Roman"/>
          <w:lang w:bidi="bg-BG"/>
        </w:rPr>
        <w:t xml:space="preserve"> данни и оценка на възможностите за реализиране на инвестиционните разходи в рамките на бюджетната година, предприетите оптимизиращи приходни и разходни мерки със съответните ефекти и предложения за законодателни промени.</w:t>
      </w:r>
    </w:p>
    <w:p w:rsidR="00B74041" w:rsidRPr="00EA6851" w:rsidRDefault="00B74041" w:rsidP="00B74041">
      <w:pPr>
        <w:rPr>
          <w:rFonts w:eastAsia="Times New Roman" w:cs="Times New Roman"/>
          <w:lang w:bidi="bg-BG"/>
        </w:rPr>
      </w:pPr>
      <w:r w:rsidRPr="00EA6851">
        <w:rPr>
          <w:rFonts w:eastAsia="Times New Roman" w:cs="Times New Roman"/>
          <w:lang w:bidi="bg-BG"/>
        </w:rPr>
        <w:t xml:space="preserve">Запазват се целите на </w:t>
      </w:r>
      <w:r w:rsidRPr="00EA6851">
        <w:rPr>
          <w:rFonts w:eastAsia="Times New Roman" w:cs="Times New Roman"/>
          <w:b/>
          <w:lang w:bidi="bg-BG"/>
        </w:rPr>
        <w:t>фискалната политика</w:t>
      </w:r>
      <w:r w:rsidRPr="00EA6851">
        <w:rPr>
          <w:rFonts w:eastAsia="Times New Roman" w:cs="Times New Roman"/>
          <w:lang w:bidi="bg-BG"/>
        </w:rPr>
        <w:t xml:space="preserve"> дефицитът за средносрочния период да бъде в рамките на фискалните </w:t>
      </w:r>
      <w:r w:rsidR="00006D65" w:rsidRPr="00EA6851">
        <w:rPr>
          <w:rFonts w:eastAsia="Times New Roman" w:cs="Times New Roman"/>
          <w:lang w:bidi="bg-BG"/>
        </w:rPr>
        <w:t xml:space="preserve">правила и </w:t>
      </w:r>
      <w:r w:rsidRPr="00EA6851">
        <w:rPr>
          <w:rFonts w:eastAsia="Times New Roman" w:cs="Times New Roman"/>
          <w:lang w:bidi="bg-BG"/>
        </w:rPr>
        <w:t xml:space="preserve">ограничения по националното и европейското законодателство, </w:t>
      </w:r>
      <w:r w:rsidR="00DD0E83" w:rsidRPr="00EA6851">
        <w:rPr>
          <w:rFonts w:eastAsia="Times New Roman" w:cs="Times New Roman"/>
          <w:lang w:bidi="bg-BG"/>
        </w:rPr>
        <w:t xml:space="preserve">при осигуряване на необходимия финансов ресурс за изпълнение на </w:t>
      </w:r>
      <w:r w:rsidRPr="00EA6851">
        <w:rPr>
          <w:rFonts w:eastAsia="Times New Roman" w:cs="Times New Roman"/>
          <w:lang w:bidi="bg-BG"/>
        </w:rPr>
        <w:t>разходните приоритети, заложени в правителствената програма, с акцент върху социалните политики, инвестиционните програми и реформите, финансирани както от националния бюджет, така и от сметки</w:t>
      </w:r>
      <w:r w:rsidR="00662D79" w:rsidRPr="00EA6851">
        <w:rPr>
          <w:rFonts w:eastAsia="Times New Roman" w:cs="Times New Roman"/>
          <w:lang w:bidi="bg-BG"/>
        </w:rPr>
        <w:t>те</w:t>
      </w:r>
      <w:r w:rsidRPr="00EA6851">
        <w:rPr>
          <w:rFonts w:eastAsia="Times New Roman" w:cs="Times New Roman"/>
          <w:lang w:bidi="bg-BG"/>
        </w:rPr>
        <w:t xml:space="preserve"> за средства от ЕС. </w:t>
      </w:r>
    </w:p>
    <w:p w:rsidR="00B74041" w:rsidRPr="00EA6851" w:rsidRDefault="00B74041" w:rsidP="00B74041">
      <w:pPr>
        <w:rPr>
          <w:rFonts w:eastAsia="Times New Roman" w:cs="Times New Roman"/>
          <w:lang w:bidi="bg-BG"/>
        </w:rPr>
      </w:pPr>
      <w:r w:rsidRPr="00EA6851">
        <w:rPr>
          <w:rFonts w:eastAsia="Times New Roman" w:cs="Times New Roman"/>
          <w:lang w:bidi="bg-BG"/>
        </w:rPr>
        <w:t xml:space="preserve">Параметрите на Бюджет 2024 и АСБП за периода 2024-2026 г. са разработени в рамките на Маастрихтските критерии, като за сектор „Държавно управление“ дефицитът е съответно 2,9% от БВП за 2024 г., 3,0% от БВП за 2025 г. и 2,5% от БВП за 2026 г. </w:t>
      </w:r>
    </w:p>
    <w:p w:rsidR="00B74041" w:rsidRPr="00EA6851" w:rsidRDefault="00B74041" w:rsidP="00B74041">
      <w:pPr>
        <w:rPr>
          <w:rFonts w:eastAsia="Times New Roman" w:cs="Times New Roman"/>
          <w:lang w:bidi="bg-BG"/>
        </w:rPr>
      </w:pPr>
      <w:r w:rsidRPr="00EA6851">
        <w:rPr>
          <w:rFonts w:eastAsia="Times New Roman" w:cs="Times New Roman"/>
          <w:lang w:bidi="bg-BG"/>
        </w:rPr>
        <w:t xml:space="preserve">Планираната консолидация на дефицита на сектор „Държавно управление“ </w:t>
      </w:r>
      <w:r w:rsidR="004A0F19" w:rsidRPr="00EA6851">
        <w:rPr>
          <w:rFonts w:eastAsia="Times New Roman" w:cs="Times New Roman"/>
          <w:lang w:bidi="bg-BG"/>
        </w:rPr>
        <w:t xml:space="preserve">до 2026 г. </w:t>
      </w:r>
      <w:r w:rsidRPr="00EA6851">
        <w:rPr>
          <w:rFonts w:eastAsia="Times New Roman" w:cs="Times New Roman"/>
          <w:lang w:bidi="bg-BG"/>
        </w:rPr>
        <w:t>се постига въпреки значителния ефект от отразяването в разходната част на очакваните доставки в сектора на о</w:t>
      </w:r>
      <w:r w:rsidR="004A0F19" w:rsidRPr="00EA6851">
        <w:rPr>
          <w:rFonts w:eastAsia="Times New Roman" w:cs="Times New Roman"/>
          <w:lang w:bidi="bg-BG"/>
        </w:rPr>
        <w:t>тбраната през 2025 г.</w:t>
      </w:r>
      <w:r w:rsidRPr="00EA6851">
        <w:rPr>
          <w:rFonts w:eastAsia="Times New Roman" w:cs="Times New Roman"/>
          <w:lang w:bidi="bg-BG"/>
        </w:rPr>
        <w:t>, при вече отчетени касови разходи през предходни години. По този начин се покрива и един от ключовите критерии за присъединяване към еврозоната.</w:t>
      </w:r>
    </w:p>
    <w:p w:rsidR="00B74041" w:rsidRPr="00EA6851" w:rsidRDefault="00B74041" w:rsidP="00B74041">
      <w:pPr>
        <w:rPr>
          <w:rFonts w:eastAsia="Times New Roman" w:cs="Times New Roman"/>
          <w:lang w:bidi="bg-BG"/>
        </w:rPr>
      </w:pPr>
      <w:r w:rsidRPr="00EA6851">
        <w:rPr>
          <w:rFonts w:eastAsia="Times New Roman" w:cs="Times New Roman"/>
          <w:lang w:bidi="bg-BG"/>
        </w:rPr>
        <w:t>Бюджетното салдо по КФП е дефицит от 3,0% от БВП за всяка година от периода и е в рамките на правилата и ограниченията по Закона за публичните финанси. Очаква се устойчив номинален ръст на приходите, вкл. на данъчно-осигурителните</w:t>
      </w:r>
      <w:r w:rsidR="00662D79" w:rsidRPr="00EA6851">
        <w:rPr>
          <w:rFonts w:eastAsia="Times New Roman" w:cs="Times New Roman"/>
          <w:lang w:bidi="bg-BG"/>
        </w:rPr>
        <w:t>,</w:t>
      </w:r>
      <w:r w:rsidRPr="00EA6851">
        <w:rPr>
          <w:rFonts w:eastAsia="Times New Roman" w:cs="Times New Roman"/>
          <w:lang w:bidi="bg-BG"/>
        </w:rPr>
        <w:t xml:space="preserve"> и леко намаление на помощите от чужбина, което се дължи на етапите на реализация на програмите, съфинансирани от ЕС. Като дял от БВП общото ниво на приходите е в диапазона 3</w:t>
      </w:r>
      <w:r w:rsidR="00AE359E">
        <w:rPr>
          <w:rFonts w:eastAsia="Times New Roman" w:cs="Times New Roman"/>
          <w:lang w:bidi="bg-BG"/>
        </w:rPr>
        <w:t>6</w:t>
      </w:r>
      <w:r w:rsidRPr="00EA6851">
        <w:rPr>
          <w:rFonts w:eastAsia="Times New Roman" w:cs="Times New Roman"/>
          <w:lang w:bidi="bg-BG"/>
        </w:rPr>
        <w:t>,</w:t>
      </w:r>
      <w:r w:rsidR="00AE359E">
        <w:rPr>
          <w:rFonts w:eastAsia="Times New Roman" w:cs="Times New Roman"/>
          <w:lang w:bidi="bg-BG"/>
        </w:rPr>
        <w:t>5</w:t>
      </w:r>
      <w:r w:rsidRPr="00EA6851">
        <w:rPr>
          <w:rFonts w:eastAsia="Times New Roman" w:cs="Times New Roman"/>
          <w:lang w:bidi="bg-BG"/>
        </w:rPr>
        <w:t xml:space="preserve"> - 3</w:t>
      </w:r>
      <w:r w:rsidR="00AE359E">
        <w:rPr>
          <w:rFonts w:eastAsia="Times New Roman" w:cs="Times New Roman"/>
          <w:lang w:bidi="bg-BG"/>
        </w:rPr>
        <w:t>7,0</w:t>
      </w:r>
      <w:r w:rsidRPr="00EA6851">
        <w:rPr>
          <w:rFonts w:eastAsia="Times New Roman" w:cs="Times New Roman"/>
          <w:lang w:bidi="bg-BG"/>
        </w:rPr>
        <w:t xml:space="preserve">% от БВП. Същата тенденция се наблюдава и при общото ниво на разходите (общо разходи и вноска в общия бюджет на ЕС), които като дял от БВП са в диапазона </w:t>
      </w:r>
      <w:r w:rsidR="00AE359E">
        <w:rPr>
          <w:rFonts w:eastAsia="Times New Roman" w:cs="Times New Roman"/>
          <w:lang w:bidi="bg-BG"/>
        </w:rPr>
        <w:t>39</w:t>
      </w:r>
      <w:r w:rsidRPr="00EA6851">
        <w:rPr>
          <w:rFonts w:eastAsia="Times New Roman" w:cs="Times New Roman"/>
          <w:lang w:bidi="bg-BG"/>
        </w:rPr>
        <w:t>,</w:t>
      </w:r>
      <w:r w:rsidR="00AE359E">
        <w:rPr>
          <w:rFonts w:eastAsia="Times New Roman" w:cs="Times New Roman"/>
          <w:lang w:bidi="bg-BG"/>
        </w:rPr>
        <w:t>5</w:t>
      </w:r>
      <w:r w:rsidRPr="00EA6851">
        <w:rPr>
          <w:rFonts w:eastAsia="Times New Roman" w:cs="Times New Roman"/>
          <w:lang w:bidi="bg-BG"/>
        </w:rPr>
        <w:t xml:space="preserve"> - 4</w:t>
      </w:r>
      <w:r w:rsidR="00AE359E">
        <w:rPr>
          <w:rFonts w:eastAsia="Times New Roman" w:cs="Times New Roman"/>
          <w:lang w:bidi="bg-BG"/>
        </w:rPr>
        <w:t>0</w:t>
      </w:r>
      <w:r w:rsidRPr="00EA6851">
        <w:rPr>
          <w:rFonts w:eastAsia="Times New Roman" w:cs="Times New Roman"/>
          <w:lang w:bidi="bg-BG"/>
        </w:rPr>
        <w:t>,</w:t>
      </w:r>
      <w:r w:rsidR="00AE359E">
        <w:rPr>
          <w:rFonts w:eastAsia="Times New Roman" w:cs="Times New Roman"/>
          <w:lang w:bidi="bg-BG"/>
        </w:rPr>
        <w:t>0</w:t>
      </w:r>
      <w:r w:rsidRPr="00EA6851">
        <w:rPr>
          <w:rFonts w:eastAsia="Times New Roman" w:cs="Times New Roman"/>
          <w:lang w:bidi="bg-BG"/>
        </w:rPr>
        <w:t>%.</w:t>
      </w:r>
    </w:p>
    <w:p w:rsidR="00B74041" w:rsidRPr="00EA6851" w:rsidRDefault="00B74041" w:rsidP="00B74041">
      <w:pPr>
        <w:rPr>
          <w:rFonts w:eastAsia="Times New Roman" w:cs="Times New Roman"/>
          <w:lang w:bidi="bg-BG"/>
        </w:rPr>
      </w:pPr>
      <w:r w:rsidRPr="00EA6851">
        <w:rPr>
          <w:rFonts w:eastAsia="Times New Roman" w:cs="Times New Roman"/>
          <w:lang w:bidi="bg-BG"/>
        </w:rPr>
        <w:t>Разходите по националния бюджет са в рамките на 40%-то правило по чл. 28, ал. 1 от ЗПФ и през планов</w:t>
      </w:r>
      <w:r w:rsidR="00AE359E">
        <w:rPr>
          <w:rFonts w:eastAsia="Times New Roman" w:cs="Times New Roman"/>
          <w:lang w:bidi="bg-BG"/>
        </w:rPr>
        <w:t>ия период варират в диапазона 35</w:t>
      </w:r>
      <w:r w:rsidRPr="00EA6851">
        <w:rPr>
          <w:rFonts w:eastAsia="Times New Roman" w:cs="Times New Roman"/>
          <w:lang w:bidi="bg-BG"/>
        </w:rPr>
        <w:t>,</w:t>
      </w:r>
      <w:r w:rsidR="00AE359E">
        <w:rPr>
          <w:rFonts w:eastAsia="Times New Roman" w:cs="Times New Roman"/>
          <w:lang w:bidi="bg-BG"/>
        </w:rPr>
        <w:t>2</w:t>
      </w:r>
      <w:r w:rsidRPr="00EA6851">
        <w:rPr>
          <w:rFonts w:eastAsia="Times New Roman" w:cs="Times New Roman"/>
          <w:lang w:bidi="bg-BG"/>
        </w:rPr>
        <w:t xml:space="preserve"> - 3</w:t>
      </w:r>
      <w:r w:rsidR="00AE359E">
        <w:rPr>
          <w:rFonts w:eastAsia="Times New Roman" w:cs="Times New Roman"/>
          <w:lang w:bidi="bg-BG"/>
        </w:rPr>
        <w:t>5</w:t>
      </w:r>
      <w:r w:rsidRPr="00EA6851">
        <w:rPr>
          <w:rFonts w:eastAsia="Times New Roman" w:cs="Times New Roman"/>
          <w:lang w:bidi="bg-BG"/>
        </w:rPr>
        <w:t>,</w:t>
      </w:r>
      <w:r w:rsidR="00AE359E">
        <w:rPr>
          <w:rFonts w:eastAsia="Times New Roman" w:cs="Times New Roman"/>
          <w:lang w:bidi="bg-BG"/>
        </w:rPr>
        <w:t>5</w:t>
      </w:r>
      <w:r w:rsidRPr="00EA6851">
        <w:rPr>
          <w:rFonts w:eastAsia="Times New Roman" w:cs="Times New Roman"/>
          <w:lang w:bidi="bg-BG"/>
        </w:rPr>
        <w:t>% от БВП.</w:t>
      </w:r>
    </w:p>
    <w:p w:rsidR="00DB7FB8" w:rsidRPr="00DB7FB8" w:rsidRDefault="00DB7FB8" w:rsidP="00DB7FB8">
      <w:pPr>
        <w:rPr>
          <w:rFonts w:eastAsia="Times New Roman" w:cs="Times New Roman"/>
          <w:lang w:bidi="bg-BG"/>
        </w:rPr>
      </w:pPr>
      <w:r w:rsidRPr="00DB7FB8">
        <w:rPr>
          <w:rFonts w:eastAsia="Times New Roman" w:cs="Times New Roman"/>
          <w:lang w:bidi="bg-BG"/>
        </w:rPr>
        <w:t xml:space="preserve">Въз основа на допусканията за ново дългово финансиране за периода 2024-2026 г., предназначено както за рефинансиране на падежиращ дълг, така и за финансиране на планираните дефицити по държавния бюджет и за обезпечаване на ликвидната позиция на фискалния резерв, се предвижда максималният размер на </w:t>
      </w:r>
      <w:r w:rsidRPr="00DB7FB8">
        <w:rPr>
          <w:rFonts w:eastAsia="Times New Roman" w:cs="Times New Roman"/>
          <w:b/>
          <w:lang w:bidi="bg-BG"/>
        </w:rPr>
        <w:t>държавния дълг</w:t>
      </w:r>
      <w:r w:rsidRPr="00DB7FB8">
        <w:rPr>
          <w:rFonts w:eastAsia="Times New Roman" w:cs="Times New Roman"/>
          <w:lang w:bidi="bg-BG"/>
        </w:rPr>
        <w:t xml:space="preserve"> към края на 2024 г. да не надвишава </w:t>
      </w:r>
      <w:r w:rsidRPr="00DB7FB8">
        <w:rPr>
          <w:rFonts w:eastAsia="Times New Roman" w:cs="Times New Roman"/>
          <w:lang w:val="en-US" w:bidi="bg-BG"/>
        </w:rPr>
        <w:t>48,0</w:t>
      </w:r>
      <w:r w:rsidRPr="00DB7FB8">
        <w:rPr>
          <w:rFonts w:eastAsia="Times New Roman" w:cs="Times New Roman"/>
          <w:lang w:bidi="bg-BG"/>
        </w:rPr>
        <w:t xml:space="preserve"> млрд. лв. </w:t>
      </w:r>
      <w:r w:rsidRPr="00DB7FB8">
        <w:rPr>
          <w:rFonts w:eastAsia="Times New Roman" w:cs="Times New Roman"/>
          <w:lang w:val="en-US" w:bidi="bg-BG"/>
        </w:rPr>
        <w:t>(</w:t>
      </w:r>
      <w:r w:rsidRPr="00DB7FB8">
        <w:rPr>
          <w:rFonts w:eastAsia="Times New Roman" w:cs="Times New Roman"/>
          <w:lang w:bidi="bg-BG"/>
        </w:rPr>
        <w:t>23,3% от БВП</w:t>
      </w:r>
      <w:r w:rsidRPr="00DB7FB8">
        <w:rPr>
          <w:rFonts w:eastAsia="Times New Roman" w:cs="Times New Roman"/>
          <w:lang w:val="en-US" w:bidi="bg-BG"/>
        </w:rPr>
        <w:t>)</w:t>
      </w:r>
      <w:r w:rsidRPr="00DB7FB8">
        <w:rPr>
          <w:rFonts w:eastAsia="Times New Roman" w:cs="Times New Roman"/>
          <w:lang w:bidi="bg-BG"/>
        </w:rPr>
        <w:t xml:space="preserve">, а в края на 2025 г. и 2026 г. да достигне съответно до 56,2 млрд. лв. </w:t>
      </w:r>
      <w:r w:rsidRPr="00DB7FB8">
        <w:rPr>
          <w:rFonts w:eastAsia="Times New Roman" w:cs="Times New Roman"/>
          <w:lang w:val="en-US" w:bidi="bg-BG"/>
        </w:rPr>
        <w:t>(</w:t>
      </w:r>
      <w:r w:rsidRPr="00DB7FB8">
        <w:rPr>
          <w:rFonts w:eastAsia="Times New Roman" w:cs="Times New Roman"/>
          <w:lang w:bidi="bg-BG"/>
        </w:rPr>
        <w:t>25,8% от БВП</w:t>
      </w:r>
      <w:r w:rsidRPr="00DB7FB8">
        <w:rPr>
          <w:rFonts w:eastAsia="Times New Roman" w:cs="Times New Roman"/>
          <w:lang w:val="en-US" w:bidi="bg-BG"/>
        </w:rPr>
        <w:t>)</w:t>
      </w:r>
      <w:r w:rsidRPr="00DB7FB8">
        <w:rPr>
          <w:rFonts w:eastAsia="Times New Roman" w:cs="Times New Roman"/>
          <w:lang w:bidi="bg-BG"/>
        </w:rPr>
        <w:t xml:space="preserve"> и 65,6 млрд. лв. </w:t>
      </w:r>
      <w:r w:rsidRPr="00DB7FB8">
        <w:rPr>
          <w:rFonts w:eastAsia="Times New Roman" w:cs="Times New Roman"/>
          <w:lang w:val="en-US" w:bidi="bg-BG"/>
        </w:rPr>
        <w:t>(</w:t>
      </w:r>
      <w:r w:rsidRPr="00DB7FB8">
        <w:rPr>
          <w:rFonts w:eastAsia="Times New Roman" w:cs="Times New Roman"/>
          <w:lang w:bidi="bg-BG"/>
        </w:rPr>
        <w:t>28,3% от БВП</w:t>
      </w:r>
      <w:r w:rsidRPr="00DB7FB8">
        <w:rPr>
          <w:rFonts w:eastAsia="Times New Roman" w:cs="Times New Roman"/>
          <w:lang w:val="en-US" w:bidi="bg-BG"/>
        </w:rPr>
        <w:t>)</w:t>
      </w:r>
      <w:r w:rsidRPr="00DB7FB8">
        <w:rPr>
          <w:rFonts w:eastAsia="Times New Roman" w:cs="Times New Roman"/>
          <w:lang w:bidi="bg-BG"/>
        </w:rPr>
        <w:t>.</w:t>
      </w:r>
    </w:p>
    <w:p w:rsidR="00B74041" w:rsidRPr="00EA6851" w:rsidRDefault="00B74041" w:rsidP="00B74041">
      <w:pPr>
        <w:rPr>
          <w:rFonts w:eastAsia="Times New Roman" w:cs="Times New Roman"/>
          <w:lang w:bidi="bg-BG"/>
        </w:rPr>
      </w:pPr>
      <w:r w:rsidRPr="00EA6851">
        <w:rPr>
          <w:rFonts w:eastAsia="Times New Roman" w:cs="Times New Roman"/>
          <w:lang w:bidi="bg-BG"/>
        </w:rPr>
        <w:t xml:space="preserve">Минималният размер на </w:t>
      </w:r>
      <w:r w:rsidRPr="00EA6851">
        <w:rPr>
          <w:rFonts w:eastAsia="Times New Roman" w:cs="Times New Roman"/>
          <w:b/>
          <w:lang w:bidi="bg-BG"/>
        </w:rPr>
        <w:t>фискалния резерв</w:t>
      </w:r>
      <w:r w:rsidRPr="00EA6851">
        <w:rPr>
          <w:rFonts w:eastAsia="Times New Roman" w:cs="Times New Roman"/>
          <w:lang w:bidi="bg-BG"/>
        </w:rPr>
        <w:t xml:space="preserve"> към 31.12.2024 г. е предвиден да остане непроменен спрямо заложения в Закона за държавния бюджет на Република България за 2023 г. в размер на 4,5 млрд. лв. </w:t>
      </w:r>
    </w:p>
    <w:p w:rsidR="008E0BBB" w:rsidRPr="00EA6851" w:rsidRDefault="00894468" w:rsidP="00894468">
      <w:pPr>
        <w:rPr>
          <w:rFonts w:eastAsia="Times New Roman" w:cs="Times New Roman"/>
          <w:bCs/>
          <w:lang w:bidi="bg-BG"/>
        </w:rPr>
      </w:pPr>
      <w:r w:rsidRPr="00EA6851">
        <w:rPr>
          <w:rFonts w:eastAsia="Times New Roman" w:cs="Times New Roman"/>
          <w:b/>
          <w:lang w:bidi="bg-BG"/>
        </w:rPr>
        <w:t>Макроикономическата прогноза</w:t>
      </w:r>
      <w:r w:rsidR="008E0BBB" w:rsidRPr="00EA6851">
        <w:rPr>
          <w:rFonts w:eastAsia="Times New Roman" w:cs="Times New Roman"/>
          <w:b/>
          <w:lang w:bidi="bg-BG"/>
        </w:rPr>
        <w:t xml:space="preserve"> </w:t>
      </w:r>
      <w:r w:rsidR="008E0BBB" w:rsidRPr="00EA6851">
        <w:rPr>
          <w:rFonts w:eastAsia="Times New Roman" w:cs="Times New Roman"/>
          <w:lang w:bidi="bg-BG"/>
        </w:rPr>
        <w:t>за прогнозния период</w:t>
      </w:r>
      <w:r w:rsidR="0024558D" w:rsidRPr="00EA6851">
        <w:rPr>
          <w:rFonts w:eastAsia="Times New Roman" w:cs="Times New Roman"/>
          <w:lang w:bidi="bg-BG"/>
        </w:rPr>
        <w:t>,</w:t>
      </w:r>
      <w:r w:rsidR="0024558D" w:rsidRPr="00EA6851">
        <w:rPr>
          <w:rFonts w:eastAsia="Times New Roman" w:cs="Times New Roman"/>
          <w:b/>
          <w:lang w:bidi="bg-BG"/>
        </w:rPr>
        <w:t xml:space="preserve"> </w:t>
      </w:r>
      <w:r w:rsidR="0024558D" w:rsidRPr="00EA6851">
        <w:rPr>
          <w:rFonts w:eastAsia="Times New Roman" w:cs="Times New Roman"/>
          <w:lang w:bidi="bg-BG"/>
        </w:rPr>
        <w:t xml:space="preserve">изготвена от Института за анализи и прогнози, </w:t>
      </w:r>
      <w:r w:rsidRPr="00EA6851">
        <w:rPr>
          <w:rFonts w:eastAsia="Times New Roman" w:cs="Times New Roman"/>
          <w:lang w:bidi="bg-BG"/>
        </w:rPr>
        <w:t xml:space="preserve">предвижда </w:t>
      </w:r>
      <w:r w:rsidR="0024558D" w:rsidRPr="00EA6851">
        <w:rPr>
          <w:rFonts w:eastAsia="Times New Roman" w:cs="Times New Roman"/>
          <w:bCs/>
          <w:lang w:bidi="bg-BG"/>
        </w:rPr>
        <w:t xml:space="preserve">през 2024 г. растежът на БВП да се ускори до 3,2% поради нарастване на инвестициите в икономиката. Очаква се висок растеж на публичните инвестиции и активизиране на частната инвестиционната активност. </w:t>
      </w:r>
      <w:r w:rsidR="0024558D" w:rsidRPr="00EA6851">
        <w:rPr>
          <w:rFonts w:eastAsia="Times New Roman" w:cs="Times New Roman"/>
          <w:lang w:bidi="bg-BG"/>
        </w:rPr>
        <w:t xml:space="preserve">За 2025 </w:t>
      </w:r>
      <w:r w:rsidR="002B1C4C" w:rsidRPr="00EA6851">
        <w:rPr>
          <w:rFonts w:eastAsia="Times New Roman" w:cs="Times New Roman"/>
          <w:lang w:bidi="bg-BG"/>
        </w:rPr>
        <w:t xml:space="preserve">г. </w:t>
      </w:r>
      <w:r w:rsidR="0024558D" w:rsidRPr="00EA6851">
        <w:rPr>
          <w:rFonts w:eastAsia="Times New Roman" w:cs="Times New Roman"/>
          <w:lang w:bidi="bg-BG"/>
        </w:rPr>
        <w:t xml:space="preserve">и 2026 г. БВП ще се повишава с по 3%. </w:t>
      </w:r>
      <w:r w:rsidR="00C43746" w:rsidRPr="00EA6851">
        <w:rPr>
          <w:rFonts w:eastAsia="Times New Roman" w:cs="Times New Roman"/>
          <w:bCs/>
          <w:lang w:bidi="bg-BG"/>
        </w:rPr>
        <w:t xml:space="preserve">През </w:t>
      </w:r>
      <w:r w:rsidR="008E0BBB" w:rsidRPr="00EA6851">
        <w:rPr>
          <w:rFonts w:eastAsia="Times New Roman" w:cs="Times New Roman"/>
          <w:bCs/>
          <w:lang w:bidi="bg-BG"/>
        </w:rPr>
        <w:t>прогнозния период се очаква инфлацията да</w:t>
      </w:r>
      <w:r w:rsidR="00C43746" w:rsidRPr="00EA6851">
        <w:rPr>
          <w:rFonts w:eastAsia="Times New Roman" w:cs="Times New Roman"/>
          <w:bCs/>
          <w:lang w:bidi="bg-BG"/>
        </w:rPr>
        <w:t xml:space="preserve"> продължи плавно да се забавя, </w:t>
      </w:r>
      <w:r w:rsidR="002A6E59" w:rsidRPr="00EA6851">
        <w:rPr>
          <w:rFonts w:eastAsia="Times New Roman" w:cs="Times New Roman"/>
          <w:bCs/>
          <w:lang w:bidi="bg-BG"/>
        </w:rPr>
        <w:t>следвайки</w:t>
      </w:r>
      <w:r w:rsidR="00C43746" w:rsidRPr="00EA6851">
        <w:rPr>
          <w:rFonts w:eastAsia="Times New Roman" w:cs="Times New Roman"/>
          <w:bCs/>
          <w:lang w:bidi="bg-BG"/>
        </w:rPr>
        <w:t xml:space="preserve"> очакваната динамика при международните цени. Прогнозата е средногодишната инфлация да се понижи до 4,8% през 2024 г., 2,8% през 2025 г. и 2,2% през 2026 г. Енергийните стоки ще имат отрицателен принос към инфлацията, дължащ се на очакваното поевтиняване на транспортните горива. Приносът на услугите и храните ще се свие значително, но ще продължи да бъде водещ за формиране на инфлацията.</w:t>
      </w:r>
      <w:r w:rsidR="008E0BBB" w:rsidRPr="00EA6851">
        <w:t xml:space="preserve"> </w:t>
      </w:r>
      <w:r w:rsidR="008E0BBB" w:rsidRPr="00EA6851">
        <w:rPr>
          <w:rFonts w:eastAsia="Times New Roman" w:cs="Times New Roman"/>
          <w:bCs/>
          <w:lang w:bidi="bg-BG"/>
        </w:rPr>
        <w:t>Успоредно с нарастването на заетостта се очаква безработицата в страната да следва постоянна тенденция на намаление, но темповете на намалението да са относително ниски. Коефициентът на безработица към края на прогнозния период е 3,9%.</w:t>
      </w:r>
    </w:p>
    <w:p w:rsidR="004257EE" w:rsidRPr="00EA6851" w:rsidRDefault="004257EE" w:rsidP="004257EE">
      <w:pPr>
        <w:rPr>
          <w:rFonts w:eastAsia="Times New Roman" w:cs="Times New Roman"/>
          <w:bCs/>
          <w:iCs/>
          <w:lang w:eastAsia="zh-CN"/>
        </w:rPr>
      </w:pPr>
      <w:r w:rsidRPr="00EA6851">
        <w:rPr>
          <w:rFonts w:eastAsia="Times New Roman" w:cs="Times New Roman"/>
          <w:bCs/>
          <w:iCs/>
          <w:lang w:eastAsia="zh-CN"/>
        </w:rPr>
        <w:t xml:space="preserve">През периода 2024-2026 г. </w:t>
      </w:r>
      <w:r w:rsidRPr="00EA6851">
        <w:rPr>
          <w:rFonts w:eastAsia="Times New Roman" w:cs="Times New Roman"/>
          <w:b/>
          <w:bCs/>
          <w:iCs/>
          <w:lang w:eastAsia="zh-CN"/>
        </w:rPr>
        <w:t>данъчната политика</w:t>
      </w:r>
      <w:r w:rsidRPr="00EA6851">
        <w:rPr>
          <w:rFonts w:eastAsia="Times New Roman" w:cs="Times New Roman"/>
          <w:bCs/>
          <w:iCs/>
          <w:lang w:eastAsia="zh-CN"/>
        </w:rPr>
        <w:t xml:space="preserve"> ще е ориентирана към запазване на основните приоритети, свързани с подобряване на събираемостта на приходите, предотвратяване на възможности</w:t>
      </w:r>
      <w:r w:rsidR="00CF7E10" w:rsidRPr="00EA6851">
        <w:rPr>
          <w:rFonts w:eastAsia="Times New Roman" w:cs="Times New Roman"/>
          <w:bCs/>
          <w:iCs/>
          <w:lang w:eastAsia="zh-CN"/>
        </w:rPr>
        <w:t>те</w:t>
      </w:r>
      <w:r w:rsidRPr="00EA6851">
        <w:rPr>
          <w:rFonts w:eastAsia="Times New Roman" w:cs="Times New Roman"/>
          <w:bCs/>
          <w:iCs/>
          <w:lang w:eastAsia="zh-CN"/>
        </w:rPr>
        <w:t xml:space="preserve"> за укриване и невнасяне на данъци и осигуровки и намаляване на административната тежест и разходите за бизнеса и гражданите.</w:t>
      </w:r>
    </w:p>
    <w:p w:rsidR="004257EE" w:rsidRPr="00EA6851" w:rsidRDefault="004257EE" w:rsidP="004257EE">
      <w:pPr>
        <w:rPr>
          <w:rFonts w:eastAsia="Times New Roman" w:cs="Times New Roman"/>
          <w:bCs/>
          <w:iCs/>
          <w:lang w:eastAsia="zh-CN"/>
        </w:rPr>
      </w:pPr>
      <w:r w:rsidRPr="00EA6851">
        <w:rPr>
          <w:rFonts w:eastAsia="Times New Roman" w:cs="Times New Roman"/>
          <w:bCs/>
          <w:iCs/>
          <w:lang w:eastAsia="zh-CN"/>
        </w:rPr>
        <w:t>Запазва се действащото данъчно облекчение за предоставяне на наетите лица на социални разходи под формата на ваучери за храна в необлагаем с данък размер до 200 лв. месечно, като се предвижда общата годишна квота за предоставяне на ваучери за храна да се запази на 1,4 млрд. лв. </w:t>
      </w:r>
    </w:p>
    <w:p w:rsidR="004257EE" w:rsidRPr="00EA6851" w:rsidRDefault="004257EE" w:rsidP="004257EE">
      <w:pPr>
        <w:rPr>
          <w:rFonts w:eastAsia="Times New Roman" w:cs="Times New Roman"/>
          <w:bCs/>
          <w:iCs/>
          <w:lang w:eastAsia="zh-CN"/>
        </w:rPr>
      </w:pPr>
      <w:r w:rsidRPr="00EA6851">
        <w:rPr>
          <w:rFonts w:eastAsia="Times New Roman" w:cs="Times New Roman"/>
          <w:bCs/>
          <w:iCs/>
          <w:lang w:eastAsia="zh-CN"/>
        </w:rPr>
        <w:t xml:space="preserve">От 1 януари </w:t>
      </w:r>
      <w:r w:rsidR="000901EC" w:rsidRPr="00EA6851">
        <w:rPr>
          <w:rFonts w:eastAsia="Times New Roman" w:cs="Times New Roman"/>
          <w:bCs/>
          <w:iCs/>
          <w:lang w:eastAsia="zh-CN"/>
        </w:rPr>
        <w:t>2024 г. се</w:t>
      </w:r>
      <w:r w:rsidRPr="00EA6851">
        <w:rPr>
          <w:rFonts w:eastAsia="Times New Roman" w:cs="Times New Roman"/>
          <w:bCs/>
          <w:iCs/>
          <w:lang w:eastAsia="zh-CN"/>
        </w:rPr>
        <w:t xml:space="preserve"> въве</w:t>
      </w:r>
      <w:r w:rsidR="000901EC" w:rsidRPr="00EA6851">
        <w:rPr>
          <w:rFonts w:eastAsia="Times New Roman" w:cs="Times New Roman"/>
          <w:bCs/>
          <w:iCs/>
          <w:lang w:eastAsia="zh-CN"/>
        </w:rPr>
        <w:t>ждат</w:t>
      </w:r>
      <w:r w:rsidRPr="00EA6851">
        <w:rPr>
          <w:rFonts w:eastAsia="Times New Roman" w:cs="Times New Roman"/>
          <w:bCs/>
          <w:iCs/>
          <w:lang w:eastAsia="zh-CN"/>
        </w:rPr>
        <w:t xml:space="preserve"> електронни ваучери за храна с цел намаляване на административната тежест чрез дигитализация и осигуряване на по-конкурентна среда за всички лица, участващи в схемата за данъчното облекчение – оператори на ваучери за храна, работодатели, наети лица и други. Предвиден е шестмесечен преходен период, през който да функционират както ваучерите за храна на хартиен носител, така и електронните ваучери за храна, като окончателното преминаване само към електронни ваучери ще е от 1 юли 2024 г.</w:t>
      </w:r>
    </w:p>
    <w:p w:rsidR="004257EE" w:rsidRPr="00EA6851" w:rsidRDefault="002A6E59" w:rsidP="004257EE">
      <w:pPr>
        <w:rPr>
          <w:rFonts w:eastAsia="Times New Roman" w:cs="Times New Roman"/>
          <w:bCs/>
          <w:iCs/>
          <w:lang w:eastAsia="zh-CN"/>
        </w:rPr>
      </w:pPr>
      <w:r w:rsidRPr="00EA6851">
        <w:rPr>
          <w:rFonts w:eastAsia="Times New Roman" w:cs="Times New Roman"/>
          <w:bCs/>
          <w:iCs/>
          <w:lang w:eastAsia="zh-CN"/>
        </w:rPr>
        <w:t xml:space="preserve">Продължава прилагането на </w:t>
      </w:r>
      <w:r w:rsidR="004257EE" w:rsidRPr="00EA6851">
        <w:rPr>
          <w:rFonts w:eastAsia="Times New Roman" w:cs="Times New Roman"/>
          <w:bCs/>
          <w:iCs/>
          <w:lang w:eastAsia="zh-CN"/>
        </w:rPr>
        <w:t xml:space="preserve">по-високия размер на </w:t>
      </w:r>
      <w:r w:rsidR="004257EE" w:rsidRPr="00EA6851">
        <w:rPr>
          <w:rFonts w:eastAsia="Times New Roman" w:cs="Times New Roman"/>
          <w:b/>
          <w:bCs/>
          <w:iCs/>
          <w:lang w:eastAsia="zh-CN"/>
        </w:rPr>
        <w:t>данъчните облекчения за деца и за деца с увреждания</w:t>
      </w:r>
      <w:r w:rsidR="004257EE" w:rsidRPr="00EA6851">
        <w:rPr>
          <w:rFonts w:eastAsia="Times New Roman" w:cs="Times New Roman"/>
          <w:bCs/>
          <w:iCs/>
          <w:lang w:eastAsia="zh-CN"/>
        </w:rPr>
        <w:t>, като се запазва и възможността за авансово ползване на преференцията.</w:t>
      </w:r>
    </w:p>
    <w:p w:rsidR="004257EE" w:rsidRPr="00EA6851" w:rsidRDefault="000901EC" w:rsidP="004257EE">
      <w:pPr>
        <w:rPr>
          <w:rFonts w:eastAsia="Times New Roman" w:cs="Times New Roman"/>
          <w:bCs/>
          <w:iCs/>
          <w:lang w:eastAsia="zh-CN"/>
        </w:rPr>
      </w:pPr>
      <w:r w:rsidRPr="00EA6851">
        <w:rPr>
          <w:rFonts w:eastAsia="Times New Roman" w:cs="Times New Roman"/>
          <w:bCs/>
          <w:iCs/>
          <w:lang w:eastAsia="zh-CN"/>
        </w:rPr>
        <w:t>Предвижда</w:t>
      </w:r>
      <w:r w:rsidR="004257EE" w:rsidRPr="00EA6851">
        <w:rPr>
          <w:rFonts w:eastAsia="Times New Roman" w:cs="Times New Roman"/>
          <w:bCs/>
          <w:iCs/>
          <w:lang w:eastAsia="zh-CN"/>
        </w:rPr>
        <w:t xml:space="preserve"> </w:t>
      </w:r>
      <w:r w:rsidRPr="00EA6851">
        <w:rPr>
          <w:rFonts w:eastAsia="Times New Roman" w:cs="Times New Roman"/>
          <w:bCs/>
          <w:iCs/>
          <w:lang w:eastAsia="zh-CN"/>
        </w:rPr>
        <w:t>с</w:t>
      </w:r>
      <w:r w:rsidR="004257EE" w:rsidRPr="00EA6851">
        <w:rPr>
          <w:rFonts w:eastAsia="Times New Roman" w:cs="Times New Roman"/>
          <w:bCs/>
          <w:iCs/>
          <w:lang w:eastAsia="zh-CN"/>
        </w:rPr>
        <w:t>е удължаване на прилагането на нулева ставка на ДДС за доставките на хляб и брашно до средата на 2024 г. и на намалената данъчна ставка на ДДС от 9% за ресто</w:t>
      </w:r>
      <w:r w:rsidR="00522275" w:rsidRPr="00EA6851">
        <w:rPr>
          <w:rFonts w:eastAsia="Times New Roman" w:cs="Times New Roman"/>
          <w:bCs/>
          <w:iCs/>
          <w:lang w:eastAsia="zh-CN"/>
        </w:rPr>
        <w:t xml:space="preserve">рантьорски и кетъринг услуги </w:t>
      </w:r>
      <w:r w:rsidR="002A6E59" w:rsidRPr="00EA6851">
        <w:rPr>
          <w:rFonts w:eastAsia="Times New Roman" w:cs="Times New Roman"/>
          <w:bCs/>
          <w:iCs/>
          <w:lang w:eastAsia="zh-CN"/>
        </w:rPr>
        <w:t>до края на</w:t>
      </w:r>
      <w:r w:rsidR="00662D79" w:rsidRPr="00EA6851">
        <w:rPr>
          <w:rFonts w:eastAsia="Times New Roman" w:cs="Times New Roman"/>
          <w:bCs/>
          <w:iCs/>
          <w:lang w:eastAsia="zh-CN"/>
        </w:rPr>
        <w:t xml:space="preserve"> </w:t>
      </w:r>
      <w:r w:rsidR="004257EE" w:rsidRPr="00EA6851">
        <w:rPr>
          <w:rFonts w:eastAsia="Times New Roman" w:cs="Times New Roman"/>
          <w:bCs/>
          <w:iCs/>
          <w:lang w:eastAsia="zh-CN"/>
        </w:rPr>
        <w:t>2024 г</w:t>
      </w:r>
      <w:r w:rsidR="002A6E59" w:rsidRPr="00EA6851">
        <w:rPr>
          <w:rFonts w:eastAsia="Times New Roman" w:cs="Times New Roman"/>
          <w:bCs/>
          <w:iCs/>
          <w:lang w:eastAsia="zh-CN"/>
        </w:rPr>
        <w:t>.</w:t>
      </w:r>
    </w:p>
    <w:p w:rsidR="008C6660" w:rsidRDefault="00894468" w:rsidP="008C6660">
      <w:pPr>
        <w:rPr>
          <w:rFonts w:eastAsia="Times New Roman" w:cs="Times New Roman"/>
          <w:szCs w:val="24"/>
        </w:rPr>
      </w:pPr>
      <w:r w:rsidRPr="00EA6851">
        <w:rPr>
          <w:rFonts w:eastAsia="Times New Roman" w:cs="Times New Roman"/>
          <w:szCs w:val="24"/>
        </w:rPr>
        <w:t>В законопроекта за държавния бюджет за 202</w:t>
      </w:r>
      <w:r w:rsidR="00417120" w:rsidRPr="00EA6851">
        <w:rPr>
          <w:rFonts w:eastAsia="Times New Roman" w:cs="Times New Roman"/>
          <w:szCs w:val="24"/>
        </w:rPr>
        <w:t>4</w:t>
      </w:r>
      <w:r w:rsidRPr="00EA6851">
        <w:rPr>
          <w:rFonts w:eastAsia="Times New Roman" w:cs="Times New Roman"/>
          <w:szCs w:val="24"/>
        </w:rPr>
        <w:t xml:space="preserve"> г. е определен 100% дивидент за държавата от държавните дружества и предприятия за 202</w:t>
      </w:r>
      <w:r w:rsidR="00417120" w:rsidRPr="00EA6851">
        <w:rPr>
          <w:rFonts w:eastAsia="Times New Roman" w:cs="Times New Roman"/>
          <w:szCs w:val="24"/>
        </w:rPr>
        <w:t>4</w:t>
      </w:r>
      <w:r w:rsidRPr="00EA6851">
        <w:rPr>
          <w:rFonts w:eastAsia="Times New Roman" w:cs="Times New Roman"/>
          <w:szCs w:val="24"/>
        </w:rPr>
        <w:t xml:space="preserve"> г.</w:t>
      </w:r>
    </w:p>
    <w:p w:rsidR="008C6660" w:rsidRPr="008C6660" w:rsidRDefault="008C6660" w:rsidP="008C6660">
      <w:pPr>
        <w:rPr>
          <w:rFonts w:eastAsia="Times New Roman" w:cs="Times New Roman"/>
          <w:szCs w:val="24"/>
        </w:rPr>
      </w:pPr>
      <w:r w:rsidRPr="00843B3B">
        <w:rPr>
          <w:rFonts w:eastAsia="Calibri" w:cs="Times New Roman"/>
          <w:b/>
          <w:bCs/>
          <w:szCs w:val="24"/>
        </w:rPr>
        <w:t>И</w:t>
      </w:r>
      <w:r w:rsidR="004A7575">
        <w:rPr>
          <w:rFonts w:eastAsia="Calibri" w:cs="Times New Roman"/>
          <w:b/>
          <w:bCs/>
          <w:szCs w:val="24"/>
        </w:rPr>
        <w:t>н</w:t>
      </w:r>
      <w:r w:rsidRPr="00843B3B">
        <w:rPr>
          <w:rFonts w:eastAsia="Calibri" w:cs="Times New Roman"/>
          <w:b/>
          <w:bCs/>
          <w:szCs w:val="24"/>
        </w:rPr>
        <w:t>вестиционна политика</w:t>
      </w:r>
      <w:r>
        <w:rPr>
          <w:rFonts w:ascii="Verdana" w:hAnsi="Verdana"/>
          <w:b/>
          <w:sz w:val="21"/>
          <w:szCs w:val="21"/>
          <w:shd w:val="clear" w:color="auto" w:fill="FFFFFF"/>
        </w:rPr>
        <w:t xml:space="preserve"> </w:t>
      </w:r>
    </w:p>
    <w:p w:rsidR="008C6660" w:rsidRDefault="008C6660" w:rsidP="008C6660">
      <w:pPr>
        <w:rPr>
          <w:rFonts w:eastAsia="Times New Roman" w:cs="Times New Roman"/>
          <w:bCs/>
          <w:color w:val="000000"/>
          <w:szCs w:val="24"/>
        </w:rPr>
      </w:pPr>
      <w:r>
        <w:rPr>
          <w:rFonts w:asciiTheme="majorHAnsi" w:hAnsiTheme="majorHAnsi" w:cstheme="majorHAnsi"/>
          <w:szCs w:val="24"/>
          <w:shd w:val="clear" w:color="auto" w:fill="FFFFFF"/>
        </w:rPr>
        <w:t>През</w:t>
      </w:r>
      <w:r w:rsidRPr="00621B27">
        <w:rPr>
          <w:rFonts w:asciiTheme="majorHAnsi" w:hAnsiTheme="majorHAnsi" w:cstheme="majorHAnsi"/>
          <w:szCs w:val="24"/>
          <w:shd w:val="clear" w:color="auto" w:fill="FFFFFF"/>
        </w:rPr>
        <w:t xml:space="preserve"> 2024 г. правителст</w:t>
      </w:r>
      <w:r>
        <w:rPr>
          <w:rFonts w:asciiTheme="majorHAnsi" w:hAnsiTheme="majorHAnsi" w:cstheme="majorHAnsi"/>
          <w:szCs w:val="24"/>
          <w:shd w:val="clear" w:color="auto" w:fill="FFFFFF"/>
        </w:rPr>
        <w:t>вото предвижда реализирането на</w:t>
      </w:r>
      <w:r w:rsidRPr="00843B3B">
        <w:rPr>
          <w:rFonts w:eastAsia="Times New Roman" w:cs="Times New Roman"/>
          <w:b/>
          <w:bCs/>
          <w:color w:val="000000"/>
          <w:szCs w:val="24"/>
        </w:rPr>
        <w:t xml:space="preserve"> </w:t>
      </w:r>
      <w:r w:rsidRPr="00843B3B">
        <w:rPr>
          <w:rFonts w:eastAsia="Times New Roman" w:cs="Times New Roman"/>
          <w:bCs/>
          <w:color w:val="000000"/>
          <w:szCs w:val="24"/>
        </w:rPr>
        <w:t>капиталов бюджет по</w:t>
      </w:r>
      <w:r w:rsidR="00412280">
        <w:rPr>
          <w:rFonts w:eastAsia="Times New Roman" w:cs="Times New Roman"/>
          <w:bCs/>
          <w:color w:val="000000"/>
          <w:szCs w:val="24"/>
        </w:rPr>
        <w:t xml:space="preserve"> </w:t>
      </w:r>
      <w:r w:rsidR="00412280" w:rsidRPr="00412280">
        <w:rPr>
          <w:rFonts w:eastAsia="Times New Roman" w:cs="Times New Roman"/>
          <w:bCs/>
          <w:color w:val="000000"/>
          <w:szCs w:val="24"/>
        </w:rPr>
        <w:t xml:space="preserve"> национални програми,</w:t>
      </w:r>
      <w:r w:rsidR="00412280" w:rsidRPr="00412280">
        <w:rPr>
          <w:rFonts w:eastAsia="Times New Roman" w:cs="Times New Roman"/>
          <w:bCs/>
          <w:color w:val="000000"/>
          <w:szCs w:val="24"/>
          <w:lang w:val="en-US"/>
        </w:rPr>
        <w:t xml:space="preserve"> </w:t>
      </w:r>
      <w:r w:rsidR="00412280" w:rsidRPr="00412280">
        <w:rPr>
          <w:rFonts w:eastAsia="Times New Roman" w:cs="Times New Roman"/>
          <w:bCs/>
          <w:color w:val="000000"/>
          <w:szCs w:val="24"/>
        </w:rPr>
        <w:t xml:space="preserve">по програми и механизми на Европейския съюз и по </w:t>
      </w:r>
      <w:r w:rsidR="003A5441">
        <w:rPr>
          <w:rFonts w:eastAsia="Times New Roman" w:cs="Times New Roman"/>
          <w:bCs/>
          <w:color w:val="000000"/>
          <w:szCs w:val="24"/>
        </w:rPr>
        <w:t xml:space="preserve">други </w:t>
      </w:r>
      <w:r w:rsidR="00412280" w:rsidRPr="00412280">
        <w:rPr>
          <w:rFonts w:eastAsia="Times New Roman" w:cs="Times New Roman"/>
          <w:bCs/>
          <w:color w:val="000000"/>
          <w:szCs w:val="24"/>
        </w:rPr>
        <w:t>международни програми и договори</w:t>
      </w:r>
      <w:r w:rsidR="00412280">
        <w:rPr>
          <w:rFonts w:eastAsia="Times New Roman" w:cs="Times New Roman"/>
          <w:bCs/>
          <w:color w:val="000000"/>
          <w:szCs w:val="24"/>
        </w:rPr>
        <w:t>.</w:t>
      </w:r>
      <w:r w:rsidRPr="00843B3B">
        <w:rPr>
          <w:rFonts w:eastAsia="Times New Roman" w:cs="Times New Roman"/>
          <w:b/>
          <w:bCs/>
          <w:color w:val="000000"/>
          <w:szCs w:val="24"/>
        </w:rPr>
        <w:t xml:space="preserve"> </w:t>
      </w:r>
      <w:r w:rsidRPr="00843B3B">
        <w:rPr>
          <w:rFonts w:eastAsia="Times New Roman" w:cs="Times New Roman"/>
          <w:bCs/>
          <w:color w:val="000000"/>
          <w:szCs w:val="24"/>
        </w:rPr>
        <w:t xml:space="preserve">За тази цел капиталовите разходи </w:t>
      </w:r>
      <w:r w:rsidR="00412280" w:rsidRPr="00412280">
        <w:rPr>
          <w:rFonts w:eastAsia="Times New Roman" w:cs="Times New Roman"/>
          <w:bCs/>
          <w:color w:val="000000"/>
          <w:szCs w:val="24"/>
        </w:rPr>
        <w:t xml:space="preserve">по отделните бюджети на първостепенните разпоредители с бюджет по държавния бюджет за периода 2024-2026 г. са изведени в обособен ресурс в централния бюджет. </w:t>
      </w:r>
      <w:r w:rsidRPr="00843B3B">
        <w:rPr>
          <w:rFonts w:eastAsia="Times New Roman" w:cs="Times New Roman"/>
          <w:bCs/>
          <w:color w:val="000000"/>
          <w:szCs w:val="24"/>
        </w:rPr>
        <w:t xml:space="preserve"> </w:t>
      </w:r>
      <w:r>
        <w:rPr>
          <w:rFonts w:eastAsia="Times New Roman" w:cs="Times New Roman"/>
          <w:bCs/>
          <w:color w:val="000000"/>
          <w:szCs w:val="24"/>
        </w:rPr>
        <w:t>Ц</w:t>
      </w:r>
      <w:r w:rsidRPr="00843B3B">
        <w:rPr>
          <w:rFonts w:eastAsia="Times New Roman" w:cs="Times New Roman"/>
          <w:bCs/>
          <w:color w:val="000000"/>
          <w:szCs w:val="24"/>
        </w:rPr>
        <w:t>ел</w:t>
      </w:r>
      <w:r>
        <w:rPr>
          <w:rFonts w:eastAsia="Times New Roman" w:cs="Times New Roman"/>
          <w:bCs/>
          <w:color w:val="000000"/>
          <w:szCs w:val="24"/>
        </w:rPr>
        <w:t>та е</w:t>
      </w:r>
      <w:r w:rsidRPr="00843B3B">
        <w:rPr>
          <w:rFonts w:eastAsia="Times New Roman" w:cs="Times New Roman"/>
          <w:bCs/>
          <w:color w:val="000000"/>
          <w:szCs w:val="24"/>
        </w:rPr>
        <w:t xml:space="preserve"> постигане на по-добро планиране </w:t>
      </w:r>
      <w:r>
        <w:rPr>
          <w:rFonts w:eastAsia="Times New Roman" w:cs="Times New Roman"/>
          <w:bCs/>
          <w:color w:val="000000"/>
          <w:szCs w:val="24"/>
        </w:rPr>
        <w:t>и</w:t>
      </w:r>
      <w:r w:rsidRPr="00843B3B">
        <w:rPr>
          <w:rFonts w:eastAsia="Times New Roman" w:cs="Times New Roman"/>
          <w:bCs/>
          <w:color w:val="000000"/>
          <w:szCs w:val="24"/>
        </w:rPr>
        <w:t xml:space="preserve"> разходване на капиталовите разходи, както </w:t>
      </w:r>
      <w:r>
        <w:rPr>
          <w:rFonts w:eastAsia="Times New Roman" w:cs="Times New Roman"/>
          <w:bCs/>
          <w:color w:val="000000"/>
          <w:szCs w:val="24"/>
        </w:rPr>
        <w:t>и</w:t>
      </w:r>
      <w:r w:rsidRPr="00843B3B">
        <w:rPr>
          <w:rFonts w:eastAsia="Times New Roman" w:cs="Times New Roman"/>
          <w:bCs/>
          <w:color w:val="000000"/>
          <w:szCs w:val="24"/>
        </w:rPr>
        <w:t xml:space="preserve"> по-</w:t>
      </w:r>
      <w:r>
        <w:rPr>
          <w:rFonts w:eastAsia="Times New Roman" w:cs="Times New Roman"/>
          <w:bCs/>
          <w:color w:val="000000"/>
          <w:szCs w:val="24"/>
        </w:rPr>
        <w:t>висока</w:t>
      </w:r>
      <w:r w:rsidRPr="00843B3B">
        <w:rPr>
          <w:rFonts w:eastAsia="Times New Roman" w:cs="Times New Roman"/>
          <w:bCs/>
          <w:color w:val="000000"/>
          <w:szCs w:val="24"/>
        </w:rPr>
        <w:t xml:space="preserve"> ефективност и прозрачност при изпълнението на инвестиционните  програми</w:t>
      </w:r>
      <w:r>
        <w:rPr>
          <w:rFonts w:eastAsia="Times New Roman" w:cs="Times New Roman"/>
          <w:bCs/>
          <w:color w:val="000000"/>
          <w:szCs w:val="24"/>
        </w:rPr>
        <w:t>. В тази връзка</w:t>
      </w:r>
      <w:r w:rsidRPr="00843B3B">
        <w:rPr>
          <w:rFonts w:eastAsia="Times New Roman" w:cs="Times New Roman"/>
          <w:bCs/>
          <w:color w:val="000000"/>
          <w:szCs w:val="24"/>
        </w:rPr>
        <w:t xml:space="preserve"> се предвижда в хода на изпълнението на бюджета за 2024 г. </w:t>
      </w:r>
      <w:r>
        <w:rPr>
          <w:rFonts w:eastAsia="Times New Roman" w:cs="Times New Roman"/>
          <w:bCs/>
          <w:color w:val="000000"/>
          <w:szCs w:val="24"/>
        </w:rPr>
        <w:t>средствата за капиталови разходи на министерствата и ведомствата</w:t>
      </w:r>
      <w:r w:rsidRPr="00843B3B">
        <w:rPr>
          <w:rFonts w:eastAsia="Times New Roman" w:cs="Times New Roman"/>
          <w:bCs/>
          <w:color w:val="000000"/>
          <w:szCs w:val="24"/>
        </w:rPr>
        <w:t xml:space="preserve"> да се предоставят по реда на чл. 109, ал. 3 от Закона за публичните финанси. Предложеният подход ще даде възможност за </w:t>
      </w:r>
      <w:r>
        <w:rPr>
          <w:rFonts w:eastAsia="Times New Roman" w:cs="Times New Roman"/>
          <w:bCs/>
          <w:color w:val="000000"/>
          <w:szCs w:val="24"/>
        </w:rPr>
        <w:t>своевременно насочване на средства от централния бюджет за разходи по проекти и програми на министерствата и ведомствата, за които е налице готовност за тяхната незабавна реализация. По този начин ще се преодолее дългогодишната практика капиталовите разходи в края на годината да се пренасочват към друг вид разходи или да остават нереализирани по бюджетите на министерствата и ведомствата, с което не се постигат ежегодно поставените цели за ниво на инвестициите в пу</w:t>
      </w:r>
      <w:r w:rsidR="00D76B43">
        <w:rPr>
          <w:rFonts w:eastAsia="Times New Roman" w:cs="Times New Roman"/>
          <w:bCs/>
          <w:color w:val="000000"/>
          <w:szCs w:val="24"/>
        </w:rPr>
        <w:t>б</w:t>
      </w:r>
      <w:r>
        <w:rPr>
          <w:rFonts w:eastAsia="Times New Roman" w:cs="Times New Roman"/>
          <w:bCs/>
          <w:color w:val="000000"/>
          <w:szCs w:val="24"/>
        </w:rPr>
        <w:t>личния сектор.</w:t>
      </w:r>
    </w:p>
    <w:p w:rsidR="00894468" w:rsidRPr="00EA6851" w:rsidRDefault="008C6660" w:rsidP="008C6660">
      <w:pPr>
        <w:rPr>
          <w:rFonts w:ascii="Verdana" w:hAnsi="Verdana"/>
          <w:sz w:val="21"/>
          <w:szCs w:val="21"/>
          <w:shd w:val="clear" w:color="auto" w:fill="FFFFFF"/>
        </w:rPr>
      </w:pPr>
      <w:r>
        <w:rPr>
          <w:rFonts w:eastAsia="Times New Roman" w:cs="Times New Roman"/>
          <w:bCs/>
          <w:color w:val="000000"/>
          <w:szCs w:val="24"/>
        </w:rPr>
        <w:t>В рамките на капиталовия бюджет се предвижда и изпълнението на инвестиционна програма за общините, чрез която ще се реализират приоритетни инфраструктурни проекти на местните общн</w:t>
      </w:r>
      <w:r w:rsidR="00032AFC">
        <w:rPr>
          <w:rFonts w:eastAsia="Times New Roman" w:cs="Times New Roman"/>
          <w:bCs/>
          <w:color w:val="000000"/>
          <w:szCs w:val="24"/>
        </w:rPr>
        <w:t>о</w:t>
      </w:r>
      <w:r>
        <w:rPr>
          <w:rFonts w:eastAsia="Times New Roman" w:cs="Times New Roman"/>
          <w:bCs/>
          <w:color w:val="000000"/>
          <w:szCs w:val="24"/>
        </w:rPr>
        <w:t>сти, които биха допринесли за подобряване на инфраструктурното развитие на регионите и подобряване на благоустройствената среда в населените места.</w:t>
      </w:r>
    </w:p>
    <w:p w:rsidR="008F2A58" w:rsidRPr="00EA6851" w:rsidRDefault="008F2A58" w:rsidP="008F2A58">
      <w:pPr>
        <w:rPr>
          <w:rFonts w:eastAsia="Calibri" w:cs="Times New Roman"/>
          <w:szCs w:val="24"/>
        </w:rPr>
      </w:pPr>
      <w:r w:rsidRPr="00EA6851">
        <w:rPr>
          <w:rFonts w:eastAsia="Calibri" w:cs="Times New Roman"/>
          <w:b/>
          <w:bCs/>
          <w:szCs w:val="24"/>
        </w:rPr>
        <w:t xml:space="preserve">Осигурителна политика. </w:t>
      </w:r>
      <w:r w:rsidRPr="00EA6851">
        <w:rPr>
          <w:rFonts w:eastAsia="Calibri" w:cs="Times New Roman"/>
          <w:szCs w:val="24"/>
        </w:rPr>
        <w:t>Новите моменти са, както следва:</w:t>
      </w:r>
    </w:p>
    <w:p w:rsidR="000D6A98" w:rsidRPr="00EA6851" w:rsidRDefault="000D6A98" w:rsidP="000D6A98">
      <w:pPr>
        <w:numPr>
          <w:ilvl w:val="0"/>
          <w:numId w:val="59"/>
        </w:numPr>
        <w:rPr>
          <w:rFonts w:eastAsia="Calibri" w:cs="Times New Roman"/>
          <w:szCs w:val="24"/>
        </w:rPr>
      </w:pPr>
      <w:r w:rsidRPr="00EA6851">
        <w:rPr>
          <w:rFonts w:eastAsia="Calibri" w:cs="Times New Roman"/>
          <w:szCs w:val="24"/>
        </w:rPr>
        <w:t xml:space="preserve">Увеличаване на максималния осигурителен доход за всички осигурени лица за 2024 г. от 3 400 лв. на 3 750 лв. През 2025 г. и 2026 г. е предвидено размерът на максималния осигурителен доход за всички осигурени лица да </w:t>
      </w:r>
      <w:r w:rsidR="002A6E59" w:rsidRPr="00EA6851">
        <w:rPr>
          <w:rFonts w:eastAsia="Calibri" w:cs="Times New Roman"/>
          <w:szCs w:val="24"/>
        </w:rPr>
        <w:t>се увеличи</w:t>
      </w:r>
      <w:r w:rsidR="00DE323D" w:rsidRPr="00EA6851">
        <w:rPr>
          <w:rFonts w:eastAsia="Calibri" w:cs="Times New Roman"/>
          <w:szCs w:val="24"/>
        </w:rPr>
        <w:t xml:space="preserve"> </w:t>
      </w:r>
      <w:r w:rsidRPr="00EA6851">
        <w:rPr>
          <w:rFonts w:eastAsia="Calibri" w:cs="Times New Roman"/>
          <w:szCs w:val="24"/>
        </w:rPr>
        <w:t xml:space="preserve">съответно </w:t>
      </w:r>
      <w:r w:rsidR="002A6E59" w:rsidRPr="00EA6851">
        <w:rPr>
          <w:rFonts w:eastAsia="Calibri" w:cs="Times New Roman"/>
          <w:szCs w:val="24"/>
        </w:rPr>
        <w:t xml:space="preserve">до </w:t>
      </w:r>
      <w:r w:rsidRPr="00EA6851">
        <w:rPr>
          <w:rFonts w:eastAsia="Calibri" w:cs="Times New Roman"/>
          <w:szCs w:val="24"/>
        </w:rPr>
        <w:t xml:space="preserve">4 130 лв. и </w:t>
      </w:r>
      <w:r w:rsidR="005A771E" w:rsidRPr="00EA6851">
        <w:rPr>
          <w:rFonts w:eastAsia="Calibri" w:cs="Times New Roman"/>
          <w:szCs w:val="24"/>
        </w:rPr>
        <w:t xml:space="preserve">до </w:t>
      </w:r>
      <w:r w:rsidRPr="00EA6851">
        <w:rPr>
          <w:rFonts w:eastAsia="Calibri" w:cs="Times New Roman"/>
          <w:szCs w:val="24"/>
        </w:rPr>
        <w:t>4 430 лв.;</w:t>
      </w:r>
    </w:p>
    <w:p w:rsidR="000D6A98" w:rsidRPr="00EA6851" w:rsidRDefault="000D6A98" w:rsidP="000D6A98">
      <w:pPr>
        <w:numPr>
          <w:ilvl w:val="0"/>
          <w:numId w:val="59"/>
        </w:numPr>
        <w:rPr>
          <w:rFonts w:eastAsia="Calibri" w:cs="Times New Roman"/>
          <w:szCs w:val="24"/>
        </w:rPr>
      </w:pPr>
      <w:r w:rsidRPr="00EA6851">
        <w:rPr>
          <w:rFonts w:eastAsia="Calibri" w:cs="Times New Roman"/>
          <w:szCs w:val="24"/>
        </w:rPr>
        <w:t>Увеличаване на минималния осигурителен доход за самоосигуряващите се лица от 1 януари 2024 г. от 780 лв. на 933 лв., а от 1 януари на съотв</w:t>
      </w:r>
      <w:r w:rsidR="00E15BB8" w:rsidRPr="00EA6851">
        <w:rPr>
          <w:rFonts w:eastAsia="Calibri" w:cs="Times New Roman"/>
          <w:szCs w:val="24"/>
        </w:rPr>
        <w:t>етната година за периода 2025-2026 г.</w:t>
      </w:r>
      <w:r w:rsidRPr="00EA6851">
        <w:rPr>
          <w:rFonts w:eastAsia="Calibri" w:cs="Times New Roman"/>
          <w:szCs w:val="24"/>
        </w:rPr>
        <w:t xml:space="preserve"> до нивото на минималната работна заплата, определена съгласно чл. 244 от Кодекса на труда;</w:t>
      </w:r>
    </w:p>
    <w:p w:rsidR="000D6A98" w:rsidRPr="00EA6851" w:rsidRDefault="000D6A98" w:rsidP="000D6A98">
      <w:pPr>
        <w:numPr>
          <w:ilvl w:val="0"/>
          <w:numId w:val="59"/>
        </w:numPr>
        <w:rPr>
          <w:rFonts w:eastAsia="Calibri" w:cs="Times New Roman"/>
          <w:szCs w:val="24"/>
        </w:rPr>
      </w:pPr>
      <w:r w:rsidRPr="00EA6851">
        <w:rPr>
          <w:rFonts w:eastAsia="Calibri" w:cs="Times New Roman"/>
          <w:szCs w:val="24"/>
        </w:rPr>
        <w:t xml:space="preserve">Увеличаване на минималния осигурителен доход за земеделските стопани и тютюнопроизводителите от 1 януари 2024 г. от 780 лв. на 933 лв., а от 1 януари на съответната година за периода </w:t>
      </w:r>
      <w:r w:rsidR="00E15BB8" w:rsidRPr="00EA6851">
        <w:rPr>
          <w:rFonts w:eastAsia="Calibri" w:cs="Times New Roman"/>
          <w:szCs w:val="24"/>
        </w:rPr>
        <w:t>2025-2026 г.</w:t>
      </w:r>
      <w:r w:rsidRPr="00EA6851">
        <w:rPr>
          <w:rFonts w:eastAsia="Calibri" w:cs="Times New Roman"/>
          <w:szCs w:val="24"/>
        </w:rPr>
        <w:t xml:space="preserve"> до нивото на минималната работна заплата, определена съгласно чл. 244 от Кодекса на труда;</w:t>
      </w:r>
    </w:p>
    <w:p w:rsidR="000D6A98" w:rsidRPr="00EA6851" w:rsidRDefault="000D6A98" w:rsidP="000D6A98">
      <w:pPr>
        <w:numPr>
          <w:ilvl w:val="0"/>
          <w:numId w:val="59"/>
        </w:numPr>
        <w:rPr>
          <w:rFonts w:eastAsia="Calibri" w:cs="Times New Roman"/>
          <w:szCs w:val="24"/>
        </w:rPr>
      </w:pPr>
      <w:r w:rsidRPr="00EA6851">
        <w:rPr>
          <w:rFonts w:eastAsia="Calibri" w:cs="Times New Roman"/>
          <w:szCs w:val="24"/>
        </w:rPr>
        <w:t>Увеличаване на минималните осигурителни доходи по основните икономически дейности и квалификационни групи професии до нивото на минималната работна заплата за 2024 г. – 933 лв., като се извършва корекция само по отношение на позициите, които са под определения размер</w:t>
      </w:r>
      <w:r w:rsidR="002A6E59" w:rsidRPr="00EA6851">
        <w:rPr>
          <w:rFonts w:eastAsia="Calibri" w:cs="Times New Roman"/>
          <w:szCs w:val="24"/>
        </w:rPr>
        <w:t xml:space="preserve"> на МРЗ</w:t>
      </w:r>
      <w:r w:rsidRPr="00EA6851">
        <w:rPr>
          <w:rFonts w:eastAsia="Calibri" w:cs="Times New Roman"/>
          <w:szCs w:val="24"/>
        </w:rPr>
        <w:t>.</w:t>
      </w:r>
    </w:p>
    <w:p w:rsidR="00253452" w:rsidRPr="00EA6851" w:rsidRDefault="00894468" w:rsidP="00253452">
      <w:pPr>
        <w:rPr>
          <w:rFonts w:eastAsia="Times New Roman" w:cs="Times New Roman"/>
          <w:szCs w:val="24"/>
          <w:lang w:eastAsia="zh-CN"/>
        </w:rPr>
      </w:pPr>
      <w:r w:rsidRPr="00EA6851">
        <w:rPr>
          <w:rFonts w:eastAsia="Times New Roman" w:cs="Times New Roman"/>
          <w:szCs w:val="24"/>
          <w:lang w:eastAsia="zh-CN"/>
        </w:rPr>
        <w:t xml:space="preserve">По отношение на </w:t>
      </w:r>
      <w:r w:rsidRPr="00EA6851">
        <w:rPr>
          <w:rFonts w:eastAsia="Times New Roman" w:cs="Times New Roman"/>
          <w:b/>
          <w:szCs w:val="24"/>
          <w:lang w:eastAsia="zh-CN"/>
        </w:rPr>
        <w:t>политиката по доходите</w:t>
      </w:r>
      <w:r w:rsidRPr="00EA6851">
        <w:rPr>
          <w:rFonts w:eastAsia="Times New Roman" w:cs="Times New Roman"/>
          <w:szCs w:val="24"/>
          <w:lang w:eastAsia="zh-CN"/>
        </w:rPr>
        <w:t xml:space="preserve"> в бюджета за </w:t>
      </w:r>
      <w:r w:rsidR="00253452" w:rsidRPr="00EA6851">
        <w:rPr>
          <w:rFonts w:eastAsia="Times New Roman" w:cs="Times New Roman"/>
          <w:szCs w:val="24"/>
          <w:lang w:eastAsia="zh-CN"/>
        </w:rPr>
        <w:t xml:space="preserve">2024 г. е отразено увеличението на размера на минималната работна заплата от 1 януари 2024 г. - от 780 лв. на 933 лв., като ефектите от размера на прогнозната минимална работна заплата за 2025 г. и 2026 г. са разчетени в индикативен размер, в съответствие с </w:t>
      </w:r>
      <w:r w:rsidR="002A6E59" w:rsidRPr="00EA6851">
        <w:rPr>
          <w:rFonts w:eastAsia="Times New Roman" w:cs="Times New Roman"/>
          <w:szCs w:val="24"/>
          <w:lang w:eastAsia="zh-CN"/>
        </w:rPr>
        <w:t xml:space="preserve">разпоредбите на </w:t>
      </w:r>
      <w:r w:rsidR="00253452" w:rsidRPr="00EA6851">
        <w:rPr>
          <w:rFonts w:eastAsia="Times New Roman" w:cs="Times New Roman"/>
          <w:szCs w:val="24"/>
          <w:lang w:eastAsia="zh-CN"/>
        </w:rPr>
        <w:t>чл. 244 от Кодекса на труда.</w:t>
      </w:r>
    </w:p>
    <w:p w:rsidR="00253452" w:rsidRPr="00EA6851" w:rsidRDefault="00253452" w:rsidP="00253452">
      <w:pPr>
        <w:rPr>
          <w:rFonts w:eastAsia="Times New Roman" w:cs="Times New Roman"/>
          <w:szCs w:val="24"/>
          <w:lang w:eastAsia="zh-CN"/>
        </w:rPr>
      </w:pPr>
      <w:r w:rsidRPr="00EA6851">
        <w:rPr>
          <w:rFonts w:eastAsia="Times New Roman" w:cs="Times New Roman"/>
          <w:szCs w:val="24"/>
          <w:lang w:eastAsia="zh-CN"/>
        </w:rPr>
        <w:t>За 2024 г. е разчетено увеличение на средствата за заплати и възнаграждения на персонала за изборните длъжности и за заетите в системата на съдебната власт, за които законодателно е регламентиран механизъм за формиране на възнагражденията.</w:t>
      </w:r>
    </w:p>
    <w:p w:rsidR="00253452" w:rsidRDefault="00253452" w:rsidP="00894468">
      <w:pPr>
        <w:rPr>
          <w:rFonts w:eastAsia="Times New Roman" w:cs="Times New Roman"/>
          <w:szCs w:val="24"/>
          <w:lang w:eastAsia="zh-CN"/>
        </w:rPr>
      </w:pPr>
      <w:r w:rsidRPr="00EA6851">
        <w:rPr>
          <w:rFonts w:eastAsia="Times New Roman" w:cs="Times New Roman"/>
          <w:szCs w:val="24"/>
          <w:lang w:eastAsia="zh-CN"/>
        </w:rPr>
        <w:t>Осигурени са в целогодишен размер за 2024 г. и следващите години средства в резултат от направени увеличения на разходите за персонал през 2023 г. на отделни разпоредители с бюджет.</w:t>
      </w:r>
    </w:p>
    <w:p w:rsidR="00EB28A6" w:rsidRDefault="008E25C8" w:rsidP="00894468">
      <w:pPr>
        <w:rPr>
          <w:rFonts w:eastAsia="Times New Roman" w:cs="Times New Roman"/>
          <w:szCs w:val="24"/>
          <w:lang w:eastAsia="zh-CN"/>
        </w:rPr>
      </w:pPr>
      <w:r w:rsidRPr="008E25C8">
        <w:rPr>
          <w:rFonts w:eastAsia="Times New Roman" w:cs="Times New Roman"/>
          <w:szCs w:val="24"/>
          <w:lang w:eastAsia="zh-CN"/>
        </w:rPr>
        <w:t>За преодоляване на диспропорциите във възнагражденията на персонала в бюджетните организации (за изглаждане на наблюдавани значителни дисбаланси/неравенства в нивото на заплащане на едни и същи длъжности в различни административни звена и структури в секторите, предоставящи публични услуги), включително и за увеличаване на възнагражденията на персонала за 2024 г., без структури, за които възнагражденията се определят по механизъм, са предвидени допълнителни средства в общ размер на 375,0 млн. лв.</w:t>
      </w:r>
      <w:r w:rsidR="00032AFC">
        <w:rPr>
          <w:rFonts w:eastAsia="Times New Roman" w:cs="Times New Roman"/>
          <w:szCs w:val="24"/>
          <w:lang w:eastAsia="zh-CN"/>
        </w:rPr>
        <w:t xml:space="preserve">, </w:t>
      </w:r>
      <w:r w:rsidRPr="008E25C8">
        <w:rPr>
          <w:rFonts w:eastAsia="Times New Roman" w:cs="Times New Roman"/>
          <w:szCs w:val="24"/>
          <w:lang w:eastAsia="zh-CN"/>
        </w:rPr>
        <w:t>в т.ч. 32,0 млн. лв. за  общинска администрация - държавни дейности, като за целта се предвижда средствата да бъдат разпределяни съобразно ред и условия, определени с акт на Министерския съвет.</w:t>
      </w:r>
      <w:r w:rsidR="00724E76" w:rsidRPr="00724E76">
        <w:rPr>
          <w:rFonts w:eastAsia="Times New Roman" w:cs="Times New Roman"/>
          <w:szCs w:val="24"/>
          <w:lang w:eastAsia="zh-CN"/>
        </w:rPr>
        <w:t xml:space="preserve"> В рамките на определения общ ресурс за увеличаване на възнагражденията на персонала за 2024 г. са предвидени и средства за увеличаване на възнагражденията на академичния състав, в т.ч. 39,0 млн. лв. за държавните висши училища, 8,0 млн. лв. за Българската академия на науките и 3,0 млн. лв. за Селскостопанската академия.</w:t>
      </w:r>
    </w:p>
    <w:p w:rsidR="00894468" w:rsidRPr="00EA6851" w:rsidRDefault="00894468" w:rsidP="00894468">
      <w:pPr>
        <w:rPr>
          <w:rFonts w:eastAsia="Times New Roman" w:cs="Times New Roman"/>
          <w:szCs w:val="24"/>
          <w:lang w:eastAsia="zh-CN"/>
        </w:rPr>
      </w:pPr>
      <w:r w:rsidRPr="00EA6851">
        <w:rPr>
          <w:rFonts w:eastAsia="Times New Roman" w:cs="Times New Roman"/>
          <w:szCs w:val="24"/>
          <w:lang w:eastAsia="zh-CN"/>
        </w:rPr>
        <w:t xml:space="preserve">Предвидено е нарастване на средствата за </w:t>
      </w:r>
      <w:r w:rsidRPr="000E5B30">
        <w:rPr>
          <w:rFonts w:eastAsia="Times New Roman" w:cs="Times New Roman"/>
          <w:szCs w:val="24"/>
          <w:lang w:eastAsia="zh-CN"/>
        </w:rPr>
        <w:t>делегираните дейности</w:t>
      </w:r>
      <w:r w:rsidRPr="00EA6851">
        <w:rPr>
          <w:rFonts w:eastAsia="Times New Roman" w:cs="Times New Roman"/>
          <w:szCs w:val="24"/>
          <w:lang w:eastAsia="zh-CN"/>
        </w:rPr>
        <w:t xml:space="preserve"> в образованието във връзка с продължаване на политиката за увеличение на заплатите на педагогическите специалисти за достигане на средна работна заплата не по-малко от 125 на сто от средната работна заплата за страната с цел да се стимулира навлизането на млади и квалифицирани педагози в системата на предучилищното и училищното образование.</w:t>
      </w:r>
    </w:p>
    <w:p w:rsidR="000D6A98" w:rsidRPr="00EA6851" w:rsidRDefault="000D6A98" w:rsidP="000D6A98">
      <w:pPr>
        <w:rPr>
          <w:rFonts w:eastAsia="Times New Roman" w:cs="Times New Roman"/>
          <w:szCs w:val="24"/>
          <w:lang w:eastAsia="zh-CN"/>
        </w:rPr>
      </w:pPr>
      <w:r w:rsidRPr="00EA6851">
        <w:rPr>
          <w:rFonts w:eastAsia="Times New Roman" w:cs="Times New Roman"/>
          <w:szCs w:val="24"/>
          <w:lang w:eastAsia="zh-CN"/>
        </w:rPr>
        <w:t xml:space="preserve">За </w:t>
      </w:r>
      <w:r w:rsidRPr="00EA6851">
        <w:rPr>
          <w:rFonts w:eastAsia="Times New Roman" w:cs="Times New Roman"/>
          <w:b/>
          <w:szCs w:val="24"/>
          <w:lang w:eastAsia="zh-CN"/>
        </w:rPr>
        <w:t>предучилищното и училищното образование</w:t>
      </w:r>
      <w:r w:rsidRPr="00EA6851">
        <w:rPr>
          <w:rFonts w:eastAsia="Times New Roman" w:cs="Times New Roman"/>
          <w:szCs w:val="24"/>
          <w:lang w:eastAsia="zh-CN"/>
        </w:rPr>
        <w:t xml:space="preserve"> за 2024 г. са осигурени допълнителни средства, както следва:</w:t>
      </w:r>
    </w:p>
    <w:p w:rsidR="000D6A98" w:rsidRPr="00EA6851" w:rsidRDefault="000D6A98" w:rsidP="000D6A98">
      <w:pPr>
        <w:numPr>
          <w:ilvl w:val="0"/>
          <w:numId w:val="61"/>
        </w:numPr>
        <w:rPr>
          <w:rFonts w:eastAsia="Times New Roman" w:cs="Times New Roman"/>
          <w:szCs w:val="24"/>
          <w:lang w:eastAsia="zh-CN"/>
        </w:rPr>
      </w:pPr>
      <w:r w:rsidRPr="00EA6851">
        <w:rPr>
          <w:rFonts w:eastAsia="Times New Roman" w:cs="Times New Roman"/>
          <w:szCs w:val="24"/>
          <w:lang w:eastAsia="zh-CN"/>
        </w:rPr>
        <w:t xml:space="preserve">289,9 млн. лв. за предвиденото нарастване на средствата за делегираните дейности в образованието </w:t>
      </w:r>
      <w:r w:rsidR="00C32536" w:rsidRPr="00EA6851">
        <w:rPr>
          <w:rFonts w:eastAsia="Times New Roman" w:cs="Times New Roman"/>
          <w:szCs w:val="24"/>
          <w:lang w:eastAsia="zh-CN"/>
        </w:rPr>
        <w:t xml:space="preserve">през 2024 г. </w:t>
      </w:r>
      <w:r w:rsidRPr="00EA6851">
        <w:rPr>
          <w:rFonts w:eastAsia="Times New Roman" w:cs="Times New Roman"/>
          <w:szCs w:val="24"/>
          <w:lang w:eastAsia="zh-CN"/>
        </w:rPr>
        <w:t xml:space="preserve">във връзка с продължаване на политиката за увеличение на заплатите на педагогическите специалисти за достигане на средна работна заплата не по-малко от 125 на сто от средната работна заплата за страната </w:t>
      </w:r>
      <w:r w:rsidR="00C32536" w:rsidRPr="00EA6851">
        <w:rPr>
          <w:rFonts w:eastAsia="Times New Roman" w:cs="Times New Roman"/>
          <w:szCs w:val="24"/>
          <w:lang w:eastAsia="zh-CN"/>
        </w:rPr>
        <w:t>за 2023</w:t>
      </w:r>
      <w:r w:rsidRPr="00EA6851">
        <w:rPr>
          <w:rFonts w:eastAsia="Times New Roman" w:cs="Times New Roman"/>
          <w:szCs w:val="24"/>
          <w:lang w:eastAsia="zh-CN"/>
        </w:rPr>
        <w:t xml:space="preserve"> г.; </w:t>
      </w:r>
    </w:p>
    <w:p w:rsidR="000D6A98" w:rsidRPr="00EA6851" w:rsidRDefault="000D6A98" w:rsidP="000D6A98">
      <w:pPr>
        <w:numPr>
          <w:ilvl w:val="0"/>
          <w:numId w:val="61"/>
        </w:numPr>
        <w:rPr>
          <w:rFonts w:eastAsia="Times New Roman" w:cs="Times New Roman"/>
          <w:szCs w:val="24"/>
          <w:lang w:eastAsia="zh-CN"/>
        </w:rPr>
      </w:pPr>
      <w:r w:rsidRPr="00EA6851">
        <w:rPr>
          <w:rFonts w:eastAsia="Times New Roman" w:cs="Times New Roman"/>
          <w:szCs w:val="24"/>
          <w:lang w:eastAsia="zh-CN"/>
        </w:rPr>
        <w:t>72,2 млн. лв. за осигуряване недостиг от средства, в резултат на  промяна на натуралните показатели и ефект от увеличение на стандарти от 01.10.2023 г., в целогодишен размер;</w:t>
      </w:r>
    </w:p>
    <w:p w:rsidR="000D6A98" w:rsidRPr="00EA6851" w:rsidRDefault="000D6A98" w:rsidP="000D6A98">
      <w:pPr>
        <w:numPr>
          <w:ilvl w:val="0"/>
          <w:numId w:val="61"/>
        </w:numPr>
        <w:rPr>
          <w:rFonts w:eastAsia="Times New Roman" w:cs="Times New Roman"/>
          <w:szCs w:val="24"/>
          <w:lang w:eastAsia="zh-CN"/>
        </w:rPr>
      </w:pPr>
      <w:r w:rsidRPr="00EA6851">
        <w:rPr>
          <w:rFonts w:eastAsia="Times New Roman" w:cs="Times New Roman"/>
          <w:szCs w:val="24"/>
          <w:lang w:eastAsia="zh-CN"/>
        </w:rPr>
        <w:t>93,3 млн. лв. за увеличение на разходите за храна и издръжка на децата и учениците в образователни институции;</w:t>
      </w:r>
    </w:p>
    <w:p w:rsidR="00EB28A6" w:rsidRDefault="00DD7B67" w:rsidP="00EB28A6">
      <w:pPr>
        <w:numPr>
          <w:ilvl w:val="0"/>
          <w:numId w:val="61"/>
        </w:numPr>
        <w:rPr>
          <w:rFonts w:eastAsia="Times New Roman" w:cs="Times New Roman"/>
          <w:szCs w:val="24"/>
          <w:lang w:eastAsia="zh-CN"/>
        </w:rPr>
      </w:pPr>
      <w:r w:rsidRPr="00EA6851">
        <w:rPr>
          <w:rFonts w:eastAsia="Times New Roman" w:cs="Times New Roman"/>
          <w:szCs w:val="24"/>
          <w:lang w:eastAsia="zh-CN"/>
        </w:rPr>
        <w:t xml:space="preserve">88,0 млн. лв. </w:t>
      </w:r>
      <w:r w:rsidR="000D6A98" w:rsidRPr="00EA6851">
        <w:rPr>
          <w:rFonts w:eastAsia="Times New Roman" w:cs="Times New Roman"/>
          <w:szCs w:val="24"/>
          <w:lang w:eastAsia="zh-CN"/>
        </w:rPr>
        <w:t>за нови учебници и учебни комплекти от I до VII клас и познавателни книжки за децата в детските градини и осигуряване на безплатни учебници до XII клас от учебната 2024/2025 г., в т.ч. 8,0 млн. лв. индексиране цените на учеб</w:t>
      </w:r>
      <w:r w:rsidR="00DE323D" w:rsidRPr="00EA6851">
        <w:rPr>
          <w:rFonts w:eastAsia="Times New Roman" w:cs="Times New Roman"/>
          <w:szCs w:val="24"/>
          <w:lang w:eastAsia="zh-CN"/>
        </w:rPr>
        <w:t>н</w:t>
      </w:r>
      <w:r w:rsidR="000D6A98" w:rsidRPr="00EA6851">
        <w:rPr>
          <w:rFonts w:eastAsia="Times New Roman" w:cs="Times New Roman"/>
          <w:szCs w:val="24"/>
          <w:lang w:eastAsia="zh-CN"/>
        </w:rPr>
        <w:t>иците с отчетената средногодишна инфлация за предходната година, съгласно информация от НСИ;</w:t>
      </w:r>
    </w:p>
    <w:p w:rsidR="000D6A98" w:rsidRPr="00EB28A6" w:rsidRDefault="00DD7B67" w:rsidP="00EB28A6">
      <w:pPr>
        <w:numPr>
          <w:ilvl w:val="0"/>
          <w:numId w:val="61"/>
        </w:numPr>
        <w:rPr>
          <w:rFonts w:eastAsia="Times New Roman" w:cs="Times New Roman"/>
          <w:szCs w:val="24"/>
          <w:lang w:eastAsia="zh-CN"/>
        </w:rPr>
      </w:pPr>
      <w:r w:rsidRPr="00EB28A6">
        <w:rPr>
          <w:rFonts w:eastAsia="Times New Roman" w:cs="Times New Roman"/>
          <w:szCs w:val="24"/>
          <w:lang w:eastAsia="zh-CN"/>
        </w:rPr>
        <w:t xml:space="preserve">80,0 млн. лв. </w:t>
      </w:r>
      <w:r w:rsidR="000D6A98" w:rsidRPr="00EB28A6">
        <w:rPr>
          <w:rFonts w:eastAsia="Times New Roman" w:cs="Times New Roman"/>
          <w:szCs w:val="24"/>
          <w:lang w:eastAsia="zh-CN"/>
        </w:rPr>
        <w:t>за Национална програма „Оптимизиране на вътрешната структура на персонала“ за покриване на недостига на средства за изплащане на обезщетения на персонала в системата на образованието;</w:t>
      </w:r>
    </w:p>
    <w:p w:rsidR="008E25C8" w:rsidRPr="008E25C8" w:rsidRDefault="008E25C8" w:rsidP="008E25C8">
      <w:pPr>
        <w:numPr>
          <w:ilvl w:val="0"/>
          <w:numId w:val="61"/>
        </w:numPr>
        <w:rPr>
          <w:rFonts w:eastAsia="Times New Roman" w:cs="Times New Roman"/>
          <w:szCs w:val="24"/>
          <w:lang w:eastAsia="zh-CN"/>
        </w:rPr>
      </w:pPr>
      <w:r w:rsidRPr="008E25C8">
        <w:rPr>
          <w:rFonts w:eastAsia="Times New Roman" w:cs="Times New Roman"/>
          <w:szCs w:val="24"/>
          <w:lang w:eastAsia="zh-CN"/>
        </w:rPr>
        <w:t>86,8 млн. лв. индикативен бюджет за изграждане, пристрояване, надстрояване и реконструкция на детски ясли, детски градини и училища, в т.ч. 46,8 млн. лв. по одобрена програма за периода 2020-2024 г. и 40,0 млн. лв. по одобрена нова програма, като за периода 2024-2026 г. общият размер на средствата по новата програма е 240,0 млн. лв.;</w:t>
      </w:r>
    </w:p>
    <w:p w:rsidR="008E25C8" w:rsidRPr="008E25C8" w:rsidRDefault="008E25C8" w:rsidP="008E25C8">
      <w:pPr>
        <w:numPr>
          <w:ilvl w:val="0"/>
          <w:numId w:val="61"/>
        </w:numPr>
        <w:rPr>
          <w:rFonts w:eastAsia="Times New Roman" w:cs="Times New Roman"/>
          <w:szCs w:val="24"/>
          <w:lang w:eastAsia="zh-CN"/>
        </w:rPr>
      </w:pPr>
      <w:r w:rsidRPr="008E25C8">
        <w:rPr>
          <w:rFonts w:eastAsia="Times New Roman" w:cs="Times New Roman"/>
          <w:szCs w:val="24"/>
          <w:lang w:eastAsia="zh-CN"/>
        </w:rPr>
        <w:t xml:space="preserve">50,0 млн. лв. индикативен бюджет за изграждане и основен ремонт на спортни площадки и физкултурни салони в държавните и общинските училища, като за периода 2024-2026 г. общия размер на средствата по програмата е 240,0 млн. лв.; </w:t>
      </w:r>
    </w:p>
    <w:p w:rsidR="00C32536" w:rsidRPr="00EA6851" w:rsidRDefault="00C32536" w:rsidP="00C32536">
      <w:pPr>
        <w:numPr>
          <w:ilvl w:val="0"/>
          <w:numId w:val="61"/>
        </w:numPr>
        <w:rPr>
          <w:rFonts w:eastAsia="Times New Roman" w:cs="Times New Roman"/>
          <w:szCs w:val="24"/>
          <w:lang w:eastAsia="zh-CN"/>
        </w:rPr>
      </w:pPr>
      <w:r w:rsidRPr="00EA6851">
        <w:rPr>
          <w:rFonts w:eastAsia="Times New Roman" w:cs="Times New Roman"/>
          <w:szCs w:val="24"/>
          <w:lang w:eastAsia="zh-CN"/>
        </w:rPr>
        <w:t>10,0 млн.</w:t>
      </w:r>
      <w:r w:rsidR="00F4157D" w:rsidRPr="00EA6851">
        <w:rPr>
          <w:rFonts w:eastAsia="Times New Roman" w:cs="Times New Roman"/>
          <w:szCs w:val="24"/>
          <w:lang w:eastAsia="zh-CN"/>
        </w:rPr>
        <w:t xml:space="preserve"> </w:t>
      </w:r>
      <w:r w:rsidRPr="00EA6851">
        <w:rPr>
          <w:rFonts w:eastAsia="Times New Roman" w:cs="Times New Roman"/>
          <w:szCs w:val="24"/>
          <w:lang w:eastAsia="zh-CN"/>
        </w:rPr>
        <w:t>лв. за зап</w:t>
      </w:r>
      <w:r w:rsidR="00DE323D" w:rsidRPr="00EA6851">
        <w:rPr>
          <w:rFonts w:eastAsia="Times New Roman" w:cs="Times New Roman"/>
          <w:szCs w:val="24"/>
          <w:lang w:eastAsia="zh-CN"/>
        </w:rPr>
        <w:t>а</w:t>
      </w:r>
      <w:r w:rsidRPr="00EA6851">
        <w:rPr>
          <w:rFonts w:eastAsia="Times New Roman" w:cs="Times New Roman"/>
          <w:szCs w:val="24"/>
          <w:lang w:eastAsia="zh-CN"/>
        </w:rPr>
        <w:t>зване размера и за продължаване политиката за компенсиране на разходите за отглеждане, възпитание и обучение на деца, които не са приети в детски градини и училища.</w:t>
      </w:r>
    </w:p>
    <w:p w:rsidR="000D6A98" w:rsidRPr="00EA6851" w:rsidRDefault="000D6A98" w:rsidP="000D6A98">
      <w:pPr>
        <w:rPr>
          <w:rFonts w:eastAsia="Times New Roman" w:cs="Times New Roman"/>
          <w:szCs w:val="24"/>
          <w:lang w:eastAsia="zh-CN"/>
        </w:rPr>
      </w:pPr>
      <w:r w:rsidRPr="00EA6851">
        <w:rPr>
          <w:rFonts w:eastAsia="Times New Roman" w:cs="Times New Roman"/>
          <w:szCs w:val="24"/>
          <w:lang w:eastAsia="zh-CN"/>
        </w:rPr>
        <w:t>За реализиране на Национална програма за повишаване на интереса и увеличаване на извънкласните дейности, гарантирани за всеки ученик чрез допълнителна подкрепа за спорт, отдих и култура за осигуряване на широк достъп до тях и при изявени високи постижения са предвидени разходи по централния бюджет в размер на 25,3 млн. лв.</w:t>
      </w:r>
    </w:p>
    <w:p w:rsidR="000D6A98" w:rsidRPr="00EA6851" w:rsidRDefault="000D6A98" w:rsidP="000D6A98">
      <w:pPr>
        <w:rPr>
          <w:rFonts w:eastAsia="Times New Roman" w:cs="Times New Roman"/>
          <w:szCs w:val="24"/>
          <w:lang w:eastAsia="zh-CN"/>
        </w:rPr>
      </w:pPr>
      <w:r w:rsidRPr="00EA6851">
        <w:rPr>
          <w:rFonts w:eastAsia="Times New Roman" w:cs="Times New Roman"/>
          <w:szCs w:val="24"/>
          <w:lang w:eastAsia="zh-CN"/>
        </w:rPr>
        <w:t xml:space="preserve">За осигуряване на политиките за устойчиво развитие и разширяване на достъпа до </w:t>
      </w:r>
      <w:r w:rsidRPr="00EA6851">
        <w:rPr>
          <w:rFonts w:eastAsia="Times New Roman" w:cs="Times New Roman"/>
          <w:b/>
          <w:szCs w:val="24"/>
          <w:lang w:eastAsia="zh-CN"/>
        </w:rPr>
        <w:t>висше образование</w:t>
      </w:r>
      <w:r w:rsidRPr="00EA6851">
        <w:rPr>
          <w:rFonts w:eastAsia="Times New Roman" w:cs="Times New Roman"/>
          <w:szCs w:val="24"/>
          <w:lang w:eastAsia="zh-CN"/>
        </w:rPr>
        <w:t xml:space="preserve"> </w:t>
      </w:r>
      <w:r w:rsidR="000F2B47" w:rsidRPr="00EB28A6">
        <w:rPr>
          <w:rFonts w:eastAsia="Times New Roman" w:cs="Times New Roman"/>
          <w:b/>
          <w:szCs w:val="24"/>
          <w:lang w:eastAsia="zh-CN"/>
        </w:rPr>
        <w:t>и развитие на науката</w:t>
      </w:r>
      <w:r w:rsidR="000F2B47" w:rsidRPr="000F2B47">
        <w:rPr>
          <w:rFonts w:eastAsia="Times New Roman" w:cs="Times New Roman"/>
          <w:szCs w:val="24"/>
          <w:lang w:eastAsia="zh-CN"/>
        </w:rPr>
        <w:t xml:space="preserve"> </w:t>
      </w:r>
      <w:r w:rsidRPr="00EA6851">
        <w:rPr>
          <w:rFonts w:eastAsia="Times New Roman" w:cs="Times New Roman"/>
          <w:szCs w:val="24"/>
          <w:lang w:eastAsia="zh-CN"/>
        </w:rPr>
        <w:t>за 2024 г. са осигурени допълнителни средства, разпределени както следва:</w:t>
      </w:r>
    </w:p>
    <w:p w:rsidR="000D6A98" w:rsidRPr="00EA6851" w:rsidRDefault="000D6A98" w:rsidP="000D6A98">
      <w:pPr>
        <w:numPr>
          <w:ilvl w:val="0"/>
          <w:numId w:val="16"/>
        </w:numPr>
        <w:rPr>
          <w:rFonts w:eastAsia="Times New Roman" w:cs="Times New Roman"/>
          <w:szCs w:val="24"/>
          <w:lang w:eastAsia="zh-CN"/>
        </w:rPr>
      </w:pPr>
      <w:r w:rsidRPr="00EA6851">
        <w:rPr>
          <w:rFonts w:eastAsia="Times New Roman" w:cs="Times New Roman"/>
          <w:szCs w:val="24"/>
          <w:lang w:eastAsia="zh-CN"/>
        </w:rPr>
        <w:t>38</w:t>
      </w:r>
      <w:r w:rsidR="00DD7B67" w:rsidRPr="00EA6851">
        <w:rPr>
          <w:rFonts w:eastAsia="Times New Roman" w:cs="Times New Roman"/>
          <w:szCs w:val="24"/>
          <w:lang w:eastAsia="zh-CN"/>
        </w:rPr>
        <w:t>,4 млн. лв.</w:t>
      </w:r>
      <w:r w:rsidRPr="00EA6851">
        <w:rPr>
          <w:rFonts w:eastAsia="Times New Roman" w:cs="Times New Roman"/>
          <w:szCs w:val="24"/>
          <w:lang w:eastAsia="zh-CN"/>
        </w:rPr>
        <w:t xml:space="preserve"> за осигуряване увеличението на възнагражденията на академичния състав от 2023 г. в целогодишен размер; </w:t>
      </w:r>
    </w:p>
    <w:p w:rsidR="000D6A98" w:rsidRPr="00EA6851" w:rsidRDefault="000D6A98" w:rsidP="000D6A98">
      <w:pPr>
        <w:numPr>
          <w:ilvl w:val="0"/>
          <w:numId w:val="15"/>
        </w:numPr>
        <w:rPr>
          <w:rFonts w:eastAsia="Times New Roman" w:cs="Times New Roman"/>
          <w:b/>
          <w:szCs w:val="24"/>
          <w:lang w:eastAsia="zh-CN"/>
        </w:rPr>
      </w:pPr>
      <w:r w:rsidRPr="00EA6851">
        <w:rPr>
          <w:rFonts w:eastAsia="Times New Roman" w:cs="Times New Roman"/>
          <w:szCs w:val="24"/>
          <w:lang w:eastAsia="zh-CN"/>
        </w:rPr>
        <w:t>6</w:t>
      </w:r>
      <w:r w:rsidR="00DD7B67" w:rsidRPr="00EA6851">
        <w:rPr>
          <w:rFonts w:eastAsia="Times New Roman" w:cs="Times New Roman"/>
          <w:szCs w:val="24"/>
          <w:lang w:eastAsia="zh-CN"/>
        </w:rPr>
        <w:t>,0 млн. лв.</w:t>
      </w:r>
      <w:r w:rsidRPr="00EA6851">
        <w:rPr>
          <w:rFonts w:eastAsia="Times New Roman" w:cs="Times New Roman"/>
          <w:szCs w:val="24"/>
          <w:lang w:eastAsia="zh-CN"/>
        </w:rPr>
        <w:t xml:space="preserve"> за осигуряване на актуализирания размер на стипендиите на студентите от 1 юли 2023 г.;</w:t>
      </w:r>
    </w:p>
    <w:p w:rsidR="000D6A98" w:rsidRPr="008E25C8" w:rsidRDefault="000D6A98" w:rsidP="000D6A98">
      <w:pPr>
        <w:numPr>
          <w:ilvl w:val="0"/>
          <w:numId w:val="15"/>
        </w:numPr>
        <w:rPr>
          <w:rFonts w:eastAsia="Times New Roman" w:cs="Times New Roman"/>
          <w:szCs w:val="24"/>
          <w:lang w:eastAsia="zh-CN"/>
        </w:rPr>
      </w:pPr>
      <w:r w:rsidRPr="00EA6851">
        <w:rPr>
          <w:rFonts w:eastAsia="Times New Roman" w:cs="Times New Roman"/>
          <w:szCs w:val="24"/>
          <w:lang w:eastAsia="zh-CN"/>
        </w:rPr>
        <w:t xml:space="preserve">4,5 </w:t>
      </w:r>
      <w:r w:rsidR="00DD7B67" w:rsidRPr="00EA6851">
        <w:rPr>
          <w:rFonts w:eastAsia="Times New Roman" w:cs="Times New Roman"/>
          <w:szCs w:val="24"/>
          <w:lang w:eastAsia="zh-CN"/>
        </w:rPr>
        <w:t>млн. лв.</w:t>
      </w:r>
      <w:r w:rsidRPr="00EA6851">
        <w:rPr>
          <w:rFonts w:eastAsia="Times New Roman" w:cs="Times New Roman"/>
          <w:szCs w:val="24"/>
          <w:lang w:eastAsia="zh-CN"/>
        </w:rPr>
        <w:t xml:space="preserve"> за увеличение на размер</w:t>
      </w:r>
      <w:r w:rsidR="00D07B93" w:rsidRPr="00EA6851">
        <w:rPr>
          <w:rFonts w:eastAsia="Times New Roman" w:cs="Times New Roman"/>
          <w:szCs w:val="24"/>
          <w:lang w:eastAsia="zh-CN"/>
        </w:rPr>
        <w:t>а</w:t>
      </w:r>
      <w:r w:rsidRPr="00EA6851">
        <w:rPr>
          <w:rFonts w:eastAsia="Times New Roman" w:cs="Times New Roman"/>
          <w:szCs w:val="24"/>
          <w:lang w:eastAsia="zh-CN"/>
        </w:rPr>
        <w:t xml:space="preserve"> на средствата за храноден и леглоден за „Студентски столове и общежития“ АД и за студентските столове и общежития към държавните висши училища;</w:t>
      </w:r>
    </w:p>
    <w:p w:rsidR="008E25C8" w:rsidRPr="008E25C8" w:rsidRDefault="008E25C8" w:rsidP="008E25C8">
      <w:pPr>
        <w:numPr>
          <w:ilvl w:val="0"/>
          <w:numId w:val="15"/>
        </w:numPr>
        <w:rPr>
          <w:rFonts w:eastAsia="Times New Roman" w:cs="Times New Roman"/>
          <w:szCs w:val="24"/>
          <w:lang w:eastAsia="zh-CN"/>
        </w:rPr>
      </w:pPr>
      <w:r w:rsidRPr="008E25C8">
        <w:rPr>
          <w:rFonts w:eastAsia="Times New Roman" w:cs="Times New Roman"/>
          <w:szCs w:val="24"/>
          <w:lang w:eastAsia="zh-CN"/>
        </w:rPr>
        <w:t>50,0 млн. лв. индикативен бюджет за саниране, ремонт и обзавеждане на студентски общежития, като за периода 2024-2026 г. общият размер на средствата по програмата е 100,0 млн. лв.;</w:t>
      </w:r>
    </w:p>
    <w:p w:rsidR="008E25C8" w:rsidRPr="008E25C8" w:rsidRDefault="008E25C8" w:rsidP="008E25C8">
      <w:pPr>
        <w:numPr>
          <w:ilvl w:val="0"/>
          <w:numId w:val="15"/>
        </w:numPr>
        <w:rPr>
          <w:rFonts w:eastAsia="Times New Roman" w:cs="Times New Roman"/>
          <w:szCs w:val="24"/>
          <w:lang w:eastAsia="zh-CN"/>
        </w:rPr>
      </w:pPr>
      <w:r w:rsidRPr="008E25C8">
        <w:rPr>
          <w:rFonts w:eastAsia="Times New Roman" w:cs="Times New Roman"/>
          <w:szCs w:val="24"/>
          <w:lang w:eastAsia="zh-CN"/>
        </w:rPr>
        <w:t xml:space="preserve">100,0 млн. лв. индикативен бюджет за финансиране изграждането на изчислителен </w:t>
      </w:r>
      <w:r w:rsidR="00B74368">
        <w:rPr>
          <w:rFonts w:eastAsia="Times New Roman" w:cs="Times New Roman"/>
          <w:szCs w:val="24"/>
          <w:lang w:eastAsia="zh-CN"/>
        </w:rPr>
        <w:t>център за изкуствен интелект</w:t>
      </w:r>
      <w:r w:rsidRPr="008E25C8">
        <w:rPr>
          <w:rFonts w:eastAsia="Times New Roman" w:cs="Times New Roman"/>
          <w:szCs w:val="24"/>
          <w:lang w:eastAsia="zh-CN"/>
        </w:rPr>
        <w:t xml:space="preserve"> от Института за научни изследвания в областта на компютърните науки към Софийски университет „Св. Климент Охридски“ (INSAIT), </w:t>
      </w:r>
      <w:r w:rsidR="00365D40">
        <w:rPr>
          <w:rFonts w:eastAsia="Times New Roman" w:cs="Times New Roman"/>
          <w:szCs w:val="24"/>
          <w:lang w:eastAsia="zh-CN"/>
        </w:rPr>
        <w:t xml:space="preserve">като </w:t>
      </w:r>
      <w:r w:rsidRPr="008E25C8">
        <w:rPr>
          <w:rFonts w:eastAsia="Times New Roman" w:cs="Times New Roman"/>
          <w:szCs w:val="24"/>
          <w:lang w:eastAsia="zh-CN"/>
        </w:rPr>
        <w:t>средства в същия размер са предвидени и за 2025 г. и 2026 г.</w:t>
      </w:r>
    </w:p>
    <w:p w:rsidR="000D6A98" w:rsidRPr="00EA6851" w:rsidRDefault="000D6A98" w:rsidP="00F55E78">
      <w:pPr>
        <w:rPr>
          <w:rFonts w:eastAsia="Times New Roman" w:cs="Times New Roman"/>
          <w:szCs w:val="24"/>
          <w:lang w:eastAsia="zh-CN"/>
        </w:rPr>
      </w:pPr>
      <w:r w:rsidRPr="00EA6851">
        <w:rPr>
          <w:rFonts w:eastAsia="Times New Roman" w:cs="Times New Roman"/>
          <w:b/>
          <w:bCs/>
          <w:szCs w:val="24"/>
          <w:lang w:eastAsia="zh-CN"/>
        </w:rPr>
        <w:t>Социална политика.</w:t>
      </w:r>
      <w:r w:rsidRPr="00EA6851">
        <w:rPr>
          <w:rFonts w:eastAsia="Times New Roman" w:cs="Times New Roman"/>
          <w:bCs/>
          <w:szCs w:val="24"/>
          <w:lang w:eastAsia="zh-CN"/>
        </w:rPr>
        <w:t xml:space="preserve"> По бюджета на Министерството на труда и социалната политика за 2024 г. за помощи и обезщетения са предвидени допълнителни разходи в размер на:</w:t>
      </w:r>
    </w:p>
    <w:p w:rsidR="000D6A98" w:rsidRPr="00EA6851" w:rsidRDefault="000D6A98" w:rsidP="000D6A98">
      <w:pPr>
        <w:numPr>
          <w:ilvl w:val="0"/>
          <w:numId w:val="16"/>
        </w:numPr>
        <w:rPr>
          <w:rFonts w:eastAsia="Times New Roman" w:cs="Times New Roman"/>
          <w:szCs w:val="24"/>
          <w:lang w:eastAsia="zh-CN"/>
        </w:rPr>
      </w:pPr>
      <w:r w:rsidRPr="00EA6851">
        <w:rPr>
          <w:rFonts w:eastAsia="Times New Roman" w:cs="Times New Roman"/>
          <w:szCs w:val="24"/>
          <w:lang w:eastAsia="zh-CN"/>
        </w:rPr>
        <w:t>104,3 млн. лв. за социални плащания във връзка с определения нов размер от 526 лв. на линията на бедност за 2024 г., в т. ч. за разходите за помощите по Закона за социално подпомагане – 75,6 млн. лв., допълнителни разходи при определяне на финансовата подкрепа по Закона за хората с увреждания – 27,6 млн. лв. и 1,1 млн. лв. за помощите по Закона за закрила на детето;</w:t>
      </w:r>
    </w:p>
    <w:p w:rsidR="000D6A98" w:rsidRPr="00EA6851" w:rsidRDefault="000D6A98" w:rsidP="000D6A98">
      <w:pPr>
        <w:numPr>
          <w:ilvl w:val="0"/>
          <w:numId w:val="16"/>
        </w:numPr>
        <w:rPr>
          <w:rFonts w:eastAsia="Times New Roman" w:cs="Times New Roman"/>
          <w:szCs w:val="24"/>
          <w:lang w:eastAsia="zh-CN"/>
        </w:rPr>
      </w:pPr>
      <w:r w:rsidRPr="00EA6851">
        <w:rPr>
          <w:rFonts w:eastAsia="Times New Roman" w:cs="Times New Roman"/>
          <w:szCs w:val="24"/>
          <w:lang w:eastAsia="zh-CN"/>
        </w:rPr>
        <w:t xml:space="preserve">230,3 млн. лв. във връзка с ефекта от промяна на МРЗ от 780 лв. на 933 лв., в т.ч.  224,6 млн. лв. при определяне възнагражденията на личните асистенти по Закона за личната помощ и 5,7 млн. лв. за възнаграждения за професионалните приемни семейства по Закона за закрила на детето; </w:t>
      </w:r>
    </w:p>
    <w:p w:rsidR="000D6A98" w:rsidRPr="00EA6851" w:rsidRDefault="000D6A98" w:rsidP="000D6A98">
      <w:pPr>
        <w:numPr>
          <w:ilvl w:val="0"/>
          <w:numId w:val="16"/>
        </w:numPr>
        <w:rPr>
          <w:rFonts w:eastAsia="Times New Roman" w:cs="Times New Roman"/>
          <w:szCs w:val="24"/>
          <w:lang w:eastAsia="zh-CN"/>
        </w:rPr>
      </w:pPr>
      <w:r w:rsidRPr="00EA6851">
        <w:rPr>
          <w:rFonts w:eastAsia="Times New Roman" w:cs="Times New Roman"/>
          <w:szCs w:val="24"/>
          <w:lang w:eastAsia="zh-CN"/>
        </w:rPr>
        <w:t>23,4 млн. лв. във връзка с целогодишното обезпечаване на въведената през 2023 г. еднократна помощ за учениците от втори, трети и четвърти клас без доходен тест, независимо от вида на училището по Закона за семейни помощи за деца.</w:t>
      </w:r>
    </w:p>
    <w:p w:rsidR="000D6A98" w:rsidRPr="00EA6851" w:rsidRDefault="000D6A98" w:rsidP="000D6A98">
      <w:pPr>
        <w:numPr>
          <w:ilvl w:val="0"/>
          <w:numId w:val="16"/>
        </w:numPr>
        <w:rPr>
          <w:rFonts w:eastAsia="Times New Roman" w:cs="Times New Roman"/>
          <w:szCs w:val="24"/>
          <w:lang w:eastAsia="zh-CN"/>
        </w:rPr>
      </w:pPr>
      <w:r w:rsidRPr="00EA6851">
        <w:rPr>
          <w:rFonts w:eastAsia="Times New Roman" w:cs="Times New Roman"/>
          <w:szCs w:val="24"/>
          <w:lang w:eastAsia="zh-CN"/>
        </w:rPr>
        <w:t>40,6 млн. лв. за увеличение на размерите на месечните помощи за отглеждане на дете с трайно увреждане по чл. 8д от Закона за семейни помощи за деца;</w:t>
      </w:r>
    </w:p>
    <w:p w:rsidR="000D6A98" w:rsidRPr="00EA6851" w:rsidRDefault="000D6A98" w:rsidP="000D6A98">
      <w:pPr>
        <w:numPr>
          <w:ilvl w:val="0"/>
          <w:numId w:val="16"/>
        </w:numPr>
        <w:rPr>
          <w:rFonts w:eastAsia="Times New Roman" w:cs="Times New Roman"/>
          <w:szCs w:val="24"/>
          <w:lang w:eastAsia="zh-CN"/>
        </w:rPr>
      </w:pPr>
      <w:r w:rsidRPr="00EA6851">
        <w:rPr>
          <w:rFonts w:eastAsia="Times New Roman" w:cs="Times New Roman"/>
          <w:szCs w:val="24"/>
          <w:lang w:eastAsia="zh-CN"/>
        </w:rPr>
        <w:t>12</w:t>
      </w:r>
      <w:r w:rsidR="00DD2CAA" w:rsidRPr="00EA6851">
        <w:rPr>
          <w:rFonts w:eastAsia="Times New Roman" w:cs="Times New Roman"/>
          <w:szCs w:val="24"/>
          <w:lang w:eastAsia="zh-CN"/>
        </w:rPr>
        <w:t>,</w:t>
      </w:r>
      <w:r w:rsidR="000F2B47">
        <w:rPr>
          <w:rFonts w:eastAsia="Times New Roman" w:cs="Times New Roman"/>
          <w:szCs w:val="24"/>
          <w:lang w:eastAsia="zh-CN"/>
        </w:rPr>
        <w:t>5</w:t>
      </w:r>
      <w:r w:rsidRPr="00EA6851">
        <w:rPr>
          <w:rFonts w:eastAsia="Times New Roman" w:cs="Times New Roman"/>
          <w:szCs w:val="24"/>
          <w:lang w:eastAsia="zh-CN"/>
        </w:rPr>
        <w:t xml:space="preserve"> млн. лв. за увеличение на размерите на еднократните помощи при бременност и раждане по Закона за семейни помощи за деца;</w:t>
      </w:r>
    </w:p>
    <w:p w:rsidR="00C32536" w:rsidRDefault="000D6A98" w:rsidP="000D6A98">
      <w:pPr>
        <w:numPr>
          <w:ilvl w:val="0"/>
          <w:numId w:val="16"/>
        </w:numPr>
        <w:rPr>
          <w:rFonts w:eastAsia="Times New Roman" w:cs="Times New Roman"/>
          <w:szCs w:val="24"/>
          <w:lang w:eastAsia="zh-CN"/>
        </w:rPr>
      </w:pPr>
      <w:r w:rsidRPr="00EA6851">
        <w:rPr>
          <w:rFonts w:eastAsia="Times New Roman" w:cs="Times New Roman"/>
          <w:szCs w:val="24"/>
          <w:lang w:eastAsia="zh-CN"/>
        </w:rPr>
        <w:t>15,0 млн. лв. допълнителн</w:t>
      </w:r>
      <w:r w:rsidR="002A6E59" w:rsidRPr="00EA6851">
        <w:rPr>
          <w:rFonts w:eastAsia="Times New Roman" w:cs="Times New Roman"/>
          <w:szCs w:val="24"/>
          <w:lang w:eastAsia="zh-CN"/>
        </w:rPr>
        <w:t>и</w:t>
      </w:r>
      <w:r w:rsidRPr="00EA6851">
        <w:rPr>
          <w:rFonts w:eastAsia="Times New Roman" w:cs="Times New Roman"/>
          <w:szCs w:val="24"/>
          <w:lang w:eastAsia="zh-CN"/>
        </w:rPr>
        <w:t xml:space="preserve"> средства за активна политика на пазара на труда</w:t>
      </w:r>
      <w:r w:rsidR="00C32536" w:rsidRPr="00EA6851">
        <w:rPr>
          <w:rFonts w:eastAsia="Times New Roman" w:cs="Times New Roman"/>
          <w:szCs w:val="24"/>
          <w:lang w:eastAsia="zh-CN"/>
        </w:rPr>
        <w:t>;</w:t>
      </w:r>
    </w:p>
    <w:p w:rsidR="000F2B47" w:rsidRPr="000F2B47" w:rsidRDefault="000F2B47" w:rsidP="000F2B47">
      <w:pPr>
        <w:pStyle w:val="ListParagraph"/>
        <w:numPr>
          <w:ilvl w:val="0"/>
          <w:numId w:val="16"/>
        </w:numPr>
        <w:rPr>
          <w:rFonts w:eastAsia="Times New Roman" w:cs="Times New Roman"/>
          <w:szCs w:val="24"/>
          <w:lang w:eastAsia="zh-CN"/>
        </w:rPr>
      </w:pPr>
      <w:r w:rsidRPr="006A049E">
        <w:rPr>
          <w:rFonts w:eastAsia="Times New Roman" w:cs="Times New Roman"/>
          <w:szCs w:val="24"/>
          <w:lang w:eastAsia="zh-CN"/>
        </w:rPr>
        <w:t>131,7 млн. лв. във връзка с ефекта от промяна на МРЗ от 780 лв. на 933 лв</w:t>
      </w:r>
      <w:r w:rsidR="00194A80">
        <w:rPr>
          <w:rFonts w:eastAsia="Times New Roman" w:cs="Times New Roman"/>
          <w:szCs w:val="24"/>
          <w:lang w:eastAsia="zh-CN"/>
        </w:rPr>
        <w:t>.</w:t>
      </w:r>
      <w:r w:rsidRPr="006A049E">
        <w:rPr>
          <w:rFonts w:eastAsia="Times New Roman" w:cs="Times New Roman"/>
          <w:szCs w:val="24"/>
          <w:lang w:eastAsia="zh-CN"/>
        </w:rPr>
        <w:t>, при съобразяване с разпоредбите на Наредбата за стандартите за заплащане на труда на служителите, осъществяващи дейности по предоставяне на социални услуги, които се финансират от държавния бюджет, приета с ПМС № 343 от 2020 г.;</w:t>
      </w:r>
    </w:p>
    <w:p w:rsidR="00C32536" w:rsidRPr="00EA6851" w:rsidRDefault="00C32536" w:rsidP="00C32536">
      <w:pPr>
        <w:numPr>
          <w:ilvl w:val="0"/>
          <w:numId w:val="16"/>
        </w:numPr>
        <w:rPr>
          <w:rFonts w:eastAsia="Times New Roman" w:cs="Times New Roman"/>
          <w:szCs w:val="24"/>
          <w:lang w:eastAsia="zh-CN"/>
        </w:rPr>
      </w:pPr>
      <w:r w:rsidRPr="00EA6851">
        <w:rPr>
          <w:rFonts w:eastAsia="Times New Roman" w:cs="Times New Roman"/>
          <w:szCs w:val="24"/>
          <w:lang w:eastAsia="zh-CN"/>
        </w:rPr>
        <w:t xml:space="preserve">81,7 млн. лв. за разкриване на нови социални услуги и осигуряване на увеличения капацитет на съществуващи такива </w:t>
      </w:r>
      <w:r w:rsidR="001B5C45" w:rsidRPr="00EA6851">
        <w:rPr>
          <w:rFonts w:eastAsia="Times New Roman" w:cs="Times New Roman"/>
          <w:szCs w:val="24"/>
          <w:lang w:eastAsia="zh-CN"/>
        </w:rPr>
        <w:t>-</w:t>
      </w:r>
      <w:r w:rsidRPr="00EA6851">
        <w:rPr>
          <w:rFonts w:eastAsia="Times New Roman" w:cs="Times New Roman"/>
          <w:szCs w:val="24"/>
          <w:lang w:eastAsia="zh-CN"/>
        </w:rPr>
        <w:t xml:space="preserve"> чрез бюджетите на общините;</w:t>
      </w:r>
    </w:p>
    <w:p w:rsidR="00C32536" w:rsidRPr="00EA6851" w:rsidRDefault="00C32536" w:rsidP="00C32536">
      <w:pPr>
        <w:numPr>
          <w:ilvl w:val="0"/>
          <w:numId w:val="16"/>
        </w:numPr>
        <w:rPr>
          <w:rFonts w:eastAsia="Times New Roman" w:cs="Times New Roman"/>
          <w:szCs w:val="24"/>
          <w:lang w:eastAsia="zh-CN"/>
        </w:rPr>
      </w:pPr>
      <w:r w:rsidRPr="00EA6851">
        <w:rPr>
          <w:rFonts w:eastAsia="Times New Roman" w:cs="Times New Roman"/>
          <w:szCs w:val="24"/>
          <w:lang w:eastAsia="zh-CN"/>
        </w:rPr>
        <w:t>42,8 млн. лв. за увеличение на издръжката на специализираните институции за предоставяне на социални услуги - чрез бюджетите на общините;</w:t>
      </w:r>
    </w:p>
    <w:p w:rsidR="000D6A98" w:rsidRPr="00EA6851" w:rsidRDefault="00C32536" w:rsidP="00C32536">
      <w:pPr>
        <w:numPr>
          <w:ilvl w:val="0"/>
          <w:numId w:val="16"/>
        </w:numPr>
        <w:rPr>
          <w:rFonts w:eastAsia="Times New Roman" w:cs="Times New Roman"/>
          <w:szCs w:val="24"/>
          <w:lang w:eastAsia="zh-CN"/>
        </w:rPr>
      </w:pPr>
      <w:r w:rsidRPr="00EA6851">
        <w:rPr>
          <w:rFonts w:eastAsia="Times New Roman" w:cs="Times New Roman"/>
          <w:szCs w:val="24"/>
          <w:lang w:eastAsia="zh-CN"/>
        </w:rPr>
        <w:t>1,7 млн. лв. за осигуряване в годишен размер на месечната помощ от 90 лв. на ученик, настанен в социална услуга - чрез бюджетите на общините.</w:t>
      </w:r>
    </w:p>
    <w:p w:rsidR="006A285D" w:rsidRPr="006A285D" w:rsidRDefault="006A285D" w:rsidP="000D6A98">
      <w:pPr>
        <w:rPr>
          <w:rFonts w:eastAsia="Times New Roman" w:cs="Times New Roman"/>
          <w:szCs w:val="24"/>
          <w:lang w:eastAsia="zh-CN"/>
        </w:rPr>
      </w:pPr>
      <w:r w:rsidRPr="00665E9C">
        <w:rPr>
          <w:rFonts w:eastAsia="Times New Roman" w:cs="Times New Roman"/>
          <w:szCs w:val="24"/>
          <w:lang w:eastAsia="zh-CN"/>
        </w:rPr>
        <w:t>Съгласно постигнато съгласие на заседанието на Националния съвет за тристранно сътрудничество от 1 януари 2024 г. се увеличава максималният дневен размер на паричното обезщетение за безработица от 85,71 лв. на 107,14 лв.</w:t>
      </w:r>
    </w:p>
    <w:p w:rsidR="000D6A98" w:rsidRPr="00EA6851" w:rsidRDefault="000D6A98" w:rsidP="000D6A98">
      <w:pPr>
        <w:rPr>
          <w:rFonts w:eastAsia="Times New Roman" w:cs="Times New Roman"/>
          <w:szCs w:val="24"/>
          <w:lang w:eastAsia="zh-CN"/>
        </w:rPr>
      </w:pPr>
      <w:r w:rsidRPr="00EA6851">
        <w:rPr>
          <w:rFonts w:eastAsia="Times New Roman" w:cs="Times New Roman"/>
          <w:b/>
          <w:szCs w:val="24"/>
          <w:lang w:eastAsia="zh-CN"/>
        </w:rPr>
        <w:t>Политика в областта на здравеопазването</w:t>
      </w:r>
      <w:r w:rsidRPr="00EA6851">
        <w:rPr>
          <w:rFonts w:eastAsia="Times New Roman" w:cs="Times New Roman"/>
          <w:szCs w:val="24"/>
          <w:lang w:eastAsia="zh-CN"/>
        </w:rPr>
        <w:t xml:space="preserve">. Политиката в областта на здравеопазването е насочена към подобряване на здравното </w:t>
      </w:r>
      <w:r w:rsidR="002A6E59" w:rsidRPr="00EA6851">
        <w:rPr>
          <w:rFonts w:eastAsia="Times New Roman" w:cs="Times New Roman"/>
          <w:szCs w:val="24"/>
          <w:lang w:eastAsia="zh-CN"/>
        </w:rPr>
        <w:t>състояние</w:t>
      </w:r>
      <w:r w:rsidRPr="00EA6851">
        <w:rPr>
          <w:rFonts w:eastAsia="Times New Roman" w:cs="Times New Roman"/>
          <w:szCs w:val="24"/>
          <w:lang w:eastAsia="zh-CN"/>
        </w:rPr>
        <w:t xml:space="preserve"> и качеството на живот на българските граждани и намаляване на здравните неравенства чрез подкрепа за специфични дейности в областта на профилактиката, диагностиката и лечението на заразни и незаразни болести, както и осигуряване потребностите от качествени, достъпни, доказани в терапевтичната практика и стойностно-ефективни лекарствени продукти, оказващи положително влияние върху здравния статус, които в дългосрочен план да доведат до подобряване на здравните </w:t>
      </w:r>
      <w:r w:rsidR="002A6E59" w:rsidRPr="00EA6851">
        <w:rPr>
          <w:rFonts w:eastAsia="Times New Roman" w:cs="Times New Roman"/>
          <w:szCs w:val="24"/>
          <w:lang w:eastAsia="zh-CN"/>
        </w:rPr>
        <w:t>показатели</w:t>
      </w:r>
      <w:r w:rsidRPr="00EA6851">
        <w:rPr>
          <w:rFonts w:eastAsia="Times New Roman" w:cs="Times New Roman"/>
          <w:szCs w:val="24"/>
          <w:lang w:eastAsia="zh-CN"/>
        </w:rPr>
        <w:t xml:space="preserve"> на населението. </w:t>
      </w:r>
    </w:p>
    <w:p w:rsidR="000D6A98" w:rsidRPr="00EA6851" w:rsidRDefault="000D6A98" w:rsidP="000D6A98">
      <w:pPr>
        <w:rPr>
          <w:rFonts w:eastAsia="Times New Roman" w:cs="Times New Roman"/>
          <w:szCs w:val="24"/>
          <w:lang w:eastAsia="zh-CN"/>
        </w:rPr>
      </w:pPr>
      <w:r w:rsidRPr="00EA6851">
        <w:rPr>
          <w:rFonts w:eastAsia="Times New Roman" w:cs="Times New Roman"/>
          <w:szCs w:val="24"/>
          <w:lang w:eastAsia="zh-CN"/>
        </w:rPr>
        <w:t>За периода 2024-2026 г. за финансово осигуряване на краткосрочни и средносрочни стратегически мерки</w:t>
      </w:r>
      <w:r w:rsidR="00DD2CAA" w:rsidRPr="00EA6851">
        <w:rPr>
          <w:rFonts w:eastAsia="Times New Roman" w:cs="Times New Roman"/>
          <w:szCs w:val="24"/>
          <w:lang w:eastAsia="zh-CN"/>
        </w:rPr>
        <w:t xml:space="preserve"> в областта на здравеопазването</w:t>
      </w:r>
      <w:r w:rsidRPr="00EA6851">
        <w:rPr>
          <w:rFonts w:eastAsia="Times New Roman" w:cs="Times New Roman"/>
          <w:szCs w:val="24"/>
          <w:lang w:eastAsia="zh-CN"/>
        </w:rPr>
        <w:t xml:space="preserve"> са предвидени допълнителни средства, както следва:</w:t>
      </w:r>
    </w:p>
    <w:p w:rsidR="000D6A98" w:rsidRPr="00EA6851" w:rsidRDefault="00614CA1" w:rsidP="000D6A98">
      <w:pPr>
        <w:numPr>
          <w:ilvl w:val="0"/>
          <w:numId w:val="62"/>
        </w:numPr>
        <w:rPr>
          <w:rFonts w:eastAsia="Times New Roman" w:cs="Times New Roman"/>
          <w:szCs w:val="24"/>
          <w:lang w:eastAsia="zh-CN"/>
        </w:rPr>
      </w:pPr>
      <w:r w:rsidRPr="00EA6851">
        <w:rPr>
          <w:rFonts w:eastAsia="Times New Roman" w:cs="Times New Roman"/>
          <w:szCs w:val="24"/>
          <w:lang w:eastAsia="zh-CN"/>
        </w:rPr>
        <w:t>68,8 млн. лв. за</w:t>
      </w:r>
      <w:r w:rsidR="000D6A98" w:rsidRPr="00EA6851">
        <w:rPr>
          <w:rFonts w:eastAsia="Times New Roman" w:cs="Times New Roman"/>
          <w:szCs w:val="24"/>
          <w:lang w:eastAsia="zh-CN"/>
        </w:rPr>
        <w:t xml:space="preserve"> осигуряване в годишен размер на увеличените възнаграждения на персонала в системата на Министерството на здравеопазването – за Центровете за спешна медицинска помощ и за Регионалните здравни инспекции, считано от 1 август 2023 г.</w:t>
      </w:r>
      <w:r w:rsidR="00CF7E10" w:rsidRPr="00EA6851">
        <w:rPr>
          <w:rFonts w:eastAsia="Times New Roman" w:cs="Times New Roman"/>
          <w:szCs w:val="24"/>
          <w:lang w:eastAsia="zh-CN"/>
        </w:rPr>
        <w:t>,</w:t>
      </w:r>
      <w:r w:rsidR="000D6A98" w:rsidRPr="00EA6851">
        <w:rPr>
          <w:rFonts w:eastAsia="Times New Roman" w:cs="Times New Roman"/>
          <w:szCs w:val="24"/>
          <w:lang w:eastAsia="zh-CN"/>
        </w:rPr>
        <w:t xml:space="preserve"> и дължимите средства за социално-битово и културно обслужване за персонала;</w:t>
      </w:r>
    </w:p>
    <w:p w:rsidR="000D6A98" w:rsidRPr="00EA6851" w:rsidRDefault="00614CA1" w:rsidP="000D6A98">
      <w:pPr>
        <w:numPr>
          <w:ilvl w:val="0"/>
          <w:numId w:val="62"/>
        </w:numPr>
        <w:rPr>
          <w:rFonts w:eastAsia="Times New Roman" w:cs="Times New Roman"/>
          <w:szCs w:val="24"/>
          <w:lang w:eastAsia="zh-CN"/>
        </w:rPr>
      </w:pPr>
      <w:r w:rsidRPr="00EA6851">
        <w:rPr>
          <w:rFonts w:eastAsia="Times New Roman" w:cs="Times New Roman"/>
          <w:szCs w:val="24"/>
          <w:lang w:eastAsia="zh-CN"/>
        </w:rPr>
        <w:t xml:space="preserve">2,0 млн. лв. </w:t>
      </w:r>
      <w:r w:rsidR="000D6A98" w:rsidRPr="00EA6851">
        <w:rPr>
          <w:rFonts w:eastAsia="Times New Roman" w:cs="Times New Roman"/>
          <w:szCs w:val="24"/>
          <w:lang w:eastAsia="zh-CN"/>
        </w:rPr>
        <w:t>за организационно и финансово подпомагане на български граждани за извършване на дейности по асистирана репродукция при лица с безплодие, лечимо преди всичко с методите на асистирани репродуктивни техники;</w:t>
      </w:r>
    </w:p>
    <w:p w:rsidR="000D6A98" w:rsidRPr="00EA6851" w:rsidRDefault="00614CA1" w:rsidP="000D6A98">
      <w:pPr>
        <w:numPr>
          <w:ilvl w:val="0"/>
          <w:numId w:val="62"/>
        </w:numPr>
        <w:rPr>
          <w:rFonts w:eastAsia="Times New Roman" w:cs="Times New Roman"/>
          <w:szCs w:val="24"/>
          <w:lang w:eastAsia="zh-CN"/>
        </w:rPr>
      </w:pPr>
      <w:r w:rsidRPr="00EA6851">
        <w:rPr>
          <w:rFonts w:eastAsia="Times New Roman" w:cs="Times New Roman"/>
          <w:szCs w:val="24"/>
          <w:lang w:eastAsia="zh-CN"/>
        </w:rPr>
        <w:t>60,0 млн. лв.</w:t>
      </w:r>
      <w:r w:rsidR="000D6A98" w:rsidRPr="00EA6851">
        <w:rPr>
          <w:rFonts w:eastAsia="Times New Roman" w:cs="Times New Roman"/>
          <w:szCs w:val="24"/>
          <w:lang w:eastAsia="zh-CN"/>
        </w:rPr>
        <w:t xml:space="preserve"> допълнителни субсидии за лечебни заведения за болнична помощ за изпълнение на държавната политика за защита и опазване живота и здравето на гражданите в съответната област при извънредни ситуации, аварии и катастрофи, в изпълнение на чл. 106а, ал.</w:t>
      </w:r>
      <w:r w:rsidR="00291C06">
        <w:rPr>
          <w:rFonts w:eastAsia="Times New Roman" w:cs="Times New Roman"/>
          <w:szCs w:val="24"/>
          <w:lang w:eastAsia="zh-CN"/>
        </w:rPr>
        <w:t xml:space="preserve"> </w:t>
      </w:r>
      <w:r w:rsidR="000D6A98" w:rsidRPr="00EA6851">
        <w:rPr>
          <w:rFonts w:eastAsia="Times New Roman" w:cs="Times New Roman"/>
          <w:szCs w:val="24"/>
          <w:lang w:eastAsia="zh-CN"/>
        </w:rPr>
        <w:t>5б от З</w:t>
      </w:r>
      <w:r w:rsidR="00234D7A" w:rsidRPr="00EA6851">
        <w:rPr>
          <w:rFonts w:eastAsia="Times New Roman" w:cs="Times New Roman"/>
          <w:szCs w:val="24"/>
          <w:lang w:eastAsia="zh-CN"/>
        </w:rPr>
        <w:t>акона за лечебните заведения</w:t>
      </w:r>
      <w:r w:rsidR="000D6A98" w:rsidRPr="00EA6851">
        <w:rPr>
          <w:rFonts w:eastAsia="Times New Roman" w:cs="Times New Roman"/>
          <w:szCs w:val="24"/>
          <w:lang w:eastAsia="zh-CN"/>
        </w:rPr>
        <w:t>;</w:t>
      </w:r>
    </w:p>
    <w:p w:rsidR="000D6A98" w:rsidRPr="00EA6851" w:rsidRDefault="00614CA1" w:rsidP="000D6A98">
      <w:pPr>
        <w:numPr>
          <w:ilvl w:val="0"/>
          <w:numId w:val="62"/>
        </w:numPr>
        <w:rPr>
          <w:rFonts w:eastAsia="Times New Roman" w:cs="Times New Roman"/>
          <w:szCs w:val="24"/>
          <w:lang w:eastAsia="zh-CN"/>
        </w:rPr>
      </w:pPr>
      <w:r w:rsidRPr="00EA6851">
        <w:rPr>
          <w:rFonts w:eastAsia="Times New Roman" w:cs="Times New Roman"/>
          <w:szCs w:val="24"/>
          <w:lang w:eastAsia="zh-CN"/>
        </w:rPr>
        <w:t xml:space="preserve">10,0 млн. лв. </w:t>
      </w:r>
      <w:r w:rsidR="000D6A98" w:rsidRPr="00EA6851">
        <w:rPr>
          <w:rFonts w:eastAsia="Times New Roman" w:cs="Times New Roman"/>
          <w:szCs w:val="24"/>
          <w:lang w:eastAsia="zh-CN"/>
        </w:rPr>
        <w:t>за осигуряване на лекарствени продукти, предназначени за лечението на инфекциозни заболявания (ХИВ инфекция и туберкулоза)  във връзка с ежегодното увеличаване на броя регистрирани пациенти с ХИВ и включването на терапия с еднотаблетен режим;</w:t>
      </w:r>
    </w:p>
    <w:p w:rsidR="000D6A98" w:rsidRPr="00EA6851" w:rsidRDefault="00614CA1" w:rsidP="000D6A98">
      <w:pPr>
        <w:numPr>
          <w:ilvl w:val="0"/>
          <w:numId w:val="62"/>
        </w:numPr>
        <w:rPr>
          <w:rFonts w:eastAsia="Times New Roman" w:cs="Times New Roman"/>
          <w:szCs w:val="24"/>
          <w:lang w:eastAsia="zh-CN"/>
        </w:rPr>
      </w:pPr>
      <w:r w:rsidRPr="00EA6851">
        <w:rPr>
          <w:rFonts w:eastAsia="Times New Roman" w:cs="Times New Roman"/>
          <w:szCs w:val="24"/>
          <w:lang w:eastAsia="zh-CN"/>
        </w:rPr>
        <w:t xml:space="preserve">15,0 млн. лв. </w:t>
      </w:r>
      <w:r w:rsidR="000D6A98" w:rsidRPr="00EA6851">
        <w:rPr>
          <w:rFonts w:eastAsia="Times New Roman" w:cs="Times New Roman"/>
          <w:szCs w:val="24"/>
          <w:lang w:eastAsia="zh-CN"/>
        </w:rPr>
        <w:t>за осигуряване на ваксини за задължителни имунизации и реимунизации по Имунизационния календар на Република България за 2024 г., с цел гарантиране на устойчивост и непрекъснатост на имунизационния процес и превенция на здравето на българските граждани от ваксинопредотвратими заболявания, при отчитане на европейски и национални препоръки за ваксинация, постоянно развиващите се иновативни технологии при разработване на ваксините за повишаване на тяхната ефективност и безопасност, както и развитието на имунизационната политика в България в съответствие с тази на държавите</w:t>
      </w:r>
      <w:r w:rsidR="00CF7E10" w:rsidRPr="00EA6851">
        <w:rPr>
          <w:rFonts w:eastAsia="Times New Roman" w:cs="Times New Roman"/>
          <w:szCs w:val="24"/>
          <w:lang w:eastAsia="zh-CN"/>
        </w:rPr>
        <w:t>-</w:t>
      </w:r>
      <w:r w:rsidR="000D6A98" w:rsidRPr="00EA6851">
        <w:rPr>
          <w:rFonts w:eastAsia="Times New Roman" w:cs="Times New Roman"/>
          <w:szCs w:val="24"/>
          <w:lang w:eastAsia="zh-CN"/>
        </w:rPr>
        <w:t>членки на ЕС;</w:t>
      </w:r>
    </w:p>
    <w:p w:rsidR="000D6A98" w:rsidRPr="00EA6851" w:rsidRDefault="00614CA1" w:rsidP="000D6A98">
      <w:pPr>
        <w:numPr>
          <w:ilvl w:val="0"/>
          <w:numId w:val="62"/>
        </w:numPr>
        <w:rPr>
          <w:rFonts w:eastAsia="Times New Roman" w:cs="Times New Roman"/>
          <w:szCs w:val="24"/>
          <w:lang w:eastAsia="zh-CN"/>
        </w:rPr>
      </w:pPr>
      <w:r w:rsidRPr="00EA6851">
        <w:rPr>
          <w:rFonts w:eastAsia="Times New Roman" w:cs="Times New Roman"/>
          <w:szCs w:val="24"/>
          <w:lang w:eastAsia="zh-CN"/>
        </w:rPr>
        <w:t xml:space="preserve">6,6 млн. лв. </w:t>
      </w:r>
      <w:r w:rsidR="000D6A98" w:rsidRPr="00EA6851">
        <w:rPr>
          <w:rFonts w:eastAsia="Times New Roman" w:cs="Times New Roman"/>
          <w:szCs w:val="24"/>
          <w:lang w:eastAsia="zh-CN"/>
        </w:rPr>
        <w:t>за подкрепа на обучението за придобиване на специалност в системата на здравеопазването при очаквано разширяване в обхвата на приетите специализанти на места, финансирани от държавата, с цел осиг</w:t>
      </w:r>
      <w:r w:rsidR="00032AFC">
        <w:rPr>
          <w:rFonts w:eastAsia="Times New Roman" w:cs="Times New Roman"/>
          <w:szCs w:val="24"/>
          <w:lang w:eastAsia="zh-CN"/>
        </w:rPr>
        <w:t>у</w:t>
      </w:r>
      <w:r w:rsidR="000D6A98" w:rsidRPr="00EA6851">
        <w:rPr>
          <w:rFonts w:eastAsia="Times New Roman" w:cs="Times New Roman"/>
          <w:szCs w:val="24"/>
          <w:lang w:eastAsia="zh-CN"/>
        </w:rPr>
        <w:t>ряване на необходимите за страната специализанти;</w:t>
      </w:r>
    </w:p>
    <w:p w:rsidR="000D6A98" w:rsidRDefault="00614CA1" w:rsidP="000D6A98">
      <w:pPr>
        <w:numPr>
          <w:ilvl w:val="0"/>
          <w:numId w:val="62"/>
        </w:numPr>
        <w:rPr>
          <w:rFonts w:eastAsia="Times New Roman" w:cs="Times New Roman"/>
          <w:szCs w:val="24"/>
          <w:lang w:eastAsia="zh-CN"/>
        </w:rPr>
      </w:pPr>
      <w:r w:rsidRPr="00EA6851">
        <w:rPr>
          <w:rFonts w:eastAsia="Times New Roman" w:cs="Times New Roman"/>
          <w:szCs w:val="24"/>
          <w:lang w:eastAsia="zh-CN"/>
        </w:rPr>
        <w:t xml:space="preserve">2,5 млн. лв. </w:t>
      </w:r>
      <w:r w:rsidR="000D6A98" w:rsidRPr="00EA6851">
        <w:rPr>
          <w:rFonts w:eastAsia="Times New Roman" w:cs="Times New Roman"/>
          <w:szCs w:val="24"/>
          <w:lang w:eastAsia="zh-CN"/>
        </w:rPr>
        <w:t>за осигуряване на средства за навременно организиране на дезинсекционни мероприятия за контрол на комарните популации;</w:t>
      </w:r>
    </w:p>
    <w:p w:rsidR="008E25C8" w:rsidRDefault="00412280" w:rsidP="008E25C8">
      <w:pPr>
        <w:pStyle w:val="ListParagraph"/>
        <w:numPr>
          <w:ilvl w:val="0"/>
          <w:numId w:val="62"/>
        </w:numPr>
        <w:rPr>
          <w:rFonts w:eastAsia="Times New Roman" w:cs="Times New Roman"/>
          <w:szCs w:val="24"/>
          <w:lang w:eastAsia="zh-CN"/>
        </w:rPr>
      </w:pPr>
      <w:r>
        <w:rPr>
          <w:rFonts w:eastAsia="Times New Roman" w:cs="Times New Roman"/>
          <w:szCs w:val="24"/>
          <w:lang w:eastAsia="zh-CN"/>
        </w:rPr>
        <w:t>3,8</w:t>
      </w:r>
      <w:r w:rsidR="008E25C8" w:rsidRPr="008E25C8">
        <w:rPr>
          <w:rFonts w:eastAsia="Times New Roman" w:cs="Times New Roman"/>
          <w:szCs w:val="24"/>
          <w:lang w:eastAsia="zh-CN"/>
        </w:rPr>
        <w:t xml:space="preserve"> млн. лв. допълнителна финансова подкрепа за повишаване готовността на Българския Червен кръст за реакция при бедствени и кризисни ситуации, при което достигнатата субсидия от държавния бюджет за Планинската спасителна служба при БЧК възлиза на 2,6 млн.</w:t>
      </w:r>
      <w:r w:rsidR="00032AFC">
        <w:rPr>
          <w:rFonts w:eastAsia="Times New Roman" w:cs="Times New Roman"/>
          <w:szCs w:val="24"/>
          <w:lang w:eastAsia="zh-CN"/>
        </w:rPr>
        <w:t xml:space="preserve"> </w:t>
      </w:r>
      <w:r w:rsidR="008E25C8" w:rsidRPr="008E25C8">
        <w:rPr>
          <w:rFonts w:eastAsia="Times New Roman" w:cs="Times New Roman"/>
          <w:szCs w:val="24"/>
          <w:lang w:eastAsia="zh-CN"/>
        </w:rPr>
        <w:t>лв.;</w:t>
      </w:r>
    </w:p>
    <w:p w:rsidR="00412280" w:rsidRPr="00412280" w:rsidRDefault="00412280" w:rsidP="00412280">
      <w:pPr>
        <w:pStyle w:val="ListParagraph"/>
        <w:numPr>
          <w:ilvl w:val="0"/>
          <w:numId w:val="62"/>
        </w:numPr>
        <w:rPr>
          <w:rFonts w:eastAsia="Times New Roman" w:cs="Times New Roman"/>
          <w:szCs w:val="24"/>
          <w:lang w:eastAsia="zh-CN"/>
        </w:rPr>
      </w:pPr>
      <w:r w:rsidRPr="00412280">
        <w:rPr>
          <w:rFonts w:eastAsia="Times New Roman" w:cs="Times New Roman"/>
          <w:szCs w:val="24"/>
          <w:lang w:eastAsia="zh-CN"/>
        </w:rPr>
        <w:t>15,0 млн.</w:t>
      </w:r>
      <w:r>
        <w:rPr>
          <w:rFonts w:eastAsia="Times New Roman" w:cs="Times New Roman"/>
          <w:szCs w:val="24"/>
          <w:lang w:eastAsia="zh-CN"/>
        </w:rPr>
        <w:t xml:space="preserve"> </w:t>
      </w:r>
      <w:r w:rsidRPr="00412280">
        <w:rPr>
          <w:rFonts w:eastAsia="Times New Roman" w:cs="Times New Roman"/>
          <w:szCs w:val="24"/>
          <w:lang w:eastAsia="zh-CN"/>
        </w:rPr>
        <w:t>лв. за организирането и провеждането на скрининг на заболявания</w:t>
      </w:r>
      <w:r>
        <w:rPr>
          <w:rFonts w:eastAsia="Times New Roman" w:cs="Times New Roman"/>
          <w:szCs w:val="24"/>
          <w:lang w:eastAsia="zh-CN"/>
        </w:rPr>
        <w:t>,</w:t>
      </w:r>
      <w:r w:rsidRPr="00412280">
        <w:rPr>
          <w:rFonts w:eastAsia="Times New Roman" w:cs="Times New Roman"/>
          <w:szCs w:val="24"/>
          <w:lang w:eastAsia="zh-CN"/>
        </w:rPr>
        <w:t xml:space="preserve"> свързани с детското здраве и репродуктивното здраве на жените - неонатален скрининг и скрининг на злокачествени новообразувания на шийката на матката, като средство, спомагащо за ранната диагноза на определени заболявания, които имат тежко протичане и сер</w:t>
      </w:r>
      <w:r>
        <w:rPr>
          <w:rFonts w:eastAsia="Times New Roman" w:cs="Times New Roman"/>
          <w:szCs w:val="24"/>
          <w:lang w:eastAsia="zh-CN"/>
        </w:rPr>
        <w:t>иозно здравно-социално значение</w:t>
      </w:r>
      <w:r w:rsidRPr="00412280">
        <w:rPr>
          <w:rFonts w:eastAsia="Times New Roman" w:cs="Times New Roman"/>
          <w:szCs w:val="24"/>
          <w:lang w:eastAsia="zh-CN"/>
        </w:rPr>
        <w:t>;</w:t>
      </w:r>
    </w:p>
    <w:p w:rsidR="000D6A98" w:rsidRPr="00EA6851" w:rsidRDefault="00614CA1" w:rsidP="000D6A98">
      <w:pPr>
        <w:numPr>
          <w:ilvl w:val="0"/>
          <w:numId w:val="62"/>
        </w:numPr>
        <w:rPr>
          <w:rFonts w:eastAsia="Times New Roman" w:cs="Times New Roman"/>
          <w:szCs w:val="24"/>
          <w:lang w:eastAsia="zh-CN"/>
        </w:rPr>
      </w:pPr>
      <w:r w:rsidRPr="00EA6851">
        <w:rPr>
          <w:rFonts w:eastAsia="Times New Roman" w:cs="Times New Roman"/>
          <w:szCs w:val="24"/>
          <w:lang w:eastAsia="zh-CN"/>
        </w:rPr>
        <w:t xml:space="preserve">12,0 млн. лв. </w:t>
      </w:r>
      <w:r w:rsidR="000D6A98" w:rsidRPr="00EA6851">
        <w:rPr>
          <w:rFonts w:eastAsia="Times New Roman" w:cs="Times New Roman"/>
          <w:szCs w:val="24"/>
          <w:lang w:eastAsia="zh-CN"/>
        </w:rPr>
        <w:t>допълнителен трансфер към НЗОК за помощни средства, приспособления, съоръжения и медицински изделия за хората с увреждания, извън обхвата на зад</w:t>
      </w:r>
      <w:r w:rsidR="00DD2CAA" w:rsidRPr="00EA6851">
        <w:rPr>
          <w:rFonts w:eastAsia="Times New Roman" w:cs="Times New Roman"/>
          <w:szCs w:val="24"/>
          <w:lang w:eastAsia="zh-CN"/>
        </w:rPr>
        <w:t>ължителното здравно осигуряване;</w:t>
      </w:r>
    </w:p>
    <w:p w:rsidR="00C32536" w:rsidRPr="00EA6851" w:rsidRDefault="00C32536" w:rsidP="00C32536">
      <w:pPr>
        <w:numPr>
          <w:ilvl w:val="0"/>
          <w:numId w:val="62"/>
        </w:numPr>
        <w:rPr>
          <w:rFonts w:eastAsia="Times New Roman" w:cs="Times New Roman"/>
          <w:szCs w:val="24"/>
          <w:lang w:eastAsia="zh-CN"/>
        </w:rPr>
      </w:pPr>
      <w:r w:rsidRPr="00EA6851">
        <w:rPr>
          <w:rFonts w:eastAsia="Times New Roman" w:cs="Times New Roman"/>
          <w:szCs w:val="24"/>
          <w:lang w:eastAsia="zh-CN"/>
        </w:rPr>
        <w:t>за здравноосигурителни плащания по бюджета на Националната здравноосигурителна каса са предвидени допълнително 1 110,6 млн. лв., при запазване тенденцията за увеличение с над 20% на разходите за извънболнична помощ,</w:t>
      </w:r>
      <w:r w:rsidR="00B65EF8" w:rsidRPr="00EA6851">
        <w:rPr>
          <w:rFonts w:eastAsia="Times New Roman" w:cs="Times New Roman"/>
          <w:szCs w:val="24"/>
          <w:lang w:eastAsia="zh-CN"/>
        </w:rPr>
        <w:t xml:space="preserve"> </w:t>
      </w:r>
      <w:r w:rsidRPr="00EA6851">
        <w:rPr>
          <w:rFonts w:eastAsia="Times New Roman" w:cs="Times New Roman"/>
          <w:szCs w:val="24"/>
          <w:lang w:eastAsia="zh-CN"/>
        </w:rPr>
        <w:t>сп</w:t>
      </w:r>
      <w:r w:rsidR="005501BC" w:rsidRPr="00EA6851">
        <w:rPr>
          <w:rFonts w:eastAsia="Times New Roman" w:cs="Times New Roman"/>
          <w:szCs w:val="24"/>
          <w:lang w:eastAsia="zh-CN"/>
        </w:rPr>
        <w:t>рямо 2023 г., които заемат 22,5</w:t>
      </w:r>
      <w:r w:rsidRPr="00EA6851">
        <w:rPr>
          <w:rFonts w:eastAsia="Times New Roman" w:cs="Times New Roman"/>
          <w:szCs w:val="24"/>
          <w:lang w:eastAsia="zh-CN"/>
        </w:rPr>
        <w:t>% в общата с</w:t>
      </w:r>
      <w:r w:rsidR="00032AFC">
        <w:rPr>
          <w:rFonts w:eastAsia="Times New Roman" w:cs="Times New Roman"/>
          <w:szCs w:val="24"/>
          <w:lang w:eastAsia="zh-CN"/>
        </w:rPr>
        <w:t>т</w:t>
      </w:r>
      <w:r w:rsidRPr="00EA6851">
        <w:rPr>
          <w:rFonts w:eastAsia="Times New Roman" w:cs="Times New Roman"/>
          <w:szCs w:val="24"/>
          <w:lang w:eastAsia="zh-CN"/>
        </w:rPr>
        <w:t>руктура на здравноосигурителните плащания. Планира се да се реализират редица дейности, свързани с профилактика и ранно откриване на заболяванията, както и дейности, свързани с проследяване лечението на пациентите и определяне на  ефективността на разходите;</w:t>
      </w:r>
    </w:p>
    <w:p w:rsidR="00C32536" w:rsidRPr="00EA6851" w:rsidRDefault="00C32536" w:rsidP="00C32536">
      <w:pPr>
        <w:numPr>
          <w:ilvl w:val="0"/>
          <w:numId w:val="62"/>
        </w:numPr>
        <w:rPr>
          <w:rFonts w:eastAsia="Times New Roman" w:cs="Times New Roman"/>
          <w:szCs w:val="24"/>
          <w:lang w:eastAsia="zh-CN"/>
        </w:rPr>
      </w:pPr>
      <w:r w:rsidRPr="00EA6851">
        <w:rPr>
          <w:rFonts w:eastAsia="Times New Roman" w:cs="Times New Roman"/>
          <w:szCs w:val="24"/>
          <w:lang w:eastAsia="zh-CN"/>
        </w:rPr>
        <w:t xml:space="preserve">2,3 млн. лв. за увеличение на възнагражденията на </w:t>
      </w:r>
      <w:r w:rsidR="00602CE5" w:rsidRPr="00EB28A6">
        <w:rPr>
          <w:rFonts w:eastAsia="Times New Roman" w:cs="Times New Roman"/>
          <w:szCs w:val="24"/>
          <w:lang w:eastAsia="zh-CN"/>
        </w:rPr>
        <w:t>педагозите</w:t>
      </w:r>
      <w:r w:rsidRPr="00EB28A6">
        <w:rPr>
          <w:rFonts w:eastAsia="Times New Roman" w:cs="Times New Roman"/>
          <w:szCs w:val="24"/>
          <w:lang w:eastAsia="zh-CN"/>
        </w:rPr>
        <w:t xml:space="preserve"> в детските</w:t>
      </w:r>
      <w:r w:rsidRPr="00EA6851">
        <w:rPr>
          <w:rFonts w:eastAsia="Times New Roman" w:cs="Times New Roman"/>
          <w:szCs w:val="24"/>
          <w:lang w:eastAsia="zh-CN"/>
        </w:rPr>
        <w:t xml:space="preserve"> ясли за достигане на средна работна заплата не по-малко от 125 на сто от средната работна заплата за страната през 2024 г.;</w:t>
      </w:r>
    </w:p>
    <w:p w:rsidR="00C32536" w:rsidRDefault="00C32536" w:rsidP="00C32536">
      <w:pPr>
        <w:numPr>
          <w:ilvl w:val="0"/>
          <w:numId w:val="62"/>
        </w:numPr>
        <w:rPr>
          <w:rFonts w:eastAsia="Times New Roman" w:cs="Times New Roman"/>
          <w:szCs w:val="24"/>
          <w:lang w:eastAsia="zh-CN"/>
        </w:rPr>
      </w:pPr>
      <w:r w:rsidRPr="00EA6851">
        <w:rPr>
          <w:rFonts w:eastAsia="Times New Roman" w:cs="Times New Roman"/>
          <w:szCs w:val="24"/>
          <w:lang w:eastAsia="zh-CN"/>
        </w:rPr>
        <w:t>2,2 млн. лв. за увеличение издръжката за здравните кабинети в държавните и общинските детски градини и училища;</w:t>
      </w:r>
    </w:p>
    <w:p w:rsidR="00C32536" w:rsidRPr="00EA6851" w:rsidRDefault="00C32536" w:rsidP="00C32536">
      <w:pPr>
        <w:numPr>
          <w:ilvl w:val="0"/>
          <w:numId w:val="62"/>
        </w:numPr>
        <w:rPr>
          <w:rFonts w:eastAsia="Times New Roman" w:cs="Times New Roman"/>
          <w:szCs w:val="24"/>
          <w:lang w:eastAsia="zh-CN"/>
        </w:rPr>
      </w:pPr>
      <w:r w:rsidRPr="00EA6851">
        <w:rPr>
          <w:rFonts w:eastAsia="Times New Roman" w:cs="Times New Roman"/>
          <w:szCs w:val="24"/>
          <w:lang w:eastAsia="zh-CN"/>
        </w:rPr>
        <w:t>12,0 млн. лв. за запазване размера и за продължаване на политиката за компенсиране на разходите за отглеждане, възпитание и обучение на деца, които не са приети в детски ясли и яслени групи в детски градини.</w:t>
      </w:r>
    </w:p>
    <w:p w:rsidR="000D6A98" w:rsidRPr="00EA6851" w:rsidRDefault="000D6A98" w:rsidP="000D6A98">
      <w:pPr>
        <w:rPr>
          <w:rFonts w:eastAsia="Times New Roman" w:cs="Times New Roman"/>
          <w:szCs w:val="24"/>
          <w:lang w:eastAsia="zh-CN"/>
        </w:rPr>
      </w:pPr>
      <w:r w:rsidRPr="00EA6851">
        <w:rPr>
          <w:rFonts w:eastAsia="Times New Roman" w:cs="Times New Roman"/>
          <w:b/>
          <w:bCs/>
          <w:szCs w:val="24"/>
          <w:lang w:eastAsia="zh-CN"/>
        </w:rPr>
        <w:t>Пенсионната политика</w:t>
      </w:r>
      <w:r w:rsidRPr="00EA6851">
        <w:rPr>
          <w:rFonts w:eastAsia="Times New Roman" w:cs="Times New Roman"/>
          <w:szCs w:val="24"/>
          <w:lang w:eastAsia="zh-CN"/>
        </w:rPr>
        <w:t xml:space="preserve"> се базира на допусканията за осъвременяване на размерите на пенсиите съгласно действащото законодателство (11 на сто за 2024 г.), като в резултат на това за 2024 г. разходите за пенсии по бюджета на ДОО нарастват с 2 440,8 млн. лв. спрямо закона за 2023 г. През 2025 г. и 2026 г. тези ръстове спрямо предходната година са съответно 2 198,8 млн. лв. и 1 617,1 млн. лв. От 1 юли 2024 г. </w:t>
      </w:r>
      <w:r w:rsidR="005501BC" w:rsidRPr="00EA6851">
        <w:rPr>
          <w:rFonts w:eastAsia="Times New Roman" w:cs="Times New Roman"/>
          <w:szCs w:val="24"/>
          <w:lang w:eastAsia="zh-CN"/>
        </w:rPr>
        <w:t xml:space="preserve">т. нар. </w:t>
      </w:r>
      <w:r w:rsidRPr="00EA6851">
        <w:rPr>
          <w:rFonts w:eastAsia="Times New Roman" w:cs="Times New Roman"/>
          <w:szCs w:val="24"/>
          <w:lang w:eastAsia="zh-CN"/>
        </w:rPr>
        <w:t>„вдовишки добавки</w:t>
      </w:r>
      <w:r w:rsidR="00B65EF8" w:rsidRPr="00EA6851">
        <w:rPr>
          <w:rFonts w:eastAsia="Times New Roman" w:cs="Times New Roman"/>
          <w:szCs w:val="24"/>
          <w:lang w:eastAsia="zh-CN"/>
        </w:rPr>
        <w:t>“</w:t>
      </w:r>
      <w:r w:rsidRPr="00EA6851">
        <w:rPr>
          <w:rFonts w:eastAsia="Times New Roman" w:cs="Times New Roman"/>
          <w:szCs w:val="24"/>
          <w:lang w:eastAsia="zh-CN"/>
        </w:rPr>
        <w:t xml:space="preserve"> по чл. 84 от КСО се определят в размер 30 на сто от размера на пенсията на починалия съпруг/съпруга.</w:t>
      </w:r>
    </w:p>
    <w:p w:rsidR="000D6A98" w:rsidRPr="00EA6851" w:rsidRDefault="000D6A98" w:rsidP="000D6A98">
      <w:pPr>
        <w:rPr>
          <w:rFonts w:eastAsia="Times New Roman" w:cs="Times New Roman"/>
          <w:szCs w:val="24"/>
          <w:lang w:eastAsia="zh-CN"/>
        </w:rPr>
      </w:pPr>
      <w:r w:rsidRPr="00EA6851">
        <w:rPr>
          <w:rFonts w:eastAsia="Times New Roman" w:cs="Times New Roman"/>
          <w:b/>
          <w:szCs w:val="24"/>
          <w:lang w:eastAsia="zh-CN"/>
        </w:rPr>
        <w:t>Политиките в областта на младежта и спорта</w:t>
      </w:r>
      <w:r w:rsidRPr="00EA6851">
        <w:rPr>
          <w:rFonts w:eastAsia="Times New Roman" w:cs="Times New Roman"/>
          <w:szCs w:val="24"/>
          <w:lang w:eastAsia="zh-CN"/>
        </w:rPr>
        <w:t xml:space="preserve"> са насочени към насърчаване на икономическата активност и развитие на младите хора, развитие на спорта за учащи и спорта в свободното време, развитие и утвърждаване на спорта за високи постижения.</w:t>
      </w:r>
    </w:p>
    <w:p w:rsidR="000D6A98" w:rsidRPr="00EA6851" w:rsidRDefault="000D6A98" w:rsidP="000D6A98">
      <w:pPr>
        <w:rPr>
          <w:rFonts w:eastAsia="Times New Roman" w:cs="Times New Roman"/>
          <w:szCs w:val="24"/>
          <w:lang w:eastAsia="zh-CN"/>
        </w:rPr>
      </w:pPr>
      <w:r w:rsidRPr="00EA6851">
        <w:rPr>
          <w:rFonts w:eastAsia="Times New Roman" w:cs="Times New Roman"/>
          <w:szCs w:val="24"/>
          <w:lang w:eastAsia="zh-CN"/>
        </w:rPr>
        <w:t>За периода 2024-2026 г. са осигурени условия и допълнителен финансов ресурс за изпълнението на целите и дейностите във връзка с реализирането на приоритетите на провежданите политики в областта на младежта и спорта. За реализирането на политиките чрез мерки за развитие на спорта и за развитие на младите хора са предвидени допълнителни средства, както следва:</w:t>
      </w:r>
    </w:p>
    <w:p w:rsidR="000D6A98" w:rsidRPr="00EA6851" w:rsidRDefault="000D6A98" w:rsidP="000D6A98">
      <w:pPr>
        <w:numPr>
          <w:ilvl w:val="0"/>
          <w:numId w:val="29"/>
        </w:numPr>
        <w:rPr>
          <w:rFonts w:eastAsia="Times New Roman" w:cs="Times New Roman"/>
          <w:szCs w:val="24"/>
          <w:lang w:eastAsia="zh-CN"/>
        </w:rPr>
      </w:pPr>
      <w:r w:rsidRPr="00EA6851">
        <w:rPr>
          <w:rFonts w:eastAsia="Times New Roman" w:cs="Times New Roman"/>
          <w:szCs w:val="24"/>
          <w:lang w:eastAsia="zh-CN"/>
        </w:rPr>
        <w:t>3,7 млн. лв. за осигуряване на условия и възможности за развитие на елитния спорт и ефективен тренировъчен процес за постигане на спортни резултати на международно ниво, развитие на потенциала на млади талантливи спортисти, подпомагане на спортни дейности в областта на спорта за високи постижения;</w:t>
      </w:r>
    </w:p>
    <w:p w:rsidR="000D6A98" w:rsidRPr="00EA6851" w:rsidRDefault="000D6A98" w:rsidP="000D6A98">
      <w:pPr>
        <w:numPr>
          <w:ilvl w:val="0"/>
          <w:numId w:val="29"/>
        </w:numPr>
        <w:rPr>
          <w:rFonts w:eastAsia="Times New Roman" w:cs="Times New Roman"/>
          <w:szCs w:val="24"/>
          <w:lang w:eastAsia="zh-CN"/>
        </w:rPr>
      </w:pPr>
      <w:r w:rsidRPr="00EA6851">
        <w:rPr>
          <w:rFonts w:eastAsia="Times New Roman" w:cs="Times New Roman"/>
          <w:szCs w:val="24"/>
          <w:lang w:eastAsia="zh-CN"/>
        </w:rPr>
        <w:t>3,0 млн. лв. за финансиране на дейности по бюджетна програма „Олимпийска подготовка“ за провеждане на оптимална подготовка на проектоолимпийския отбор;</w:t>
      </w:r>
    </w:p>
    <w:p w:rsidR="000D6A98" w:rsidRPr="00EA6851" w:rsidRDefault="000D6A98" w:rsidP="000D6A98">
      <w:pPr>
        <w:numPr>
          <w:ilvl w:val="0"/>
          <w:numId w:val="29"/>
        </w:numPr>
        <w:rPr>
          <w:rFonts w:eastAsia="Times New Roman" w:cs="Times New Roman"/>
          <w:szCs w:val="24"/>
          <w:lang w:eastAsia="zh-CN"/>
        </w:rPr>
      </w:pPr>
      <w:r w:rsidRPr="00EA6851">
        <w:rPr>
          <w:rFonts w:eastAsia="Times New Roman" w:cs="Times New Roman"/>
          <w:szCs w:val="24"/>
          <w:lang w:eastAsia="zh-CN"/>
        </w:rPr>
        <w:t xml:space="preserve">1,0 млн. лв. за насърчаване на учащите от различните възрастови групи към физическа активност, здравословен начин на живот и създаване на навици за занимания със спорт; </w:t>
      </w:r>
    </w:p>
    <w:p w:rsidR="000D6A98" w:rsidRPr="00EA6851" w:rsidRDefault="000D6A98" w:rsidP="000D6A98">
      <w:pPr>
        <w:numPr>
          <w:ilvl w:val="0"/>
          <w:numId w:val="29"/>
        </w:numPr>
        <w:rPr>
          <w:rFonts w:eastAsia="Times New Roman" w:cs="Times New Roman"/>
          <w:szCs w:val="24"/>
          <w:lang w:eastAsia="zh-CN"/>
        </w:rPr>
      </w:pPr>
      <w:r w:rsidRPr="00EA6851">
        <w:rPr>
          <w:rFonts w:eastAsia="Times New Roman" w:cs="Times New Roman"/>
          <w:szCs w:val="24"/>
          <w:lang w:eastAsia="zh-CN"/>
        </w:rPr>
        <w:t>1,6 млн. лв. за пожизнени месечни премии на медалисти от олимпийски и паралимпийски игри, прекратили активната си състезателна дейност и на треньори;</w:t>
      </w:r>
    </w:p>
    <w:p w:rsidR="000D6A98" w:rsidRPr="00EA6851" w:rsidRDefault="000D6A98" w:rsidP="000D6A98">
      <w:pPr>
        <w:numPr>
          <w:ilvl w:val="0"/>
          <w:numId w:val="29"/>
        </w:numPr>
        <w:rPr>
          <w:rFonts w:eastAsia="Times New Roman" w:cs="Times New Roman"/>
          <w:szCs w:val="24"/>
          <w:lang w:eastAsia="zh-CN"/>
        </w:rPr>
      </w:pPr>
      <w:r w:rsidRPr="00EA6851">
        <w:rPr>
          <w:rFonts w:eastAsia="Times New Roman" w:cs="Times New Roman"/>
          <w:szCs w:val="24"/>
          <w:lang w:eastAsia="zh-CN"/>
        </w:rPr>
        <w:t>1,1 млн. лв. за финансиране на проекти за младежки дейности по Националната програма за изпълнение на младежки дейности по чл. 10а от Закона за хазарта;</w:t>
      </w:r>
    </w:p>
    <w:p w:rsidR="000D6A98" w:rsidRPr="00EA6851" w:rsidRDefault="000D6A98" w:rsidP="000D6A98">
      <w:pPr>
        <w:numPr>
          <w:ilvl w:val="0"/>
          <w:numId w:val="29"/>
        </w:numPr>
        <w:rPr>
          <w:rFonts w:eastAsia="Times New Roman" w:cs="Times New Roman"/>
          <w:szCs w:val="24"/>
          <w:lang w:eastAsia="zh-CN"/>
        </w:rPr>
      </w:pPr>
      <w:r w:rsidRPr="00EA6851">
        <w:rPr>
          <w:rFonts w:eastAsia="Times New Roman" w:cs="Times New Roman"/>
          <w:szCs w:val="24"/>
          <w:lang w:eastAsia="zh-CN"/>
        </w:rPr>
        <w:t>3,6 млн. лв. за увеличение на определените с Постановление № 46 на Министерския съвет от 2020 г. минимални диференцирани размери на паричните средства за физическа активност, физическо възпитание, спорт и спортно-туристическа дейност на деца и учащи в институции в системата на предучилищното и училищното образование и във висшите училища.</w:t>
      </w:r>
    </w:p>
    <w:p w:rsidR="008E25C8" w:rsidRPr="008E25C8" w:rsidRDefault="008E25C8" w:rsidP="008E25C8">
      <w:pPr>
        <w:rPr>
          <w:rFonts w:eastAsia="Times New Roman" w:cs="Times New Roman"/>
          <w:szCs w:val="24"/>
          <w:lang w:eastAsia="zh-CN"/>
        </w:rPr>
      </w:pPr>
      <w:r w:rsidRPr="008E25C8">
        <w:rPr>
          <w:rFonts w:eastAsia="Times New Roman" w:cs="Times New Roman"/>
          <w:szCs w:val="24"/>
          <w:lang w:eastAsia="zh-CN"/>
        </w:rPr>
        <w:t>В областта на спорта през 2024 г. е предвидено  реализиране на Национална програма за споделено финансиране на инвестиционни спортни проекти с индикативен размер на разходи  до  10,0 млн. лв. за финансово подпомагане на одобрени спортни проекти.</w:t>
      </w:r>
    </w:p>
    <w:p w:rsidR="000D6A98" w:rsidRPr="00EA6851" w:rsidRDefault="000D6A98" w:rsidP="000D6A98">
      <w:pPr>
        <w:rPr>
          <w:rFonts w:eastAsia="Times New Roman" w:cs="Times New Roman"/>
          <w:szCs w:val="24"/>
          <w:lang w:eastAsia="zh-CN"/>
        </w:rPr>
      </w:pPr>
      <w:r w:rsidRPr="00EA6851">
        <w:rPr>
          <w:rFonts w:eastAsia="Times New Roman" w:cs="Times New Roman"/>
          <w:b/>
          <w:szCs w:val="24"/>
          <w:lang w:eastAsia="zh-CN"/>
        </w:rPr>
        <w:t>Политика в областта на културата.</w:t>
      </w:r>
      <w:r w:rsidRPr="00EA6851">
        <w:rPr>
          <w:rFonts w:eastAsia="Times New Roman" w:cs="Times New Roman"/>
          <w:szCs w:val="24"/>
          <w:lang w:eastAsia="zh-CN"/>
        </w:rPr>
        <w:t xml:space="preserve"> През периода 2024-2026 г. ще продължи развитието на българската култура и създаване на условия за опазване и закрила на културното наследство и реализиране на потенциала му като ресурс за устойчиво икономическо, териториално и социално развитие. За повишаване на интереса към българската култура и активно подпомагане създаването и разпространението на изкуство и културни продукти са осигурени допълнителни средства, както следва:</w:t>
      </w:r>
    </w:p>
    <w:p w:rsidR="000D6A98" w:rsidRPr="00EA6851" w:rsidRDefault="000D6A98" w:rsidP="000D6A98">
      <w:pPr>
        <w:numPr>
          <w:ilvl w:val="0"/>
          <w:numId w:val="16"/>
        </w:numPr>
        <w:rPr>
          <w:rFonts w:eastAsia="Times New Roman" w:cs="Times New Roman"/>
          <w:szCs w:val="24"/>
          <w:lang w:eastAsia="zh-CN"/>
        </w:rPr>
      </w:pPr>
      <w:r w:rsidRPr="00EA6851">
        <w:rPr>
          <w:rFonts w:eastAsia="Times New Roman" w:cs="Times New Roman"/>
          <w:szCs w:val="24"/>
          <w:lang w:eastAsia="zh-CN"/>
        </w:rPr>
        <w:t>50,1 млн. лв. за държавните културни институти в областта на сценичните изкуства за осъществяване на дейности в областта на сценичните изкуства с базов компонент за един лев реализирани приходи от брой продадени билети от собствени театрални/музикални продукти;</w:t>
      </w:r>
    </w:p>
    <w:p w:rsidR="00B87C27" w:rsidRDefault="000D6A98" w:rsidP="000D6A98">
      <w:pPr>
        <w:numPr>
          <w:ilvl w:val="0"/>
          <w:numId w:val="16"/>
        </w:numPr>
        <w:rPr>
          <w:rFonts w:eastAsia="Times New Roman" w:cs="Times New Roman"/>
          <w:szCs w:val="24"/>
          <w:lang w:eastAsia="zh-CN"/>
        </w:rPr>
      </w:pPr>
      <w:r w:rsidRPr="00EA6851">
        <w:rPr>
          <w:rFonts w:eastAsia="Times New Roman" w:cs="Times New Roman"/>
          <w:szCs w:val="24"/>
          <w:lang w:eastAsia="zh-CN"/>
        </w:rPr>
        <w:t>9,3 млн. лв. за държавно подпомагане на филмовата индустрия на основание Закона за филмовата индустрия</w:t>
      </w:r>
      <w:r w:rsidR="00B87C27" w:rsidRPr="00EA6851">
        <w:rPr>
          <w:rFonts w:eastAsia="Times New Roman" w:cs="Times New Roman"/>
          <w:szCs w:val="24"/>
          <w:lang w:eastAsia="zh-CN"/>
        </w:rPr>
        <w:t>;</w:t>
      </w:r>
    </w:p>
    <w:p w:rsidR="00412280" w:rsidRPr="00412280" w:rsidRDefault="00412280" w:rsidP="00412280">
      <w:pPr>
        <w:numPr>
          <w:ilvl w:val="0"/>
          <w:numId w:val="16"/>
        </w:numPr>
        <w:rPr>
          <w:rFonts w:eastAsia="Times New Roman" w:cs="Times New Roman"/>
          <w:szCs w:val="24"/>
          <w:lang w:eastAsia="zh-CN"/>
        </w:rPr>
      </w:pPr>
      <w:r w:rsidRPr="00412280">
        <w:rPr>
          <w:rFonts w:eastAsia="Times New Roman" w:cs="Times New Roman"/>
          <w:szCs w:val="24"/>
          <w:lang w:eastAsia="zh-CN"/>
        </w:rPr>
        <w:t xml:space="preserve">28,5 млн. лв. за допълнително целево подпомагане от държавния бюджет на държавни и общински културни организации, </w:t>
      </w:r>
      <w:r w:rsidR="001E1494">
        <w:rPr>
          <w:rFonts w:eastAsia="Times New Roman" w:cs="Times New Roman"/>
          <w:szCs w:val="24"/>
          <w:lang w:eastAsia="zh-CN"/>
        </w:rPr>
        <w:t>като от тях</w:t>
      </w:r>
      <w:r w:rsidRPr="00412280">
        <w:rPr>
          <w:rFonts w:eastAsia="Times New Roman" w:cs="Times New Roman"/>
          <w:szCs w:val="24"/>
          <w:lang w:eastAsia="zh-CN"/>
        </w:rPr>
        <w:t xml:space="preserve">: </w:t>
      </w:r>
    </w:p>
    <w:p w:rsidR="00412280" w:rsidRDefault="00412280" w:rsidP="00412280">
      <w:pPr>
        <w:pStyle w:val="ListParagraph"/>
        <w:numPr>
          <w:ilvl w:val="0"/>
          <w:numId w:val="74"/>
        </w:numPr>
        <w:rPr>
          <w:rFonts w:eastAsia="Times New Roman" w:cs="Times New Roman"/>
          <w:szCs w:val="24"/>
          <w:lang w:eastAsia="zh-CN"/>
        </w:rPr>
      </w:pPr>
      <w:r w:rsidRPr="00412280">
        <w:rPr>
          <w:rFonts w:eastAsia="Times New Roman" w:cs="Times New Roman"/>
          <w:szCs w:val="24"/>
          <w:lang w:eastAsia="zh-CN"/>
        </w:rPr>
        <w:t>13,5 млн. лв. за финансиране на културната дейност, осъществявана от държавни и общински културни организации в областта на културното и аудиовизуално наследство и библиотечното дело, в музеите, художествените галерии и библиотеките, и в читалищата, както и за реализиране на културни програми в чужбина, планове за управление и опазване на недвижимо културно наследство, по стандарти за финансиране, включително за възнаграждения на персонала въз основа на приети от Министерския съвет стандарти за финансиране и натурални показатели за съответната дейност;</w:t>
      </w:r>
    </w:p>
    <w:p w:rsidR="00412280" w:rsidRPr="00412280" w:rsidRDefault="00412280" w:rsidP="00412280">
      <w:pPr>
        <w:pStyle w:val="ListParagraph"/>
        <w:numPr>
          <w:ilvl w:val="0"/>
          <w:numId w:val="74"/>
        </w:numPr>
        <w:rPr>
          <w:rFonts w:eastAsia="Times New Roman" w:cs="Times New Roman"/>
          <w:szCs w:val="24"/>
          <w:lang w:eastAsia="zh-CN"/>
        </w:rPr>
      </w:pPr>
      <w:r w:rsidRPr="00412280">
        <w:rPr>
          <w:rFonts w:eastAsia="Times New Roman" w:cs="Times New Roman"/>
          <w:szCs w:val="24"/>
          <w:lang w:eastAsia="zh-CN"/>
        </w:rPr>
        <w:t>15,0 млн. лв. за финансиране на проекти с приоритетен характер за развитие на държавни и общински културни организации и структури с цел създаване и развитие на културни продукти.</w:t>
      </w:r>
    </w:p>
    <w:p w:rsidR="008E25C8" w:rsidRDefault="000D6A98" w:rsidP="00EB28A6">
      <w:pPr>
        <w:rPr>
          <w:rFonts w:eastAsia="Times New Roman" w:cs="Times New Roman"/>
          <w:szCs w:val="24"/>
          <w:lang w:eastAsia="zh-CN"/>
        </w:rPr>
      </w:pPr>
      <w:r w:rsidRPr="00EA6851">
        <w:rPr>
          <w:rFonts w:eastAsia="Times New Roman" w:cs="Times New Roman"/>
          <w:b/>
          <w:szCs w:val="24"/>
          <w:lang w:eastAsia="zh-CN"/>
        </w:rPr>
        <w:t xml:space="preserve">Политика в областта на отбраната. </w:t>
      </w:r>
      <w:r w:rsidRPr="00EA6851">
        <w:rPr>
          <w:rFonts w:eastAsia="Times New Roman" w:cs="Times New Roman"/>
          <w:szCs w:val="24"/>
          <w:lang w:eastAsia="zh-CN"/>
        </w:rPr>
        <w:t xml:space="preserve">Разходите за </w:t>
      </w:r>
      <w:r w:rsidRPr="00EA6851">
        <w:rPr>
          <w:rFonts w:eastAsia="Times New Roman" w:cs="Times New Roman"/>
          <w:b/>
          <w:szCs w:val="24"/>
          <w:lang w:eastAsia="zh-CN"/>
        </w:rPr>
        <w:t>отбрана</w:t>
      </w:r>
      <w:r w:rsidRPr="00EA6851">
        <w:rPr>
          <w:rFonts w:eastAsia="Times New Roman" w:cs="Times New Roman"/>
          <w:szCs w:val="24"/>
          <w:lang w:eastAsia="zh-CN"/>
        </w:rPr>
        <w:t xml:space="preserve"> за 2024 г. възлизат на 2,05% от БВП (с 0,05% повече от референтния процент), като през 2025 г. са разчетени до 2,00% от БВП, а през 2026 г. – 2,23% от БВП, с което се изпълнява Националния план за повишаване на разходите за отбрана на 2 на сто от БВП на Република България до 2024 г., одобрен с РМС № 3/2018 г</w:t>
      </w:r>
      <w:r w:rsidRPr="00EA6851">
        <w:rPr>
          <w:rFonts w:eastAsia="Times New Roman" w:cs="Times New Roman"/>
          <w:bCs/>
          <w:iCs/>
          <w:szCs w:val="24"/>
          <w:lang w:eastAsia="zh-CN"/>
        </w:rPr>
        <w:t xml:space="preserve">. и поетите ангажименти пред НАТО. </w:t>
      </w:r>
      <w:r w:rsidRPr="00EA6851">
        <w:rPr>
          <w:rFonts w:eastAsia="Times New Roman" w:cs="Times New Roman"/>
          <w:szCs w:val="24"/>
          <w:lang w:eastAsia="zh-CN"/>
        </w:rPr>
        <w:t xml:space="preserve">Осигурени са средства за поддържане и развитие на националните отбранителни способности и способностите, свързани с колективната отбрана, в т.ч. средства за изпълнение на одобрените от Народното събрание инвестиционни проекти за модернизация на Българската армия, както следва: </w:t>
      </w:r>
    </w:p>
    <w:p w:rsidR="008E25C8" w:rsidRPr="008E25C8" w:rsidRDefault="008E25C8" w:rsidP="008E25C8">
      <w:pPr>
        <w:numPr>
          <w:ilvl w:val="0"/>
          <w:numId w:val="71"/>
        </w:numPr>
        <w:rPr>
          <w:rFonts w:eastAsia="Times New Roman" w:cs="Times New Roman"/>
          <w:szCs w:val="24"/>
          <w:lang w:eastAsia="zh-CN"/>
        </w:rPr>
      </w:pPr>
      <w:r w:rsidRPr="008E25C8">
        <w:rPr>
          <w:rFonts w:eastAsia="Times New Roman" w:cs="Times New Roman"/>
          <w:szCs w:val="24"/>
          <w:lang w:eastAsia="zh-CN"/>
        </w:rPr>
        <w:t>174,0 млн. лв. за съпътстващи разходи по придобиването на новия тип боен самолет - I-ви етап (транспорт, ДДС, мита и други разходи, свързани с изпълнението на международните договори);</w:t>
      </w:r>
    </w:p>
    <w:p w:rsidR="008E25C8" w:rsidRPr="008E25C8" w:rsidRDefault="008E25C8" w:rsidP="008E25C8">
      <w:pPr>
        <w:numPr>
          <w:ilvl w:val="0"/>
          <w:numId w:val="71"/>
        </w:numPr>
        <w:rPr>
          <w:rFonts w:eastAsia="Times New Roman" w:cs="Times New Roman"/>
          <w:szCs w:val="24"/>
          <w:lang w:eastAsia="zh-CN"/>
        </w:rPr>
      </w:pPr>
      <w:r w:rsidRPr="008E25C8">
        <w:rPr>
          <w:rFonts w:eastAsia="Times New Roman" w:cs="Times New Roman"/>
          <w:szCs w:val="24"/>
          <w:lang w:eastAsia="zh-CN"/>
        </w:rPr>
        <w:t>82,3 млн. лв. за придобиване на нов тип боен самолет - II-ри етап, включително и за съпътстващи разходи (транспорт, ДДС и мита);</w:t>
      </w:r>
    </w:p>
    <w:p w:rsidR="008E25C8" w:rsidRPr="008E25C8" w:rsidRDefault="008E25C8" w:rsidP="008E25C8">
      <w:pPr>
        <w:numPr>
          <w:ilvl w:val="0"/>
          <w:numId w:val="71"/>
        </w:numPr>
        <w:rPr>
          <w:rFonts w:eastAsia="Times New Roman" w:cs="Times New Roman"/>
          <w:szCs w:val="24"/>
          <w:lang w:eastAsia="zh-CN"/>
        </w:rPr>
      </w:pPr>
      <w:r w:rsidRPr="008E25C8">
        <w:rPr>
          <w:rFonts w:eastAsia="Times New Roman" w:cs="Times New Roman"/>
          <w:szCs w:val="24"/>
          <w:lang w:eastAsia="zh-CN"/>
        </w:rPr>
        <w:t>161,0 млн. лв. за придобиване на многофункционален модулен патрулен кораб за ВМС;</w:t>
      </w:r>
    </w:p>
    <w:p w:rsidR="000D6A98" w:rsidRPr="00EA6851" w:rsidRDefault="000D6A98" w:rsidP="000D6A98">
      <w:pPr>
        <w:numPr>
          <w:ilvl w:val="0"/>
          <w:numId w:val="71"/>
        </w:numPr>
        <w:rPr>
          <w:rFonts w:eastAsia="Times New Roman" w:cs="Times New Roman"/>
          <w:szCs w:val="24"/>
          <w:lang w:eastAsia="zh-CN"/>
        </w:rPr>
      </w:pPr>
      <w:r w:rsidRPr="00EA6851">
        <w:rPr>
          <w:rFonts w:eastAsia="Times New Roman" w:cs="Times New Roman"/>
          <w:szCs w:val="24"/>
          <w:lang w:eastAsia="zh-CN"/>
        </w:rPr>
        <w:t>546,0 млн. лв. за придобиване на основна бойна техника за изграждане на батальонни бойни групи от състава на механизирана бригада.</w:t>
      </w:r>
    </w:p>
    <w:p w:rsidR="000D6A98" w:rsidRPr="00EA6851" w:rsidRDefault="000D6A98" w:rsidP="000D6A98">
      <w:pPr>
        <w:rPr>
          <w:rFonts w:eastAsia="Times New Roman" w:cs="Times New Roman"/>
          <w:szCs w:val="24"/>
          <w:lang w:eastAsia="zh-CN"/>
        </w:rPr>
      </w:pPr>
      <w:r w:rsidRPr="00EA6851">
        <w:rPr>
          <w:rFonts w:eastAsia="Times New Roman" w:cs="Times New Roman"/>
          <w:b/>
          <w:bCs/>
          <w:szCs w:val="24"/>
          <w:lang w:eastAsia="zh-CN"/>
        </w:rPr>
        <w:t xml:space="preserve">Политика в областта на съдебната система. </w:t>
      </w:r>
      <w:r w:rsidRPr="00EA6851">
        <w:rPr>
          <w:rFonts w:eastAsia="Times New Roman" w:cs="Times New Roman"/>
          <w:szCs w:val="24"/>
          <w:lang w:eastAsia="zh-CN"/>
        </w:rPr>
        <w:t>Основният принцип при разработване на бюджетната прогноза за периода 2024-2026 г. на съдебната власт е независимост и прогнозиране на оптимален размер на средствата за нормално функциониране на съдебните институции.</w:t>
      </w:r>
    </w:p>
    <w:p w:rsidR="000D6A98" w:rsidRPr="00EA6851" w:rsidRDefault="000D6A98" w:rsidP="000D6A98">
      <w:pPr>
        <w:rPr>
          <w:rFonts w:eastAsia="Times New Roman" w:cs="Times New Roman"/>
          <w:szCs w:val="24"/>
          <w:lang w:eastAsia="zh-CN"/>
        </w:rPr>
      </w:pPr>
      <w:r w:rsidRPr="00EA6851">
        <w:rPr>
          <w:rFonts w:eastAsia="Times New Roman" w:cs="Times New Roman"/>
          <w:szCs w:val="24"/>
          <w:lang w:eastAsia="zh-CN"/>
        </w:rPr>
        <w:t>По проекта на бюджет с актуализираната средносрочна бюджетна прогноза за периода 2024-2026 г. за съдебната власт са предвидени следните допълнителни средства:</w:t>
      </w:r>
    </w:p>
    <w:p w:rsidR="000D6A98" w:rsidRPr="00EA6851" w:rsidRDefault="000D6A98" w:rsidP="000D6A98">
      <w:pPr>
        <w:numPr>
          <w:ilvl w:val="0"/>
          <w:numId w:val="71"/>
        </w:numPr>
        <w:rPr>
          <w:rFonts w:eastAsia="Times New Roman" w:cs="Times New Roman"/>
          <w:szCs w:val="24"/>
          <w:lang w:eastAsia="zh-CN"/>
        </w:rPr>
      </w:pPr>
      <w:r w:rsidRPr="00EA6851">
        <w:rPr>
          <w:rFonts w:eastAsia="Times New Roman" w:cs="Times New Roman"/>
          <w:szCs w:val="24"/>
          <w:lang w:eastAsia="zh-CN"/>
        </w:rPr>
        <w:t>120,0 млн. лв. - за индексиране на основните и допълнителните възнаграждения на заетите в съдебната система, които се определят съгласно разписаните в Закона за съдебната власт механизми (чл. 218, чл. 233, ал. 6 и чл. 345, ал. 5);</w:t>
      </w:r>
    </w:p>
    <w:p w:rsidR="000D6A98" w:rsidRPr="00EA6851" w:rsidRDefault="000D6A98" w:rsidP="000D6A98">
      <w:pPr>
        <w:numPr>
          <w:ilvl w:val="0"/>
          <w:numId w:val="71"/>
        </w:numPr>
        <w:rPr>
          <w:rFonts w:eastAsia="Times New Roman" w:cs="Times New Roman"/>
          <w:szCs w:val="24"/>
          <w:lang w:eastAsia="zh-CN"/>
        </w:rPr>
      </w:pPr>
      <w:r w:rsidRPr="00EA6851">
        <w:rPr>
          <w:rFonts w:eastAsia="Times New Roman" w:cs="Times New Roman"/>
          <w:szCs w:val="24"/>
          <w:lang w:eastAsia="zh-CN"/>
        </w:rPr>
        <w:t>4,7 млн. лв. -   ефект от увеличението на МРЗ от 780 лв. на 933 лв., във връзка с изплащането на възнагражденията на вещи лица и съдебни заседатели, които са обвързани с МРЗ на о</w:t>
      </w:r>
      <w:r w:rsidR="00DD2CAA" w:rsidRPr="00EA6851">
        <w:rPr>
          <w:rFonts w:eastAsia="Times New Roman" w:cs="Times New Roman"/>
          <w:szCs w:val="24"/>
          <w:lang w:eastAsia="zh-CN"/>
        </w:rPr>
        <w:t>снование Наредба № 2 от 29 юни</w:t>
      </w:r>
      <w:r w:rsidRPr="00EA6851">
        <w:rPr>
          <w:rFonts w:eastAsia="Times New Roman" w:cs="Times New Roman"/>
          <w:szCs w:val="24"/>
          <w:lang w:eastAsia="zh-CN"/>
        </w:rPr>
        <w:t xml:space="preserve"> 2015 г. за вписването, квалификацията и възнагражденията на вещите лица;</w:t>
      </w:r>
    </w:p>
    <w:p w:rsidR="000D6A98" w:rsidRPr="00EA6851" w:rsidRDefault="000D6A98" w:rsidP="000D6A98">
      <w:pPr>
        <w:numPr>
          <w:ilvl w:val="0"/>
          <w:numId w:val="71"/>
        </w:numPr>
        <w:rPr>
          <w:rFonts w:eastAsia="Times New Roman" w:cs="Times New Roman"/>
          <w:szCs w:val="24"/>
          <w:lang w:eastAsia="zh-CN"/>
        </w:rPr>
      </w:pPr>
      <w:r w:rsidRPr="00EA6851">
        <w:rPr>
          <w:rFonts w:eastAsia="Times New Roman" w:cs="Times New Roman"/>
          <w:szCs w:val="24"/>
          <w:lang w:eastAsia="zh-CN"/>
        </w:rPr>
        <w:t>6,2 млн. лв. - ефект от увеличението на максималния осигурителен доход от 3 400 лв. на 3 750 лв.;</w:t>
      </w:r>
    </w:p>
    <w:p w:rsidR="000D6A98" w:rsidRPr="00EA6851" w:rsidRDefault="000D6A98" w:rsidP="000D6A98">
      <w:pPr>
        <w:numPr>
          <w:ilvl w:val="0"/>
          <w:numId w:val="71"/>
        </w:numPr>
        <w:rPr>
          <w:rFonts w:eastAsia="Times New Roman" w:cs="Times New Roman"/>
          <w:szCs w:val="24"/>
          <w:lang w:eastAsia="zh-CN"/>
        </w:rPr>
      </w:pPr>
      <w:r w:rsidRPr="00EA6851">
        <w:rPr>
          <w:rFonts w:eastAsia="Times New Roman" w:cs="Times New Roman"/>
          <w:szCs w:val="24"/>
          <w:lang w:eastAsia="zh-CN"/>
        </w:rPr>
        <w:t>1,9 млн. лв. - в изпълнение на инвестиция C10.I5 „Подкрепа на въвеждането на  задължителна съдебна медиация“, включена в Националния план за възстановяване и устойчивост;</w:t>
      </w:r>
    </w:p>
    <w:p w:rsidR="000D6A98" w:rsidRPr="00EA6851" w:rsidRDefault="000D6A98" w:rsidP="000D6A98">
      <w:pPr>
        <w:numPr>
          <w:ilvl w:val="0"/>
          <w:numId w:val="71"/>
        </w:numPr>
        <w:rPr>
          <w:rFonts w:eastAsia="Times New Roman" w:cs="Times New Roman"/>
          <w:szCs w:val="24"/>
          <w:lang w:eastAsia="zh-CN"/>
        </w:rPr>
      </w:pPr>
      <w:r w:rsidRPr="00EA6851">
        <w:rPr>
          <w:rFonts w:eastAsia="Times New Roman" w:cs="Times New Roman"/>
          <w:szCs w:val="24"/>
          <w:lang w:eastAsia="zh-CN"/>
        </w:rPr>
        <w:t>1,0 млн. лв. - за електронна система за случайно разпределение на делата.</w:t>
      </w:r>
    </w:p>
    <w:p w:rsidR="000D6A98" w:rsidRPr="00EA6851" w:rsidRDefault="000D6A98" w:rsidP="000D6A98">
      <w:pPr>
        <w:rPr>
          <w:rFonts w:eastAsia="Times New Roman" w:cs="Times New Roman"/>
          <w:szCs w:val="24"/>
          <w:lang w:eastAsia="zh-CN"/>
        </w:rPr>
      </w:pPr>
      <w:r w:rsidRPr="00EA6851">
        <w:rPr>
          <w:rFonts w:eastAsia="Times New Roman" w:cs="Times New Roman"/>
          <w:b/>
          <w:szCs w:val="24"/>
          <w:lang w:eastAsia="zh-CN"/>
        </w:rPr>
        <w:t xml:space="preserve">Политика в областта на вътрешния ред и сигурността. </w:t>
      </w:r>
      <w:r w:rsidRPr="00EA6851">
        <w:rPr>
          <w:rFonts w:eastAsia="Times New Roman" w:cs="Times New Roman"/>
          <w:szCs w:val="24"/>
          <w:lang w:eastAsia="zh-CN"/>
        </w:rPr>
        <w:t>В проекта на държавен бюджет за системата на МВР за 2024 г. са предвидени допълнителни средства спрямо ЗДБРБ за 2023 г., както следва:</w:t>
      </w:r>
    </w:p>
    <w:p w:rsidR="000D6A98" w:rsidRPr="00EA6851" w:rsidRDefault="000D6A98" w:rsidP="000D6A98">
      <w:pPr>
        <w:numPr>
          <w:ilvl w:val="0"/>
          <w:numId w:val="71"/>
        </w:numPr>
        <w:rPr>
          <w:rFonts w:eastAsia="Times New Roman" w:cs="Times New Roman"/>
          <w:szCs w:val="24"/>
          <w:lang w:eastAsia="zh-CN"/>
        </w:rPr>
      </w:pPr>
      <w:r w:rsidRPr="00EA6851">
        <w:rPr>
          <w:rFonts w:eastAsia="Times New Roman" w:cs="Times New Roman"/>
          <w:szCs w:val="24"/>
          <w:lang w:eastAsia="zh-CN"/>
        </w:rPr>
        <w:t>367,3 млн. лв. - увеличение на разходите за персонал в резултат от увелич</w:t>
      </w:r>
      <w:r w:rsidR="00DD2CAA" w:rsidRPr="00EA6851">
        <w:rPr>
          <w:rFonts w:eastAsia="Times New Roman" w:cs="Times New Roman"/>
          <w:szCs w:val="24"/>
          <w:lang w:eastAsia="zh-CN"/>
        </w:rPr>
        <w:t>ението на възнагражденията с 10</w:t>
      </w:r>
      <w:r w:rsidRPr="00EA6851">
        <w:rPr>
          <w:rFonts w:eastAsia="Times New Roman" w:cs="Times New Roman"/>
          <w:szCs w:val="24"/>
          <w:lang w:eastAsia="zh-CN"/>
        </w:rPr>
        <w:t xml:space="preserve">%, считано от </w:t>
      </w:r>
      <w:r w:rsidR="00F92E95">
        <w:rPr>
          <w:rFonts w:eastAsia="Times New Roman" w:cs="Times New Roman"/>
          <w:szCs w:val="24"/>
          <w:lang w:eastAsia="zh-CN"/>
        </w:rPr>
        <w:t xml:space="preserve">1 август </w:t>
      </w:r>
      <w:r w:rsidRPr="00EA6851">
        <w:rPr>
          <w:rFonts w:eastAsia="Times New Roman" w:cs="Times New Roman"/>
          <w:szCs w:val="24"/>
          <w:lang w:eastAsia="zh-CN"/>
        </w:rPr>
        <w:t>2023 г., в изпълнение чл.</w:t>
      </w:r>
      <w:r w:rsidR="00F92E95">
        <w:rPr>
          <w:rFonts w:eastAsia="Times New Roman" w:cs="Times New Roman"/>
          <w:szCs w:val="24"/>
          <w:lang w:eastAsia="zh-CN"/>
        </w:rPr>
        <w:t xml:space="preserve"> </w:t>
      </w:r>
      <w:r w:rsidRPr="00EA6851">
        <w:rPr>
          <w:rFonts w:eastAsia="Times New Roman" w:cs="Times New Roman"/>
          <w:szCs w:val="24"/>
          <w:lang w:eastAsia="zh-CN"/>
        </w:rPr>
        <w:t>1, ал. 5, т. 9.1. от ЗДБРБ за 2023 г. (в целогодишен размер), за компенсиране на новия размер на минималната работна заплата и на максималния осигурителен доход през 2024 г.;</w:t>
      </w:r>
    </w:p>
    <w:p w:rsidR="00B87C27" w:rsidRPr="00EA6851" w:rsidRDefault="00B87C27" w:rsidP="00B87C27">
      <w:pPr>
        <w:pStyle w:val="ListParagraph"/>
        <w:numPr>
          <w:ilvl w:val="0"/>
          <w:numId w:val="71"/>
        </w:numPr>
        <w:rPr>
          <w:rFonts w:eastAsia="Times New Roman" w:cs="Times New Roman"/>
          <w:szCs w:val="24"/>
          <w:lang w:eastAsia="zh-CN"/>
        </w:rPr>
      </w:pPr>
      <w:r w:rsidRPr="00EA6851">
        <w:rPr>
          <w:rFonts w:eastAsia="Times New Roman" w:cs="Times New Roman"/>
          <w:szCs w:val="24"/>
          <w:lang w:eastAsia="zh-CN"/>
        </w:rPr>
        <w:t>12,5 млн. лв. - увеличение на разходите по показател „Издръжка“, в т.ч</w:t>
      </w:r>
      <w:r w:rsidR="005A771E" w:rsidRPr="00EA6851">
        <w:rPr>
          <w:rFonts w:eastAsia="Times New Roman" w:cs="Times New Roman"/>
          <w:szCs w:val="24"/>
          <w:lang w:eastAsia="zh-CN"/>
        </w:rPr>
        <w:t xml:space="preserve">. </w:t>
      </w:r>
      <w:r w:rsidRPr="00EA6851">
        <w:rPr>
          <w:rFonts w:eastAsia="Times New Roman" w:cs="Times New Roman"/>
          <w:szCs w:val="24"/>
          <w:lang w:eastAsia="zh-CN"/>
        </w:rPr>
        <w:t>във връзка с промените в Наредбата за командировъчните средства при задграничен мандат (съгласно ПМС № 164 от  2023 г.);</w:t>
      </w:r>
    </w:p>
    <w:p w:rsidR="000D6A98" w:rsidRPr="00EA6851" w:rsidRDefault="000D6A98" w:rsidP="000D6A98">
      <w:pPr>
        <w:numPr>
          <w:ilvl w:val="0"/>
          <w:numId w:val="71"/>
        </w:numPr>
        <w:rPr>
          <w:rFonts w:eastAsia="Times New Roman" w:cs="Times New Roman"/>
          <w:szCs w:val="24"/>
          <w:lang w:eastAsia="zh-CN"/>
        </w:rPr>
      </w:pPr>
      <w:r w:rsidRPr="00EA6851">
        <w:rPr>
          <w:rFonts w:eastAsia="Times New Roman" w:cs="Times New Roman"/>
          <w:szCs w:val="24"/>
          <w:lang w:eastAsia="zh-CN"/>
        </w:rPr>
        <w:t>50,0 млн. лв. - във връзка с дейностите</w:t>
      </w:r>
      <w:r w:rsidR="00B87C27" w:rsidRPr="00EA6851">
        <w:rPr>
          <w:rFonts w:eastAsia="Times New Roman" w:cs="Times New Roman"/>
          <w:szCs w:val="24"/>
          <w:lang w:eastAsia="zh-CN"/>
        </w:rPr>
        <w:t>,</w:t>
      </w:r>
      <w:r w:rsidRPr="00EA6851">
        <w:rPr>
          <w:rFonts w:eastAsia="Times New Roman" w:cs="Times New Roman"/>
          <w:szCs w:val="24"/>
          <w:lang w:eastAsia="zh-CN"/>
        </w:rPr>
        <w:t xml:space="preserve"> свързани с държавната граница, в т.ч. за изграждане на радио-локационна система за детекция и класификация на ниско летящи обекти до 3 хил. м;</w:t>
      </w:r>
    </w:p>
    <w:p w:rsidR="000D6A98" w:rsidRPr="00EA6851" w:rsidRDefault="000D6A98" w:rsidP="000D6A98">
      <w:pPr>
        <w:numPr>
          <w:ilvl w:val="0"/>
          <w:numId w:val="71"/>
        </w:numPr>
        <w:rPr>
          <w:rFonts w:eastAsia="Times New Roman" w:cs="Times New Roman"/>
          <w:szCs w:val="24"/>
          <w:lang w:eastAsia="zh-CN"/>
        </w:rPr>
      </w:pPr>
      <w:r w:rsidRPr="00EA6851">
        <w:rPr>
          <w:rFonts w:eastAsia="Times New Roman" w:cs="Times New Roman"/>
          <w:szCs w:val="24"/>
          <w:lang w:eastAsia="zh-CN"/>
        </w:rPr>
        <w:t>7,0 млн. лв. - за извънгаранционно поддържане на временното възпрепятстващо съоръжение по българо-турската граница и допълнителни дейности по ремонт и надграждане.</w:t>
      </w:r>
    </w:p>
    <w:p w:rsidR="000D6A98" w:rsidRPr="00EA6851" w:rsidRDefault="000D6A98" w:rsidP="000D6A98">
      <w:pPr>
        <w:rPr>
          <w:rFonts w:eastAsia="Times New Roman" w:cs="Times New Roman"/>
          <w:szCs w:val="24"/>
          <w:lang w:eastAsia="zh-CN"/>
        </w:rPr>
      </w:pPr>
      <w:r w:rsidRPr="00EA6851">
        <w:rPr>
          <w:rFonts w:eastAsia="Times New Roman" w:cs="Times New Roman"/>
          <w:b/>
          <w:szCs w:val="24"/>
          <w:lang w:eastAsia="zh-CN"/>
        </w:rPr>
        <w:t>Политика в областта на правосъдието</w:t>
      </w:r>
      <w:r w:rsidRPr="00EA6851">
        <w:rPr>
          <w:rFonts w:eastAsia="Times New Roman" w:cs="Times New Roman"/>
          <w:szCs w:val="24"/>
          <w:lang w:eastAsia="zh-CN"/>
        </w:rPr>
        <w:t xml:space="preserve">. За тригодишния период 2024-2026 г. ще се предприемат законодателни мерки, свързани с приоритета на Министерството на правосъдието да се реформира и подобри работата на съдебната система за постигане на достъпно, предвидимо, бързо и справедливо правосъдие, за възстановяване на справедливостта в обществото, което да гарантира правовия ред в страната, постигане на конкретни резултати в борбата с престъпността и ефективно справяне с корупцията. </w:t>
      </w:r>
    </w:p>
    <w:p w:rsidR="000D6A98" w:rsidRPr="00EA6851" w:rsidRDefault="000D6A98" w:rsidP="000D6A98">
      <w:pPr>
        <w:rPr>
          <w:rFonts w:eastAsia="Times New Roman" w:cs="Times New Roman"/>
          <w:szCs w:val="24"/>
          <w:lang w:eastAsia="zh-CN"/>
        </w:rPr>
      </w:pPr>
      <w:r w:rsidRPr="00EA6851">
        <w:rPr>
          <w:rFonts w:eastAsia="Times New Roman" w:cs="Times New Roman"/>
          <w:szCs w:val="24"/>
          <w:lang w:eastAsia="zh-CN"/>
        </w:rPr>
        <w:t>По проекта на бюджет с актуализираната средносрочна бюджетна прогноза за периода 2024-2026 г. за Министерството на правосъдието са предвидени допълнителни 1,0 млн. лв. за финансовото осигуряване на дейността на Националното бюро за правна помощ във връзка с разширяване кръга на лицата с достъп до правна помощ, както и въведените нови видове правна помощ, съгласно последните пром</w:t>
      </w:r>
      <w:r w:rsidR="00EB28A6">
        <w:rPr>
          <w:rFonts w:eastAsia="Times New Roman" w:cs="Times New Roman"/>
          <w:szCs w:val="24"/>
          <w:lang w:eastAsia="zh-CN"/>
        </w:rPr>
        <w:t>ени в Закона за правната помощ.</w:t>
      </w:r>
    </w:p>
    <w:p w:rsidR="000D6A98" w:rsidRPr="00EA6851" w:rsidRDefault="000D6A98" w:rsidP="000D6A98">
      <w:pPr>
        <w:rPr>
          <w:rFonts w:eastAsia="Times New Roman" w:cs="Times New Roman"/>
          <w:szCs w:val="24"/>
          <w:lang w:eastAsia="zh-CN"/>
        </w:rPr>
      </w:pPr>
      <w:r w:rsidRPr="00EA6851">
        <w:rPr>
          <w:rFonts w:eastAsia="Times New Roman" w:cs="Times New Roman"/>
          <w:b/>
          <w:szCs w:val="24"/>
          <w:lang w:eastAsia="zh-CN"/>
        </w:rPr>
        <w:t>Политика в областта на изпълнение на наказанията</w:t>
      </w:r>
      <w:r w:rsidRPr="00EA6851">
        <w:rPr>
          <w:rFonts w:eastAsia="Times New Roman" w:cs="Times New Roman"/>
          <w:szCs w:val="24"/>
          <w:lang w:eastAsia="zh-CN"/>
        </w:rPr>
        <w:t>. Политиката по изпълнение на наказаният</w:t>
      </w:r>
      <w:r w:rsidR="007C2F8F" w:rsidRPr="00EA6851">
        <w:rPr>
          <w:rFonts w:eastAsia="Times New Roman" w:cs="Times New Roman"/>
          <w:szCs w:val="24"/>
          <w:lang w:eastAsia="zh-CN"/>
        </w:rPr>
        <w:t>а за тригодишния период 2024-</w:t>
      </w:r>
      <w:r w:rsidRPr="00EA6851">
        <w:rPr>
          <w:rFonts w:eastAsia="Times New Roman" w:cs="Times New Roman"/>
          <w:szCs w:val="24"/>
          <w:lang w:eastAsia="zh-CN"/>
        </w:rPr>
        <w:t>2026 г. е насочена към по-нататъшното развитие, усъвършенстване и демократизиране на институциите на наказателно-изпълнителната система, като необходима предпоставка за хуманно третиране на закононарушителите и гаранция за спазването на правата на човека.</w:t>
      </w:r>
    </w:p>
    <w:p w:rsidR="000D6A98" w:rsidRPr="00EA6851" w:rsidRDefault="000D6A98" w:rsidP="000D6A98">
      <w:pPr>
        <w:rPr>
          <w:rFonts w:eastAsia="Times New Roman" w:cs="Times New Roman"/>
          <w:szCs w:val="24"/>
          <w:lang w:eastAsia="zh-CN"/>
        </w:rPr>
      </w:pPr>
      <w:r w:rsidRPr="00EA6851">
        <w:rPr>
          <w:rFonts w:eastAsia="Times New Roman" w:cs="Times New Roman"/>
          <w:szCs w:val="24"/>
          <w:lang w:eastAsia="zh-CN"/>
        </w:rPr>
        <w:t>По проекта на бюджет с актуализираната средносрочна бюджетна прогноза за периода 2024-2026 г. за Министерството на правосъдието са предвидени допълнителни 44,7 млн. лв. - за увеличение</w:t>
      </w:r>
      <w:r w:rsidR="00B87C27" w:rsidRPr="00EA6851">
        <w:rPr>
          <w:rFonts w:eastAsia="Times New Roman" w:cs="Times New Roman"/>
          <w:szCs w:val="24"/>
          <w:lang w:eastAsia="zh-CN"/>
        </w:rPr>
        <w:t>то</w:t>
      </w:r>
      <w:r w:rsidRPr="00EA6851">
        <w:rPr>
          <w:rFonts w:eastAsia="Times New Roman" w:cs="Times New Roman"/>
          <w:szCs w:val="24"/>
          <w:lang w:eastAsia="zh-CN"/>
        </w:rPr>
        <w:t xml:space="preserve"> на възнагражденията на персонала в системата на Министерството на</w:t>
      </w:r>
      <w:r w:rsidR="009A7F5D" w:rsidRPr="00EA6851">
        <w:rPr>
          <w:rFonts w:eastAsia="Times New Roman" w:cs="Times New Roman"/>
          <w:szCs w:val="24"/>
          <w:lang w:eastAsia="zh-CN"/>
        </w:rPr>
        <w:t xml:space="preserve"> правосъдието - </w:t>
      </w:r>
      <w:r w:rsidRPr="00EA6851">
        <w:rPr>
          <w:rFonts w:eastAsia="Times New Roman" w:cs="Times New Roman"/>
          <w:szCs w:val="24"/>
          <w:lang w:eastAsia="zh-CN"/>
        </w:rPr>
        <w:t>за Главна дирекция „Изпълнение на наказанията“ и за Главна дирекция „Охрана“, целогодишен ефект от извършените увеличения, считано от 1 август 2023 г.</w:t>
      </w:r>
    </w:p>
    <w:p w:rsidR="000D6A98" w:rsidRPr="00EA6851" w:rsidRDefault="000D6A98" w:rsidP="000D6A98">
      <w:pPr>
        <w:rPr>
          <w:rFonts w:eastAsia="Times New Roman" w:cs="Times New Roman"/>
          <w:szCs w:val="24"/>
          <w:lang w:eastAsia="zh-CN"/>
        </w:rPr>
      </w:pPr>
      <w:r w:rsidRPr="00EA6851">
        <w:rPr>
          <w:rFonts w:eastAsia="Times New Roman" w:cs="Times New Roman"/>
          <w:b/>
          <w:szCs w:val="24"/>
          <w:lang w:eastAsia="zh-CN"/>
        </w:rPr>
        <w:t>Политика в областта на електронното управление.</w:t>
      </w:r>
      <w:r w:rsidRPr="00EA6851">
        <w:rPr>
          <w:rFonts w:eastAsia="Times New Roman" w:cs="Times New Roman"/>
          <w:szCs w:val="24"/>
          <w:lang w:eastAsia="zh-CN"/>
        </w:rPr>
        <w:t xml:space="preserve"> Ключов приоритет на правителството на Република България е въвеждане на електронното управление като основна платформа за модернизация на държавата, фактор и неотменимо условие за успеха на секторните реформи, като за тази цел е осигурен финансов ресурс за поддръжка на Държавния хибриден частен облак и Единната електронна съобщителна мрежа</w:t>
      </w:r>
      <w:r w:rsidR="000F2B47" w:rsidRPr="000F2B47">
        <w:rPr>
          <w:rFonts w:eastAsia="Times New Roman" w:cs="Times New Roman"/>
          <w:szCs w:val="24"/>
          <w:lang w:eastAsia="zh-CN"/>
        </w:rPr>
        <w:t>, както и за изграждане на оптична свързаност на защитени пунктове за управление</w:t>
      </w:r>
      <w:r w:rsidRPr="00EA6851">
        <w:rPr>
          <w:rFonts w:eastAsia="Times New Roman" w:cs="Times New Roman"/>
          <w:szCs w:val="24"/>
          <w:lang w:eastAsia="zh-CN"/>
        </w:rPr>
        <w:t>.</w:t>
      </w:r>
    </w:p>
    <w:p w:rsidR="00603E09" w:rsidRPr="00EA6851" w:rsidRDefault="00603E09" w:rsidP="00603E09">
      <w:pPr>
        <w:rPr>
          <w:rFonts w:eastAsia="Times New Roman" w:cs="Times New Roman"/>
          <w:szCs w:val="24"/>
          <w:lang w:eastAsia="zh-CN"/>
        </w:rPr>
      </w:pPr>
      <w:r w:rsidRPr="00EA6851">
        <w:rPr>
          <w:rFonts w:eastAsia="Times New Roman" w:cs="Times New Roman"/>
          <w:szCs w:val="24"/>
          <w:lang w:eastAsia="zh-CN"/>
        </w:rPr>
        <w:t xml:space="preserve">По отношение на </w:t>
      </w:r>
      <w:r w:rsidRPr="00EA6851">
        <w:rPr>
          <w:rFonts w:eastAsia="Times New Roman" w:cs="Times New Roman"/>
          <w:b/>
          <w:szCs w:val="24"/>
          <w:lang w:eastAsia="zh-CN"/>
        </w:rPr>
        <w:t>средствата от ЕС</w:t>
      </w:r>
      <w:r w:rsidRPr="00EA6851">
        <w:rPr>
          <w:rFonts w:eastAsia="Times New Roman" w:cs="Times New Roman"/>
          <w:szCs w:val="24"/>
          <w:lang w:eastAsia="zh-CN"/>
        </w:rPr>
        <w:t xml:space="preserve"> в резултат на процедура</w:t>
      </w:r>
      <w:r w:rsidR="00DD7B67" w:rsidRPr="00EA6851">
        <w:rPr>
          <w:rFonts w:eastAsia="Times New Roman" w:cs="Times New Roman"/>
          <w:szCs w:val="24"/>
          <w:lang w:eastAsia="zh-CN"/>
        </w:rPr>
        <w:t>та</w:t>
      </w:r>
      <w:r w:rsidRPr="00EA6851">
        <w:rPr>
          <w:rFonts w:eastAsia="Times New Roman" w:cs="Times New Roman"/>
          <w:szCs w:val="24"/>
          <w:lang w:eastAsia="zh-CN"/>
        </w:rPr>
        <w:t xml:space="preserve"> по изготвяне на ревизирания НПВУ, в т.ч. и във връзка с глава REPowerEU и неговото одобрение от Съвета на Европейския съюз, при предоговарянето ще настъпят промени в стойностите на отделните траншове в зависимост от начина на преразпределяне на етапите и целите, включени в тях. </w:t>
      </w:r>
    </w:p>
    <w:p w:rsidR="00DB4A77" w:rsidRPr="00DA28DC" w:rsidRDefault="00DB4A77" w:rsidP="00DB4A77">
      <w:pPr>
        <w:rPr>
          <w:rFonts w:eastAsia="Times New Roman" w:cs="Times New Roman"/>
          <w:b/>
          <w:szCs w:val="24"/>
          <w:lang w:eastAsia="zh-CN"/>
        </w:rPr>
      </w:pPr>
    </w:p>
    <w:p w:rsidR="00695F98" w:rsidRPr="008F4214" w:rsidRDefault="006A0EBD" w:rsidP="002F4780">
      <w:pPr>
        <w:rPr>
          <w:rFonts w:eastAsia="Times New Roman"/>
          <w:bCs/>
          <w:szCs w:val="24"/>
          <w:lang w:eastAsia="zh-CN"/>
        </w:rPr>
        <w:sectPr w:rsidR="00695F98" w:rsidRPr="008F4214" w:rsidSect="00981C9E">
          <w:pgSz w:w="11906" w:h="16838" w:code="9"/>
          <w:pgMar w:top="1418" w:right="1418" w:bottom="851" w:left="1418" w:header="709" w:footer="709" w:gutter="0"/>
          <w:cols w:space="708"/>
          <w:titlePg/>
          <w:docGrid w:linePitch="360"/>
        </w:sectPr>
      </w:pPr>
      <w:r w:rsidRPr="006A0EBD">
        <w:rPr>
          <w:rFonts w:eastAsia="Times New Roman"/>
          <w:bCs/>
          <w:szCs w:val="24"/>
          <w:lang w:eastAsia="zh-CN"/>
        </w:rPr>
        <w:t xml:space="preserve"> </w:t>
      </w:r>
    </w:p>
    <w:bookmarkStart w:id="31" w:name="_Toc464224767"/>
    <w:bookmarkStart w:id="32" w:name="_Toc464225408"/>
    <w:bookmarkStart w:id="33" w:name="OLE_LINK24"/>
    <w:bookmarkStart w:id="34" w:name="OLE_LINK25"/>
    <w:bookmarkStart w:id="35" w:name="_Toc464458954"/>
    <w:bookmarkStart w:id="36" w:name="_Toc464459700"/>
    <w:bookmarkStart w:id="37" w:name="_Toc464460655"/>
    <w:bookmarkStart w:id="38" w:name="_Toc464463054"/>
    <w:bookmarkStart w:id="39" w:name="_Toc464464881"/>
    <w:bookmarkStart w:id="40" w:name="_Toc464465387"/>
    <w:bookmarkStart w:id="41" w:name="_Toc464465575"/>
    <w:bookmarkStart w:id="42" w:name="_Toc464466400"/>
    <w:bookmarkStart w:id="43" w:name="_Toc464466644"/>
    <w:bookmarkStart w:id="44" w:name="_Toc464466722"/>
    <w:bookmarkStart w:id="45" w:name="_Toc464470171"/>
    <w:bookmarkStart w:id="46" w:name="_Toc464470215"/>
    <w:bookmarkStart w:id="47" w:name="_Toc464644946"/>
    <w:bookmarkStart w:id="48" w:name="_Toc464646347"/>
    <w:bookmarkStart w:id="49" w:name="_Toc151557290"/>
    <w:p w:rsidR="00083361" w:rsidRPr="00A52E2F" w:rsidRDefault="00710C44" w:rsidP="00840F02">
      <w:pPr>
        <w:pStyle w:val="Heading1"/>
      </w:pPr>
      <w:r>
        <w:rPr>
          <w:noProof/>
        </w:rPr>
        <mc:AlternateContent>
          <mc:Choice Requires="wps">
            <w:drawing>
              <wp:anchor distT="0" distB="0" distL="114300" distR="114300" simplePos="0" relativeHeight="251643392" behindDoc="0" locked="0" layoutInCell="1" allowOverlap="1" wp14:anchorId="0E1B2EDE" wp14:editId="43E1B3AB">
                <wp:simplePos x="0" y="0"/>
                <wp:positionH relativeFrom="column">
                  <wp:posOffset>-900430</wp:posOffset>
                </wp:positionH>
                <wp:positionV relativeFrom="paragraph">
                  <wp:posOffset>1403350</wp:posOffset>
                </wp:positionV>
                <wp:extent cx="7560310" cy="0"/>
                <wp:effectExtent l="0" t="0" r="21590" b="19050"/>
                <wp:wrapNone/>
                <wp:docPr id="20" name="Straight Connector 20"/>
                <wp:cNvGraphicFramePr/>
                <a:graphic xmlns:a="http://schemas.openxmlformats.org/drawingml/2006/main">
                  <a:graphicData uri="http://schemas.microsoft.com/office/word/2010/wordprocessingShape">
                    <wps:wsp>
                      <wps:cNvCnPr/>
                      <wps:spPr>
                        <a:xfrm>
                          <a:off x="0" y="0"/>
                          <a:ext cx="7560310" cy="0"/>
                        </a:xfrm>
                        <a:prstGeom prst="line">
                          <a:avLst/>
                        </a:prstGeom>
                        <a:ln>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1D32C07" id="Straight Connector 20" o:spid="_x0000_s1026" style="position:absolute;z-index:251643392;visibility:visible;mso-wrap-style:square;mso-wrap-distance-left:9pt;mso-wrap-distance-top:0;mso-wrap-distance-right:9pt;mso-wrap-distance-bottom:0;mso-position-horizontal:absolute;mso-position-horizontal-relative:text;mso-position-vertical:absolute;mso-position-vertical-relative:text" from="-70.9pt,110.5pt" to="524.4pt,1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ImN80QEAAAkEAAAOAAAAZHJzL2Uyb0RvYy54bWysU8Fu3CAQvVfqPyDuXdsbNa2s9eawUXqp&#10;2lXTfADBwxoJGAR07f37DnjXidJKVaNcsAfmvXnzGDY3kzXsCCFqdB1vVjVn4CT22h06/vDz7sNn&#10;zmISrhcGHXT8BJHfbN+/24y+hTUOaHoIjEhcbEff8SEl31ZVlANYEVfowdGhwmBFojAcqj6Ikdit&#10;qdZ1fV2NGHofUEKMtHs7H/Jt4VcKZPquVITETMdJWyprKOtjXqvtRrSHIPyg5VmGeIUKK7SjogvV&#10;rUiC/Qr6DyqrZcCIKq0k2gqV0hJKD9RNU7/o5n4QHkovZE70i03x7Wjlt+M+MN13fE32OGHpju5T&#10;EPowJLZD58hBDIwOyanRx5YAO7cP5yj6fchtTyrY/KWG2FTcPS3uwpSYpM1PH6/rq4aqyMtZ9QT0&#10;IaYvgJbln44b7XLjohXHrzFRMUq9pORt4/Ia0ej+ThtTgjwysDOBHQVdtpASXLrKsgn7LJOijK5y&#10;M7P88pdOBmbmH6DIEBLcFAVlFF/yNmde4yg7wxSpWID1v4Hn/AyFMqb/A14QpTK6tICtdhj+Vj1N&#10;F8lqzr84MPedLXjE/lQutlhD81acO7+NPNDP4wJ/esHb3wAAAP//AwBQSwMEFAAGAAgAAAAhAF9t&#10;+L7gAAAADQEAAA8AAABkcnMvZG93bnJldi54bWxMj0FLw0AQhe+C/2EZwVu7SSwSYjZFxF68iLWo&#10;x212TNLuzobspon+eqcg6HHePN77XrmenRUnHELnSUG6TEAg1d501CjYvW4WOYgQNRltPaGCLwyw&#10;ri4vSl0YP9ELnraxERxCodAK2hj7QspQt+h0WPoeiX+ffnA68jk00gx64nBnZZYkt9Lpjrih1T0+&#10;tFgft6NTYN+fH/Pj98fh5qkf280Usvnw5pS6vprv70BEnOOfGc74jA4VM+39SCYIq2CRrlJmjwqy&#10;LOVVZ0uyylna/0qyKuX/FdUPAAAA//8DAFBLAQItABQABgAIAAAAIQC2gziS/gAAAOEBAAATAAAA&#10;AAAAAAAAAAAAAAAAAABbQ29udGVudF9UeXBlc10ueG1sUEsBAi0AFAAGAAgAAAAhADj9If/WAAAA&#10;lAEAAAsAAAAAAAAAAAAAAAAALwEAAF9yZWxzLy5yZWxzUEsBAi0AFAAGAAgAAAAhALwiY3zRAQAA&#10;CQQAAA4AAAAAAAAAAAAAAAAALgIAAGRycy9lMm9Eb2MueG1sUEsBAi0AFAAGAAgAAAAhAF9t+L7g&#10;AAAADQEAAA8AAAAAAAAAAAAAAAAAKwQAAGRycy9kb3ducmV2LnhtbFBLBQYAAAAABAAEAPMAAAA4&#10;BQAAAAA=&#10;" strokecolor="#b32c16 [3206]"/>
            </w:pict>
          </mc:Fallback>
        </mc:AlternateContent>
      </w:r>
      <w:r>
        <w:rPr>
          <w:noProof/>
        </w:rPr>
        <mc:AlternateContent>
          <mc:Choice Requires="wps">
            <w:drawing>
              <wp:anchor distT="0" distB="0" distL="114300" distR="114300" simplePos="0" relativeHeight="251639296" behindDoc="1" locked="0" layoutInCell="1" allowOverlap="1" wp14:anchorId="44B689BA" wp14:editId="29CE7FE9">
                <wp:simplePos x="0" y="0"/>
                <wp:positionH relativeFrom="column">
                  <wp:posOffset>-900430</wp:posOffset>
                </wp:positionH>
                <wp:positionV relativeFrom="paragraph">
                  <wp:posOffset>-900430</wp:posOffset>
                </wp:positionV>
                <wp:extent cx="7560860" cy="2304000"/>
                <wp:effectExtent l="0" t="0" r="2540" b="1270"/>
                <wp:wrapNone/>
                <wp:docPr id="19" name="Rectangle 19"/>
                <wp:cNvGraphicFramePr/>
                <a:graphic xmlns:a="http://schemas.openxmlformats.org/drawingml/2006/main">
                  <a:graphicData uri="http://schemas.microsoft.com/office/word/2010/wordprocessingShape">
                    <wps:wsp>
                      <wps:cNvSpPr/>
                      <wps:spPr>
                        <a:xfrm>
                          <a:off x="0" y="0"/>
                          <a:ext cx="7560860" cy="2304000"/>
                        </a:xfrm>
                        <a:prstGeom prst="rect">
                          <a:avLst/>
                        </a:prstGeom>
                        <a:solidFill>
                          <a:schemeClr val="accent3">
                            <a:lumMod val="20000"/>
                            <a:lumOff val="8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A7BF7CC" id="Rectangle 19" o:spid="_x0000_s1026" style="position:absolute;margin-left:-70.9pt;margin-top:-70.9pt;width:595.35pt;height:181.4pt;z-index:-251677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xrrQIAANAFAAAOAAAAZHJzL2Uyb0RvYy54bWysVN1P2zAQf5+0/8Hy+0hayldEiioQ0yQG&#10;CJh4No7dRLJ9nu027f76ne00dAxepr0kvs+f7+e7O7/YaEXWwvkOTE0nByUlwnBoOrOs6Y+n6y+n&#10;lPjATMMUGFHTrfD0Yv7503lvKzGFFlQjHMEkxle9rWkbgq2KwvNWaOYPwAqDRglOs4CiWxaNYz1m&#10;16qYluVx0YNrrAMuvEftVTbSecovpeDhTkovAlE1xbuF9HXp+xK/xfycVUvHbNvx4RrsH26hWWcQ&#10;dEx1xQIjK9f9lUp33IEHGQ446AKk7LhINWA1k/JNNY8tsyLVguR4O9Lk/19afru+d6Rr8O3OKDFM&#10;4xs9IGvMLJUgqEOCeusr9Hu0926QPB5jtRvpdPxjHWSTSN2OpIpNIByVJ0fH5ekxcs/RNj0sZ2WZ&#10;aC9ew63z4asATeKhpg7xE5lsfeMDQqLrziWieVBdc90plYTYKeJSObJm+MaMc2HCYQpXK/0dmqzH&#10;XsmwrEI19kRWn+7UCJF6LmZKgH+AKEN6ZGh6gjkiqIEIn2+mDPpHijIp6RS2SkQ/ZR6ERHaRhmkK&#10;HDH2bzvJppY1IquPPrxVShgzS8Qfcw8J3mNiEh8Qixv8Y6hIYzEG54o+uFgOHiMSMpgwBuvOgHuv&#10;MhVG5Oy/IylTE1l6gWaLvecgD6W3/LrD979hPtwzh1OIPYObJdzhRyrAB4DhREkL7td7+uiPw4FW&#10;Snqc6pr6nyvmBCXqm8GxOZvMZnENJGF2dDJFwe1bXvYtZqUvAZtqgjvM8nSM/kHtjtKBfsYFtIio&#10;aGKGI3ZNeXA74TLkbYMrjIvFIrnh6FsWbsyj5TF5ZDX299PmmTk7DEHA+bmF3QZg1ZtZyL4x0sBi&#10;FUB2aVBeeR34xrWR3n9YcXEv7cvJ63URz38DAAD//wMAUEsDBBQABgAIAAAAIQDfd0cJ4QAAAA4B&#10;AAAPAAAAZHJzL2Rvd25yZXYueG1sTI/BasMwEETvhf6D2EJviWxjmtS1HNJAbqHQtAXnplgb20Ra&#10;GUtx7H59lUvb2w47zLzJV6PRbMDetZYExPMIGFJlVUu1gM+P7WwJzHlJSmpLKGBCB6vi/i6XmbJX&#10;esdh72sWQshlUkDjfZdx7qoGjXRz2yGF38n2Rvog+5qrXl5DuNE8iaInbmRLoaGRHW4arM77ixGw&#10;WayncpHuyq+hOuzK17ftdPjWQjw+jOsXYB5H/2eGG35AhyIwHe2FlGNawCxO48Duf6+bJ0qXz8CO&#10;ApIkjoAXOf8/o/gBAAD//wMAUEsBAi0AFAAGAAgAAAAhALaDOJL+AAAA4QEAABMAAAAAAAAAAAAA&#10;AAAAAAAAAFtDb250ZW50X1R5cGVzXS54bWxQSwECLQAUAAYACAAAACEAOP0h/9YAAACUAQAACwAA&#10;AAAAAAAAAAAAAAAvAQAAX3JlbHMvLnJlbHNQSwECLQAUAAYACAAAACEA1jf8a60CAADQBQAADgAA&#10;AAAAAAAAAAAAAAAuAgAAZHJzL2Uyb0RvYy54bWxQSwECLQAUAAYACAAAACEA33dHCeEAAAAOAQAA&#10;DwAAAAAAAAAAAAAAAAAHBQAAZHJzL2Rvd25yZXYueG1sUEsFBgAAAAAEAAQA8wAAABUGAAAAAA==&#10;" fillcolor="#f8cec7 [662]" stroked="f" strokeweight="1pt"/>
            </w:pict>
          </mc:Fallback>
        </mc:AlternateContent>
      </w:r>
      <w:r w:rsidR="008E39D6">
        <w:br/>
      </w:r>
      <w:bookmarkStart w:id="50" w:name="_Toc465205488"/>
      <w:r w:rsidR="00083361" w:rsidRPr="008E39D6">
        <w:rPr>
          <w:color w:val="auto"/>
        </w:rPr>
        <w:t xml:space="preserve">Икономически перспективи за </w:t>
      </w:r>
      <w:r w:rsidR="00545946">
        <w:rPr>
          <w:color w:val="auto"/>
        </w:rPr>
        <w:t xml:space="preserve"> </w:t>
      </w:r>
      <w:r w:rsidR="00743450">
        <w:rPr>
          <w:color w:val="auto"/>
        </w:rPr>
        <w:t>периода 2023</w:t>
      </w:r>
      <w:r w:rsidR="007C2FAB">
        <w:rPr>
          <w:color w:val="auto"/>
        </w:rPr>
        <w:t>-202</w:t>
      </w:r>
      <w:r w:rsidR="00407F9F">
        <w:rPr>
          <w:color w:val="auto"/>
        </w:rPr>
        <w:t>6</w:t>
      </w:r>
      <w:r w:rsidR="00AA3035">
        <w:rPr>
          <w:color w:val="auto"/>
        </w:rPr>
        <w:t> г.</w:t>
      </w:r>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p>
    <w:p w:rsidR="00083361" w:rsidRPr="00AA3F66" w:rsidRDefault="00083361" w:rsidP="00911809">
      <w:pPr>
        <w:pStyle w:val="Heading2"/>
      </w:pPr>
      <w:bookmarkStart w:id="51" w:name="_Toc464225409"/>
      <w:bookmarkStart w:id="52" w:name="_Toc464458955"/>
      <w:bookmarkStart w:id="53" w:name="_Toc464459701"/>
      <w:bookmarkStart w:id="54" w:name="_Toc464460656"/>
      <w:bookmarkStart w:id="55" w:name="_Toc464463055"/>
      <w:bookmarkStart w:id="56" w:name="_Toc464464882"/>
      <w:bookmarkStart w:id="57" w:name="_Toc464465388"/>
      <w:bookmarkStart w:id="58" w:name="_Toc464465576"/>
      <w:bookmarkStart w:id="59" w:name="_Toc464466401"/>
      <w:bookmarkStart w:id="60" w:name="_Toc464466645"/>
      <w:bookmarkStart w:id="61" w:name="_Toc464644947"/>
      <w:bookmarkStart w:id="62" w:name="_Toc465205489"/>
      <w:bookmarkStart w:id="63" w:name="_Toc151557291"/>
      <w:r w:rsidRPr="00AA3F66">
        <w:t>ПРЕГЛЕД НА РАЗВИТИЕТО НА СВЕТОВНАТА И ЕВРОПЕЙСКАТА ИКОНОМИКА</w:t>
      </w:r>
      <w:bookmarkEnd w:id="51"/>
      <w:bookmarkEnd w:id="52"/>
      <w:bookmarkEnd w:id="53"/>
      <w:bookmarkEnd w:id="54"/>
      <w:bookmarkEnd w:id="55"/>
      <w:bookmarkEnd w:id="56"/>
      <w:bookmarkEnd w:id="57"/>
      <w:bookmarkEnd w:id="58"/>
      <w:bookmarkEnd w:id="59"/>
      <w:bookmarkEnd w:id="60"/>
      <w:bookmarkEnd w:id="61"/>
      <w:bookmarkEnd w:id="62"/>
      <w:bookmarkEnd w:id="63"/>
    </w:p>
    <w:p w:rsidR="008C1166" w:rsidRPr="00AA3F66" w:rsidRDefault="008C1166" w:rsidP="007F68EB">
      <w:pPr>
        <w:rPr>
          <w:rFonts w:eastAsiaTheme="minorHAnsi"/>
          <w:szCs w:val="24"/>
          <w:lang w:eastAsia="en-US"/>
        </w:rPr>
      </w:pPr>
      <w:r w:rsidRPr="00AA3F66">
        <w:rPr>
          <w:rFonts w:eastAsiaTheme="minorHAnsi"/>
          <w:szCs w:val="24"/>
          <w:lang w:eastAsia="en-US"/>
        </w:rPr>
        <w:t xml:space="preserve">Икономическият растеж в световен мащаб остава потиснат на фона на геополитическите конфликти в различни части на света. Това допълнително отлага завръщането към траекторията на икономическа активност от преди пандемията от COVID-19, особено в развиващите се страни. </w:t>
      </w:r>
      <w:r w:rsidR="000E480A" w:rsidRPr="00AA3F66">
        <w:rPr>
          <w:rFonts w:eastAsiaTheme="minorHAnsi"/>
          <w:szCs w:val="24"/>
          <w:lang w:eastAsia="en-US"/>
        </w:rPr>
        <w:t xml:space="preserve">Освен силната степен на неопределеност, все още високите цени на суровините и високите лихвени проценти, следствие от провежданата рестриктивна монетарна политика от страна на водещите централни банки, както и въведените мерки за фискална консолидация, са основни фактори допринесли за забавянето на икономическия растеж. </w:t>
      </w:r>
      <w:r w:rsidRPr="00AA3F66">
        <w:rPr>
          <w:rFonts w:eastAsiaTheme="minorHAnsi"/>
          <w:szCs w:val="24"/>
          <w:lang w:eastAsia="en-US"/>
        </w:rPr>
        <w:t xml:space="preserve">Растежът на БВП в ЕС и еврозоната остана по-нисък от очаквания в пролетната прогноза на ЕК. Същевременно инфлацията се задържа на по-високи нива от предвижданото. БВП на САЩ нарасна по-бързо от този в ЕС, като бе подкрепен от силното частно потребление, ръста на заетостта и ниската безработица. Слабото представяне на пазара на труда и потреблението на домакинствата доведоха до значително забавяне на растежа в Китай. </w:t>
      </w:r>
    </w:p>
    <w:p w:rsidR="008C1166" w:rsidRPr="00AA3F66" w:rsidRDefault="008C1166" w:rsidP="007F68EB">
      <w:pPr>
        <w:rPr>
          <w:rFonts w:eastAsiaTheme="minorHAnsi"/>
          <w:szCs w:val="24"/>
          <w:lang w:eastAsia="en-US"/>
        </w:rPr>
      </w:pPr>
    </w:p>
    <w:p w:rsidR="00463652" w:rsidRPr="00AA3F66" w:rsidRDefault="00A52E2F" w:rsidP="00784DDA">
      <w:pPr>
        <w:spacing w:before="120" w:after="0"/>
        <w:contextualSpacing/>
        <w:rPr>
          <w:rFonts w:eastAsia="Times New Roman"/>
          <w:b/>
          <w:bCs/>
          <w:lang w:eastAsia="zh-CN"/>
        </w:rPr>
      </w:pPr>
      <w:r w:rsidRPr="00AA3F66">
        <w:rPr>
          <w:rFonts w:eastAsia="Times New Roman"/>
          <w:b/>
          <w:bCs/>
          <w:lang w:eastAsia="zh-CN"/>
        </w:rPr>
        <w:t xml:space="preserve">Граф. </w:t>
      </w:r>
      <w:r w:rsidR="004627C6" w:rsidRPr="00AA3F66">
        <w:rPr>
          <w:rFonts w:eastAsia="Times New Roman"/>
          <w:b/>
          <w:bCs/>
          <w:lang w:eastAsia="zh-CN"/>
        </w:rPr>
        <w:fldChar w:fldCharType="begin"/>
      </w:r>
      <w:r w:rsidR="004627C6" w:rsidRPr="00AA3F66">
        <w:rPr>
          <w:rFonts w:eastAsia="Times New Roman"/>
          <w:b/>
          <w:bCs/>
          <w:lang w:eastAsia="zh-CN"/>
        </w:rPr>
        <w:instrText xml:space="preserve"> STYLEREF 1 \s </w:instrText>
      </w:r>
      <w:r w:rsidR="004627C6" w:rsidRPr="00AA3F66">
        <w:rPr>
          <w:rFonts w:eastAsia="Times New Roman"/>
          <w:b/>
          <w:bCs/>
          <w:lang w:eastAsia="zh-CN"/>
        </w:rPr>
        <w:fldChar w:fldCharType="separate"/>
      </w:r>
      <w:r w:rsidR="005A69ED">
        <w:rPr>
          <w:rFonts w:eastAsia="Times New Roman"/>
          <w:b/>
          <w:bCs/>
          <w:noProof/>
          <w:lang w:eastAsia="zh-CN"/>
        </w:rPr>
        <w:t>I</w:t>
      </w:r>
      <w:r w:rsidR="004627C6" w:rsidRPr="00AA3F66">
        <w:rPr>
          <w:rFonts w:eastAsia="Times New Roman"/>
          <w:b/>
          <w:bCs/>
          <w:lang w:eastAsia="zh-CN"/>
        </w:rPr>
        <w:fldChar w:fldCharType="end"/>
      </w:r>
      <w:r w:rsidR="005D7434" w:rsidRPr="00AA3F66">
        <w:rPr>
          <w:rFonts w:eastAsia="Times New Roman"/>
          <w:b/>
          <w:bCs/>
          <w:lang w:eastAsia="zh-CN"/>
        </w:rPr>
        <w:noBreakHyphen/>
      </w:r>
      <w:r w:rsidR="004627C6" w:rsidRPr="00AA3F66">
        <w:rPr>
          <w:rFonts w:eastAsia="Times New Roman"/>
          <w:b/>
          <w:bCs/>
          <w:lang w:eastAsia="zh-CN"/>
        </w:rPr>
        <w:fldChar w:fldCharType="begin"/>
      </w:r>
      <w:r w:rsidR="004627C6" w:rsidRPr="00AA3F66">
        <w:rPr>
          <w:rFonts w:eastAsia="Times New Roman"/>
          <w:b/>
          <w:bCs/>
          <w:lang w:eastAsia="zh-CN"/>
        </w:rPr>
        <w:instrText xml:space="preserve"> SEQ Граф. \* ARABIC \s 1 </w:instrText>
      </w:r>
      <w:r w:rsidR="004627C6" w:rsidRPr="00AA3F66">
        <w:rPr>
          <w:rFonts w:eastAsia="Times New Roman"/>
          <w:b/>
          <w:bCs/>
          <w:lang w:eastAsia="zh-CN"/>
        </w:rPr>
        <w:fldChar w:fldCharType="separate"/>
      </w:r>
      <w:r w:rsidR="005A69ED">
        <w:rPr>
          <w:rFonts w:eastAsia="Times New Roman"/>
          <w:b/>
          <w:bCs/>
          <w:noProof/>
          <w:lang w:eastAsia="zh-CN"/>
        </w:rPr>
        <w:t>1</w:t>
      </w:r>
      <w:r w:rsidR="004627C6" w:rsidRPr="00AA3F66">
        <w:rPr>
          <w:rFonts w:eastAsia="Times New Roman"/>
          <w:b/>
          <w:bCs/>
          <w:lang w:eastAsia="zh-CN"/>
        </w:rPr>
        <w:fldChar w:fldCharType="end"/>
      </w:r>
      <w:r w:rsidRPr="00AA3F66">
        <w:rPr>
          <w:rFonts w:eastAsia="Times New Roman"/>
          <w:b/>
          <w:bCs/>
          <w:lang w:eastAsia="zh-CN"/>
        </w:rPr>
        <w:t>:</w:t>
      </w:r>
      <w:r w:rsidRPr="00AA3F66">
        <w:rPr>
          <w:rFonts w:eastAsia="Times New Roman"/>
          <w:bCs/>
          <w:lang w:eastAsia="zh-CN"/>
        </w:rPr>
        <w:tab/>
      </w:r>
      <w:r w:rsidR="00190761" w:rsidRPr="00AA3F66">
        <w:rPr>
          <w:rFonts w:eastAsia="Times New Roman"/>
          <w:b/>
          <w:bCs/>
          <w:lang w:eastAsia="zh-CN"/>
        </w:rPr>
        <w:t>Реален БВП</w:t>
      </w:r>
      <w:r w:rsidR="00133661" w:rsidRPr="00AA3F66">
        <w:rPr>
          <w:rFonts w:eastAsia="Times New Roman"/>
          <w:b/>
          <w:bCs/>
          <w:lang w:eastAsia="zh-CN"/>
        </w:rPr>
        <w:t xml:space="preserve"> </w:t>
      </w:r>
    </w:p>
    <w:p w:rsidR="008C1166" w:rsidRPr="00AA3F66" w:rsidRDefault="007F68EB" w:rsidP="008C1166">
      <w:pPr>
        <w:spacing w:before="120" w:after="0"/>
        <w:ind w:firstLine="1418"/>
        <w:contextualSpacing/>
        <w:rPr>
          <w:sz w:val="22"/>
        </w:rPr>
      </w:pPr>
      <w:r w:rsidRPr="00AA3F66">
        <w:rPr>
          <w:sz w:val="22"/>
        </w:rPr>
        <w:t>(</w:t>
      </w:r>
      <w:r w:rsidRPr="00AA3F66">
        <w:rPr>
          <w:b/>
          <w:sz w:val="22"/>
        </w:rPr>
        <w:t>изменение спрямо същото тримесечие на предходната година, %</w:t>
      </w:r>
      <w:r w:rsidR="00745148" w:rsidRPr="00AA3F66">
        <w:rPr>
          <w:sz w:val="22"/>
        </w:rPr>
        <w:t>)</w:t>
      </w:r>
    </w:p>
    <w:p w:rsidR="00E15BB8" w:rsidRPr="00AA3F66" w:rsidRDefault="00E15BB8" w:rsidP="008C1166">
      <w:pPr>
        <w:spacing w:before="120" w:after="0"/>
        <w:ind w:firstLine="1418"/>
        <w:contextualSpacing/>
        <w:rPr>
          <w:sz w:val="22"/>
        </w:rPr>
      </w:pPr>
    </w:p>
    <w:p w:rsidR="00E15BB8" w:rsidRPr="00AA3F66" w:rsidRDefault="00E15BB8" w:rsidP="008909F9">
      <w:pPr>
        <w:spacing w:before="120" w:after="0"/>
        <w:contextualSpacing/>
        <w:jc w:val="center"/>
        <w:rPr>
          <w:sz w:val="22"/>
        </w:rPr>
      </w:pPr>
      <w:r w:rsidRPr="00AA3F66">
        <w:rPr>
          <w:noProof/>
        </w:rPr>
        <w:drawing>
          <wp:inline distT="0" distB="0" distL="0" distR="0" wp14:anchorId="720DD13A" wp14:editId="17209822">
            <wp:extent cx="5000625" cy="2276475"/>
            <wp:effectExtent l="0" t="0" r="9525" b="9525"/>
            <wp:docPr id="678" name="Chart 678"/>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7F68EB" w:rsidRPr="00AA3F66" w:rsidRDefault="00083361" w:rsidP="00E15BB8">
      <w:pPr>
        <w:spacing w:before="120" w:after="0"/>
        <w:ind w:right="1240"/>
        <w:jc w:val="right"/>
        <w:rPr>
          <w:sz w:val="18"/>
          <w:szCs w:val="18"/>
        </w:rPr>
      </w:pPr>
      <w:r w:rsidRPr="00AA3F66">
        <w:rPr>
          <w:sz w:val="18"/>
          <w:szCs w:val="18"/>
        </w:rPr>
        <w:t xml:space="preserve">Източник: </w:t>
      </w:r>
      <w:r w:rsidR="007F68EB" w:rsidRPr="00AA3F66">
        <w:rPr>
          <w:sz w:val="18"/>
          <w:szCs w:val="18"/>
        </w:rPr>
        <w:t>Евростат, Американско бюро за икономически анализи</w:t>
      </w:r>
    </w:p>
    <w:p w:rsidR="00083361" w:rsidRPr="00AA3F66" w:rsidRDefault="00083361" w:rsidP="003F2712">
      <w:pPr>
        <w:jc w:val="right"/>
        <w:rPr>
          <w:noProof/>
          <w:sz w:val="18"/>
          <w:szCs w:val="18"/>
        </w:rPr>
      </w:pPr>
    </w:p>
    <w:p w:rsidR="00083361" w:rsidRPr="00AA3F66" w:rsidRDefault="00083361" w:rsidP="00DE2BDB">
      <w:pPr>
        <w:pStyle w:val="Heading2"/>
      </w:pPr>
      <w:bookmarkStart w:id="64" w:name="_Toc464225411"/>
      <w:bookmarkStart w:id="65" w:name="_Toc464458957"/>
      <w:bookmarkStart w:id="66" w:name="_Toc464459703"/>
      <w:bookmarkStart w:id="67" w:name="_Toc464460658"/>
      <w:bookmarkStart w:id="68" w:name="_Toc464463057"/>
      <w:bookmarkStart w:id="69" w:name="_Toc464464884"/>
      <w:bookmarkStart w:id="70" w:name="_Toc464465390"/>
      <w:bookmarkStart w:id="71" w:name="_Toc464465578"/>
      <w:bookmarkStart w:id="72" w:name="_Toc464466403"/>
      <w:bookmarkStart w:id="73" w:name="_Toc464466647"/>
      <w:bookmarkStart w:id="74" w:name="_Toc464644949"/>
      <w:bookmarkStart w:id="75" w:name="_Toc465205490"/>
      <w:bookmarkStart w:id="76" w:name="_Toc151557292"/>
      <w:r w:rsidRPr="00AA3F66">
        <w:t>ПРЕГЛЕД НА РАЗВИТИЕТО НА НАЦИОНАЛНАТА ИКОНОМИКА</w:t>
      </w:r>
      <w:bookmarkEnd w:id="64"/>
      <w:bookmarkEnd w:id="65"/>
      <w:bookmarkEnd w:id="66"/>
      <w:bookmarkEnd w:id="67"/>
      <w:bookmarkEnd w:id="68"/>
      <w:bookmarkEnd w:id="69"/>
      <w:bookmarkEnd w:id="70"/>
      <w:bookmarkEnd w:id="71"/>
      <w:bookmarkEnd w:id="72"/>
      <w:bookmarkEnd w:id="73"/>
      <w:bookmarkEnd w:id="74"/>
      <w:bookmarkEnd w:id="75"/>
      <w:bookmarkEnd w:id="76"/>
    </w:p>
    <w:p w:rsidR="00083361" w:rsidRPr="00AA3F66" w:rsidRDefault="00C86F1A" w:rsidP="00676AFF">
      <w:pPr>
        <w:pStyle w:val="Heading3"/>
        <w:ind w:left="0"/>
        <w:rPr>
          <w:w w:val="90"/>
          <w:lang w:eastAsia="zh-CN"/>
        </w:rPr>
      </w:pPr>
      <w:r w:rsidRPr="00AA3F66">
        <w:rPr>
          <w:w w:val="90"/>
          <w:lang w:eastAsia="zh-CN"/>
        </w:rPr>
        <w:t>Брутен вътрешен продукт</w:t>
      </w:r>
    </w:p>
    <w:p w:rsidR="008C1166" w:rsidRPr="00AA3F66" w:rsidRDefault="008C1166" w:rsidP="008C1166">
      <w:pPr>
        <w:rPr>
          <w:szCs w:val="24"/>
        </w:rPr>
      </w:pPr>
      <w:r w:rsidRPr="00AA3F66">
        <w:rPr>
          <w:szCs w:val="24"/>
        </w:rPr>
        <w:t>През първото полугодие на 2023 г. реалният растеж на брутния вътрешен продукт на България достигна 2%. С положителен принос бяха потреблението и нетния</w:t>
      </w:r>
      <w:r w:rsidR="006E42D0" w:rsidRPr="00AA3F66">
        <w:rPr>
          <w:szCs w:val="24"/>
        </w:rPr>
        <w:t>т</w:t>
      </w:r>
      <w:r w:rsidRPr="00AA3F66">
        <w:rPr>
          <w:szCs w:val="24"/>
        </w:rPr>
        <w:t xml:space="preserve"> износ. Потреблението на домакинствата се повиши със 7,2%, подкрепено от подобрение на доверието на потребителите и растеж на кредитите. При публичното потребление бе отчетен спад от 1,5%. Инвестициите в основен капитал спаднаха с 3,6%, като намалението се дължеше на слаба частна инвестиционна активност, докато при публичните капиталови разходи бе отчетен растеж. С висок отрицателен принос за динамиката на БВП за полугодието бе изменението на запасите (-5,5 пр.п.). При износа на стоки и услуги също бе отчетено намаление (-1,3%), но то бе надминато от спада на вноса (-7%) и в резултат нетният износ бе с основен положителен принос за растежа на БВП. </w:t>
      </w:r>
    </w:p>
    <w:p w:rsidR="008C1166" w:rsidRPr="00AA3F66" w:rsidRDefault="008C1166" w:rsidP="007F68EB">
      <w:pPr>
        <w:rPr>
          <w:szCs w:val="24"/>
        </w:rPr>
      </w:pPr>
      <w:r w:rsidRPr="00AA3F66">
        <w:rPr>
          <w:szCs w:val="24"/>
        </w:rPr>
        <w:t xml:space="preserve">Брутната добавена стойност нарасна с 1,2% за периода януари-юни 2023 г. С основен принос бе сектор </w:t>
      </w:r>
      <w:r w:rsidRPr="00AA3F66">
        <w:rPr>
          <w:i/>
          <w:szCs w:val="24"/>
        </w:rPr>
        <w:t xml:space="preserve">търговия; транспорт; хотелиерство и ресторантьорство, </w:t>
      </w:r>
      <w:r w:rsidRPr="00AA3F66">
        <w:rPr>
          <w:szCs w:val="24"/>
        </w:rPr>
        <w:t>където бе отчетен растеж от 3,9%. Добавената стойност в строителството се повиши с 0,9%. При преработващата промишленост също бе отчетен растеж.</w:t>
      </w:r>
    </w:p>
    <w:p w:rsidR="00C86F1A" w:rsidRPr="00AA3F66" w:rsidRDefault="00083361" w:rsidP="00676AFF">
      <w:pPr>
        <w:pStyle w:val="Heading3"/>
        <w:ind w:left="0"/>
        <w:rPr>
          <w:w w:val="90"/>
          <w:lang w:eastAsia="zh-CN"/>
        </w:rPr>
      </w:pPr>
      <w:bookmarkStart w:id="77" w:name="_Toc464225413"/>
      <w:bookmarkStart w:id="78" w:name="_Toc464458959"/>
      <w:bookmarkStart w:id="79" w:name="_Toc464459705"/>
      <w:bookmarkStart w:id="80" w:name="_Toc464460660"/>
      <w:bookmarkStart w:id="81" w:name="_Toc464463059"/>
      <w:bookmarkStart w:id="82" w:name="_Toc464464886"/>
      <w:bookmarkStart w:id="83" w:name="_Toc464465392"/>
      <w:bookmarkStart w:id="84" w:name="_Toc464465580"/>
      <w:bookmarkStart w:id="85" w:name="_Toc464466405"/>
      <w:bookmarkStart w:id="86" w:name="_Toc464466649"/>
      <w:bookmarkStart w:id="87" w:name="_Toc464644951"/>
      <w:bookmarkStart w:id="88" w:name="_Toc465070442"/>
      <w:bookmarkStart w:id="89" w:name="_Toc465205492"/>
      <w:r w:rsidRPr="00AA3F66">
        <w:rPr>
          <w:w w:val="90"/>
          <w:lang w:eastAsia="zh-CN"/>
        </w:rPr>
        <w:t>П</w:t>
      </w:r>
      <w:r w:rsidR="00C86F1A" w:rsidRPr="00AA3F66">
        <w:rPr>
          <w:w w:val="90"/>
          <w:lang w:eastAsia="zh-CN"/>
        </w:rPr>
        <w:t>азар на труда и доходи</w:t>
      </w:r>
    </w:p>
    <w:p w:rsidR="00E15BB8" w:rsidRPr="00AA3F66" w:rsidRDefault="00E15BB8" w:rsidP="00E15BB8">
      <w:pPr>
        <w:rPr>
          <w:szCs w:val="24"/>
        </w:rPr>
      </w:pPr>
      <w:bookmarkStart w:id="90" w:name="_Toc464225414"/>
      <w:bookmarkStart w:id="91" w:name="_Toc464458960"/>
      <w:bookmarkStart w:id="92" w:name="_Toc464459706"/>
      <w:bookmarkStart w:id="93" w:name="_Toc464460661"/>
      <w:bookmarkStart w:id="94" w:name="_Toc464463060"/>
      <w:bookmarkStart w:id="95" w:name="_Toc464464887"/>
      <w:bookmarkStart w:id="96" w:name="_Toc464465393"/>
      <w:bookmarkStart w:id="97" w:name="_Toc464465581"/>
      <w:bookmarkStart w:id="98" w:name="_Toc464466406"/>
      <w:bookmarkStart w:id="99" w:name="_Toc464466650"/>
      <w:bookmarkStart w:id="100" w:name="_Toc464644952"/>
      <w:bookmarkStart w:id="101" w:name="_Toc465070443"/>
      <w:bookmarkStart w:id="102" w:name="_Toc465205493"/>
      <w:bookmarkEnd w:id="77"/>
      <w:bookmarkEnd w:id="78"/>
      <w:bookmarkEnd w:id="79"/>
      <w:bookmarkEnd w:id="80"/>
      <w:bookmarkEnd w:id="81"/>
      <w:bookmarkEnd w:id="82"/>
      <w:bookmarkEnd w:id="83"/>
      <w:bookmarkEnd w:id="84"/>
      <w:bookmarkEnd w:id="85"/>
      <w:bookmarkEnd w:id="86"/>
      <w:bookmarkEnd w:id="87"/>
      <w:bookmarkEnd w:id="88"/>
      <w:bookmarkEnd w:id="89"/>
      <w:r w:rsidRPr="00AA3F66">
        <w:rPr>
          <w:szCs w:val="24"/>
        </w:rPr>
        <w:t xml:space="preserve">През първата половина на 2023 г. броят на заетите в икономиката регистрира годишен ръст от 1,7%, като средно за периода те достигнаха 3462 хиляди души. Най-висок ръст на заетостта бе наблюдаван в строителството и услугите (съответно от 2,6% и 2,5%), докато в индустрията заетостта се запази почти на същото ниво както през първата половина на 2022 г. Аграрният сектор също отбеляза ръст на заетите от 0,8%. </w:t>
      </w:r>
    </w:p>
    <w:p w:rsidR="00E15BB8" w:rsidRPr="00AA3F66" w:rsidRDefault="00E15BB8" w:rsidP="00E15BB8">
      <w:pPr>
        <w:rPr>
          <w:szCs w:val="24"/>
        </w:rPr>
      </w:pPr>
      <w:r w:rsidRPr="00AA3F66">
        <w:rPr>
          <w:szCs w:val="24"/>
        </w:rPr>
        <w:t>Коефициентът на икономическа активност на населението между 15 и 64 г. се повиши до 73,7% за първата половина на 2023 г., а коефициентът на заетост бе 70,3%. Коефициентът на безработица намаля до 4,6%. Според данните на Агенцията по заетостта броят на регистрираните безработни в страната достигна в края на юни своя исторически минимум за последните 30 години, като през следващите месеци те се запазиха близо до достигнатото равнище. Недостигът на предлагане на труд продължи да бъде едно от основните ограничения за разширяване на производствената дейност според оценките на работодателите.</w:t>
      </w:r>
    </w:p>
    <w:p w:rsidR="00E15BB8" w:rsidRPr="00AA3F66" w:rsidRDefault="00E15BB8" w:rsidP="00E15BB8">
      <w:pPr>
        <w:rPr>
          <w:szCs w:val="24"/>
        </w:rPr>
      </w:pPr>
      <w:r w:rsidRPr="00AA3F66">
        <w:rPr>
          <w:szCs w:val="24"/>
        </w:rPr>
        <w:t>Успоредно с това се наблюдаваха първи сигнали, че спадът на безработицата, който бе отчитан почти без прекъсване от началото на 2021 г., е възможно да е достигнал точка на пречупване. Данните от Агенцията по заетостта показаха, че през юли и август броят на регистрираните безработни, макар и минимално, се е увеличил спрямо тези една година по-рано, а това е период на традиционно най-ниската безработица в рамките на дадена календарна година.</w:t>
      </w:r>
    </w:p>
    <w:p w:rsidR="00E15BB8" w:rsidRPr="00AA3F66" w:rsidRDefault="00E15BB8" w:rsidP="00E15BB8">
      <w:pPr>
        <w:rPr>
          <w:szCs w:val="24"/>
        </w:rPr>
      </w:pPr>
      <w:r w:rsidRPr="00AA3F66">
        <w:rPr>
          <w:szCs w:val="24"/>
        </w:rPr>
        <w:t xml:space="preserve">През първото полугодие на 2023 г. реалната производителност на труда, общо в икономиката, нарасна с 0,3%, като увеличението се дължеше най-вече на повишението на показателя в сектора на услугите и по-конкретно в </w:t>
      </w:r>
      <w:r w:rsidRPr="00AA3F66">
        <w:rPr>
          <w:i/>
          <w:szCs w:val="24"/>
        </w:rPr>
        <w:t>търговия; транспорт; хотелиерство и ресторантьорство</w:t>
      </w:r>
      <w:r w:rsidRPr="00AA3F66">
        <w:rPr>
          <w:szCs w:val="24"/>
        </w:rPr>
        <w:t xml:space="preserve">. </w:t>
      </w:r>
    </w:p>
    <w:p w:rsidR="00E15BB8" w:rsidRPr="00AA3F66" w:rsidRDefault="00E15BB8" w:rsidP="00E15BB8">
      <w:pPr>
        <w:rPr>
          <w:szCs w:val="24"/>
        </w:rPr>
      </w:pPr>
      <w:r w:rsidRPr="00AA3F66">
        <w:rPr>
          <w:szCs w:val="24"/>
        </w:rPr>
        <w:t>През разглеждания период, номиналният растеж на компенсацията на един нает беше 14,6% на годишна база. Най-висок бе ръстът на показателя в преработващата промишленост (27%), докато в услугите той остана относително нисък (11,2%). Поради по-високото увеличение на компенсацията на един нает спрямо ръста на производителността на труда, номиналните разходи за труд на единица продукция (НРТЕП) се увеличиха с 14,5% на годишна база. Тези развития отразяваха отчетените високи растежи на доходите от труд над производителността на труда в секторите индустрия, производство и строителство и допринесоха за увеличаване на натиска от страна на разходите за труд в тях. От друга страна, динамиката на реалните разходи за труд на единица продукция общо в икономиката беше положителна (1,8%), в резултат от силния растеж на разходите за единица труд.</w:t>
      </w:r>
    </w:p>
    <w:p w:rsidR="00E15BB8" w:rsidRPr="00AA3F66" w:rsidRDefault="00E15BB8" w:rsidP="007C3016">
      <w:pPr>
        <w:rPr>
          <w:szCs w:val="24"/>
        </w:rPr>
      </w:pPr>
      <w:r w:rsidRPr="00AA3F66">
        <w:rPr>
          <w:szCs w:val="24"/>
        </w:rPr>
        <w:t xml:space="preserve">Данните за средната работна заплата показват, че през първото полугодие на 2023 г. нейният ръст в частния сектор (18,2%) е надхвърлил този в обществения сектор (16,7%). Общо за икономиката, средната работна заплата се повиши със 17,8% в номинално изражение и успя да компенсира общото нарастване на потребителските цени в страната, като реалният ръст на показателя се запази положителен от 3,4% (дефлиран с ХИПЦ).  </w:t>
      </w:r>
    </w:p>
    <w:p w:rsidR="00083361" w:rsidRPr="00AA3F66" w:rsidRDefault="00083361" w:rsidP="00C56C6A">
      <w:pPr>
        <w:pStyle w:val="Heading3"/>
        <w:spacing w:before="120" w:after="200"/>
        <w:ind w:left="0"/>
        <w:rPr>
          <w:w w:val="90"/>
          <w:lang w:eastAsia="zh-CN"/>
        </w:rPr>
      </w:pPr>
      <w:r w:rsidRPr="00AA3F66">
        <w:rPr>
          <w:w w:val="90"/>
          <w:lang w:eastAsia="zh-CN"/>
        </w:rPr>
        <w:t>И</w:t>
      </w:r>
      <w:bookmarkEnd w:id="90"/>
      <w:bookmarkEnd w:id="91"/>
      <w:bookmarkEnd w:id="92"/>
      <w:bookmarkEnd w:id="93"/>
      <w:bookmarkEnd w:id="94"/>
      <w:bookmarkEnd w:id="95"/>
      <w:bookmarkEnd w:id="96"/>
      <w:bookmarkEnd w:id="97"/>
      <w:bookmarkEnd w:id="98"/>
      <w:bookmarkEnd w:id="99"/>
      <w:bookmarkEnd w:id="100"/>
      <w:bookmarkEnd w:id="101"/>
      <w:bookmarkEnd w:id="102"/>
      <w:r w:rsidR="00C86F1A" w:rsidRPr="00AA3F66">
        <w:rPr>
          <w:w w:val="90"/>
          <w:lang w:eastAsia="zh-CN"/>
        </w:rPr>
        <w:t>нфлация</w:t>
      </w:r>
    </w:p>
    <w:p w:rsidR="00327F98" w:rsidRPr="00AA3F66" w:rsidRDefault="00327F98" w:rsidP="002962FE">
      <w:pPr>
        <w:rPr>
          <w:rFonts w:eastAsia="Calibri"/>
          <w:bCs/>
          <w:szCs w:val="24"/>
        </w:rPr>
      </w:pPr>
      <w:bookmarkStart w:id="103" w:name="_Toc464225415"/>
      <w:bookmarkStart w:id="104" w:name="_Toc464458961"/>
      <w:bookmarkStart w:id="105" w:name="_Toc464459707"/>
      <w:bookmarkStart w:id="106" w:name="_Toc464460662"/>
      <w:bookmarkStart w:id="107" w:name="_Toc464463061"/>
      <w:bookmarkStart w:id="108" w:name="_Toc464464888"/>
      <w:bookmarkStart w:id="109" w:name="_Toc464465394"/>
      <w:bookmarkStart w:id="110" w:name="_Toc464465582"/>
      <w:bookmarkStart w:id="111" w:name="_Toc464466407"/>
      <w:bookmarkStart w:id="112" w:name="_Toc464466651"/>
      <w:bookmarkStart w:id="113" w:name="_Toc464644953"/>
      <w:bookmarkStart w:id="114" w:name="_Toc465070444"/>
      <w:bookmarkStart w:id="115" w:name="_Toc465205494"/>
      <w:r w:rsidRPr="00AA3F66">
        <w:rPr>
          <w:rFonts w:eastAsia="Calibri"/>
          <w:bCs/>
          <w:szCs w:val="24"/>
        </w:rPr>
        <w:t>От последното тримесечие на 2022 г. в страната е налице тенденция към намаление на годишния темп на инфлация, според ХИПЦ, който се забави до 6,4% през септември 2023 г. Забавянето на инфлационните процеси в страната се дължи в най-голяма степен на тенденцията на намаление на международните цени на суровините през първото полугодие, както и на базов ефект от ускореното поскъпване през предходната година. Във връзка с описаните тенденции, забавяне в темпа на поскъпване бе наблюдавано при всички основни компоненти на ХИПЦ, с изключение на групата алкохол и тютюневи изделия, след като през март 2023 г. бяха въведени по-високи акцизни ставки за цигарите. С най-висок положителен принос за формиране на инфлацията към септември бяха храните, следвани от услугите и неенергийните промишлени стоки, докато енергийните продукти допринесоха отрицателно. Базисната инфлация</w:t>
      </w:r>
      <w:r w:rsidRPr="00AA3F66">
        <w:rPr>
          <w:rFonts w:eastAsia="Calibri"/>
          <w:bCs/>
          <w:szCs w:val="24"/>
          <w:vertAlign w:val="superscript"/>
        </w:rPr>
        <w:footnoteReference w:id="2"/>
      </w:r>
      <w:r w:rsidRPr="00AA3F66">
        <w:rPr>
          <w:rFonts w:eastAsia="Calibri"/>
          <w:bCs/>
          <w:szCs w:val="24"/>
        </w:rPr>
        <w:t xml:space="preserve"> се понижи до 7,6% на годишна база по линия на забавяне в темпа на поскъпване най-вече при транспортните услуги и хранене извън дома, както и потребителските стоки с по-дълготраен характер.</w:t>
      </w:r>
    </w:p>
    <w:p w:rsidR="00083361" w:rsidRPr="00AA3F66" w:rsidRDefault="00083361" w:rsidP="00C56C6A">
      <w:pPr>
        <w:pStyle w:val="Heading3"/>
        <w:spacing w:before="120" w:after="200"/>
        <w:ind w:left="0"/>
        <w:rPr>
          <w:w w:val="90"/>
          <w:lang w:eastAsia="zh-CN"/>
        </w:rPr>
      </w:pPr>
      <w:r w:rsidRPr="00AA3F66">
        <w:rPr>
          <w:w w:val="90"/>
          <w:lang w:eastAsia="zh-CN"/>
        </w:rPr>
        <w:t>П</w:t>
      </w:r>
      <w:bookmarkEnd w:id="103"/>
      <w:bookmarkEnd w:id="104"/>
      <w:bookmarkEnd w:id="105"/>
      <w:bookmarkEnd w:id="106"/>
      <w:bookmarkEnd w:id="107"/>
      <w:bookmarkEnd w:id="108"/>
      <w:bookmarkEnd w:id="109"/>
      <w:bookmarkEnd w:id="110"/>
      <w:bookmarkEnd w:id="111"/>
      <w:bookmarkEnd w:id="112"/>
      <w:bookmarkEnd w:id="113"/>
      <w:bookmarkEnd w:id="114"/>
      <w:bookmarkEnd w:id="115"/>
      <w:r w:rsidR="00C86F1A" w:rsidRPr="00AA3F66">
        <w:rPr>
          <w:w w:val="90"/>
          <w:lang w:eastAsia="zh-CN"/>
        </w:rPr>
        <w:t>латежен баланс</w:t>
      </w:r>
    </w:p>
    <w:p w:rsidR="00E15BB8" w:rsidRPr="00AA3F66" w:rsidRDefault="00E15BB8" w:rsidP="00327F98">
      <w:pPr>
        <w:rPr>
          <w:szCs w:val="24"/>
        </w:rPr>
      </w:pPr>
      <w:bookmarkStart w:id="116" w:name="_Toc464225416"/>
      <w:bookmarkStart w:id="117" w:name="_Toc464458962"/>
      <w:bookmarkStart w:id="118" w:name="_Toc464459708"/>
      <w:bookmarkStart w:id="119" w:name="_Toc464460663"/>
      <w:bookmarkStart w:id="120" w:name="_Toc464463062"/>
      <w:bookmarkStart w:id="121" w:name="_Toc464464889"/>
      <w:bookmarkStart w:id="122" w:name="_Toc464465395"/>
      <w:bookmarkStart w:id="123" w:name="_Toc464465583"/>
      <w:bookmarkStart w:id="124" w:name="_Toc464466408"/>
      <w:bookmarkStart w:id="125" w:name="_Toc464466652"/>
      <w:bookmarkStart w:id="126" w:name="_Toc464644954"/>
      <w:bookmarkStart w:id="127" w:name="_Toc465070445"/>
      <w:bookmarkStart w:id="128" w:name="_Toc465205495"/>
      <w:r w:rsidRPr="00AA3F66">
        <w:rPr>
          <w:szCs w:val="24"/>
        </w:rPr>
        <w:t xml:space="preserve">Геополитическите конфликти в глобален план, понижението на международните цени на суровините и високите лихвени проценти се отразиха съществено върху външната търговия на България. За първите осем месеца на годината при износа на стоки бе отчетен номинален спад от 9,2%. Спадът на вноса достигна 8,8%. Основен принос за понижението както на износа, така и на вноса имаха енергийните продукти и някои видове метали, като динамиката в значителна степен бе повлияна от спада на международните цени. Търговският дефицит за периода януари-август 2023 г. се сви до 2,4% от БВП или с 0,4 пр.п. спрямо същия период на предходната година. През първите осем месеца на годината приходите от посещения на чужденци в страната се увеличиха с 19,8%, което наред с увеличението на износа на </w:t>
      </w:r>
      <w:r w:rsidRPr="00AA3F66">
        <w:rPr>
          <w:i/>
          <w:szCs w:val="24"/>
        </w:rPr>
        <w:t>далекосъобщителни, компютърни и информационни услуги</w:t>
      </w:r>
      <w:r w:rsidRPr="00AA3F66">
        <w:rPr>
          <w:szCs w:val="24"/>
        </w:rPr>
        <w:t xml:space="preserve"> подпомогна нарастването на излишъка по статия услуги до 4,7% от прогнозния БВП. Общият дефицит по доходните статии се запази почти непроменен от 1% от прогнозния БВП. В резултат, през първите осем месеца на 2023 г. излишъкът по текущата сметка се увеличи до 1,3% от прогнозния БВП спрямо дефицит от 0,3% от БВП за същия период на 2022 г. </w:t>
      </w:r>
    </w:p>
    <w:p w:rsidR="00083361" w:rsidRPr="00AA3F66" w:rsidRDefault="00083361" w:rsidP="00C56C6A">
      <w:pPr>
        <w:pStyle w:val="Heading3"/>
        <w:spacing w:before="120" w:after="200"/>
        <w:ind w:left="0"/>
        <w:rPr>
          <w:w w:val="90"/>
          <w:lang w:eastAsia="zh-CN"/>
        </w:rPr>
      </w:pPr>
      <w:r w:rsidRPr="00AA3F66">
        <w:rPr>
          <w:w w:val="90"/>
          <w:lang w:eastAsia="zh-CN"/>
        </w:rPr>
        <w:t>П</w:t>
      </w:r>
      <w:bookmarkEnd w:id="116"/>
      <w:bookmarkEnd w:id="117"/>
      <w:bookmarkEnd w:id="118"/>
      <w:bookmarkEnd w:id="119"/>
      <w:bookmarkEnd w:id="120"/>
      <w:bookmarkEnd w:id="121"/>
      <w:bookmarkEnd w:id="122"/>
      <w:bookmarkEnd w:id="123"/>
      <w:bookmarkEnd w:id="124"/>
      <w:bookmarkEnd w:id="125"/>
      <w:bookmarkEnd w:id="126"/>
      <w:bookmarkEnd w:id="127"/>
      <w:bookmarkEnd w:id="128"/>
      <w:r w:rsidR="00C86F1A" w:rsidRPr="00AA3F66">
        <w:rPr>
          <w:w w:val="90"/>
          <w:lang w:eastAsia="zh-CN"/>
        </w:rPr>
        <w:t>аричен сектор</w:t>
      </w:r>
    </w:p>
    <w:p w:rsidR="00E15BB8" w:rsidRPr="00AA3F66" w:rsidRDefault="00E15BB8" w:rsidP="00E15BB8">
      <w:bookmarkStart w:id="129" w:name="_Toc464225417"/>
      <w:bookmarkStart w:id="130" w:name="_Toc464458963"/>
      <w:bookmarkStart w:id="131" w:name="_Toc464459709"/>
      <w:bookmarkStart w:id="132" w:name="_Toc464460664"/>
      <w:bookmarkStart w:id="133" w:name="_Toc464463063"/>
      <w:bookmarkStart w:id="134" w:name="_Toc464464890"/>
      <w:bookmarkStart w:id="135" w:name="_Toc464465396"/>
      <w:bookmarkStart w:id="136" w:name="_Toc464465584"/>
      <w:bookmarkStart w:id="137" w:name="_Toc464466409"/>
      <w:bookmarkStart w:id="138" w:name="_Toc464466653"/>
      <w:bookmarkStart w:id="139" w:name="_Toc464644955"/>
      <w:bookmarkStart w:id="140" w:name="_Toc465205496"/>
      <w:r w:rsidRPr="00AA3F66">
        <w:t>Брутните международни валутни резерви на страната продължиха да осигуряват стабилното функциониране на паричния съвет. Пазарната им стойност към края на септември 2023 г. възлезе на 37,2 млрд. евро. Темпът им на растеж се забави до 0,8% на годишна база при 11,1% в края на предходната година, като беше повлиян в най-голяма степен от свиването на годишна база на депозита на правителството в БНБ и на банковите резерви. Същевременно, парите в обращение запазиха положителния си принос към изменението на международните резерви.</w:t>
      </w:r>
    </w:p>
    <w:p w:rsidR="00E15BB8" w:rsidRPr="00AA3F66" w:rsidRDefault="00E15BB8" w:rsidP="00E15BB8">
      <w:r w:rsidRPr="00AA3F66">
        <w:t>Банковата система в България остана стабилна и продължи да поддържа високи равнища на капиталова адекватност и ликвидност. Коефициентът на обща капиталова адекватност към края на юни беше 21,42%, а отношението на ликвидно покритие – 241,9% към края на септември 2023 г.</w:t>
      </w:r>
    </w:p>
    <w:p w:rsidR="00E15BB8" w:rsidRPr="00AA3F66" w:rsidRDefault="00E15BB8" w:rsidP="00327F98">
      <w:pPr>
        <w:rPr>
          <w:highlight w:val="yellow"/>
        </w:rPr>
      </w:pPr>
      <w:r w:rsidRPr="00AA3F66">
        <w:t>Кредитът за частния сектор се забави леко от началото на 2023 г. и в края на септември темпът му на растеж на годишна база достигна 11,3% при 12,7% в края на 2022 г. С по-голям принос за това бяха кредитите за нефинансови предприятия, като техният темп на растеж за същия период се понижи от 10,4% до 7,1%. Търсенето на оборотни средства под формата на овърдрафт кредити, което беше водещо за нарастването на корпоративните кредити през 2022 г., се забави значително от началото на 2023 г. и ръстът им на годишна база в края на септември достигна 6% при 17,5% в края на предходната година. Търсенето на заемни средства от домакинствата остана силно, като от 14,6% в края на 2023 г., годишният им темп на растеж беше 14% в края на септември. Водеща роля имаха жилищните кредити (с ръст от 18,8%), след като все още ниските лихвени проценти, динамиката на доходите, както и продължаващото нарастване на цените на жилищата продължиха да поддържат търсенето на заемни средства за покупка на недвижими имоти. Потребителските кредити също запазиха относително висок темп на растеж (10,5% в края на септември), но леко се забавиха спрямо ръста си от 12,3% в края на 2022 г.</w:t>
      </w:r>
    </w:p>
    <w:p w:rsidR="00327F98" w:rsidRPr="00AA3F66" w:rsidRDefault="00327F98" w:rsidP="00281088">
      <w:pPr>
        <w:rPr>
          <w:highlight w:val="yellow"/>
        </w:rPr>
      </w:pPr>
    </w:p>
    <w:p w:rsidR="00613ABC" w:rsidRPr="00AA3F66" w:rsidRDefault="00613ABC" w:rsidP="00C56C6A">
      <w:pPr>
        <w:pStyle w:val="Heading2"/>
        <w:spacing w:before="120" w:after="200"/>
      </w:pPr>
      <w:bookmarkStart w:id="141" w:name="_Toc151557293"/>
      <w:r w:rsidRPr="00AA3F66">
        <w:t xml:space="preserve">ОСНОВНИ ДОПУСКАНИЯ, НА КОИТО СЕ ОСНОВАВА </w:t>
      </w:r>
      <w:r w:rsidR="00407F9F" w:rsidRPr="00AA3F66">
        <w:t>прогнозата и МАКРОИКОНОМИЧЕСКАТА рамка ЗА ПЕРИОДА 2023-2026</w:t>
      </w:r>
      <w:r w:rsidR="00674B55" w:rsidRPr="00AA3F66">
        <w:t> </w:t>
      </w:r>
      <w:r w:rsidRPr="00AA3F66">
        <w:t>Г.</w:t>
      </w:r>
      <w:bookmarkEnd w:id="141"/>
    </w:p>
    <w:p w:rsidR="001D19AD" w:rsidRPr="00AA3F66" w:rsidRDefault="001D19AD" w:rsidP="001D19AD">
      <w:pPr>
        <w:rPr>
          <w:szCs w:val="24"/>
        </w:rPr>
      </w:pPr>
      <w:r w:rsidRPr="00AA3F66">
        <w:rPr>
          <w:szCs w:val="24"/>
        </w:rPr>
        <w:t>Прогнозата е съставена при допускане за потисната икономическа активност сред основните търговски партньори на България през второто полугодие на 2023 г., при запазване на високи референтни лихвени проценти и темпове на инфлация. Пре</w:t>
      </w:r>
      <w:r w:rsidR="00573A22" w:rsidRPr="00AA3F66">
        <w:rPr>
          <w:szCs w:val="24"/>
        </w:rPr>
        <w:t>з</w:t>
      </w:r>
      <w:r w:rsidRPr="00AA3F66">
        <w:rPr>
          <w:szCs w:val="24"/>
        </w:rPr>
        <w:t xml:space="preserve"> 2024 г. се очаква известно подобрение на външното търсене, основно от ЕС, където растежът на БВП ще се повиши до 1,4%. До края на прогнозния хоризонт икономическата активност ще се ускори и в световен план, в среда на забавяне на инфлацията и понижение на лихвените проценти. </w:t>
      </w:r>
    </w:p>
    <w:p w:rsidR="006E42D0" w:rsidRPr="00AA3F66" w:rsidRDefault="006E42D0" w:rsidP="001D19AD">
      <w:pPr>
        <w:rPr>
          <w:szCs w:val="24"/>
        </w:rPr>
      </w:pPr>
    </w:p>
    <w:p w:rsidR="006E42D0" w:rsidRPr="00AA3F66" w:rsidRDefault="006E42D0" w:rsidP="001D19AD">
      <w:pPr>
        <w:rPr>
          <w:szCs w:val="24"/>
        </w:rPr>
      </w:pPr>
    </w:p>
    <w:p w:rsidR="006E42D0" w:rsidRPr="00AA3F66" w:rsidRDefault="006E42D0" w:rsidP="001D19AD">
      <w:pPr>
        <w:rPr>
          <w:szCs w:val="24"/>
        </w:rPr>
      </w:pPr>
    </w:p>
    <w:p w:rsidR="00133400" w:rsidRPr="00AA3F66" w:rsidRDefault="00133400" w:rsidP="00EF2313">
      <w:pPr>
        <w:pStyle w:val="Caption"/>
        <w:ind w:left="0" w:firstLine="0"/>
        <w:rPr>
          <w:rFonts w:eastAsia="Times New Roman" w:cs="Times New Roman"/>
          <w:sz w:val="22"/>
          <w:szCs w:val="22"/>
          <w:lang w:eastAsia="en-US"/>
        </w:rPr>
      </w:pPr>
      <w:bookmarkStart w:id="142" w:name="_Toc150443410"/>
      <w:r w:rsidRPr="00AA3F66">
        <w:t xml:space="preserve">Табл. </w:t>
      </w:r>
      <w:fldSimple w:instr=" STYLEREF 1 \s ">
        <w:r w:rsidR="005A69ED">
          <w:rPr>
            <w:noProof/>
          </w:rPr>
          <w:t>I</w:t>
        </w:r>
      </w:fldSimple>
      <w:r w:rsidRPr="00AA3F66">
        <w:noBreakHyphen/>
      </w:r>
      <w:fldSimple w:instr=" SEQ Табл. \* ARABIC \s 1 ">
        <w:r w:rsidR="005A69ED">
          <w:rPr>
            <w:noProof/>
          </w:rPr>
          <w:t>1</w:t>
        </w:r>
      </w:fldSimple>
      <w:r w:rsidR="00107C70" w:rsidRPr="00AA3F66">
        <w:t>:</w:t>
      </w:r>
      <w:r w:rsidR="00107C70" w:rsidRPr="00AA3F66">
        <w:tab/>
      </w:r>
      <w:r w:rsidRPr="00AA3F66">
        <w:rPr>
          <w:rFonts w:eastAsia="Times New Roman" w:cs="Times New Roman"/>
          <w:sz w:val="22"/>
          <w:szCs w:val="22"/>
          <w:lang w:eastAsia="en-US"/>
        </w:rPr>
        <w:t>Основни допускания за развитието на външната среда</w:t>
      </w:r>
      <w:bookmarkEnd w:id="142"/>
    </w:p>
    <w:tbl>
      <w:tblPr>
        <w:tblW w:w="4900" w:type="pct"/>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3609"/>
        <w:gridCol w:w="825"/>
        <w:gridCol w:w="935"/>
        <w:gridCol w:w="880"/>
        <w:gridCol w:w="880"/>
        <w:gridCol w:w="880"/>
        <w:gridCol w:w="880"/>
      </w:tblGrid>
      <w:tr w:rsidR="001D19AD" w:rsidRPr="00AA3F66" w:rsidTr="001D19AD">
        <w:trPr>
          <w:trHeight w:val="20"/>
          <w:jc w:val="center"/>
        </w:trPr>
        <w:tc>
          <w:tcPr>
            <w:tcW w:w="3611" w:type="dxa"/>
            <w:vMerge w:val="restart"/>
            <w:shd w:val="clear" w:color="auto" w:fill="auto"/>
            <w:vAlign w:val="center"/>
            <w:hideMark/>
          </w:tcPr>
          <w:p w:rsidR="001D19AD" w:rsidRPr="00AA3F66" w:rsidRDefault="001D19AD" w:rsidP="001D19AD">
            <w:pPr>
              <w:spacing w:before="40" w:after="40" w:line="259" w:lineRule="auto"/>
              <w:jc w:val="center"/>
              <w:rPr>
                <w:rFonts w:eastAsia="Calibri" w:cs="Times New Roman"/>
                <w:b/>
                <w:bCs/>
                <w:sz w:val="20"/>
                <w:szCs w:val="20"/>
                <w:lang w:eastAsia="en-US"/>
              </w:rPr>
            </w:pPr>
            <w:r w:rsidRPr="00AA3F66">
              <w:rPr>
                <w:rFonts w:eastAsia="Calibri" w:cs="Times New Roman"/>
                <w:b/>
                <w:bCs/>
                <w:sz w:val="20"/>
                <w:szCs w:val="20"/>
                <w:lang w:eastAsia="en-US"/>
              </w:rPr>
              <w:t>Международна среда</w:t>
            </w:r>
          </w:p>
        </w:tc>
        <w:tc>
          <w:tcPr>
            <w:tcW w:w="1760" w:type="dxa"/>
            <w:gridSpan w:val="2"/>
            <w:tcBorders>
              <w:top w:val="single" w:sz="4" w:space="0" w:color="auto"/>
              <w:bottom w:val="single" w:sz="4" w:space="0" w:color="auto"/>
            </w:tcBorders>
            <w:shd w:val="clear" w:color="auto" w:fill="auto"/>
            <w:noWrap/>
            <w:vAlign w:val="center"/>
            <w:hideMark/>
          </w:tcPr>
          <w:p w:rsidR="001D19AD" w:rsidRPr="00AA3F66" w:rsidRDefault="001D19AD" w:rsidP="001D19AD">
            <w:pPr>
              <w:spacing w:before="40" w:after="40" w:line="259" w:lineRule="auto"/>
              <w:jc w:val="center"/>
              <w:rPr>
                <w:rFonts w:eastAsia="Calibri" w:cs="Times New Roman"/>
                <w:b/>
                <w:bCs/>
                <w:sz w:val="20"/>
                <w:szCs w:val="20"/>
                <w:lang w:eastAsia="en-US"/>
              </w:rPr>
            </w:pPr>
            <w:r w:rsidRPr="00AA3F66">
              <w:rPr>
                <w:rFonts w:eastAsia="Calibri" w:cs="Times New Roman"/>
                <w:b/>
                <w:bCs/>
                <w:sz w:val="20"/>
                <w:szCs w:val="20"/>
                <w:lang w:eastAsia="en-US"/>
              </w:rPr>
              <w:t>Отчетни данни</w:t>
            </w:r>
          </w:p>
        </w:tc>
        <w:tc>
          <w:tcPr>
            <w:tcW w:w="3520" w:type="dxa"/>
            <w:gridSpan w:val="4"/>
            <w:tcBorders>
              <w:top w:val="single" w:sz="4" w:space="0" w:color="auto"/>
              <w:bottom w:val="single" w:sz="4" w:space="0" w:color="auto"/>
            </w:tcBorders>
            <w:shd w:val="clear" w:color="auto" w:fill="F2F2F2"/>
            <w:noWrap/>
            <w:vAlign w:val="center"/>
            <w:hideMark/>
          </w:tcPr>
          <w:p w:rsidR="001D19AD" w:rsidRPr="00AA3F66" w:rsidRDefault="001D19AD" w:rsidP="001D19AD">
            <w:pPr>
              <w:spacing w:before="40" w:after="40" w:line="259" w:lineRule="auto"/>
              <w:jc w:val="center"/>
              <w:rPr>
                <w:rFonts w:eastAsia="Calibri" w:cs="Times New Roman"/>
                <w:b/>
                <w:bCs/>
                <w:sz w:val="20"/>
                <w:szCs w:val="20"/>
                <w:lang w:eastAsia="en-US"/>
              </w:rPr>
            </w:pPr>
            <w:r w:rsidRPr="00AA3F66">
              <w:rPr>
                <w:rFonts w:eastAsia="Calibri" w:cs="Times New Roman"/>
                <w:b/>
                <w:bCs/>
                <w:sz w:val="20"/>
                <w:szCs w:val="20"/>
                <w:lang w:eastAsia="en-US"/>
              </w:rPr>
              <w:t>Прогноза</w:t>
            </w:r>
          </w:p>
        </w:tc>
      </w:tr>
      <w:tr w:rsidR="001D19AD" w:rsidRPr="00AA3F66" w:rsidTr="001D19AD">
        <w:trPr>
          <w:trHeight w:val="20"/>
          <w:jc w:val="center"/>
        </w:trPr>
        <w:tc>
          <w:tcPr>
            <w:tcW w:w="3611" w:type="dxa"/>
            <w:vMerge/>
            <w:tcBorders>
              <w:bottom w:val="single" w:sz="4" w:space="0" w:color="auto"/>
            </w:tcBorders>
            <w:shd w:val="clear" w:color="auto" w:fill="auto"/>
            <w:vAlign w:val="center"/>
            <w:hideMark/>
          </w:tcPr>
          <w:p w:rsidR="001D19AD" w:rsidRPr="00AA3F66" w:rsidRDefault="001D19AD" w:rsidP="001D19AD">
            <w:pPr>
              <w:spacing w:before="40" w:after="40" w:line="259" w:lineRule="auto"/>
              <w:jc w:val="left"/>
              <w:rPr>
                <w:rFonts w:eastAsia="Calibri" w:cs="Times New Roman"/>
                <w:b/>
                <w:bCs/>
                <w:sz w:val="20"/>
                <w:szCs w:val="20"/>
                <w:lang w:eastAsia="en-US"/>
              </w:rPr>
            </w:pPr>
          </w:p>
        </w:tc>
        <w:tc>
          <w:tcPr>
            <w:tcW w:w="825" w:type="dxa"/>
            <w:tcBorders>
              <w:top w:val="single" w:sz="4" w:space="0" w:color="auto"/>
              <w:bottom w:val="single" w:sz="4" w:space="0" w:color="auto"/>
            </w:tcBorders>
            <w:shd w:val="clear" w:color="auto" w:fill="auto"/>
            <w:noWrap/>
            <w:vAlign w:val="center"/>
          </w:tcPr>
          <w:p w:rsidR="001D19AD" w:rsidRPr="00AA3F66" w:rsidRDefault="001D19AD" w:rsidP="001D19AD">
            <w:pPr>
              <w:spacing w:before="40" w:after="40" w:line="259" w:lineRule="auto"/>
              <w:jc w:val="center"/>
              <w:rPr>
                <w:rFonts w:eastAsia="Calibri" w:cs="Times New Roman"/>
                <w:b/>
                <w:bCs/>
                <w:sz w:val="20"/>
                <w:szCs w:val="20"/>
                <w:lang w:eastAsia="en-US"/>
              </w:rPr>
            </w:pPr>
            <w:r w:rsidRPr="00AA3F66">
              <w:rPr>
                <w:rFonts w:eastAsia="Calibri" w:cs="Times New Roman"/>
                <w:b/>
                <w:bCs/>
                <w:sz w:val="20"/>
                <w:szCs w:val="20"/>
                <w:lang w:eastAsia="en-US"/>
              </w:rPr>
              <w:t>2021</w:t>
            </w:r>
          </w:p>
        </w:tc>
        <w:tc>
          <w:tcPr>
            <w:tcW w:w="935" w:type="dxa"/>
            <w:tcBorders>
              <w:top w:val="single" w:sz="4" w:space="0" w:color="auto"/>
              <w:bottom w:val="single" w:sz="4" w:space="0" w:color="auto"/>
            </w:tcBorders>
            <w:shd w:val="clear" w:color="auto" w:fill="auto"/>
            <w:noWrap/>
            <w:vAlign w:val="center"/>
          </w:tcPr>
          <w:p w:rsidR="001D19AD" w:rsidRPr="00AA3F66" w:rsidRDefault="001D19AD" w:rsidP="001D19AD">
            <w:pPr>
              <w:spacing w:before="40" w:after="40" w:line="259" w:lineRule="auto"/>
              <w:jc w:val="center"/>
              <w:rPr>
                <w:rFonts w:eastAsia="Calibri" w:cs="Times New Roman"/>
                <w:b/>
                <w:bCs/>
                <w:sz w:val="20"/>
                <w:szCs w:val="20"/>
                <w:lang w:eastAsia="en-US"/>
              </w:rPr>
            </w:pPr>
            <w:r w:rsidRPr="00AA3F66">
              <w:rPr>
                <w:rFonts w:eastAsia="Calibri" w:cs="Times New Roman"/>
                <w:b/>
                <w:bCs/>
                <w:sz w:val="20"/>
                <w:szCs w:val="20"/>
                <w:lang w:eastAsia="en-US"/>
              </w:rPr>
              <w:t>2022</w:t>
            </w:r>
          </w:p>
        </w:tc>
        <w:tc>
          <w:tcPr>
            <w:tcW w:w="880" w:type="dxa"/>
            <w:tcBorders>
              <w:top w:val="single" w:sz="4" w:space="0" w:color="auto"/>
              <w:bottom w:val="single" w:sz="4" w:space="0" w:color="auto"/>
            </w:tcBorders>
            <w:shd w:val="clear" w:color="auto" w:fill="F2F2F2"/>
            <w:noWrap/>
            <w:vAlign w:val="center"/>
          </w:tcPr>
          <w:p w:rsidR="001D19AD" w:rsidRPr="00AA3F66" w:rsidRDefault="001D19AD" w:rsidP="001D19AD">
            <w:pPr>
              <w:spacing w:before="40" w:after="40" w:line="259" w:lineRule="auto"/>
              <w:jc w:val="center"/>
              <w:rPr>
                <w:rFonts w:eastAsia="Calibri" w:cs="Times New Roman"/>
                <w:b/>
                <w:bCs/>
                <w:sz w:val="20"/>
                <w:szCs w:val="20"/>
                <w:lang w:eastAsia="en-US"/>
              </w:rPr>
            </w:pPr>
            <w:r w:rsidRPr="00AA3F66">
              <w:rPr>
                <w:rFonts w:eastAsia="Calibri" w:cs="Times New Roman"/>
                <w:b/>
                <w:bCs/>
                <w:sz w:val="20"/>
                <w:szCs w:val="20"/>
                <w:lang w:eastAsia="en-US"/>
              </w:rPr>
              <w:t>2023</w:t>
            </w:r>
          </w:p>
        </w:tc>
        <w:tc>
          <w:tcPr>
            <w:tcW w:w="880" w:type="dxa"/>
            <w:tcBorders>
              <w:top w:val="single" w:sz="4" w:space="0" w:color="auto"/>
              <w:bottom w:val="single" w:sz="4" w:space="0" w:color="auto"/>
            </w:tcBorders>
            <w:shd w:val="clear" w:color="auto" w:fill="F2F2F2"/>
            <w:noWrap/>
            <w:vAlign w:val="center"/>
          </w:tcPr>
          <w:p w:rsidR="001D19AD" w:rsidRPr="00AA3F66" w:rsidRDefault="001D19AD" w:rsidP="001D19AD">
            <w:pPr>
              <w:spacing w:before="40" w:after="40" w:line="259" w:lineRule="auto"/>
              <w:jc w:val="center"/>
              <w:rPr>
                <w:rFonts w:eastAsia="Calibri" w:cs="Times New Roman"/>
                <w:b/>
                <w:bCs/>
                <w:sz w:val="20"/>
                <w:szCs w:val="20"/>
                <w:lang w:eastAsia="en-US"/>
              </w:rPr>
            </w:pPr>
            <w:r w:rsidRPr="00AA3F66">
              <w:rPr>
                <w:rFonts w:eastAsia="Calibri" w:cs="Times New Roman"/>
                <w:b/>
                <w:bCs/>
                <w:sz w:val="20"/>
                <w:szCs w:val="20"/>
                <w:lang w:eastAsia="en-US"/>
              </w:rPr>
              <w:t>2024</w:t>
            </w:r>
          </w:p>
        </w:tc>
        <w:tc>
          <w:tcPr>
            <w:tcW w:w="880" w:type="dxa"/>
            <w:tcBorders>
              <w:top w:val="single" w:sz="4" w:space="0" w:color="auto"/>
              <w:bottom w:val="single" w:sz="4" w:space="0" w:color="auto"/>
            </w:tcBorders>
            <w:shd w:val="clear" w:color="auto" w:fill="F2F2F2"/>
            <w:noWrap/>
            <w:vAlign w:val="center"/>
          </w:tcPr>
          <w:p w:rsidR="001D19AD" w:rsidRPr="00AA3F66" w:rsidRDefault="001D19AD" w:rsidP="001D19AD">
            <w:pPr>
              <w:spacing w:before="40" w:after="40" w:line="259" w:lineRule="auto"/>
              <w:jc w:val="center"/>
              <w:rPr>
                <w:rFonts w:eastAsia="Calibri" w:cs="Times New Roman"/>
                <w:b/>
                <w:bCs/>
                <w:sz w:val="20"/>
                <w:szCs w:val="20"/>
                <w:lang w:eastAsia="en-US"/>
              </w:rPr>
            </w:pPr>
            <w:r w:rsidRPr="00AA3F66">
              <w:rPr>
                <w:rFonts w:eastAsia="Calibri" w:cs="Times New Roman"/>
                <w:b/>
                <w:bCs/>
                <w:sz w:val="20"/>
                <w:szCs w:val="20"/>
                <w:lang w:eastAsia="en-US"/>
              </w:rPr>
              <w:t>2025</w:t>
            </w:r>
          </w:p>
        </w:tc>
        <w:tc>
          <w:tcPr>
            <w:tcW w:w="880" w:type="dxa"/>
            <w:tcBorders>
              <w:top w:val="single" w:sz="4" w:space="0" w:color="auto"/>
              <w:bottom w:val="single" w:sz="4" w:space="0" w:color="auto"/>
            </w:tcBorders>
            <w:shd w:val="clear" w:color="auto" w:fill="F2F2F2"/>
            <w:noWrap/>
            <w:vAlign w:val="center"/>
          </w:tcPr>
          <w:p w:rsidR="001D19AD" w:rsidRPr="00AA3F66" w:rsidRDefault="001D19AD" w:rsidP="001D19AD">
            <w:pPr>
              <w:spacing w:before="40" w:after="40" w:line="259" w:lineRule="auto"/>
              <w:jc w:val="center"/>
              <w:rPr>
                <w:rFonts w:eastAsia="Calibri" w:cs="Times New Roman"/>
                <w:b/>
                <w:bCs/>
                <w:sz w:val="20"/>
                <w:szCs w:val="20"/>
                <w:lang w:eastAsia="en-US"/>
              </w:rPr>
            </w:pPr>
            <w:r w:rsidRPr="00AA3F66">
              <w:rPr>
                <w:rFonts w:eastAsia="Calibri" w:cs="Times New Roman"/>
                <w:b/>
                <w:bCs/>
                <w:sz w:val="20"/>
                <w:szCs w:val="20"/>
                <w:lang w:eastAsia="en-US"/>
              </w:rPr>
              <w:t>2026</w:t>
            </w:r>
          </w:p>
        </w:tc>
      </w:tr>
      <w:tr w:rsidR="001D19AD" w:rsidRPr="00AA3F66" w:rsidTr="001D19AD">
        <w:trPr>
          <w:trHeight w:val="20"/>
          <w:jc w:val="center"/>
        </w:trPr>
        <w:tc>
          <w:tcPr>
            <w:tcW w:w="3611" w:type="dxa"/>
            <w:tcBorders>
              <w:top w:val="single" w:sz="4" w:space="0" w:color="auto"/>
              <w:bottom w:val="nil"/>
            </w:tcBorders>
            <w:shd w:val="clear" w:color="auto" w:fill="auto"/>
            <w:vAlign w:val="center"/>
            <w:hideMark/>
          </w:tcPr>
          <w:p w:rsidR="001D19AD" w:rsidRPr="00AA3F66" w:rsidRDefault="001D19AD" w:rsidP="001D19AD">
            <w:pPr>
              <w:spacing w:before="40" w:after="40" w:line="259" w:lineRule="auto"/>
              <w:jc w:val="left"/>
              <w:rPr>
                <w:rFonts w:eastAsia="Calibri" w:cs="Times New Roman"/>
                <w:bCs/>
                <w:sz w:val="20"/>
                <w:szCs w:val="20"/>
                <w:lang w:eastAsia="en-US"/>
              </w:rPr>
            </w:pPr>
            <w:r w:rsidRPr="00AA3F66">
              <w:rPr>
                <w:rFonts w:eastAsia="Calibri" w:cs="Times New Roman"/>
                <w:bCs/>
                <w:sz w:val="20"/>
                <w:szCs w:val="20"/>
                <w:lang w:eastAsia="en-US"/>
              </w:rPr>
              <w:t>Световна икономика (реален растеж, %)</w:t>
            </w:r>
          </w:p>
        </w:tc>
        <w:tc>
          <w:tcPr>
            <w:tcW w:w="825" w:type="dxa"/>
            <w:tcBorders>
              <w:top w:val="single" w:sz="4" w:space="0" w:color="auto"/>
              <w:bottom w:val="nil"/>
            </w:tcBorders>
            <w:shd w:val="clear" w:color="auto" w:fill="auto"/>
            <w:noWrap/>
          </w:tcPr>
          <w:p w:rsidR="001D19AD" w:rsidRPr="00AA3F66" w:rsidRDefault="001D19AD"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6,</w:t>
            </w:r>
            <w:r w:rsidRPr="00AA3F66">
              <w:rPr>
                <w:rFonts w:eastAsia="Calibri" w:cs="Times New Roman"/>
                <w:sz w:val="20"/>
                <w:szCs w:val="20"/>
                <w:lang w:eastAsia="en-US"/>
              </w:rPr>
              <w:t>3</w:t>
            </w:r>
          </w:p>
        </w:tc>
        <w:tc>
          <w:tcPr>
            <w:tcW w:w="935" w:type="dxa"/>
            <w:tcBorders>
              <w:top w:val="single" w:sz="4" w:space="0" w:color="auto"/>
              <w:bottom w:val="nil"/>
            </w:tcBorders>
            <w:shd w:val="clear" w:color="auto" w:fill="auto"/>
            <w:noWrap/>
          </w:tcPr>
          <w:p w:rsidR="001D19AD" w:rsidRPr="00AA3F66" w:rsidRDefault="001D19AD"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3,</w:t>
            </w:r>
            <w:r w:rsidRPr="00AA3F66">
              <w:rPr>
                <w:rFonts w:eastAsia="Calibri" w:cs="Times New Roman"/>
                <w:sz w:val="20"/>
                <w:szCs w:val="20"/>
                <w:lang w:eastAsia="en-US"/>
              </w:rPr>
              <w:t>5</w:t>
            </w:r>
          </w:p>
        </w:tc>
        <w:tc>
          <w:tcPr>
            <w:tcW w:w="880" w:type="dxa"/>
            <w:tcBorders>
              <w:top w:val="single" w:sz="4" w:space="0" w:color="auto"/>
              <w:bottom w:val="nil"/>
            </w:tcBorders>
            <w:shd w:val="clear" w:color="auto" w:fill="F2F2F2"/>
            <w:noWrap/>
          </w:tcPr>
          <w:p w:rsidR="001D19AD" w:rsidRPr="00AA3F66" w:rsidRDefault="001D19AD"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3,</w:t>
            </w:r>
            <w:r w:rsidRPr="00AA3F66">
              <w:rPr>
                <w:rFonts w:eastAsia="Calibri" w:cs="Times New Roman"/>
                <w:sz w:val="20"/>
                <w:szCs w:val="20"/>
                <w:lang w:eastAsia="en-US"/>
              </w:rPr>
              <w:t>0</w:t>
            </w:r>
          </w:p>
        </w:tc>
        <w:tc>
          <w:tcPr>
            <w:tcW w:w="880" w:type="dxa"/>
            <w:tcBorders>
              <w:top w:val="single" w:sz="4" w:space="0" w:color="auto"/>
              <w:bottom w:val="nil"/>
            </w:tcBorders>
            <w:shd w:val="clear" w:color="auto" w:fill="F2F2F2"/>
            <w:noWrap/>
          </w:tcPr>
          <w:p w:rsidR="001D19AD" w:rsidRPr="00AA3F66" w:rsidRDefault="001D19AD"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2,</w:t>
            </w:r>
            <w:r w:rsidRPr="00AA3F66">
              <w:rPr>
                <w:rFonts w:eastAsia="Calibri" w:cs="Times New Roman"/>
                <w:sz w:val="20"/>
                <w:szCs w:val="20"/>
                <w:lang w:eastAsia="en-US"/>
              </w:rPr>
              <w:t>9</w:t>
            </w:r>
          </w:p>
        </w:tc>
        <w:tc>
          <w:tcPr>
            <w:tcW w:w="880" w:type="dxa"/>
            <w:tcBorders>
              <w:top w:val="single" w:sz="4" w:space="0" w:color="auto"/>
              <w:bottom w:val="nil"/>
            </w:tcBorders>
            <w:shd w:val="clear" w:color="auto" w:fill="F2F2F2"/>
            <w:noWrap/>
          </w:tcPr>
          <w:p w:rsidR="001D19AD" w:rsidRPr="00AA3F66" w:rsidRDefault="001D19AD"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3,2</w:t>
            </w:r>
          </w:p>
        </w:tc>
        <w:tc>
          <w:tcPr>
            <w:tcW w:w="880" w:type="dxa"/>
            <w:tcBorders>
              <w:top w:val="single" w:sz="4" w:space="0" w:color="auto"/>
              <w:bottom w:val="nil"/>
            </w:tcBorders>
            <w:shd w:val="clear" w:color="auto" w:fill="F2F2F2"/>
            <w:noWrap/>
          </w:tcPr>
          <w:p w:rsidR="001D19AD" w:rsidRPr="00AA3F66" w:rsidRDefault="007D78DE"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3,</w:t>
            </w:r>
            <w:r w:rsidR="001D19AD" w:rsidRPr="00AA3F66">
              <w:rPr>
                <w:rFonts w:eastAsia="Calibri" w:cs="Times New Roman"/>
                <w:sz w:val="20"/>
                <w:szCs w:val="20"/>
                <w:lang w:eastAsia="en-US"/>
              </w:rPr>
              <w:t>2</w:t>
            </w:r>
          </w:p>
        </w:tc>
      </w:tr>
      <w:tr w:rsidR="001D19AD" w:rsidRPr="00AA3F66" w:rsidTr="001D19AD">
        <w:trPr>
          <w:trHeight w:val="20"/>
          <w:jc w:val="center"/>
        </w:trPr>
        <w:tc>
          <w:tcPr>
            <w:tcW w:w="3611" w:type="dxa"/>
            <w:tcBorders>
              <w:top w:val="nil"/>
            </w:tcBorders>
            <w:shd w:val="clear" w:color="auto" w:fill="auto"/>
            <w:vAlign w:val="center"/>
            <w:hideMark/>
          </w:tcPr>
          <w:p w:rsidR="001D19AD" w:rsidRPr="00AA3F66" w:rsidRDefault="001D19AD" w:rsidP="001D19AD">
            <w:pPr>
              <w:spacing w:before="40" w:after="40" w:line="259" w:lineRule="auto"/>
              <w:jc w:val="left"/>
              <w:rPr>
                <w:rFonts w:eastAsia="Calibri" w:cs="Times New Roman"/>
                <w:bCs/>
                <w:sz w:val="20"/>
                <w:szCs w:val="20"/>
                <w:lang w:eastAsia="en-US"/>
              </w:rPr>
            </w:pPr>
            <w:r w:rsidRPr="00AA3F66">
              <w:rPr>
                <w:rFonts w:eastAsia="Calibri" w:cs="Times New Roman"/>
                <w:bCs/>
                <w:sz w:val="20"/>
                <w:szCs w:val="20"/>
                <w:lang w:eastAsia="en-US"/>
              </w:rPr>
              <w:t>Европейска икономика – ЕС (реален растеж, %)</w:t>
            </w:r>
          </w:p>
        </w:tc>
        <w:tc>
          <w:tcPr>
            <w:tcW w:w="825" w:type="dxa"/>
            <w:tcBorders>
              <w:top w:val="nil"/>
            </w:tcBorders>
            <w:shd w:val="clear" w:color="auto" w:fill="auto"/>
            <w:noWrap/>
          </w:tcPr>
          <w:p w:rsidR="001D19AD" w:rsidRPr="00AA3F66" w:rsidRDefault="001D19AD"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6,</w:t>
            </w:r>
            <w:r w:rsidRPr="00AA3F66">
              <w:rPr>
                <w:rFonts w:eastAsia="Calibri" w:cs="Times New Roman"/>
                <w:sz w:val="20"/>
                <w:szCs w:val="20"/>
                <w:lang w:eastAsia="en-US"/>
              </w:rPr>
              <w:t>0</w:t>
            </w:r>
          </w:p>
        </w:tc>
        <w:tc>
          <w:tcPr>
            <w:tcW w:w="935" w:type="dxa"/>
            <w:tcBorders>
              <w:top w:val="nil"/>
            </w:tcBorders>
            <w:shd w:val="clear" w:color="auto" w:fill="auto"/>
            <w:noWrap/>
          </w:tcPr>
          <w:p w:rsidR="001D19AD" w:rsidRPr="00AA3F66" w:rsidRDefault="001D19AD"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3,4</w:t>
            </w:r>
          </w:p>
        </w:tc>
        <w:tc>
          <w:tcPr>
            <w:tcW w:w="880" w:type="dxa"/>
            <w:tcBorders>
              <w:top w:val="nil"/>
              <w:bottom w:val="nil"/>
            </w:tcBorders>
            <w:shd w:val="clear" w:color="auto" w:fill="F2F2F2"/>
            <w:noWrap/>
          </w:tcPr>
          <w:p w:rsidR="001D19AD" w:rsidRPr="00AA3F66" w:rsidRDefault="001D19AD"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0,</w:t>
            </w:r>
            <w:r w:rsidRPr="00AA3F66">
              <w:rPr>
                <w:rFonts w:eastAsia="Calibri" w:cs="Times New Roman"/>
                <w:sz w:val="20"/>
                <w:szCs w:val="20"/>
                <w:lang w:eastAsia="en-US"/>
              </w:rPr>
              <w:t>8</w:t>
            </w:r>
          </w:p>
        </w:tc>
        <w:tc>
          <w:tcPr>
            <w:tcW w:w="880" w:type="dxa"/>
            <w:tcBorders>
              <w:top w:val="nil"/>
            </w:tcBorders>
            <w:shd w:val="clear" w:color="auto" w:fill="F2F2F2"/>
            <w:noWrap/>
          </w:tcPr>
          <w:p w:rsidR="001D19AD" w:rsidRPr="00AA3F66" w:rsidRDefault="001D19AD"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1,</w:t>
            </w:r>
            <w:r w:rsidRPr="00AA3F66">
              <w:rPr>
                <w:rFonts w:eastAsia="Calibri" w:cs="Times New Roman"/>
                <w:sz w:val="20"/>
                <w:szCs w:val="20"/>
                <w:lang w:eastAsia="en-US"/>
              </w:rPr>
              <w:t>4</w:t>
            </w:r>
          </w:p>
        </w:tc>
        <w:tc>
          <w:tcPr>
            <w:tcW w:w="880" w:type="dxa"/>
            <w:tcBorders>
              <w:top w:val="nil"/>
            </w:tcBorders>
            <w:shd w:val="clear" w:color="auto" w:fill="F2F2F2"/>
            <w:noWrap/>
          </w:tcPr>
          <w:p w:rsidR="001D19AD" w:rsidRPr="00AA3F66" w:rsidRDefault="001D19AD"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2,1</w:t>
            </w:r>
          </w:p>
        </w:tc>
        <w:tc>
          <w:tcPr>
            <w:tcW w:w="880" w:type="dxa"/>
            <w:tcBorders>
              <w:top w:val="nil"/>
            </w:tcBorders>
            <w:shd w:val="clear" w:color="auto" w:fill="F2F2F2"/>
            <w:noWrap/>
          </w:tcPr>
          <w:p w:rsidR="001D19AD" w:rsidRPr="00AA3F66" w:rsidRDefault="007D78DE"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2,</w:t>
            </w:r>
            <w:r w:rsidR="001D19AD" w:rsidRPr="00AA3F66">
              <w:rPr>
                <w:rFonts w:eastAsia="Calibri" w:cs="Times New Roman"/>
                <w:sz w:val="20"/>
                <w:szCs w:val="20"/>
                <w:lang w:eastAsia="en-US"/>
              </w:rPr>
              <w:t>0</w:t>
            </w:r>
          </w:p>
        </w:tc>
      </w:tr>
      <w:tr w:rsidR="001D19AD" w:rsidRPr="00AA3F66" w:rsidTr="001D19AD">
        <w:trPr>
          <w:trHeight w:val="20"/>
          <w:jc w:val="center"/>
        </w:trPr>
        <w:tc>
          <w:tcPr>
            <w:tcW w:w="3611" w:type="dxa"/>
            <w:shd w:val="clear" w:color="auto" w:fill="auto"/>
            <w:vAlign w:val="center"/>
            <w:hideMark/>
          </w:tcPr>
          <w:p w:rsidR="001D19AD" w:rsidRPr="00AA3F66" w:rsidRDefault="001D19AD" w:rsidP="001D19AD">
            <w:pPr>
              <w:spacing w:before="40" w:after="40" w:line="259" w:lineRule="auto"/>
              <w:jc w:val="left"/>
              <w:rPr>
                <w:rFonts w:eastAsia="Calibri" w:cs="Times New Roman"/>
                <w:bCs/>
                <w:sz w:val="20"/>
                <w:szCs w:val="20"/>
                <w:lang w:eastAsia="en-US"/>
              </w:rPr>
            </w:pPr>
            <w:r w:rsidRPr="00AA3F66">
              <w:rPr>
                <w:rFonts w:eastAsia="Calibri" w:cs="Times New Roman"/>
                <w:bCs/>
                <w:sz w:val="20"/>
                <w:szCs w:val="20"/>
                <w:lang w:eastAsia="en-US"/>
              </w:rPr>
              <w:t xml:space="preserve">Средногодишен валутен курс щ.д./евро </w:t>
            </w:r>
          </w:p>
        </w:tc>
        <w:tc>
          <w:tcPr>
            <w:tcW w:w="825" w:type="dxa"/>
            <w:shd w:val="clear" w:color="auto" w:fill="auto"/>
            <w:noWrap/>
          </w:tcPr>
          <w:p w:rsidR="001D19AD" w:rsidRPr="00AA3F66" w:rsidRDefault="001D19AD"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1,1</w:t>
            </w:r>
            <w:r w:rsidRPr="00AA3F66">
              <w:rPr>
                <w:rFonts w:eastAsia="Calibri" w:cs="Times New Roman"/>
                <w:sz w:val="20"/>
                <w:szCs w:val="20"/>
                <w:lang w:eastAsia="en-US"/>
              </w:rPr>
              <w:t>8</w:t>
            </w:r>
          </w:p>
        </w:tc>
        <w:tc>
          <w:tcPr>
            <w:tcW w:w="935" w:type="dxa"/>
            <w:shd w:val="clear" w:color="auto" w:fill="auto"/>
            <w:noWrap/>
          </w:tcPr>
          <w:p w:rsidR="001D19AD" w:rsidRPr="00AA3F66" w:rsidRDefault="001D19AD"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1,</w:t>
            </w:r>
            <w:r w:rsidRPr="00AA3F66">
              <w:rPr>
                <w:rFonts w:eastAsia="Calibri" w:cs="Times New Roman"/>
                <w:sz w:val="20"/>
                <w:szCs w:val="20"/>
                <w:lang w:eastAsia="en-US"/>
              </w:rPr>
              <w:t>05</w:t>
            </w:r>
          </w:p>
        </w:tc>
        <w:tc>
          <w:tcPr>
            <w:tcW w:w="880" w:type="dxa"/>
            <w:tcBorders>
              <w:top w:val="nil"/>
              <w:bottom w:val="nil"/>
            </w:tcBorders>
            <w:shd w:val="clear" w:color="auto" w:fill="F2F2F2"/>
            <w:noWrap/>
          </w:tcPr>
          <w:p w:rsidR="001D19AD" w:rsidRPr="00AA3F66" w:rsidRDefault="001D19AD"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1,0</w:t>
            </w:r>
            <w:r w:rsidRPr="00AA3F66">
              <w:rPr>
                <w:rFonts w:eastAsia="Calibri" w:cs="Times New Roman"/>
                <w:sz w:val="20"/>
                <w:szCs w:val="20"/>
                <w:lang w:eastAsia="en-US"/>
              </w:rPr>
              <w:t>7</w:t>
            </w:r>
          </w:p>
        </w:tc>
        <w:tc>
          <w:tcPr>
            <w:tcW w:w="880" w:type="dxa"/>
            <w:tcBorders>
              <w:bottom w:val="nil"/>
            </w:tcBorders>
            <w:shd w:val="clear" w:color="auto" w:fill="F2F2F2"/>
            <w:noWrap/>
          </w:tcPr>
          <w:p w:rsidR="001D19AD" w:rsidRPr="00AA3F66" w:rsidRDefault="001D19AD"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1,</w:t>
            </w:r>
            <w:r w:rsidRPr="00AA3F66">
              <w:rPr>
                <w:rFonts w:eastAsia="Calibri" w:cs="Times New Roman"/>
                <w:sz w:val="20"/>
                <w:szCs w:val="20"/>
                <w:lang w:eastAsia="en-US"/>
              </w:rPr>
              <w:t>06</w:t>
            </w:r>
          </w:p>
        </w:tc>
        <w:tc>
          <w:tcPr>
            <w:tcW w:w="880" w:type="dxa"/>
            <w:shd w:val="clear" w:color="auto" w:fill="F2F2F2"/>
            <w:noWrap/>
          </w:tcPr>
          <w:p w:rsidR="001D19AD" w:rsidRPr="00AA3F66" w:rsidRDefault="001D19AD"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1,</w:t>
            </w:r>
            <w:r w:rsidRPr="00AA3F66">
              <w:rPr>
                <w:rFonts w:eastAsia="Calibri" w:cs="Times New Roman"/>
                <w:sz w:val="20"/>
                <w:szCs w:val="20"/>
                <w:lang w:eastAsia="en-US"/>
              </w:rPr>
              <w:t>06</w:t>
            </w:r>
          </w:p>
        </w:tc>
        <w:tc>
          <w:tcPr>
            <w:tcW w:w="880" w:type="dxa"/>
            <w:shd w:val="clear" w:color="auto" w:fill="F2F2F2"/>
            <w:noWrap/>
          </w:tcPr>
          <w:p w:rsidR="001D19AD" w:rsidRPr="00AA3F66" w:rsidRDefault="007D78DE"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1,</w:t>
            </w:r>
            <w:r w:rsidR="001D19AD" w:rsidRPr="00AA3F66">
              <w:rPr>
                <w:rFonts w:eastAsia="Calibri" w:cs="Times New Roman"/>
                <w:sz w:val="20"/>
                <w:szCs w:val="20"/>
                <w:lang w:eastAsia="en-US"/>
              </w:rPr>
              <w:t>06</w:t>
            </w:r>
          </w:p>
        </w:tc>
      </w:tr>
      <w:tr w:rsidR="001D19AD" w:rsidRPr="00AA3F66" w:rsidTr="001D19AD">
        <w:trPr>
          <w:trHeight w:val="20"/>
          <w:jc w:val="center"/>
        </w:trPr>
        <w:tc>
          <w:tcPr>
            <w:tcW w:w="3611" w:type="dxa"/>
            <w:shd w:val="clear" w:color="auto" w:fill="auto"/>
            <w:vAlign w:val="center"/>
            <w:hideMark/>
          </w:tcPr>
          <w:p w:rsidR="001D19AD" w:rsidRPr="00AA3F66" w:rsidRDefault="001D19AD" w:rsidP="001D19AD">
            <w:pPr>
              <w:spacing w:before="40" w:after="40" w:line="259" w:lineRule="auto"/>
              <w:jc w:val="left"/>
              <w:rPr>
                <w:rFonts w:eastAsia="Calibri" w:cs="Times New Roman"/>
                <w:bCs/>
                <w:sz w:val="20"/>
                <w:szCs w:val="20"/>
                <w:lang w:eastAsia="en-US"/>
              </w:rPr>
            </w:pPr>
            <w:r w:rsidRPr="00AA3F66">
              <w:rPr>
                <w:rFonts w:eastAsia="Calibri" w:cs="Times New Roman"/>
                <w:bCs/>
                <w:sz w:val="20"/>
                <w:szCs w:val="20"/>
                <w:lang w:eastAsia="en-US"/>
              </w:rPr>
              <w:t>Цена на петрол „Брент“ (щ.д./барел)</w:t>
            </w:r>
          </w:p>
        </w:tc>
        <w:tc>
          <w:tcPr>
            <w:tcW w:w="825" w:type="dxa"/>
            <w:shd w:val="clear" w:color="auto" w:fill="auto"/>
            <w:noWrap/>
          </w:tcPr>
          <w:p w:rsidR="001D19AD" w:rsidRPr="00AA3F66" w:rsidRDefault="001D19AD"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70,</w:t>
            </w:r>
            <w:r w:rsidRPr="00AA3F66">
              <w:rPr>
                <w:rFonts w:eastAsia="Calibri" w:cs="Times New Roman"/>
                <w:sz w:val="20"/>
                <w:szCs w:val="20"/>
                <w:lang w:eastAsia="en-US"/>
              </w:rPr>
              <w:t>4</w:t>
            </w:r>
          </w:p>
        </w:tc>
        <w:tc>
          <w:tcPr>
            <w:tcW w:w="935" w:type="dxa"/>
            <w:shd w:val="clear" w:color="auto" w:fill="auto"/>
            <w:noWrap/>
          </w:tcPr>
          <w:p w:rsidR="001D19AD" w:rsidRPr="00AA3F66" w:rsidRDefault="001D19AD"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99,</w:t>
            </w:r>
            <w:r w:rsidRPr="00AA3F66">
              <w:rPr>
                <w:rFonts w:eastAsia="Calibri" w:cs="Times New Roman"/>
                <w:sz w:val="20"/>
                <w:szCs w:val="20"/>
                <w:lang w:eastAsia="en-US"/>
              </w:rPr>
              <w:t>8</w:t>
            </w:r>
          </w:p>
        </w:tc>
        <w:tc>
          <w:tcPr>
            <w:tcW w:w="880" w:type="dxa"/>
            <w:tcBorders>
              <w:top w:val="nil"/>
              <w:bottom w:val="nil"/>
            </w:tcBorders>
            <w:shd w:val="clear" w:color="auto" w:fill="F2F2F2"/>
            <w:noWrap/>
          </w:tcPr>
          <w:p w:rsidR="001D19AD" w:rsidRPr="00AA3F66" w:rsidRDefault="001D19AD"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84,</w:t>
            </w:r>
            <w:r w:rsidRPr="00AA3F66">
              <w:rPr>
                <w:rFonts w:eastAsia="Calibri" w:cs="Times New Roman"/>
                <w:sz w:val="20"/>
                <w:szCs w:val="20"/>
                <w:lang w:eastAsia="en-US"/>
              </w:rPr>
              <w:t>4</w:t>
            </w:r>
          </w:p>
        </w:tc>
        <w:tc>
          <w:tcPr>
            <w:tcW w:w="880" w:type="dxa"/>
            <w:tcBorders>
              <w:top w:val="nil"/>
              <w:bottom w:val="nil"/>
            </w:tcBorders>
            <w:shd w:val="clear" w:color="auto" w:fill="F2F2F2"/>
            <w:noWrap/>
          </w:tcPr>
          <w:p w:rsidR="001D19AD" w:rsidRPr="00AA3F66" w:rsidRDefault="001D19AD"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84,</w:t>
            </w:r>
            <w:r w:rsidRPr="00AA3F66">
              <w:rPr>
                <w:rFonts w:eastAsia="Calibri" w:cs="Times New Roman"/>
                <w:sz w:val="20"/>
                <w:szCs w:val="20"/>
                <w:lang w:eastAsia="en-US"/>
              </w:rPr>
              <w:t>5</w:t>
            </w:r>
          </w:p>
        </w:tc>
        <w:tc>
          <w:tcPr>
            <w:tcW w:w="880" w:type="dxa"/>
            <w:shd w:val="clear" w:color="auto" w:fill="F2F2F2"/>
            <w:noWrap/>
          </w:tcPr>
          <w:p w:rsidR="001D19AD" w:rsidRPr="00AA3F66" w:rsidRDefault="001D19AD"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79,</w:t>
            </w:r>
            <w:r w:rsidRPr="00AA3F66">
              <w:rPr>
                <w:rFonts w:eastAsia="Calibri" w:cs="Times New Roman"/>
                <w:sz w:val="20"/>
                <w:szCs w:val="20"/>
                <w:lang w:eastAsia="en-US"/>
              </w:rPr>
              <w:t>1</w:t>
            </w:r>
          </w:p>
        </w:tc>
        <w:tc>
          <w:tcPr>
            <w:tcW w:w="880" w:type="dxa"/>
            <w:shd w:val="clear" w:color="auto" w:fill="F2F2F2"/>
            <w:noWrap/>
          </w:tcPr>
          <w:p w:rsidR="001D19AD" w:rsidRPr="00AA3F66" w:rsidRDefault="007D78DE"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75,</w:t>
            </w:r>
            <w:r w:rsidR="001D19AD" w:rsidRPr="00AA3F66">
              <w:rPr>
                <w:rFonts w:eastAsia="Calibri" w:cs="Times New Roman"/>
                <w:sz w:val="20"/>
                <w:szCs w:val="20"/>
                <w:lang w:eastAsia="en-US"/>
              </w:rPr>
              <w:t>6</w:t>
            </w:r>
          </w:p>
        </w:tc>
      </w:tr>
      <w:tr w:rsidR="001D19AD" w:rsidRPr="00AA3F66" w:rsidTr="001D19AD">
        <w:trPr>
          <w:trHeight w:val="20"/>
          <w:jc w:val="center"/>
        </w:trPr>
        <w:tc>
          <w:tcPr>
            <w:tcW w:w="3611" w:type="dxa"/>
            <w:shd w:val="clear" w:color="auto" w:fill="auto"/>
            <w:vAlign w:val="center"/>
            <w:hideMark/>
          </w:tcPr>
          <w:p w:rsidR="001D19AD" w:rsidRPr="00AA3F66" w:rsidRDefault="001D19AD" w:rsidP="001D19AD">
            <w:pPr>
              <w:spacing w:before="40" w:after="40" w:line="259" w:lineRule="auto"/>
              <w:jc w:val="left"/>
              <w:rPr>
                <w:rFonts w:eastAsia="Calibri" w:cs="Times New Roman"/>
                <w:bCs/>
                <w:sz w:val="20"/>
                <w:szCs w:val="20"/>
                <w:lang w:eastAsia="en-US"/>
              </w:rPr>
            </w:pPr>
            <w:r w:rsidRPr="00AA3F66">
              <w:rPr>
                <w:rFonts w:eastAsia="Calibri" w:cs="Times New Roman"/>
                <w:bCs/>
                <w:sz w:val="20"/>
                <w:szCs w:val="20"/>
                <w:lang w:eastAsia="en-US"/>
              </w:rPr>
              <w:t xml:space="preserve">Цена на неенергийни суровини </w:t>
            </w:r>
            <w:r w:rsidRPr="00AA3F66">
              <w:rPr>
                <w:rFonts w:eastAsia="Calibri" w:cs="Times New Roman"/>
                <w:bCs/>
                <w:sz w:val="20"/>
                <w:szCs w:val="20"/>
                <w:lang w:eastAsia="en-US"/>
              </w:rPr>
              <w:br/>
              <w:t>(в щ.д., %)</w:t>
            </w:r>
          </w:p>
        </w:tc>
        <w:tc>
          <w:tcPr>
            <w:tcW w:w="825" w:type="dxa"/>
            <w:shd w:val="clear" w:color="auto" w:fill="auto"/>
            <w:noWrap/>
          </w:tcPr>
          <w:p w:rsidR="001D19AD" w:rsidRPr="00AA3F66" w:rsidRDefault="001D19AD"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-0,</w:t>
            </w:r>
            <w:r w:rsidRPr="00AA3F66">
              <w:rPr>
                <w:rFonts w:eastAsia="Calibri" w:cs="Times New Roman"/>
                <w:sz w:val="20"/>
                <w:szCs w:val="20"/>
                <w:lang w:eastAsia="en-US"/>
              </w:rPr>
              <w:t>5</w:t>
            </w:r>
          </w:p>
        </w:tc>
        <w:tc>
          <w:tcPr>
            <w:tcW w:w="935" w:type="dxa"/>
            <w:shd w:val="clear" w:color="auto" w:fill="auto"/>
            <w:noWrap/>
          </w:tcPr>
          <w:p w:rsidR="001D19AD" w:rsidRPr="00AA3F66" w:rsidRDefault="001D19AD"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0,</w:t>
            </w:r>
            <w:r w:rsidRPr="00AA3F66">
              <w:rPr>
                <w:rFonts w:eastAsia="Calibri" w:cs="Times New Roman"/>
                <w:sz w:val="20"/>
                <w:szCs w:val="20"/>
                <w:lang w:eastAsia="en-US"/>
              </w:rPr>
              <w:t>3</w:t>
            </w:r>
          </w:p>
        </w:tc>
        <w:tc>
          <w:tcPr>
            <w:tcW w:w="880" w:type="dxa"/>
            <w:tcBorders>
              <w:top w:val="nil"/>
              <w:bottom w:val="single" w:sz="4" w:space="0" w:color="auto"/>
            </w:tcBorders>
            <w:shd w:val="clear" w:color="auto" w:fill="F2F2F2"/>
            <w:noWrap/>
          </w:tcPr>
          <w:p w:rsidR="001D19AD" w:rsidRPr="00AA3F66" w:rsidRDefault="001D19AD"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3,</w:t>
            </w:r>
            <w:r w:rsidRPr="00AA3F66">
              <w:rPr>
                <w:rFonts w:eastAsia="Calibri" w:cs="Times New Roman"/>
                <w:sz w:val="20"/>
                <w:szCs w:val="20"/>
                <w:lang w:eastAsia="en-US"/>
              </w:rPr>
              <w:t>4</w:t>
            </w:r>
          </w:p>
        </w:tc>
        <w:tc>
          <w:tcPr>
            <w:tcW w:w="880" w:type="dxa"/>
            <w:tcBorders>
              <w:top w:val="nil"/>
              <w:bottom w:val="single" w:sz="4" w:space="0" w:color="auto"/>
            </w:tcBorders>
            <w:shd w:val="clear" w:color="auto" w:fill="F2F2F2"/>
            <w:noWrap/>
          </w:tcPr>
          <w:p w:rsidR="001D19AD" w:rsidRPr="00AA3F66" w:rsidRDefault="001D19AD"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3,</w:t>
            </w:r>
            <w:r w:rsidRPr="00AA3F66">
              <w:rPr>
                <w:rFonts w:eastAsia="Calibri" w:cs="Times New Roman"/>
                <w:sz w:val="20"/>
                <w:szCs w:val="20"/>
                <w:lang w:eastAsia="en-US"/>
              </w:rPr>
              <w:t>7</w:t>
            </w:r>
          </w:p>
        </w:tc>
        <w:tc>
          <w:tcPr>
            <w:tcW w:w="880" w:type="dxa"/>
            <w:tcBorders>
              <w:bottom w:val="single" w:sz="4" w:space="0" w:color="auto"/>
            </w:tcBorders>
            <w:shd w:val="clear" w:color="auto" w:fill="F2F2F2"/>
            <w:noWrap/>
          </w:tcPr>
          <w:p w:rsidR="001D19AD" w:rsidRPr="00AA3F66" w:rsidRDefault="001D19AD"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3,</w:t>
            </w:r>
            <w:r w:rsidRPr="00AA3F66">
              <w:rPr>
                <w:rFonts w:eastAsia="Calibri" w:cs="Times New Roman"/>
                <w:sz w:val="20"/>
                <w:szCs w:val="20"/>
                <w:lang w:eastAsia="en-US"/>
              </w:rPr>
              <w:t>1</w:t>
            </w:r>
          </w:p>
        </w:tc>
        <w:tc>
          <w:tcPr>
            <w:tcW w:w="880" w:type="dxa"/>
            <w:tcBorders>
              <w:bottom w:val="single" w:sz="4" w:space="0" w:color="auto"/>
            </w:tcBorders>
            <w:shd w:val="clear" w:color="auto" w:fill="F2F2F2"/>
            <w:noWrap/>
          </w:tcPr>
          <w:p w:rsidR="001D19AD" w:rsidRPr="00AA3F66" w:rsidRDefault="007D78DE" w:rsidP="001D19AD">
            <w:pPr>
              <w:spacing w:after="0" w:line="259" w:lineRule="auto"/>
              <w:ind w:firstLineChars="100" w:firstLine="200"/>
              <w:jc w:val="right"/>
              <w:rPr>
                <w:rFonts w:eastAsia="Calibri" w:cs="Times New Roman"/>
                <w:sz w:val="20"/>
                <w:szCs w:val="20"/>
                <w:lang w:eastAsia="en-US"/>
              </w:rPr>
            </w:pPr>
            <w:r w:rsidRPr="00AA3F66">
              <w:rPr>
                <w:rFonts w:eastAsia="Times New Roman" w:cs="Times New Roman"/>
                <w:sz w:val="20"/>
                <w:szCs w:val="20"/>
              </w:rPr>
              <w:t>2,</w:t>
            </w:r>
            <w:r w:rsidR="001D19AD" w:rsidRPr="00AA3F66">
              <w:rPr>
                <w:rFonts w:eastAsia="Calibri" w:cs="Times New Roman"/>
                <w:sz w:val="20"/>
                <w:szCs w:val="20"/>
                <w:lang w:eastAsia="en-US"/>
              </w:rPr>
              <w:t>6</w:t>
            </w:r>
          </w:p>
        </w:tc>
      </w:tr>
    </w:tbl>
    <w:p w:rsidR="008C43C6" w:rsidRPr="00AA3F66" w:rsidRDefault="008C43C6" w:rsidP="008C43C6">
      <w:pPr>
        <w:pStyle w:val="Source0"/>
        <w:rPr>
          <w:rFonts w:eastAsiaTheme="minorHAnsi"/>
          <w:sz w:val="18"/>
          <w:szCs w:val="18"/>
          <w:lang w:eastAsia="en-US"/>
        </w:rPr>
      </w:pPr>
      <w:r w:rsidRPr="00AA3F66">
        <w:rPr>
          <w:sz w:val="18"/>
          <w:szCs w:val="18"/>
        </w:rPr>
        <w:t>Източник:</w:t>
      </w:r>
      <w:r w:rsidR="001D19AD" w:rsidRPr="00AA3F66">
        <w:rPr>
          <w:rFonts w:eastAsiaTheme="minorHAnsi" w:cs="Times New Roman"/>
          <w:sz w:val="24"/>
          <w:szCs w:val="20"/>
          <w:lang w:eastAsia="en-US"/>
        </w:rPr>
        <w:t xml:space="preserve"> </w:t>
      </w:r>
      <w:r w:rsidR="001D19AD" w:rsidRPr="00AA3F66">
        <w:rPr>
          <w:sz w:val="18"/>
          <w:szCs w:val="18"/>
        </w:rPr>
        <w:t>СБ, МВФ, Евростат, Bloomberg, ИАП</w:t>
      </w:r>
      <w:r w:rsidR="00EF2313" w:rsidRPr="00AA3F66">
        <w:rPr>
          <w:rFonts w:asciiTheme="minorHAnsi" w:eastAsiaTheme="minorHAnsi" w:hAnsiTheme="minorHAnsi"/>
          <w:i/>
          <w:sz w:val="22"/>
          <w:lang w:eastAsia="en-US"/>
        </w:rPr>
        <w:t xml:space="preserve"> </w:t>
      </w:r>
    </w:p>
    <w:p w:rsidR="001A6AE9" w:rsidRPr="00AA3F66" w:rsidRDefault="001A6AE9" w:rsidP="007D78DE">
      <w:pPr>
        <w:rPr>
          <w:bCs/>
          <w:szCs w:val="24"/>
        </w:rPr>
      </w:pPr>
    </w:p>
    <w:p w:rsidR="001A6AE9" w:rsidRPr="00AA3F66" w:rsidRDefault="001A6AE9" w:rsidP="001A6AE9">
      <w:pPr>
        <w:rPr>
          <w:bCs/>
          <w:szCs w:val="24"/>
        </w:rPr>
      </w:pPr>
      <w:r w:rsidRPr="00AA3F66">
        <w:rPr>
          <w:bCs/>
          <w:szCs w:val="24"/>
        </w:rPr>
        <w:t>Техническото допускане за валутния курс USD/EUR</w:t>
      </w:r>
      <w:r w:rsidRPr="00AA3F66">
        <w:rPr>
          <w:bCs/>
          <w:szCs w:val="24"/>
          <w:vertAlign w:val="superscript"/>
        </w:rPr>
        <w:footnoteReference w:id="3"/>
      </w:r>
      <w:r w:rsidRPr="00AA3F66">
        <w:rPr>
          <w:bCs/>
          <w:szCs w:val="24"/>
        </w:rPr>
        <w:t xml:space="preserve">, с дневни данни до 05.10.2023 г., е за поскъпване на единната европейска валута средно с 2% до 1,07 долара за едно евро през 2023 г., последвано от обезценка средно с 1,7% до 1,06 долара средно за 2024 г., след което до края на прогнозния период </w:t>
      </w:r>
      <w:r w:rsidR="00F762FB">
        <w:rPr>
          <w:bCs/>
          <w:szCs w:val="24"/>
        </w:rPr>
        <w:t>се очаква да</w:t>
      </w:r>
      <w:r w:rsidRPr="00AA3F66">
        <w:rPr>
          <w:bCs/>
          <w:szCs w:val="24"/>
        </w:rPr>
        <w:t xml:space="preserve"> остане без промяна.</w:t>
      </w:r>
    </w:p>
    <w:p w:rsidR="001A6AE9" w:rsidRPr="00AA3F66" w:rsidRDefault="001A6AE9" w:rsidP="001A6AE9">
      <w:pPr>
        <w:rPr>
          <w:bCs/>
          <w:szCs w:val="24"/>
        </w:rPr>
      </w:pPr>
      <w:r w:rsidRPr="00AA3F66">
        <w:rPr>
          <w:bCs/>
          <w:szCs w:val="24"/>
        </w:rPr>
        <w:t>Допусканията за международните цени се основават на информация за фючърсите до 05.10.2023 г. Според тези данни средната цена на петрола сорт „Брент“ се очаква да бъде 84,4 щ.д./барел за 2023 г., или спад от 15,5%, след което през 2024 г. цената на суровината ще се стабилизира на това ниво, а през следващите две години отново ще се понижи до 75,6 щ.д./барел през 2026 г. Очакваното поевтиняване на природния газ за Европа за 2023 г. е 68% при средна цена от 42,8 евро/мВтч.</w:t>
      </w:r>
      <w:r w:rsidR="00E01FF1" w:rsidRPr="00AA3F66">
        <w:rPr>
          <w:rStyle w:val="FootnoteReference"/>
          <w:bCs/>
          <w:szCs w:val="24"/>
        </w:rPr>
        <w:footnoteReference w:id="4"/>
      </w:r>
      <w:r w:rsidRPr="00AA3F66">
        <w:rPr>
          <w:bCs/>
          <w:szCs w:val="24"/>
        </w:rPr>
        <w:t xml:space="preserve"> През 2024 г. цената на суровината ще се повиши средно с 9% до 46,6 евро, след което ще се понижи през 2025 г. до 44,7 евро и през 2026 г. до 37 евро. </w:t>
      </w:r>
    </w:p>
    <w:p w:rsidR="001A6AE9" w:rsidRDefault="001A6AE9" w:rsidP="007D78DE">
      <w:pPr>
        <w:rPr>
          <w:bCs/>
          <w:szCs w:val="24"/>
        </w:rPr>
      </w:pPr>
      <w:r w:rsidRPr="00AA3F66">
        <w:rPr>
          <w:bCs/>
          <w:szCs w:val="24"/>
        </w:rPr>
        <w:t>При неенергийните суровини средногодишното прогнозно поевтиняване за 2023 г. е 6,6%. Очакванията са тези стоки да продължат да поевтиняват до края на прогнозния хоризонт, водени най-вече от низходящата ценова динамика при храните.</w:t>
      </w:r>
    </w:p>
    <w:p w:rsidR="006E459E" w:rsidRPr="00AA3F66" w:rsidRDefault="006E459E" w:rsidP="007D78DE">
      <w:pPr>
        <w:rPr>
          <w:bCs/>
          <w:szCs w:val="24"/>
        </w:rPr>
      </w:pPr>
    </w:p>
    <w:p w:rsidR="0074509C" w:rsidRPr="00AA3F66" w:rsidRDefault="00083361" w:rsidP="00C56C6A">
      <w:pPr>
        <w:pStyle w:val="Heading2"/>
        <w:spacing w:before="120" w:after="200"/>
      </w:pPr>
      <w:bookmarkStart w:id="143" w:name="_Toc151557294"/>
      <w:r w:rsidRPr="00AA3F66">
        <w:t>МАКРОИКОН</w:t>
      </w:r>
      <w:r w:rsidR="00B94C80" w:rsidRPr="00AA3F66">
        <w:t>О</w:t>
      </w:r>
      <w:r w:rsidR="004B2425" w:rsidRPr="00AA3F66">
        <w:t xml:space="preserve">МИЧЕСКА ПРОГНОЗА ЗА </w:t>
      </w:r>
      <w:r w:rsidR="00664A34" w:rsidRPr="00AA3F66">
        <w:t>ПЕРИОДА 2023</w:t>
      </w:r>
      <w:r w:rsidRPr="00AA3F66">
        <w:t>-20</w:t>
      </w:r>
      <w:r w:rsidR="00C87DE2" w:rsidRPr="00AA3F66">
        <w:t>26</w:t>
      </w:r>
      <w:r w:rsidR="00AA3035" w:rsidRPr="00AA3F66">
        <w:t> г.</w:t>
      </w:r>
      <w:bookmarkEnd w:id="129"/>
      <w:bookmarkEnd w:id="130"/>
      <w:bookmarkEnd w:id="131"/>
      <w:bookmarkEnd w:id="132"/>
      <w:bookmarkEnd w:id="133"/>
      <w:bookmarkEnd w:id="134"/>
      <w:bookmarkEnd w:id="135"/>
      <w:bookmarkEnd w:id="136"/>
      <w:bookmarkEnd w:id="137"/>
      <w:bookmarkEnd w:id="138"/>
      <w:bookmarkEnd w:id="139"/>
      <w:bookmarkEnd w:id="140"/>
      <w:bookmarkEnd w:id="143"/>
    </w:p>
    <w:p w:rsidR="00E26B9D" w:rsidRPr="00AA3F66" w:rsidRDefault="00133400" w:rsidP="00E26B9D">
      <w:pPr>
        <w:pStyle w:val="Caption"/>
        <w:rPr>
          <w:rFonts w:eastAsia="Times New Roman" w:cs="Times New Roman"/>
          <w:sz w:val="22"/>
          <w:szCs w:val="22"/>
          <w:lang w:eastAsia="en-US"/>
        </w:rPr>
      </w:pPr>
      <w:bookmarkStart w:id="144" w:name="_Toc150443411"/>
      <w:bookmarkStart w:id="145" w:name="_Toc53751519"/>
      <w:bookmarkStart w:id="146" w:name="_Toc464737630"/>
      <w:bookmarkStart w:id="147" w:name="_Toc464646349"/>
      <w:bookmarkStart w:id="148" w:name="_Toc464644956"/>
      <w:r w:rsidRPr="00AA3F66">
        <w:t xml:space="preserve">Табл. </w:t>
      </w:r>
      <w:fldSimple w:instr=" STYLEREF 1 \s ">
        <w:r w:rsidR="005A69ED">
          <w:rPr>
            <w:noProof/>
          </w:rPr>
          <w:t>I</w:t>
        </w:r>
      </w:fldSimple>
      <w:r w:rsidRPr="00AA3F66">
        <w:noBreakHyphen/>
      </w:r>
      <w:fldSimple w:instr=" SEQ Табл. \* ARABIC \s 1 ">
        <w:r w:rsidR="005A69ED">
          <w:rPr>
            <w:noProof/>
          </w:rPr>
          <w:t>2</w:t>
        </w:r>
      </w:fldSimple>
      <w:r w:rsidRPr="00AA3F66">
        <w:t>:</w:t>
      </w:r>
      <w:r w:rsidRPr="00AA3F66">
        <w:tab/>
      </w:r>
      <w:r w:rsidRPr="00AA3F66">
        <w:rPr>
          <w:rFonts w:eastAsia="Times New Roman" w:cs="Times New Roman"/>
          <w:sz w:val="22"/>
          <w:szCs w:val="22"/>
          <w:lang w:eastAsia="en-US"/>
        </w:rPr>
        <w:t>Основни макроикономически показатели</w:t>
      </w:r>
      <w:bookmarkEnd w:id="144"/>
    </w:p>
    <w:tbl>
      <w:tblPr>
        <w:tblW w:w="5263" w:type="pct"/>
        <w:jc w:val="center"/>
        <w:tblBorders>
          <w:top w:val="single" w:sz="6" w:space="0" w:color="838383"/>
          <w:bottom w:val="single" w:sz="6" w:space="0" w:color="838383"/>
        </w:tblBorders>
        <w:tblLayout w:type="fixed"/>
        <w:tblLook w:val="00A0" w:firstRow="1" w:lastRow="0" w:firstColumn="1" w:lastColumn="0" w:noHBand="0" w:noVBand="0"/>
      </w:tblPr>
      <w:tblGrid>
        <w:gridCol w:w="3870"/>
        <w:gridCol w:w="987"/>
        <w:gridCol w:w="963"/>
        <w:gridCol w:w="884"/>
        <w:gridCol w:w="903"/>
        <w:gridCol w:w="963"/>
        <w:gridCol w:w="963"/>
        <w:gridCol w:w="14"/>
      </w:tblGrid>
      <w:tr w:rsidR="00174C2E" w:rsidRPr="00AA3F66" w:rsidTr="00530DB8">
        <w:trPr>
          <w:gridAfter w:val="1"/>
          <w:wAfter w:w="14" w:type="dxa"/>
          <w:trHeight w:val="20"/>
          <w:tblHeader/>
          <w:jc w:val="center"/>
        </w:trPr>
        <w:tc>
          <w:tcPr>
            <w:tcW w:w="3870" w:type="dxa"/>
            <w:vMerge w:val="restart"/>
            <w:tcBorders>
              <w:top w:val="single" w:sz="4" w:space="0" w:color="auto"/>
              <w:bottom w:val="single" w:sz="4" w:space="0" w:color="auto"/>
            </w:tcBorders>
          </w:tcPr>
          <w:p w:rsidR="00174C2E" w:rsidRPr="00AA3F66" w:rsidRDefault="00174C2E" w:rsidP="00104459">
            <w:pPr>
              <w:spacing w:before="40" w:after="40" w:line="259" w:lineRule="auto"/>
              <w:jc w:val="center"/>
              <w:rPr>
                <w:rFonts w:eastAsia="Calibri"/>
                <w:b/>
                <w:bCs/>
                <w:sz w:val="20"/>
                <w:szCs w:val="20"/>
                <w:lang w:eastAsia="en-GB"/>
              </w:rPr>
            </w:pPr>
            <w:r w:rsidRPr="00AA3F66">
              <w:rPr>
                <w:rFonts w:eastAsia="Calibri"/>
                <w:b/>
                <w:bCs/>
                <w:sz w:val="20"/>
                <w:szCs w:val="20"/>
                <w:lang w:eastAsia="en-GB"/>
              </w:rPr>
              <w:t>Основни макроикономически показатели</w:t>
            </w:r>
          </w:p>
        </w:tc>
        <w:tc>
          <w:tcPr>
            <w:tcW w:w="1950" w:type="dxa"/>
            <w:gridSpan w:val="2"/>
            <w:tcBorders>
              <w:top w:val="single" w:sz="4" w:space="0" w:color="auto"/>
              <w:bottom w:val="single" w:sz="4" w:space="0" w:color="auto"/>
            </w:tcBorders>
            <w:noWrap/>
            <w:vAlign w:val="center"/>
          </w:tcPr>
          <w:p w:rsidR="00174C2E" w:rsidRPr="00AA3F66" w:rsidRDefault="00174C2E" w:rsidP="00104459">
            <w:pPr>
              <w:spacing w:before="40" w:after="40" w:line="259" w:lineRule="auto"/>
              <w:jc w:val="center"/>
              <w:rPr>
                <w:rFonts w:eastAsia="Calibri"/>
                <w:b/>
                <w:bCs/>
                <w:sz w:val="20"/>
                <w:szCs w:val="20"/>
                <w:lang w:eastAsia="en-GB"/>
              </w:rPr>
            </w:pPr>
            <w:r w:rsidRPr="00AA3F66">
              <w:rPr>
                <w:rFonts w:eastAsia="Calibri"/>
                <w:b/>
                <w:bCs/>
                <w:sz w:val="20"/>
                <w:szCs w:val="20"/>
                <w:lang w:eastAsia="en-GB"/>
              </w:rPr>
              <w:t>Отчетни данни</w:t>
            </w:r>
          </w:p>
        </w:tc>
        <w:tc>
          <w:tcPr>
            <w:tcW w:w="3713" w:type="dxa"/>
            <w:gridSpan w:val="4"/>
            <w:tcBorders>
              <w:top w:val="single" w:sz="4" w:space="0" w:color="auto"/>
              <w:bottom w:val="single" w:sz="4" w:space="0" w:color="auto"/>
            </w:tcBorders>
            <w:shd w:val="clear" w:color="auto" w:fill="F2F2F2"/>
            <w:noWrap/>
            <w:vAlign w:val="center"/>
          </w:tcPr>
          <w:p w:rsidR="00174C2E" w:rsidRPr="00AA3F66" w:rsidRDefault="00174C2E" w:rsidP="00104459">
            <w:pPr>
              <w:spacing w:before="40" w:after="40" w:line="259" w:lineRule="auto"/>
              <w:jc w:val="center"/>
              <w:rPr>
                <w:rFonts w:eastAsia="Calibri"/>
                <w:b/>
                <w:bCs/>
                <w:sz w:val="20"/>
                <w:szCs w:val="20"/>
                <w:lang w:eastAsia="en-GB"/>
              </w:rPr>
            </w:pPr>
            <w:r w:rsidRPr="00AA3F66">
              <w:rPr>
                <w:rFonts w:eastAsia="Calibri"/>
                <w:b/>
                <w:bCs/>
                <w:sz w:val="20"/>
                <w:szCs w:val="20"/>
                <w:lang w:eastAsia="en-GB"/>
              </w:rPr>
              <w:t>Прогноза</w:t>
            </w:r>
          </w:p>
        </w:tc>
      </w:tr>
      <w:tr w:rsidR="00174C2E" w:rsidRPr="00AA3F66" w:rsidTr="00530DB8">
        <w:trPr>
          <w:gridAfter w:val="1"/>
          <w:wAfter w:w="14" w:type="dxa"/>
          <w:trHeight w:val="20"/>
          <w:tblHeader/>
          <w:jc w:val="center"/>
        </w:trPr>
        <w:tc>
          <w:tcPr>
            <w:tcW w:w="3870" w:type="dxa"/>
            <w:vMerge/>
            <w:tcBorders>
              <w:top w:val="single" w:sz="4" w:space="0" w:color="auto"/>
              <w:bottom w:val="single" w:sz="4" w:space="0" w:color="auto"/>
            </w:tcBorders>
            <w:noWrap/>
          </w:tcPr>
          <w:p w:rsidR="00174C2E" w:rsidRPr="00AA3F66" w:rsidRDefault="00174C2E" w:rsidP="00104459">
            <w:pPr>
              <w:spacing w:before="40" w:after="40" w:line="259" w:lineRule="auto"/>
              <w:jc w:val="left"/>
              <w:rPr>
                <w:rFonts w:eastAsia="Calibri"/>
                <w:b/>
                <w:bCs/>
                <w:sz w:val="20"/>
                <w:szCs w:val="20"/>
                <w:lang w:eastAsia="en-GB"/>
              </w:rPr>
            </w:pPr>
          </w:p>
        </w:tc>
        <w:tc>
          <w:tcPr>
            <w:tcW w:w="987" w:type="dxa"/>
            <w:tcBorders>
              <w:top w:val="single" w:sz="4" w:space="0" w:color="auto"/>
              <w:bottom w:val="single" w:sz="4" w:space="0" w:color="auto"/>
            </w:tcBorders>
            <w:noWrap/>
            <w:vAlign w:val="center"/>
          </w:tcPr>
          <w:p w:rsidR="00174C2E" w:rsidRPr="00AA3F66" w:rsidRDefault="00174C2E" w:rsidP="00104459">
            <w:pPr>
              <w:spacing w:before="40" w:after="40" w:line="259" w:lineRule="auto"/>
              <w:jc w:val="center"/>
              <w:rPr>
                <w:rFonts w:eastAsia="Calibri"/>
                <w:b/>
                <w:bCs/>
                <w:sz w:val="20"/>
                <w:szCs w:val="20"/>
                <w:lang w:eastAsia="en-GB"/>
              </w:rPr>
            </w:pPr>
            <w:r w:rsidRPr="00AA3F66">
              <w:rPr>
                <w:rFonts w:eastAsia="Calibri"/>
                <w:b/>
                <w:bCs/>
                <w:sz w:val="20"/>
                <w:szCs w:val="20"/>
                <w:lang w:eastAsia="en-GB"/>
              </w:rPr>
              <w:t>2021</w:t>
            </w:r>
          </w:p>
        </w:tc>
        <w:tc>
          <w:tcPr>
            <w:tcW w:w="963" w:type="dxa"/>
            <w:tcBorders>
              <w:top w:val="single" w:sz="4" w:space="0" w:color="auto"/>
              <w:bottom w:val="single" w:sz="4" w:space="0" w:color="auto"/>
            </w:tcBorders>
            <w:noWrap/>
            <w:vAlign w:val="center"/>
          </w:tcPr>
          <w:p w:rsidR="00174C2E" w:rsidRPr="00AA3F66" w:rsidRDefault="00174C2E" w:rsidP="00104459">
            <w:pPr>
              <w:spacing w:before="40" w:after="40" w:line="259" w:lineRule="auto"/>
              <w:jc w:val="center"/>
              <w:rPr>
                <w:rFonts w:eastAsia="Calibri"/>
                <w:b/>
                <w:bCs/>
                <w:sz w:val="20"/>
                <w:szCs w:val="20"/>
                <w:lang w:eastAsia="en-GB"/>
              </w:rPr>
            </w:pPr>
            <w:r w:rsidRPr="00AA3F66">
              <w:rPr>
                <w:rFonts w:eastAsia="Calibri"/>
                <w:b/>
                <w:bCs/>
                <w:sz w:val="20"/>
                <w:szCs w:val="20"/>
                <w:lang w:eastAsia="en-GB"/>
              </w:rPr>
              <w:t>2022</w:t>
            </w:r>
          </w:p>
        </w:tc>
        <w:tc>
          <w:tcPr>
            <w:tcW w:w="884" w:type="dxa"/>
            <w:tcBorders>
              <w:top w:val="single" w:sz="4" w:space="0" w:color="auto"/>
              <w:bottom w:val="single" w:sz="4" w:space="0" w:color="auto"/>
            </w:tcBorders>
            <w:shd w:val="clear" w:color="auto" w:fill="F2F2F2"/>
            <w:noWrap/>
            <w:vAlign w:val="center"/>
          </w:tcPr>
          <w:p w:rsidR="00174C2E" w:rsidRPr="00AA3F66" w:rsidRDefault="00174C2E" w:rsidP="00104459">
            <w:pPr>
              <w:spacing w:before="40" w:after="40" w:line="259" w:lineRule="auto"/>
              <w:jc w:val="center"/>
              <w:rPr>
                <w:rFonts w:eastAsia="Calibri"/>
                <w:b/>
                <w:bCs/>
                <w:sz w:val="20"/>
                <w:szCs w:val="20"/>
                <w:lang w:eastAsia="en-GB"/>
              </w:rPr>
            </w:pPr>
            <w:r w:rsidRPr="00AA3F66">
              <w:rPr>
                <w:rFonts w:eastAsia="Calibri"/>
                <w:b/>
                <w:bCs/>
                <w:sz w:val="20"/>
                <w:szCs w:val="20"/>
                <w:lang w:eastAsia="en-GB"/>
              </w:rPr>
              <w:t>2023</w:t>
            </w:r>
          </w:p>
        </w:tc>
        <w:tc>
          <w:tcPr>
            <w:tcW w:w="903" w:type="dxa"/>
            <w:tcBorders>
              <w:top w:val="single" w:sz="4" w:space="0" w:color="auto"/>
              <w:bottom w:val="single" w:sz="4" w:space="0" w:color="auto"/>
            </w:tcBorders>
            <w:shd w:val="clear" w:color="auto" w:fill="F2F2F2"/>
            <w:noWrap/>
            <w:vAlign w:val="center"/>
          </w:tcPr>
          <w:p w:rsidR="00174C2E" w:rsidRPr="00AA3F66" w:rsidRDefault="00174C2E" w:rsidP="00104459">
            <w:pPr>
              <w:spacing w:before="40" w:after="40" w:line="259" w:lineRule="auto"/>
              <w:jc w:val="center"/>
              <w:rPr>
                <w:rFonts w:eastAsia="Calibri"/>
                <w:b/>
                <w:bCs/>
                <w:sz w:val="20"/>
                <w:szCs w:val="20"/>
                <w:lang w:eastAsia="en-GB"/>
              </w:rPr>
            </w:pPr>
            <w:r w:rsidRPr="00AA3F66">
              <w:rPr>
                <w:rFonts w:eastAsia="Calibri"/>
                <w:b/>
                <w:bCs/>
                <w:sz w:val="20"/>
                <w:szCs w:val="20"/>
                <w:lang w:eastAsia="en-GB"/>
              </w:rPr>
              <w:t>2024</w:t>
            </w:r>
          </w:p>
        </w:tc>
        <w:tc>
          <w:tcPr>
            <w:tcW w:w="963" w:type="dxa"/>
            <w:tcBorders>
              <w:top w:val="single" w:sz="4" w:space="0" w:color="auto"/>
              <w:bottom w:val="single" w:sz="4" w:space="0" w:color="auto"/>
            </w:tcBorders>
            <w:shd w:val="clear" w:color="auto" w:fill="F2F2F2"/>
            <w:noWrap/>
            <w:vAlign w:val="center"/>
          </w:tcPr>
          <w:p w:rsidR="00174C2E" w:rsidRPr="00AA3F66" w:rsidRDefault="00174C2E" w:rsidP="00104459">
            <w:pPr>
              <w:spacing w:before="40" w:after="40" w:line="259" w:lineRule="auto"/>
              <w:jc w:val="center"/>
              <w:rPr>
                <w:rFonts w:eastAsia="Calibri"/>
                <w:b/>
                <w:bCs/>
                <w:sz w:val="20"/>
                <w:szCs w:val="20"/>
                <w:lang w:eastAsia="en-GB"/>
              </w:rPr>
            </w:pPr>
            <w:r w:rsidRPr="00AA3F66">
              <w:rPr>
                <w:rFonts w:eastAsia="Calibri"/>
                <w:b/>
                <w:bCs/>
                <w:sz w:val="20"/>
                <w:szCs w:val="20"/>
                <w:lang w:eastAsia="en-GB"/>
              </w:rPr>
              <w:t>2025</w:t>
            </w:r>
          </w:p>
        </w:tc>
        <w:tc>
          <w:tcPr>
            <w:tcW w:w="963" w:type="dxa"/>
            <w:tcBorders>
              <w:top w:val="single" w:sz="4" w:space="0" w:color="auto"/>
              <w:bottom w:val="single" w:sz="4" w:space="0" w:color="auto"/>
            </w:tcBorders>
            <w:shd w:val="clear" w:color="auto" w:fill="F2F2F2"/>
            <w:noWrap/>
            <w:vAlign w:val="center"/>
          </w:tcPr>
          <w:p w:rsidR="00174C2E" w:rsidRPr="00AA3F66" w:rsidRDefault="00174C2E" w:rsidP="00104459">
            <w:pPr>
              <w:spacing w:before="40" w:after="40" w:line="259" w:lineRule="auto"/>
              <w:jc w:val="center"/>
              <w:rPr>
                <w:rFonts w:eastAsia="Calibri"/>
                <w:b/>
                <w:bCs/>
                <w:sz w:val="20"/>
                <w:szCs w:val="20"/>
                <w:lang w:eastAsia="en-GB"/>
              </w:rPr>
            </w:pPr>
            <w:r w:rsidRPr="00AA3F66">
              <w:rPr>
                <w:rFonts w:eastAsia="Calibri"/>
                <w:b/>
                <w:bCs/>
                <w:sz w:val="20"/>
                <w:szCs w:val="20"/>
                <w:lang w:eastAsia="en-GB"/>
              </w:rPr>
              <w:t>2026</w:t>
            </w:r>
          </w:p>
        </w:tc>
      </w:tr>
      <w:tr w:rsidR="00174C2E" w:rsidRPr="00AA3F66" w:rsidTr="00530DB8">
        <w:trPr>
          <w:trHeight w:val="20"/>
          <w:jc w:val="center"/>
        </w:trPr>
        <w:tc>
          <w:tcPr>
            <w:tcW w:w="9547" w:type="dxa"/>
            <w:gridSpan w:val="8"/>
            <w:tcBorders>
              <w:top w:val="single" w:sz="4" w:space="0" w:color="auto"/>
              <w:bottom w:val="nil"/>
            </w:tcBorders>
            <w:vAlign w:val="center"/>
          </w:tcPr>
          <w:p w:rsidR="00174C2E" w:rsidRPr="00AA3F66" w:rsidRDefault="00174C2E" w:rsidP="00104459">
            <w:pPr>
              <w:spacing w:before="40" w:after="40" w:line="259" w:lineRule="auto"/>
              <w:jc w:val="left"/>
              <w:rPr>
                <w:rFonts w:eastAsia="Calibri"/>
                <w:b/>
                <w:bCs/>
                <w:sz w:val="20"/>
                <w:szCs w:val="20"/>
                <w:lang w:eastAsia="en-GB"/>
              </w:rPr>
            </w:pPr>
            <w:r w:rsidRPr="00AA3F66">
              <w:rPr>
                <w:rFonts w:eastAsia="Calibri"/>
                <w:b/>
                <w:bCs/>
                <w:sz w:val="20"/>
                <w:szCs w:val="20"/>
                <w:lang w:eastAsia="en-GB"/>
              </w:rPr>
              <w:t>Брутен вътрешен продукт</w:t>
            </w:r>
          </w:p>
        </w:tc>
      </w:tr>
      <w:tr w:rsidR="00174C2E" w:rsidRPr="00AA3F66" w:rsidTr="00530DB8">
        <w:trPr>
          <w:gridAfter w:val="1"/>
          <w:wAfter w:w="14" w:type="dxa"/>
          <w:trHeight w:val="20"/>
          <w:jc w:val="center"/>
        </w:trPr>
        <w:tc>
          <w:tcPr>
            <w:tcW w:w="3870" w:type="dxa"/>
            <w:tcBorders>
              <w:top w:val="nil"/>
            </w:tcBorders>
            <w:noWrap/>
            <w:vAlign w:val="center"/>
          </w:tcPr>
          <w:p w:rsidR="00174C2E" w:rsidRPr="00AA3F66" w:rsidRDefault="00174C2E" w:rsidP="00104459">
            <w:pPr>
              <w:spacing w:before="40" w:after="40" w:line="259" w:lineRule="auto"/>
              <w:jc w:val="left"/>
              <w:rPr>
                <w:rFonts w:eastAsia="Calibri"/>
                <w:bCs/>
                <w:sz w:val="20"/>
                <w:szCs w:val="20"/>
                <w:lang w:eastAsia="en-GB"/>
              </w:rPr>
            </w:pPr>
            <w:r w:rsidRPr="00AA3F66">
              <w:rPr>
                <w:rFonts w:eastAsia="Calibri"/>
                <w:bCs/>
                <w:sz w:val="20"/>
                <w:szCs w:val="20"/>
                <w:lang w:eastAsia="en-GB"/>
              </w:rPr>
              <w:t>БВП (млн. лв.)</w:t>
            </w:r>
          </w:p>
        </w:tc>
        <w:tc>
          <w:tcPr>
            <w:tcW w:w="987" w:type="dxa"/>
            <w:tcBorders>
              <w:top w:val="nil"/>
              <w:left w:val="nil"/>
              <w:bottom w:val="nil"/>
              <w:right w:val="nil"/>
            </w:tcBorders>
            <w:shd w:val="clear" w:color="auto" w:fill="auto"/>
            <w:noWrap/>
          </w:tcPr>
          <w:p w:rsidR="00174C2E" w:rsidRPr="00AA3F66" w:rsidRDefault="00174C2E" w:rsidP="00104459">
            <w:pPr>
              <w:spacing w:after="120" w:line="259" w:lineRule="auto"/>
              <w:jc w:val="center"/>
              <w:rPr>
                <w:rFonts w:eastAsia="Calibri"/>
                <w:sz w:val="20"/>
                <w:szCs w:val="20"/>
                <w:lang w:eastAsia="en-US"/>
              </w:rPr>
            </w:pPr>
            <w:r w:rsidRPr="00AA3F66">
              <w:rPr>
                <w:sz w:val="20"/>
                <w:szCs w:val="20"/>
              </w:rPr>
              <w:t>138 979</w:t>
            </w:r>
          </w:p>
        </w:tc>
        <w:tc>
          <w:tcPr>
            <w:tcW w:w="963" w:type="dxa"/>
            <w:tcBorders>
              <w:top w:val="nil"/>
              <w:left w:val="nil"/>
              <w:bottom w:val="nil"/>
              <w:right w:val="nil"/>
            </w:tcBorders>
            <w:shd w:val="clear" w:color="auto" w:fill="auto"/>
            <w:noWrap/>
          </w:tcPr>
          <w:p w:rsidR="00174C2E" w:rsidRPr="00AA3F66" w:rsidRDefault="00174C2E" w:rsidP="00104459">
            <w:pPr>
              <w:spacing w:after="120" w:line="259" w:lineRule="auto"/>
              <w:jc w:val="center"/>
              <w:rPr>
                <w:rFonts w:eastAsia="Calibri"/>
                <w:sz w:val="20"/>
                <w:szCs w:val="20"/>
                <w:lang w:eastAsia="en-US"/>
              </w:rPr>
            </w:pPr>
            <w:r w:rsidRPr="00AA3F66">
              <w:rPr>
                <w:sz w:val="20"/>
                <w:szCs w:val="20"/>
              </w:rPr>
              <w:t>167 809</w:t>
            </w:r>
          </w:p>
        </w:tc>
        <w:tc>
          <w:tcPr>
            <w:tcW w:w="884" w:type="dxa"/>
            <w:tcBorders>
              <w:top w:val="nil"/>
              <w:left w:val="nil"/>
              <w:bottom w:val="nil"/>
              <w:right w:val="nil"/>
            </w:tcBorders>
            <w:shd w:val="clear" w:color="auto" w:fill="F2F2F2"/>
            <w:noWrap/>
          </w:tcPr>
          <w:p w:rsidR="00174C2E" w:rsidRPr="00AA3F66" w:rsidRDefault="00174C2E" w:rsidP="00104459">
            <w:pPr>
              <w:spacing w:after="120" w:line="259" w:lineRule="auto"/>
              <w:jc w:val="right"/>
              <w:rPr>
                <w:rFonts w:eastAsia="Calibri"/>
                <w:sz w:val="20"/>
                <w:szCs w:val="20"/>
                <w:lang w:eastAsia="en-US"/>
              </w:rPr>
            </w:pPr>
            <w:r w:rsidRPr="00AA3F66">
              <w:rPr>
                <w:sz w:val="20"/>
                <w:szCs w:val="20"/>
              </w:rPr>
              <w:t>191 182</w:t>
            </w:r>
          </w:p>
        </w:tc>
        <w:tc>
          <w:tcPr>
            <w:tcW w:w="903" w:type="dxa"/>
            <w:tcBorders>
              <w:top w:val="nil"/>
              <w:left w:val="nil"/>
              <w:bottom w:val="nil"/>
              <w:right w:val="nil"/>
            </w:tcBorders>
            <w:shd w:val="clear" w:color="auto" w:fill="F2F2F2"/>
            <w:noWrap/>
          </w:tcPr>
          <w:p w:rsidR="00174C2E" w:rsidRPr="00AA3F66" w:rsidRDefault="00174C2E" w:rsidP="00104459">
            <w:pPr>
              <w:spacing w:after="120" w:line="259" w:lineRule="auto"/>
              <w:jc w:val="right"/>
              <w:rPr>
                <w:rFonts w:eastAsia="Calibri"/>
                <w:sz w:val="20"/>
                <w:szCs w:val="20"/>
                <w:lang w:eastAsia="en-US"/>
              </w:rPr>
            </w:pPr>
            <w:r w:rsidRPr="00AA3F66">
              <w:rPr>
                <w:sz w:val="20"/>
                <w:szCs w:val="20"/>
              </w:rPr>
              <w:t>205 849</w:t>
            </w:r>
          </w:p>
        </w:tc>
        <w:tc>
          <w:tcPr>
            <w:tcW w:w="963" w:type="dxa"/>
            <w:tcBorders>
              <w:top w:val="nil"/>
              <w:left w:val="nil"/>
              <w:bottom w:val="nil"/>
              <w:right w:val="nil"/>
            </w:tcBorders>
            <w:shd w:val="clear" w:color="auto" w:fill="F2F2F2"/>
            <w:noWrap/>
          </w:tcPr>
          <w:p w:rsidR="00174C2E" w:rsidRPr="00AA3F66" w:rsidRDefault="00174C2E" w:rsidP="00104459">
            <w:pPr>
              <w:spacing w:after="120" w:line="259" w:lineRule="auto"/>
              <w:jc w:val="right"/>
              <w:rPr>
                <w:rFonts w:eastAsia="Calibri"/>
                <w:sz w:val="20"/>
                <w:szCs w:val="20"/>
                <w:lang w:eastAsia="en-US"/>
              </w:rPr>
            </w:pPr>
            <w:r w:rsidRPr="00AA3F66">
              <w:rPr>
                <w:sz w:val="20"/>
                <w:szCs w:val="20"/>
              </w:rPr>
              <w:t>217 811</w:t>
            </w:r>
          </w:p>
        </w:tc>
        <w:tc>
          <w:tcPr>
            <w:tcW w:w="963" w:type="dxa"/>
            <w:tcBorders>
              <w:top w:val="nil"/>
              <w:left w:val="nil"/>
              <w:bottom w:val="nil"/>
              <w:right w:val="nil"/>
            </w:tcBorders>
            <w:shd w:val="clear" w:color="auto" w:fill="F2F2F2"/>
            <w:noWrap/>
          </w:tcPr>
          <w:p w:rsidR="00174C2E" w:rsidRPr="00AA3F66" w:rsidRDefault="00174C2E" w:rsidP="00104459">
            <w:pPr>
              <w:spacing w:after="120" w:line="259" w:lineRule="auto"/>
              <w:jc w:val="right"/>
              <w:rPr>
                <w:rFonts w:eastAsia="Calibri"/>
                <w:sz w:val="20"/>
                <w:szCs w:val="20"/>
                <w:lang w:eastAsia="en-US"/>
              </w:rPr>
            </w:pPr>
            <w:r w:rsidRPr="00AA3F66">
              <w:rPr>
                <w:sz w:val="20"/>
                <w:szCs w:val="20"/>
              </w:rPr>
              <w:t>231 357</w:t>
            </w:r>
          </w:p>
        </w:tc>
      </w:tr>
      <w:tr w:rsidR="00174C2E" w:rsidRPr="00AA3F66" w:rsidTr="00530DB8">
        <w:trPr>
          <w:gridAfter w:val="1"/>
          <w:wAfter w:w="14" w:type="dxa"/>
          <w:trHeight w:val="20"/>
          <w:jc w:val="center"/>
        </w:trPr>
        <w:tc>
          <w:tcPr>
            <w:tcW w:w="3870" w:type="dxa"/>
            <w:noWrap/>
            <w:vAlign w:val="center"/>
          </w:tcPr>
          <w:p w:rsidR="00174C2E" w:rsidRPr="00AA3F66" w:rsidRDefault="00174C2E" w:rsidP="00104459">
            <w:pPr>
              <w:spacing w:before="40" w:after="40" w:line="259" w:lineRule="auto"/>
              <w:jc w:val="left"/>
              <w:rPr>
                <w:rFonts w:eastAsia="Calibri"/>
                <w:bCs/>
                <w:sz w:val="20"/>
                <w:szCs w:val="20"/>
                <w:lang w:eastAsia="en-GB"/>
              </w:rPr>
            </w:pPr>
            <w:r w:rsidRPr="00AA3F66">
              <w:rPr>
                <w:rFonts w:eastAsia="Calibri"/>
                <w:bCs/>
                <w:sz w:val="20"/>
                <w:szCs w:val="20"/>
                <w:lang w:eastAsia="en-GB"/>
              </w:rPr>
              <w:t>БВП (реален растеж, %)</w:t>
            </w:r>
          </w:p>
        </w:tc>
        <w:tc>
          <w:tcPr>
            <w:tcW w:w="987" w:type="dxa"/>
            <w:tcBorders>
              <w:top w:val="nil"/>
              <w:left w:val="nil"/>
              <w:bottom w:val="nil"/>
              <w:right w:val="nil"/>
            </w:tcBorders>
            <w:shd w:val="clear" w:color="auto" w:fill="auto"/>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7,7</w:t>
            </w:r>
          </w:p>
        </w:tc>
        <w:tc>
          <w:tcPr>
            <w:tcW w:w="963" w:type="dxa"/>
            <w:tcBorders>
              <w:top w:val="nil"/>
              <w:left w:val="nil"/>
              <w:bottom w:val="nil"/>
              <w:right w:val="nil"/>
            </w:tcBorders>
            <w:shd w:val="clear" w:color="auto" w:fill="auto"/>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3,9</w:t>
            </w:r>
          </w:p>
        </w:tc>
        <w:tc>
          <w:tcPr>
            <w:tcW w:w="884" w:type="dxa"/>
            <w:tcBorders>
              <w:top w:val="nil"/>
              <w:left w:val="nil"/>
              <w:bottom w:val="nil"/>
              <w:right w:val="nil"/>
            </w:tcBorders>
            <w:shd w:val="clear" w:color="auto" w:fill="F2F2F2"/>
            <w:noWrap/>
          </w:tcPr>
          <w:p w:rsidR="00174C2E" w:rsidRPr="00AA3F66" w:rsidRDefault="00174C2E" w:rsidP="00104459">
            <w:pPr>
              <w:spacing w:after="120" w:line="259" w:lineRule="auto"/>
              <w:jc w:val="right"/>
              <w:rPr>
                <w:rFonts w:eastAsia="Calibri"/>
                <w:sz w:val="20"/>
                <w:szCs w:val="20"/>
                <w:lang w:eastAsia="en-US"/>
              </w:rPr>
            </w:pPr>
            <w:r w:rsidRPr="00AA3F66">
              <w:rPr>
                <w:sz w:val="20"/>
                <w:szCs w:val="20"/>
              </w:rPr>
              <w:t>1,8</w:t>
            </w:r>
          </w:p>
        </w:tc>
        <w:tc>
          <w:tcPr>
            <w:tcW w:w="903" w:type="dxa"/>
            <w:tcBorders>
              <w:top w:val="nil"/>
              <w:left w:val="nil"/>
              <w:bottom w:val="nil"/>
              <w:right w:val="nil"/>
            </w:tcBorders>
            <w:shd w:val="clear" w:color="auto" w:fill="F2F2F2"/>
            <w:noWrap/>
          </w:tcPr>
          <w:p w:rsidR="00174C2E" w:rsidRPr="00AA3F66" w:rsidRDefault="00174C2E" w:rsidP="00104459">
            <w:pPr>
              <w:spacing w:after="120" w:line="259" w:lineRule="auto"/>
              <w:jc w:val="right"/>
              <w:rPr>
                <w:rFonts w:eastAsia="Calibri"/>
                <w:sz w:val="20"/>
                <w:szCs w:val="20"/>
                <w:lang w:eastAsia="en-US"/>
              </w:rPr>
            </w:pPr>
            <w:r w:rsidRPr="00AA3F66">
              <w:rPr>
                <w:sz w:val="20"/>
                <w:szCs w:val="20"/>
              </w:rPr>
              <w:t>3,2</w:t>
            </w:r>
          </w:p>
        </w:tc>
        <w:tc>
          <w:tcPr>
            <w:tcW w:w="963" w:type="dxa"/>
            <w:tcBorders>
              <w:top w:val="nil"/>
              <w:left w:val="nil"/>
              <w:bottom w:val="nil"/>
              <w:right w:val="nil"/>
            </w:tcBorders>
            <w:shd w:val="clear" w:color="auto" w:fill="F2F2F2"/>
            <w:noWrap/>
          </w:tcPr>
          <w:p w:rsidR="00174C2E" w:rsidRPr="00AA3F66" w:rsidRDefault="00174C2E" w:rsidP="00104459">
            <w:pPr>
              <w:spacing w:after="120" w:line="259" w:lineRule="auto"/>
              <w:jc w:val="right"/>
              <w:rPr>
                <w:rFonts w:eastAsia="Calibri"/>
                <w:sz w:val="20"/>
                <w:szCs w:val="20"/>
                <w:lang w:eastAsia="en-US"/>
              </w:rPr>
            </w:pPr>
            <w:r w:rsidRPr="00AA3F66">
              <w:rPr>
                <w:sz w:val="20"/>
                <w:szCs w:val="20"/>
              </w:rPr>
              <w:t>3,0</w:t>
            </w:r>
          </w:p>
        </w:tc>
        <w:tc>
          <w:tcPr>
            <w:tcW w:w="963" w:type="dxa"/>
            <w:tcBorders>
              <w:top w:val="nil"/>
              <w:left w:val="nil"/>
              <w:bottom w:val="nil"/>
              <w:right w:val="nil"/>
            </w:tcBorders>
            <w:shd w:val="clear" w:color="auto" w:fill="F2F2F2"/>
            <w:noWrap/>
          </w:tcPr>
          <w:p w:rsidR="00174C2E" w:rsidRPr="00AA3F66" w:rsidRDefault="00174C2E" w:rsidP="00104459">
            <w:pPr>
              <w:spacing w:after="120" w:line="259" w:lineRule="auto"/>
              <w:jc w:val="right"/>
              <w:rPr>
                <w:rFonts w:eastAsia="Calibri"/>
                <w:sz w:val="20"/>
                <w:szCs w:val="20"/>
                <w:lang w:eastAsia="en-US"/>
              </w:rPr>
            </w:pPr>
            <w:r w:rsidRPr="00AA3F66">
              <w:rPr>
                <w:sz w:val="20"/>
                <w:szCs w:val="20"/>
              </w:rPr>
              <w:t>3,0</w:t>
            </w:r>
          </w:p>
        </w:tc>
      </w:tr>
      <w:tr w:rsidR="00174C2E" w:rsidRPr="00AA3F66" w:rsidTr="00530DB8">
        <w:trPr>
          <w:gridAfter w:val="1"/>
          <w:wAfter w:w="14" w:type="dxa"/>
          <w:trHeight w:val="20"/>
          <w:jc w:val="center"/>
        </w:trPr>
        <w:tc>
          <w:tcPr>
            <w:tcW w:w="3870" w:type="dxa"/>
            <w:noWrap/>
            <w:vAlign w:val="center"/>
          </w:tcPr>
          <w:p w:rsidR="00174C2E" w:rsidRPr="00AA3F66" w:rsidRDefault="00174C2E" w:rsidP="00104459">
            <w:pPr>
              <w:spacing w:before="40" w:after="40" w:line="259" w:lineRule="auto"/>
              <w:ind w:left="283"/>
              <w:jc w:val="left"/>
              <w:rPr>
                <w:rFonts w:eastAsia="Calibri"/>
                <w:bCs/>
                <w:sz w:val="20"/>
                <w:szCs w:val="20"/>
                <w:lang w:eastAsia="en-GB"/>
              </w:rPr>
            </w:pPr>
            <w:r w:rsidRPr="00AA3F66">
              <w:rPr>
                <w:rFonts w:eastAsia="Calibri"/>
                <w:bCs/>
                <w:sz w:val="20"/>
                <w:szCs w:val="20"/>
                <w:lang w:eastAsia="en-GB"/>
              </w:rPr>
              <w:t>Потребление</w:t>
            </w:r>
          </w:p>
        </w:tc>
        <w:tc>
          <w:tcPr>
            <w:tcW w:w="987" w:type="dxa"/>
            <w:tcBorders>
              <w:top w:val="nil"/>
              <w:left w:val="nil"/>
              <w:bottom w:val="nil"/>
              <w:right w:val="nil"/>
            </w:tcBorders>
            <w:shd w:val="clear" w:color="auto" w:fill="auto"/>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6,5</w:t>
            </w:r>
          </w:p>
        </w:tc>
        <w:tc>
          <w:tcPr>
            <w:tcW w:w="963" w:type="dxa"/>
            <w:tcBorders>
              <w:top w:val="nil"/>
              <w:left w:val="nil"/>
              <w:bottom w:val="nil"/>
              <w:right w:val="nil"/>
            </w:tcBorders>
            <w:shd w:val="clear" w:color="auto" w:fill="auto"/>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4,2</w:t>
            </w:r>
          </w:p>
        </w:tc>
        <w:tc>
          <w:tcPr>
            <w:tcW w:w="884" w:type="dxa"/>
            <w:tcBorders>
              <w:top w:val="nil"/>
              <w:left w:val="nil"/>
              <w:bottom w:val="nil"/>
              <w:right w:val="nil"/>
            </w:tcBorders>
            <w:shd w:val="clear" w:color="auto" w:fill="F2F2F2"/>
            <w:noWrap/>
          </w:tcPr>
          <w:p w:rsidR="00174C2E" w:rsidRPr="00AA3F66" w:rsidRDefault="00174C2E" w:rsidP="00104459">
            <w:pPr>
              <w:spacing w:after="120" w:line="259" w:lineRule="auto"/>
              <w:jc w:val="right"/>
              <w:rPr>
                <w:rFonts w:eastAsia="Calibri"/>
                <w:sz w:val="20"/>
                <w:szCs w:val="20"/>
                <w:lang w:eastAsia="en-US"/>
              </w:rPr>
            </w:pPr>
            <w:r w:rsidRPr="00AA3F66">
              <w:rPr>
                <w:sz w:val="20"/>
                <w:szCs w:val="20"/>
              </w:rPr>
              <w:t>4,1</w:t>
            </w:r>
          </w:p>
        </w:tc>
        <w:tc>
          <w:tcPr>
            <w:tcW w:w="903" w:type="dxa"/>
            <w:tcBorders>
              <w:top w:val="nil"/>
              <w:left w:val="nil"/>
              <w:bottom w:val="nil"/>
              <w:right w:val="nil"/>
            </w:tcBorders>
            <w:shd w:val="clear" w:color="auto" w:fill="F2F2F2"/>
            <w:noWrap/>
          </w:tcPr>
          <w:p w:rsidR="00174C2E" w:rsidRPr="00AA3F66" w:rsidRDefault="00174C2E" w:rsidP="00104459">
            <w:pPr>
              <w:spacing w:after="120" w:line="259" w:lineRule="auto"/>
              <w:jc w:val="right"/>
              <w:rPr>
                <w:rFonts w:eastAsia="Calibri"/>
                <w:sz w:val="20"/>
                <w:szCs w:val="20"/>
                <w:lang w:eastAsia="en-US"/>
              </w:rPr>
            </w:pPr>
            <w:r w:rsidRPr="00AA3F66">
              <w:rPr>
                <w:sz w:val="20"/>
                <w:szCs w:val="20"/>
              </w:rPr>
              <w:t>3,5</w:t>
            </w:r>
          </w:p>
        </w:tc>
        <w:tc>
          <w:tcPr>
            <w:tcW w:w="963" w:type="dxa"/>
            <w:tcBorders>
              <w:top w:val="nil"/>
              <w:left w:val="nil"/>
              <w:bottom w:val="nil"/>
              <w:right w:val="nil"/>
            </w:tcBorders>
            <w:shd w:val="clear" w:color="auto" w:fill="F2F2F2"/>
            <w:noWrap/>
          </w:tcPr>
          <w:p w:rsidR="00174C2E" w:rsidRPr="00AA3F66" w:rsidRDefault="00174C2E" w:rsidP="00104459">
            <w:pPr>
              <w:spacing w:after="120" w:line="259" w:lineRule="auto"/>
              <w:jc w:val="right"/>
              <w:rPr>
                <w:rFonts w:eastAsia="Calibri"/>
                <w:sz w:val="20"/>
                <w:szCs w:val="20"/>
                <w:lang w:eastAsia="en-US"/>
              </w:rPr>
            </w:pPr>
            <w:r w:rsidRPr="00AA3F66">
              <w:rPr>
                <w:sz w:val="20"/>
                <w:szCs w:val="20"/>
              </w:rPr>
              <w:t>3,3</w:t>
            </w:r>
          </w:p>
        </w:tc>
        <w:tc>
          <w:tcPr>
            <w:tcW w:w="963" w:type="dxa"/>
            <w:tcBorders>
              <w:top w:val="nil"/>
              <w:left w:val="nil"/>
              <w:bottom w:val="nil"/>
              <w:right w:val="nil"/>
            </w:tcBorders>
            <w:shd w:val="clear" w:color="auto" w:fill="F2F2F2"/>
            <w:noWrap/>
          </w:tcPr>
          <w:p w:rsidR="00174C2E" w:rsidRPr="00AA3F66" w:rsidRDefault="00174C2E" w:rsidP="00104459">
            <w:pPr>
              <w:spacing w:after="120" w:line="259" w:lineRule="auto"/>
              <w:jc w:val="right"/>
              <w:rPr>
                <w:rFonts w:eastAsia="Calibri"/>
                <w:sz w:val="20"/>
                <w:szCs w:val="20"/>
                <w:lang w:eastAsia="en-US"/>
              </w:rPr>
            </w:pPr>
            <w:r w:rsidRPr="00AA3F66">
              <w:rPr>
                <w:sz w:val="20"/>
                <w:szCs w:val="20"/>
              </w:rPr>
              <w:t>3,6</w:t>
            </w:r>
          </w:p>
        </w:tc>
      </w:tr>
      <w:tr w:rsidR="00174C2E" w:rsidRPr="00AA3F66" w:rsidTr="008909F9">
        <w:trPr>
          <w:gridAfter w:val="1"/>
          <w:wAfter w:w="14" w:type="dxa"/>
          <w:trHeight w:val="20"/>
          <w:jc w:val="center"/>
        </w:trPr>
        <w:tc>
          <w:tcPr>
            <w:tcW w:w="3870" w:type="dxa"/>
            <w:tcBorders>
              <w:bottom w:val="nil"/>
            </w:tcBorders>
            <w:vAlign w:val="center"/>
          </w:tcPr>
          <w:p w:rsidR="00174C2E" w:rsidRPr="00AA3F66" w:rsidRDefault="00174C2E" w:rsidP="00104459">
            <w:pPr>
              <w:spacing w:before="40" w:after="40" w:line="259" w:lineRule="auto"/>
              <w:ind w:left="283"/>
              <w:jc w:val="left"/>
              <w:rPr>
                <w:rFonts w:eastAsia="Calibri"/>
                <w:bCs/>
                <w:sz w:val="20"/>
                <w:szCs w:val="20"/>
                <w:lang w:eastAsia="en-GB"/>
              </w:rPr>
            </w:pPr>
            <w:r w:rsidRPr="00AA3F66">
              <w:rPr>
                <w:rFonts w:eastAsia="Calibri"/>
                <w:bCs/>
                <w:sz w:val="20"/>
                <w:szCs w:val="20"/>
                <w:lang w:eastAsia="en-GB"/>
              </w:rPr>
              <w:t>Бруто образуване на основен капитал</w:t>
            </w:r>
          </w:p>
        </w:tc>
        <w:tc>
          <w:tcPr>
            <w:tcW w:w="987" w:type="dxa"/>
            <w:tcBorders>
              <w:top w:val="nil"/>
              <w:left w:val="nil"/>
              <w:bottom w:val="nil"/>
              <w:right w:val="nil"/>
            </w:tcBorders>
            <w:shd w:val="clear" w:color="auto" w:fill="auto"/>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-8,3</w:t>
            </w:r>
          </w:p>
        </w:tc>
        <w:tc>
          <w:tcPr>
            <w:tcW w:w="963" w:type="dxa"/>
            <w:tcBorders>
              <w:top w:val="nil"/>
              <w:left w:val="nil"/>
              <w:bottom w:val="nil"/>
              <w:right w:val="nil"/>
            </w:tcBorders>
            <w:shd w:val="clear" w:color="auto" w:fill="auto"/>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6,5</w:t>
            </w:r>
          </w:p>
        </w:tc>
        <w:tc>
          <w:tcPr>
            <w:tcW w:w="884" w:type="dxa"/>
            <w:tcBorders>
              <w:top w:val="nil"/>
              <w:left w:val="nil"/>
              <w:bottom w:val="nil"/>
              <w:right w:val="nil"/>
            </w:tcBorders>
            <w:shd w:val="clear" w:color="auto" w:fill="F2F2F2"/>
            <w:noWrap/>
          </w:tcPr>
          <w:p w:rsidR="00174C2E" w:rsidRPr="00AA3F66" w:rsidRDefault="00174C2E" w:rsidP="00104459">
            <w:pPr>
              <w:spacing w:after="120" w:line="259" w:lineRule="auto"/>
              <w:jc w:val="right"/>
              <w:rPr>
                <w:rFonts w:eastAsia="Calibri"/>
                <w:sz w:val="20"/>
                <w:szCs w:val="20"/>
                <w:lang w:eastAsia="en-US"/>
              </w:rPr>
            </w:pPr>
            <w:r w:rsidRPr="00AA3F66">
              <w:rPr>
                <w:sz w:val="20"/>
                <w:szCs w:val="20"/>
              </w:rPr>
              <w:t>0,6</w:t>
            </w:r>
          </w:p>
        </w:tc>
        <w:tc>
          <w:tcPr>
            <w:tcW w:w="903" w:type="dxa"/>
            <w:tcBorders>
              <w:top w:val="nil"/>
              <w:left w:val="nil"/>
              <w:bottom w:val="nil"/>
              <w:right w:val="nil"/>
            </w:tcBorders>
            <w:shd w:val="clear" w:color="auto" w:fill="F2F2F2"/>
            <w:noWrap/>
          </w:tcPr>
          <w:p w:rsidR="00174C2E" w:rsidRPr="00AA3F66" w:rsidRDefault="00174C2E" w:rsidP="00104459">
            <w:pPr>
              <w:spacing w:after="120" w:line="259" w:lineRule="auto"/>
              <w:jc w:val="right"/>
              <w:rPr>
                <w:rFonts w:eastAsia="Calibri"/>
                <w:sz w:val="20"/>
                <w:szCs w:val="20"/>
                <w:lang w:eastAsia="en-US"/>
              </w:rPr>
            </w:pPr>
            <w:r w:rsidRPr="00AA3F66">
              <w:rPr>
                <w:sz w:val="20"/>
                <w:szCs w:val="20"/>
              </w:rPr>
              <w:t>9,6</w:t>
            </w:r>
          </w:p>
        </w:tc>
        <w:tc>
          <w:tcPr>
            <w:tcW w:w="963" w:type="dxa"/>
            <w:tcBorders>
              <w:top w:val="nil"/>
              <w:left w:val="nil"/>
              <w:bottom w:val="nil"/>
              <w:right w:val="nil"/>
            </w:tcBorders>
            <w:shd w:val="clear" w:color="auto" w:fill="F2F2F2"/>
            <w:noWrap/>
          </w:tcPr>
          <w:p w:rsidR="00174C2E" w:rsidRPr="00AA3F66" w:rsidRDefault="00174C2E" w:rsidP="00104459">
            <w:pPr>
              <w:spacing w:after="120" w:line="259" w:lineRule="auto"/>
              <w:jc w:val="right"/>
              <w:rPr>
                <w:rFonts w:eastAsia="Calibri"/>
                <w:sz w:val="20"/>
                <w:szCs w:val="20"/>
                <w:lang w:eastAsia="en-US"/>
              </w:rPr>
            </w:pPr>
            <w:r w:rsidRPr="00AA3F66">
              <w:rPr>
                <w:sz w:val="20"/>
                <w:szCs w:val="20"/>
              </w:rPr>
              <w:t>7,9</w:t>
            </w:r>
          </w:p>
        </w:tc>
        <w:tc>
          <w:tcPr>
            <w:tcW w:w="963" w:type="dxa"/>
            <w:tcBorders>
              <w:top w:val="nil"/>
              <w:left w:val="nil"/>
              <w:bottom w:val="nil"/>
              <w:right w:val="nil"/>
            </w:tcBorders>
            <w:shd w:val="clear" w:color="auto" w:fill="F2F2F2"/>
            <w:noWrap/>
          </w:tcPr>
          <w:p w:rsidR="00174C2E" w:rsidRPr="00AA3F66" w:rsidRDefault="00174C2E" w:rsidP="00104459">
            <w:pPr>
              <w:spacing w:after="120" w:line="259" w:lineRule="auto"/>
              <w:jc w:val="right"/>
              <w:rPr>
                <w:rFonts w:eastAsia="Calibri"/>
                <w:sz w:val="20"/>
                <w:szCs w:val="20"/>
                <w:lang w:eastAsia="en-US"/>
              </w:rPr>
            </w:pPr>
            <w:r w:rsidRPr="00AA3F66">
              <w:rPr>
                <w:sz w:val="20"/>
                <w:szCs w:val="20"/>
              </w:rPr>
              <w:t>4,9</w:t>
            </w:r>
          </w:p>
        </w:tc>
      </w:tr>
      <w:tr w:rsidR="00174C2E" w:rsidRPr="00AA3F66" w:rsidTr="008909F9">
        <w:trPr>
          <w:gridAfter w:val="1"/>
          <w:wAfter w:w="14" w:type="dxa"/>
          <w:trHeight w:val="20"/>
          <w:jc w:val="center"/>
        </w:trPr>
        <w:tc>
          <w:tcPr>
            <w:tcW w:w="3870" w:type="dxa"/>
            <w:tcBorders>
              <w:top w:val="nil"/>
              <w:bottom w:val="nil"/>
            </w:tcBorders>
            <w:noWrap/>
            <w:vAlign w:val="center"/>
          </w:tcPr>
          <w:p w:rsidR="00174C2E" w:rsidRPr="00AA3F66" w:rsidRDefault="00174C2E" w:rsidP="00104459">
            <w:pPr>
              <w:spacing w:before="40" w:after="40" w:line="259" w:lineRule="auto"/>
              <w:ind w:left="283"/>
              <w:jc w:val="left"/>
              <w:rPr>
                <w:rFonts w:eastAsia="Calibri"/>
                <w:bCs/>
                <w:sz w:val="20"/>
                <w:szCs w:val="20"/>
                <w:lang w:eastAsia="en-GB"/>
              </w:rPr>
            </w:pPr>
            <w:r w:rsidRPr="00AA3F66">
              <w:rPr>
                <w:rFonts w:eastAsia="Calibri"/>
                <w:bCs/>
                <w:sz w:val="20"/>
                <w:szCs w:val="20"/>
                <w:lang w:eastAsia="en-GB"/>
              </w:rPr>
              <w:t>Износ на стоки и услуги</w:t>
            </w:r>
          </w:p>
        </w:tc>
        <w:tc>
          <w:tcPr>
            <w:tcW w:w="987" w:type="dxa"/>
            <w:tcBorders>
              <w:top w:val="nil"/>
              <w:left w:val="nil"/>
              <w:bottom w:val="nil"/>
              <w:right w:val="nil"/>
            </w:tcBorders>
            <w:shd w:val="clear" w:color="auto" w:fill="auto"/>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11,2</w:t>
            </w:r>
          </w:p>
        </w:tc>
        <w:tc>
          <w:tcPr>
            <w:tcW w:w="963" w:type="dxa"/>
            <w:tcBorders>
              <w:top w:val="nil"/>
              <w:left w:val="nil"/>
              <w:bottom w:val="nil"/>
              <w:right w:val="nil"/>
            </w:tcBorders>
            <w:shd w:val="clear" w:color="auto" w:fill="auto"/>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11,6</w:t>
            </w:r>
          </w:p>
        </w:tc>
        <w:tc>
          <w:tcPr>
            <w:tcW w:w="884" w:type="dxa"/>
            <w:tcBorders>
              <w:top w:val="nil"/>
              <w:left w:val="nil"/>
              <w:bottom w:val="nil"/>
              <w:right w:val="nil"/>
            </w:tcBorders>
            <w:shd w:val="clear" w:color="auto" w:fill="F2F2F2"/>
            <w:noWrap/>
          </w:tcPr>
          <w:p w:rsidR="00174C2E" w:rsidRPr="00AA3F66" w:rsidRDefault="00174C2E" w:rsidP="00104459">
            <w:pPr>
              <w:spacing w:after="120" w:line="259" w:lineRule="auto"/>
              <w:jc w:val="right"/>
              <w:rPr>
                <w:rFonts w:eastAsia="Calibri"/>
                <w:sz w:val="20"/>
                <w:szCs w:val="20"/>
                <w:lang w:eastAsia="en-US"/>
              </w:rPr>
            </w:pPr>
            <w:r w:rsidRPr="00AA3F66">
              <w:rPr>
                <w:sz w:val="20"/>
                <w:szCs w:val="20"/>
              </w:rPr>
              <w:t>0,5</w:t>
            </w:r>
          </w:p>
        </w:tc>
        <w:tc>
          <w:tcPr>
            <w:tcW w:w="903" w:type="dxa"/>
            <w:tcBorders>
              <w:top w:val="nil"/>
              <w:left w:val="nil"/>
              <w:bottom w:val="nil"/>
              <w:right w:val="nil"/>
            </w:tcBorders>
            <w:shd w:val="clear" w:color="auto" w:fill="F2F2F2"/>
            <w:noWrap/>
          </w:tcPr>
          <w:p w:rsidR="00174C2E" w:rsidRPr="00AA3F66" w:rsidRDefault="00174C2E" w:rsidP="00104459">
            <w:pPr>
              <w:spacing w:after="120" w:line="259" w:lineRule="auto"/>
              <w:jc w:val="right"/>
              <w:rPr>
                <w:rFonts w:eastAsia="Calibri"/>
                <w:sz w:val="20"/>
                <w:szCs w:val="20"/>
                <w:lang w:eastAsia="en-US"/>
              </w:rPr>
            </w:pPr>
            <w:r w:rsidRPr="00AA3F66">
              <w:rPr>
                <w:sz w:val="20"/>
                <w:szCs w:val="20"/>
              </w:rPr>
              <w:t>4,0</w:t>
            </w:r>
          </w:p>
        </w:tc>
        <w:tc>
          <w:tcPr>
            <w:tcW w:w="963" w:type="dxa"/>
            <w:tcBorders>
              <w:top w:val="nil"/>
              <w:left w:val="nil"/>
              <w:bottom w:val="nil"/>
              <w:right w:val="nil"/>
            </w:tcBorders>
            <w:shd w:val="clear" w:color="auto" w:fill="F2F2F2"/>
            <w:noWrap/>
          </w:tcPr>
          <w:p w:rsidR="00174C2E" w:rsidRPr="00AA3F66" w:rsidRDefault="00174C2E" w:rsidP="00104459">
            <w:pPr>
              <w:spacing w:after="120" w:line="259" w:lineRule="auto"/>
              <w:jc w:val="right"/>
              <w:rPr>
                <w:rFonts w:eastAsia="Calibri"/>
                <w:sz w:val="20"/>
                <w:szCs w:val="20"/>
                <w:lang w:eastAsia="en-US"/>
              </w:rPr>
            </w:pPr>
            <w:r w:rsidRPr="00AA3F66">
              <w:rPr>
                <w:sz w:val="20"/>
                <w:szCs w:val="20"/>
              </w:rPr>
              <w:t>4,1</w:t>
            </w:r>
          </w:p>
        </w:tc>
        <w:tc>
          <w:tcPr>
            <w:tcW w:w="963" w:type="dxa"/>
            <w:tcBorders>
              <w:top w:val="nil"/>
              <w:left w:val="nil"/>
              <w:bottom w:val="nil"/>
              <w:right w:val="nil"/>
            </w:tcBorders>
            <w:shd w:val="clear" w:color="auto" w:fill="F2F2F2"/>
            <w:noWrap/>
          </w:tcPr>
          <w:p w:rsidR="00174C2E" w:rsidRPr="00AA3F66" w:rsidRDefault="00174C2E" w:rsidP="00104459">
            <w:pPr>
              <w:spacing w:after="120" w:line="259" w:lineRule="auto"/>
              <w:jc w:val="right"/>
              <w:rPr>
                <w:rFonts w:eastAsia="Calibri"/>
                <w:sz w:val="20"/>
                <w:szCs w:val="20"/>
                <w:lang w:eastAsia="en-US"/>
              </w:rPr>
            </w:pPr>
            <w:r w:rsidRPr="00AA3F66">
              <w:rPr>
                <w:sz w:val="20"/>
                <w:szCs w:val="20"/>
              </w:rPr>
              <w:t>3,9</w:t>
            </w:r>
          </w:p>
        </w:tc>
      </w:tr>
      <w:tr w:rsidR="00174C2E" w:rsidRPr="00AA3F66" w:rsidTr="008909F9">
        <w:trPr>
          <w:gridAfter w:val="1"/>
          <w:wAfter w:w="14" w:type="dxa"/>
          <w:trHeight w:val="20"/>
          <w:jc w:val="center"/>
        </w:trPr>
        <w:tc>
          <w:tcPr>
            <w:tcW w:w="3870" w:type="dxa"/>
            <w:tcBorders>
              <w:top w:val="nil"/>
              <w:bottom w:val="nil"/>
            </w:tcBorders>
            <w:noWrap/>
            <w:vAlign w:val="center"/>
          </w:tcPr>
          <w:p w:rsidR="00174C2E" w:rsidRPr="00AA3F66" w:rsidRDefault="00174C2E" w:rsidP="00104459">
            <w:pPr>
              <w:spacing w:before="40" w:after="40" w:line="259" w:lineRule="auto"/>
              <w:ind w:left="283"/>
              <w:jc w:val="left"/>
              <w:rPr>
                <w:rFonts w:eastAsia="Calibri"/>
                <w:bCs/>
                <w:sz w:val="20"/>
                <w:szCs w:val="20"/>
                <w:lang w:eastAsia="en-GB"/>
              </w:rPr>
            </w:pPr>
            <w:r w:rsidRPr="00AA3F66">
              <w:rPr>
                <w:rFonts w:eastAsia="Calibri"/>
                <w:bCs/>
                <w:sz w:val="20"/>
                <w:szCs w:val="20"/>
                <w:lang w:eastAsia="en-GB"/>
              </w:rPr>
              <w:t>Внос на стоки и услуги</w:t>
            </w:r>
          </w:p>
        </w:tc>
        <w:tc>
          <w:tcPr>
            <w:tcW w:w="987" w:type="dxa"/>
            <w:tcBorders>
              <w:top w:val="nil"/>
              <w:left w:val="nil"/>
              <w:bottom w:val="nil"/>
              <w:right w:val="nil"/>
            </w:tcBorders>
            <w:shd w:val="clear" w:color="auto" w:fill="auto"/>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10,7</w:t>
            </w:r>
          </w:p>
        </w:tc>
        <w:tc>
          <w:tcPr>
            <w:tcW w:w="963" w:type="dxa"/>
            <w:tcBorders>
              <w:top w:val="nil"/>
              <w:left w:val="nil"/>
              <w:bottom w:val="nil"/>
              <w:right w:val="nil"/>
            </w:tcBorders>
            <w:shd w:val="clear" w:color="auto" w:fill="auto"/>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15,0</w:t>
            </w:r>
          </w:p>
        </w:tc>
        <w:tc>
          <w:tcPr>
            <w:tcW w:w="884" w:type="dxa"/>
            <w:tcBorders>
              <w:top w:val="nil"/>
              <w:left w:val="nil"/>
              <w:bottom w:val="nil"/>
              <w:right w:val="nil"/>
            </w:tcBorders>
            <w:shd w:val="clear" w:color="auto" w:fill="F2F2F2"/>
            <w:noWrap/>
          </w:tcPr>
          <w:p w:rsidR="00174C2E" w:rsidRPr="00AA3F66" w:rsidRDefault="00174C2E" w:rsidP="00104459">
            <w:pPr>
              <w:spacing w:after="120" w:line="259" w:lineRule="auto"/>
              <w:jc w:val="right"/>
              <w:rPr>
                <w:rFonts w:eastAsia="Calibri"/>
                <w:sz w:val="20"/>
                <w:szCs w:val="20"/>
                <w:lang w:eastAsia="en-US"/>
              </w:rPr>
            </w:pPr>
            <w:r w:rsidRPr="00AA3F66">
              <w:rPr>
                <w:sz w:val="20"/>
                <w:szCs w:val="20"/>
              </w:rPr>
              <w:t>-1,9</w:t>
            </w:r>
          </w:p>
        </w:tc>
        <w:tc>
          <w:tcPr>
            <w:tcW w:w="903" w:type="dxa"/>
            <w:tcBorders>
              <w:top w:val="nil"/>
              <w:left w:val="nil"/>
              <w:bottom w:val="nil"/>
              <w:right w:val="nil"/>
            </w:tcBorders>
            <w:shd w:val="clear" w:color="auto" w:fill="F2F2F2"/>
            <w:noWrap/>
          </w:tcPr>
          <w:p w:rsidR="00174C2E" w:rsidRPr="00AA3F66" w:rsidRDefault="00174C2E" w:rsidP="00104459">
            <w:pPr>
              <w:spacing w:after="120" w:line="259" w:lineRule="auto"/>
              <w:jc w:val="right"/>
              <w:rPr>
                <w:rFonts w:eastAsia="Calibri"/>
                <w:sz w:val="20"/>
                <w:szCs w:val="20"/>
                <w:lang w:eastAsia="en-US"/>
              </w:rPr>
            </w:pPr>
            <w:r w:rsidRPr="00AA3F66">
              <w:rPr>
                <w:sz w:val="20"/>
                <w:szCs w:val="20"/>
              </w:rPr>
              <w:t>6,0</w:t>
            </w:r>
          </w:p>
        </w:tc>
        <w:tc>
          <w:tcPr>
            <w:tcW w:w="963" w:type="dxa"/>
            <w:tcBorders>
              <w:top w:val="nil"/>
              <w:left w:val="nil"/>
              <w:bottom w:val="nil"/>
              <w:right w:val="nil"/>
            </w:tcBorders>
            <w:shd w:val="clear" w:color="auto" w:fill="F2F2F2"/>
            <w:noWrap/>
          </w:tcPr>
          <w:p w:rsidR="00174C2E" w:rsidRPr="00AA3F66" w:rsidRDefault="00174C2E" w:rsidP="00104459">
            <w:pPr>
              <w:spacing w:after="120" w:line="259" w:lineRule="auto"/>
              <w:jc w:val="right"/>
              <w:rPr>
                <w:rFonts w:eastAsia="Calibri"/>
                <w:sz w:val="20"/>
                <w:szCs w:val="20"/>
                <w:lang w:eastAsia="en-US"/>
              </w:rPr>
            </w:pPr>
            <w:r w:rsidRPr="00AA3F66">
              <w:rPr>
                <w:sz w:val="20"/>
                <w:szCs w:val="20"/>
              </w:rPr>
              <w:t>5,8</w:t>
            </w:r>
          </w:p>
        </w:tc>
        <w:tc>
          <w:tcPr>
            <w:tcW w:w="963" w:type="dxa"/>
            <w:tcBorders>
              <w:top w:val="nil"/>
              <w:left w:val="nil"/>
              <w:bottom w:val="nil"/>
              <w:right w:val="nil"/>
            </w:tcBorders>
            <w:shd w:val="clear" w:color="auto" w:fill="F2F2F2"/>
            <w:noWrap/>
          </w:tcPr>
          <w:p w:rsidR="00174C2E" w:rsidRPr="00AA3F66" w:rsidRDefault="00174C2E" w:rsidP="00104459">
            <w:pPr>
              <w:spacing w:after="120" w:line="259" w:lineRule="auto"/>
              <w:jc w:val="right"/>
              <w:rPr>
                <w:rFonts w:eastAsia="Calibri"/>
                <w:sz w:val="20"/>
                <w:szCs w:val="20"/>
                <w:lang w:eastAsia="en-US"/>
              </w:rPr>
            </w:pPr>
            <w:r w:rsidRPr="00AA3F66">
              <w:rPr>
                <w:sz w:val="20"/>
                <w:szCs w:val="20"/>
              </w:rPr>
              <w:t>5,0</w:t>
            </w:r>
          </w:p>
        </w:tc>
      </w:tr>
      <w:tr w:rsidR="00174C2E" w:rsidRPr="00AA3F66" w:rsidTr="00530DB8">
        <w:trPr>
          <w:trHeight w:val="20"/>
          <w:jc w:val="center"/>
        </w:trPr>
        <w:tc>
          <w:tcPr>
            <w:tcW w:w="9547" w:type="dxa"/>
            <w:gridSpan w:val="8"/>
            <w:noWrap/>
            <w:vAlign w:val="center"/>
          </w:tcPr>
          <w:p w:rsidR="00174C2E" w:rsidRPr="00AA3F66" w:rsidRDefault="00174C2E" w:rsidP="00104459">
            <w:pPr>
              <w:spacing w:before="40" w:after="40" w:line="259" w:lineRule="auto"/>
              <w:jc w:val="left"/>
              <w:rPr>
                <w:rFonts w:eastAsia="Calibri"/>
                <w:b/>
                <w:bCs/>
                <w:sz w:val="20"/>
                <w:szCs w:val="20"/>
                <w:lang w:eastAsia="en-GB"/>
              </w:rPr>
            </w:pPr>
            <w:r w:rsidRPr="00AA3F66">
              <w:rPr>
                <w:rFonts w:eastAsia="Calibri"/>
                <w:b/>
                <w:bCs/>
                <w:sz w:val="20"/>
                <w:szCs w:val="20"/>
                <w:lang w:eastAsia="en-GB"/>
              </w:rPr>
              <w:t>Пазар на труда и цени</w:t>
            </w:r>
          </w:p>
        </w:tc>
      </w:tr>
      <w:tr w:rsidR="00174C2E" w:rsidRPr="00AA3F66" w:rsidTr="00530DB8">
        <w:trPr>
          <w:gridAfter w:val="1"/>
          <w:wAfter w:w="14" w:type="dxa"/>
          <w:trHeight w:val="20"/>
          <w:jc w:val="center"/>
        </w:trPr>
        <w:tc>
          <w:tcPr>
            <w:tcW w:w="3870" w:type="dxa"/>
            <w:noWrap/>
            <w:vAlign w:val="center"/>
          </w:tcPr>
          <w:p w:rsidR="00174C2E" w:rsidRPr="00AA3F66" w:rsidRDefault="00174C2E" w:rsidP="00104459">
            <w:pPr>
              <w:spacing w:before="40" w:after="40" w:line="259" w:lineRule="auto"/>
              <w:ind w:left="283"/>
              <w:jc w:val="left"/>
              <w:rPr>
                <w:rFonts w:eastAsia="Calibri"/>
                <w:bCs/>
                <w:sz w:val="20"/>
                <w:szCs w:val="20"/>
                <w:lang w:eastAsia="en-GB"/>
              </w:rPr>
            </w:pPr>
            <w:r w:rsidRPr="00AA3F66">
              <w:rPr>
                <w:rFonts w:eastAsia="Calibri"/>
                <w:bCs/>
                <w:sz w:val="20"/>
                <w:szCs w:val="20"/>
                <w:lang w:eastAsia="en-GB"/>
              </w:rPr>
              <w:t>Заетост (ЕСС 2010) (%)</w:t>
            </w:r>
          </w:p>
        </w:tc>
        <w:tc>
          <w:tcPr>
            <w:tcW w:w="987" w:type="dxa"/>
            <w:tcBorders>
              <w:top w:val="nil"/>
              <w:left w:val="nil"/>
              <w:bottom w:val="nil"/>
              <w:right w:val="nil"/>
            </w:tcBorders>
            <w:shd w:val="clear" w:color="auto" w:fill="auto"/>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0,2</w:t>
            </w:r>
          </w:p>
        </w:tc>
        <w:tc>
          <w:tcPr>
            <w:tcW w:w="963" w:type="dxa"/>
            <w:tcBorders>
              <w:top w:val="nil"/>
              <w:left w:val="nil"/>
              <w:bottom w:val="nil"/>
              <w:right w:val="nil"/>
            </w:tcBorders>
            <w:shd w:val="clear" w:color="auto" w:fill="auto"/>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-0,3</w:t>
            </w:r>
          </w:p>
        </w:tc>
        <w:tc>
          <w:tcPr>
            <w:tcW w:w="884" w:type="dxa"/>
            <w:tcBorders>
              <w:top w:val="nil"/>
              <w:left w:val="nil"/>
              <w:bottom w:val="nil"/>
              <w:right w:val="nil"/>
            </w:tcBorders>
            <w:shd w:val="clear" w:color="auto" w:fill="F2F2F2"/>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1,2</w:t>
            </w:r>
          </w:p>
        </w:tc>
        <w:tc>
          <w:tcPr>
            <w:tcW w:w="903" w:type="dxa"/>
            <w:tcBorders>
              <w:top w:val="nil"/>
              <w:left w:val="nil"/>
              <w:bottom w:val="nil"/>
              <w:right w:val="nil"/>
            </w:tcBorders>
            <w:shd w:val="clear" w:color="auto" w:fill="F2F2F2"/>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0,6</w:t>
            </w:r>
          </w:p>
        </w:tc>
        <w:tc>
          <w:tcPr>
            <w:tcW w:w="963" w:type="dxa"/>
            <w:tcBorders>
              <w:top w:val="nil"/>
              <w:left w:val="nil"/>
              <w:bottom w:val="nil"/>
              <w:right w:val="nil"/>
            </w:tcBorders>
            <w:shd w:val="clear" w:color="auto" w:fill="F2F2F2"/>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0,4</w:t>
            </w:r>
          </w:p>
        </w:tc>
        <w:tc>
          <w:tcPr>
            <w:tcW w:w="963" w:type="dxa"/>
            <w:tcBorders>
              <w:top w:val="nil"/>
              <w:left w:val="nil"/>
              <w:bottom w:val="nil"/>
              <w:right w:val="nil"/>
            </w:tcBorders>
            <w:shd w:val="clear" w:color="auto" w:fill="F2F2F2"/>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0,3</w:t>
            </w:r>
          </w:p>
        </w:tc>
      </w:tr>
      <w:tr w:rsidR="00174C2E" w:rsidRPr="00AA3F66" w:rsidTr="00530DB8">
        <w:trPr>
          <w:gridAfter w:val="1"/>
          <w:wAfter w:w="14" w:type="dxa"/>
          <w:trHeight w:val="20"/>
          <w:jc w:val="center"/>
        </w:trPr>
        <w:tc>
          <w:tcPr>
            <w:tcW w:w="3870" w:type="dxa"/>
            <w:noWrap/>
            <w:vAlign w:val="center"/>
          </w:tcPr>
          <w:p w:rsidR="00174C2E" w:rsidRPr="00AA3F66" w:rsidRDefault="00174C2E" w:rsidP="00104459">
            <w:pPr>
              <w:spacing w:before="40" w:after="40" w:line="259" w:lineRule="auto"/>
              <w:ind w:left="283"/>
              <w:jc w:val="left"/>
              <w:rPr>
                <w:rFonts w:eastAsia="Calibri"/>
                <w:bCs/>
                <w:sz w:val="20"/>
                <w:szCs w:val="20"/>
                <w:lang w:eastAsia="en-GB"/>
              </w:rPr>
            </w:pPr>
            <w:r w:rsidRPr="00AA3F66">
              <w:rPr>
                <w:rFonts w:eastAsia="Calibri"/>
                <w:bCs/>
                <w:sz w:val="20"/>
                <w:szCs w:val="20"/>
                <w:lang w:eastAsia="en-GB"/>
              </w:rPr>
              <w:t>Коефициент на безработица (НРС) (%)</w:t>
            </w:r>
          </w:p>
        </w:tc>
        <w:tc>
          <w:tcPr>
            <w:tcW w:w="987" w:type="dxa"/>
            <w:tcBorders>
              <w:top w:val="nil"/>
              <w:left w:val="nil"/>
              <w:bottom w:val="nil"/>
              <w:right w:val="nil"/>
            </w:tcBorders>
            <w:shd w:val="clear" w:color="auto" w:fill="auto"/>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5,3</w:t>
            </w:r>
          </w:p>
        </w:tc>
        <w:tc>
          <w:tcPr>
            <w:tcW w:w="963" w:type="dxa"/>
            <w:tcBorders>
              <w:top w:val="nil"/>
              <w:left w:val="nil"/>
              <w:bottom w:val="nil"/>
              <w:right w:val="nil"/>
            </w:tcBorders>
            <w:shd w:val="clear" w:color="auto" w:fill="auto"/>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4,3</w:t>
            </w:r>
          </w:p>
        </w:tc>
        <w:tc>
          <w:tcPr>
            <w:tcW w:w="884" w:type="dxa"/>
            <w:tcBorders>
              <w:top w:val="nil"/>
              <w:left w:val="nil"/>
              <w:bottom w:val="nil"/>
              <w:right w:val="nil"/>
            </w:tcBorders>
            <w:shd w:val="clear" w:color="auto" w:fill="F2F2F2"/>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4,2</w:t>
            </w:r>
          </w:p>
        </w:tc>
        <w:tc>
          <w:tcPr>
            <w:tcW w:w="903" w:type="dxa"/>
            <w:tcBorders>
              <w:top w:val="nil"/>
              <w:left w:val="nil"/>
              <w:bottom w:val="nil"/>
              <w:right w:val="nil"/>
            </w:tcBorders>
            <w:shd w:val="clear" w:color="auto" w:fill="F2F2F2"/>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4,0</w:t>
            </w:r>
          </w:p>
        </w:tc>
        <w:tc>
          <w:tcPr>
            <w:tcW w:w="963" w:type="dxa"/>
            <w:tcBorders>
              <w:top w:val="nil"/>
              <w:left w:val="nil"/>
              <w:bottom w:val="nil"/>
              <w:right w:val="nil"/>
            </w:tcBorders>
            <w:shd w:val="clear" w:color="auto" w:fill="F2F2F2"/>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4,0</w:t>
            </w:r>
          </w:p>
        </w:tc>
        <w:tc>
          <w:tcPr>
            <w:tcW w:w="963" w:type="dxa"/>
            <w:tcBorders>
              <w:top w:val="nil"/>
              <w:left w:val="nil"/>
              <w:bottom w:val="nil"/>
              <w:right w:val="nil"/>
            </w:tcBorders>
            <w:shd w:val="clear" w:color="auto" w:fill="F2F2F2"/>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3,9</w:t>
            </w:r>
          </w:p>
        </w:tc>
      </w:tr>
      <w:tr w:rsidR="00174C2E" w:rsidRPr="00AA3F66" w:rsidTr="00530DB8">
        <w:trPr>
          <w:gridAfter w:val="1"/>
          <w:wAfter w:w="14" w:type="dxa"/>
          <w:trHeight w:val="20"/>
          <w:jc w:val="center"/>
        </w:trPr>
        <w:tc>
          <w:tcPr>
            <w:tcW w:w="3870" w:type="dxa"/>
            <w:noWrap/>
            <w:vAlign w:val="center"/>
          </w:tcPr>
          <w:p w:rsidR="00174C2E" w:rsidRPr="00AA3F66" w:rsidRDefault="00174C2E" w:rsidP="00104459">
            <w:pPr>
              <w:spacing w:before="40" w:after="40" w:line="259" w:lineRule="auto"/>
              <w:ind w:left="283"/>
              <w:jc w:val="left"/>
              <w:rPr>
                <w:rFonts w:eastAsia="Calibri"/>
                <w:bCs/>
                <w:sz w:val="20"/>
                <w:szCs w:val="20"/>
                <w:lang w:eastAsia="en-GB"/>
              </w:rPr>
            </w:pPr>
            <w:r w:rsidRPr="00AA3F66">
              <w:rPr>
                <w:rFonts w:eastAsia="Calibri"/>
                <w:bCs/>
                <w:sz w:val="20"/>
                <w:szCs w:val="20"/>
                <w:lang w:eastAsia="en-GB"/>
              </w:rPr>
              <w:t>Компенсации на един нает (%)</w:t>
            </w:r>
          </w:p>
        </w:tc>
        <w:tc>
          <w:tcPr>
            <w:tcW w:w="987" w:type="dxa"/>
            <w:tcBorders>
              <w:top w:val="nil"/>
              <w:left w:val="nil"/>
              <w:bottom w:val="nil"/>
              <w:right w:val="nil"/>
            </w:tcBorders>
            <w:shd w:val="clear" w:color="auto" w:fill="auto"/>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11,3</w:t>
            </w:r>
          </w:p>
        </w:tc>
        <w:tc>
          <w:tcPr>
            <w:tcW w:w="963" w:type="dxa"/>
            <w:tcBorders>
              <w:top w:val="nil"/>
              <w:left w:val="nil"/>
              <w:bottom w:val="nil"/>
              <w:right w:val="nil"/>
            </w:tcBorders>
            <w:shd w:val="clear" w:color="auto" w:fill="auto"/>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14,2</w:t>
            </w:r>
          </w:p>
        </w:tc>
        <w:tc>
          <w:tcPr>
            <w:tcW w:w="884" w:type="dxa"/>
            <w:tcBorders>
              <w:top w:val="nil"/>
              <w:left w:val="nil"/>
              <w:bottom w:val="nil"/>
              <w:right w:val="nil"/>
            </w:tcBorders>
            <w:shd w:val="clear" w:color="auto" w:fill="F2F2F2"/>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14,3</w:t>
            </w:r>
          </w:p>
        </w:tc>
        <w:tc>
          <w:tcPr>
            <w:tcW w:w="903" w:type="dxa"/>
            <w:tcBorders>
              <w:top w:val="nil"/>
              <w:left w:val="nil"/>
              <w:bottom w:val="nil"/>
              <w:right w:val="nil"/>
            </w:tcBorders>
            <w:shd w:val="clear" w:color="auto" w:fill="F2F2F2"/>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11,2</w:t>
            </w:r>
          </w:p>
        </w:tc>
        <w:tc>
          <w:tcPr>
            <w:tcW w:w="963" w:type="dxa"/>
            <w:tcBorders>
              <w:top w:val="nil"/>
              <w:left w:val="nil"/>
              <w:bottom w:val="nil"/>
              <w:right w:val="nil"/>
            </w:tcBorders>
            <w:shd w:val="clear" w:color="auto" w:fill="F2F2F2"/>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8,1</w:t>
            </w:r>
          </w:p>
        </w:tc>
        <w:tc>
          <w:tcPr>
            <w:tcW w:w="963" w:type="dxa"/>
            <w:tcBorders>
              <w:top w:val="nil"/>
              <w:left w:val="nil"/>
              <w:bottom w:val="nil"/>
              <w:right w:val="nil"/>
            </w:tcBorders>
            <w:shd w:val="clear" w:color="auto" w:fill="F2F2F2"/>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7,3</w:t>
            </w:r>
          </w:p>
        </w:tc>
      </w:tr>
      <w:tr w:rsidR="00174C2E" w:rsidRPr="00AA3F66" w:rsidTr="00530DB8">
        <w:trPr>
          <w:gridAfter w:val="1"/>
          <w:wAfter w:w="14" w:type="dxa"/>
          <w:trHeight w:val="20"/>
          <w:jc w:val="center"/>
        </w:trPr>
        <w:tc>
          <w:tcPr>
            <w:tcW w:w="3870" w:type="dxa"/>
            <w:noWrap/>
            <w:vAlign w:val="center"/>
          </w:tcPr>
          <w:p w:rsidR="00174C2E" w:rsidRPr="00AA3F66" w:rsidRDefault="00174C2E" w:rsidP="00104459">
            <w:pPr>
              <w:spacing w:before="40" w:after="40" w:line="259" w:lineRule="auto"/>
              <w:ind w:left="283"/>
              <w:jc w:val="left"/>
              <w:rPr>
                <w:rFonts w:eastAsia="Calibri"/>
                <w:bCs/>
                <w:sz w:val="20"/>
                <w:szCs w:val="20"/>
                <w:lang w:eastAsia="en-GB"/>
              </w:rPr>
            </w:pPr>
            <w:r w:rsidRPr="00AA3F66">
              <w:rPr>
                <w:rFonts w:eastAsia="Calibri"/>
                <w:bCs/>
                <w:sz w:val="20"/>
                <w:szCs w:val="20"/>
                <w:lang w:eastAsia="en-GB"/>
              </w:rPr>
              <w:t>Дефлатор на БВП (%)</w:t>
            </w:r>
          </w:p>
        </w:tc>
        <w:tc>
          <w:tcPr>
            <w:tcW w:w="987" w:type="dxa"/>
            <w:tcBorders>
              <w:top w:val="nil"/>
              <w:left w:val="nil"/>
              <w:bottom w:val="nil"/>
              <w:right w:val="nil"/>
            </w:tcBorders>
            <w:shd w:val="clear" w:color="auto" w:fill="auto"/>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7,1</w:t>
            </w:r>
          </w:p>
        </w:tc>
        <w:tc>
          <w:tcPr>
            <w:tcW w:w="963" w:type="dxa"/>
            <w:tcBorders>
              <w:top w:val="nil"/>
              <w:left w:val="nil"/>
              <w:bottom w:val="nil"/>
              <w:right w:val="nil"/>
            </w:tcBorders>
            <w:shd w:val="clear" w:color="auto" w:fill="auto"/>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16,2</w:t>
            </w:r>
          </w:p>
        </w:tc>
        <w:tc>
          <w:tcPr>
            <w:tcW w:w="884" w:type="dxa"/>
            <w:tcBorders>
              <w:top w:val="nil"/>
              <w:left w:val="nil"/>
              <w:bottom w:val="nil"/>
              <w:right w:val="nil"/>
            </w:tcBorders>
            <w:shd w:val="clear" w:color="auto" w:fill="F2F2F2"/>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11,9</w:t>
            </w:r>
          </w:p>
        </w:tc>
        <w:tc>
          <w:tcPr>
            <w:tcW w:w="903" w:type="dxa"/>
            <w:tcBorders>
              <w:top w:val="nil"/>
              <w:left w:val="nil"/>
              <w:bottom w:val="nil"/>
              <w:right w:val="nil"/>
            </w:tcBorders>
            <w:shd w:val="clear" w:color="auto" w:fill="F2F2F2"/>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4,3</w:t>
            </w:r>
          </w:p>
        </w:tc>
        <w:tc>
          <w:tcPr>
            <w:tcW w:w="963" w:type="dxa"/>
            <w:tcBorders>
              <w:top w:val="nil"/>
              <w:left w:val="nil"/>
              <w:bottom w:val="nil"/>
              <w:right w:val="nil"/>
            </w:tcBorders>
            <w:shd w:val="clear" w:color="auto" w:fill="F2F2F2"/>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2,7</w:t>
            </w:r>
          </w:p>
        </w:tc>
        <w:tc>
          <w:tcPr>
            <w:tcW w:w="963" w:type="dxa"/>
            <w:tcBorders>
              <w:top w:val="nil"/>
              <w:left w:val="nil"/>
              <w:bottom w:val="nil"/>
              <w:right w:val="nil"/>
            </w:tcBorders>
            <w:shd w:val="clear" w:color="auto" w:fill="F2F2F2"/>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3,1</w:t>
            </w:r>
          </w:p>
        </w:tc>
      </w:tr>
      <w:tr w:rsidR="00174C2E" w:rsidRPr="00AA3F66" w:rsidTr="00530DB8">
        <w:trPr>
          <w:gridAfter w:val="1"/>
          <w:wAfter w:w="14" w:type="dxa"/>
          <w:trHeight w:val="20"/>
          <w:jc w:val="center"/>
        </w:trPr>
        <w:tc>
          <w:tcPr>
            <w:tcW w:w="3870" w:type="dxa"/>
            <w:vAlign w:val="center"/>
          </w:tcPr>
          <w:p w:rsidR="00174C2E" w:rsidRPr="00AA3F66" w:rsidRDefault="00174C2E" w:rsidP="00104459">
            <w:pPr>
              <w:spacing w:before="40" w:after="40" w:line="259" w:lineRule="auto"/>
              <w:ind w:left="283"/>
              <w:jc w:val="left"/>
              <w:rPr>
                <w:rFonts w:eastAsia="Calibri"/>
                <w:bCs/>
                <w:sz w:val="20"/>
                <w:szCs w:val="20"/>
                <w:lang w:eastAsia="en-GB"/>
              </w:rPr>
            </w:pPr>
            <w:r w:rsidRPr="00AA3F66">
              <w:rPr>
                <w:rFonts w:eastAsia="Calibri"/>
                <w:bCs/>
                <w:sz w:val="20"/>
                <w:szCs w:val="20"/>
                <w:lang w:eastAsia="en-GB"/>
              </w:rPr>
              <w:t>Средногодишна инфлация (ХИПЦ) (%)</w:t>
            </w:r>
          </w:p>
        </w:tc>
        <w:tc>
          <w:tcPr>
            <w:tcW w:w="987" w:type="dxa"/>
            <w:tcBorders>
              <w:top w:val="nil"/>
              <w:left w:val="nil"/>
              <w:bottom w:val="nil"/>
              <w:right w:val="nil"/>
            </w:tcBorders>
            <w:shd w:val="clear" w:color="auto" w:fill="auto"/>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2,8</w:t>
            </w:r>
          </w:p>
        </w:tc>
        <w:tc>
          <w:tcPr>
            <w:tcW w:w="963" w:type="dxa"/>
            <w:tcBorders>
              <w:top w:val="nil"/>
              <w:left w:val="nil"/>
              <w:bottom w:val="nil"/>
              <w:right w:val="nil"/>
            </w:tcBorders>
            <w:shd w:val="clear" w:color="auto" w:fill="auto"/>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13,0</w:t>
            </w:r>
          </w:p>
        </w:tc>
        <w:tc>
          <w:tcPr>
            <w:tcW w:w="884" w:type="dxa"/>
            <w:tcBorders>
              <w:top w:val="nil"/>
              <w:left w:val="nil"/>
              <w:bottom w:val="nil"/>
              <w:right w:val="nil"/>
            </w:tcBorders>
            <w:shd w:val="clear" w:color="auto" w:fill="F2F2F2"/>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9,1</w:t>
            </w:r>
          </w:p>
        </w:tc>
        <w:tc>
          <w:tcPr>
            <w:tcW w:w="903" w:type="dxa"/>
            <w:tcBorders>
              <w:top w:val="nil"/>
              <w:left w:val="nil"/>
              <w:bottom w:val="nil"/>
              <w:right w:val="nil"/>
            </w:tcBorders>
            <w:shd w:val="clear" w:color="auto" w:fill="F2F2F2"/>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4,8</w:t>
            </w:r>
          </w:p>
        </w:tc>
        <w:tc>
          <w:tcPr>
            <w:tcW w:w="963" w:type="dxa"/>
            <w:tcBorders>
              <w:top w:val="nil"/>
              <w:left w:val="nil"/>
              <w:bottom w:val="nil"/>
              <w:right w:val="nil"/>
            </w:tcBorders>
            <w:shd w:val="clear" w:color="auto" w:fill="F2F2F2"/>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2,8</w:t>
            </w:r>
          </w:p>
        </w:tc>
        <w:tc>
          <w:tcPr>
            <w:tcW w:w="963" w:type="dxa"/>
            <w:tcBorders>
              <w:top w:val="nil"/>
              <w:left w:val="nil"/>
              <w:bottom w:val="nil"/>
              <w:right w:val="nil"/>
            </w:tcBorders>
            <w:shd w:val="clear" w:color="auto" w:fill="F2F2F2"/>
            <w:noWrap/>
          </w:tcPr>
          <w:p w:rsidR="00174C2E" w:rsidRPr="00AA3F66" w:rsidRDefault="00174C2E" w:rsidP="00104459">
            <w:pPr>
              <w:spacing w:after="120" w:line="259" w:lineRule="auto"/>
              <w:ind w:firstLineChars="100" w:firstLine="200"/>
              <w:jc w:val="right"/>
              <w:rPr>
                <w:rFonts w:eastAsia="Calibri"/>
                <w:sz w:val="20"/>
                <w:szCs w:val="20"/>
                <w:lang w:eastAsia="en-US"/>
              </w:rPr>
            </w:pPr>
            <w:r w:rsidRPr="00AA3F66">
              <w:rPr>
                <w:sz w:val="20"/>
                <w:szCs w:val="20"/>
              </w:rPr>
              <w:t>2,2</w:t>
            </w:r>
          </w:p>
        </w:tc>
      </w:tr>
      <w:tr w:rsidR="00174C2E" w:rsidRPr="00AA3F66" w:rsidTr="00530DB8">
        <w:trPr>
          <w:trHeight w:val="20"/>
          <w:jc w:val="center"/>
        </w:trPr>
        <w:tc>
          <w:tcPr>
            <w:tcW w:w="9547" w:type="dxa"/>
            <w:gridSpan w:val="8"/>
            <w:noWrap/>
            <w:vAlign w:val="center"/>
          </w:tcPr>
          <w:p w:rsidR="00174C2E" w:rsidRPr="00AA3F66" w:rsidRDefault="00174C2E" w:rsidP="00104459">
            <w:pPr>
              <w:spacing w:before="40" w:after="40" w:line="259" w:lineRule="auto"/>
              <w:jc w:val="left"/>
              <w:rPr>
                <w:rFonts w:eastAsia="Calibri"/>
                <w:b/>
                <w:bCs/>
                <w:sz w:val="20"/>
                <w:szCs w:val="20"/>
                <w:lang w:eastAsia="en-GB"/>
              </w:rPr>
            </w:pPr>
            <w:r w:rsidRPr="00AA3F66">
              <w:rPr>
                <w:rFonts w:eastAsia="Calibri"/>
                <w:b/>
                <w:bCs/>
                <w:sz w:val="20"/>
                <w:szCs w:val="20"/>
                <w:lang w:eastAsia="en-GB"/>
              </w:rPr>
              <w:t>Платежен баланс</w:t>
            </w:r>
          </w:p>
        </w:tc>
      </w:tr>
      <w:tr w:rsidR="00174C2E" w:rsidRPr="00AA3F66" w:rsidTr="00530DB8">
        <w:trPr>
          <w:gridAfter w:val="1"/>
          <w:wAfter w:w="14" w:type="dxa"/>
          <w:trHeight w:val="20"/>
          <w:jc w:val="center"/>
        </w:trPr>
        <w:tc>
          <w:tcPr>
            <w:tcW w:w="3870" w:type="dxa"/>
            <w:noWrap/>
            <w:vAlign w:val="center"/>
          </w:tcPr>
          <w:p w:rsidR="00174C2E" w:rsidRPr="00AA3F66" w:rsidRDefault="00174C2E" w:rsidP="00104459">
            <w:pPr>
              <w:spacing w:before="40" w:after="40" w:line="259" w:lineRule="auto"/>
              <w:ind w:left="283"/>
              <w:jc w:val="left"/>
              <w:rPr>
                <w:rFonts w:eastAsia="Calibri"/>
                <w:bCs/>
                <w:sz w:val="20"/>
                <w:szCs w:val="20"/>
                <w:lang w:eastAsia="en-GB"/>
              </w:rPr>
            </w:pPr>
            <w:r w:rsidRPr="00AA3F66">
              <w:rPr>
                <w:rFonts w:eastAsia="Calibri"/>
                <w:bCs/>
                <w:sz w:val="20"/>
                <w:szCs w:val="20"/>
                <w:lang w:eastAsia="en-GB"/>
              </w:rPr>
              <w:t>Текуща сметка (% от БВП)</w:t>
            </w:r>
          </w:p>
        </w:tc>
        <w:tc>
          <w:tcPr>
            <w:tcW w:w="987" w:type="dxa"/>
            <w:tcBorders>
              <w:top w:val="nil"/>
              <w:left w:val="nil"/>
              <w:bottom w:val="nil"/>
              <w:right w:val="nil"/>
            </w:tcBorders>
            <w:shd w:val="clear" w:color="auto" w:fill="auto"/>
            <w:noWrap/>
          </w:tcPr>
          <w:p w:rsidR="00174C2E" w:rsidRPr="00AA3F66" w:rsidRDefault="00174C2E" w:rsidP="00104459">
            <w:pPr>
              <w:spacing w:after="160" w:line="259" w:lineRule="auto"/>
              <w:ind w:firstLineChars="100" w:firstLine="200"/>
              <w:jc w:val="right"/>
              <w:rPr>
                <w:rFonts w:eastAsia="Calibri"/>
                <w:sz w:val="20"/>
                <w:szCs w:val="20"/>
                <w:lang w:eastAsia="en-US"/>
              </w:rPr>
            </w:pPr>
            <w:r w:rsidRPr="00AA3F66">
              <w:rPr>
                <w:sz w:val="20"/>
                <w:szCs w:val="20"/>
              </w:rPr>
              <w:t>-1,7</w:t>
            </w:r>
          </w:p>
        </w:tc>
        <w:tc>
          <w:tcPr>
            <w:tcW w:w="963" w:type="dxa"/>
            <w:tcBorders>
              <w:top w:val="nil"/>
              <w:left w:val="nil"/>
              <w:bottom w:val="nil"/>
              <w:right w:val="nil"/>
            </w:tcBorders>
            <w:shd w:val="clear" w:color="auto" w:fill="auto"/>
            <w:noWrap/>
          </w:tcPr>
          <w:p w:rsidR="00174C2E" w:rsidRPr="00AA3F66" w:rsidRDefault="00174C2E" w:rsidP="00104459">
            <w:pPr>
              <w:spacing w:after="160" w:line="259" w:lineRule="auto"/>
              <w:ind w:firstLineChars="100" w:firstLine="200"/>
              <w:jc w:val="right"/>
              <w:rPr>
                <w:rFonts w:eastAsia="Calibri"/>
                <w:sz w:val="20"/>
                <w:szCs w:val="20"/>
                <w:lang w:eastAsia="en-US"/>
              </w:rPr>
            </w:pPr>
            <w:r w:rsidRPr="00AA3F66">
              <w:rPr>
                <w:sz w:val="20"/>
                <w:szCs w:val="20"/>
              </w:rPr>
              <w:t>-1,4</w:t>
            </w:r>
          </w:p>
        </w:tc>
        <w:tc>
          <w:tcPr>
            <w:tcW w:w="884" w:type="dxa"/>
            <w:tcBorders>
              <w:top w:val="nil"/>
              <w:left w:val="nil"/>
              <w:bottom w:val="nil"/>
              <w:right w:val="nil"/>
            </w:tcBorders>
            <w:shd w:val="clear" w:color="auto" w:fill="F2F2F2"/>
            <w:noWrap/>
          </w:tcPr>
          <w:p w:rsidR="00174C2E" w:rsidRPr="00AA3F66" w:rsidRDefault="00174C2E" w:rsidP="00104459">
            <w:pPr>
              <w:spacing w:after="160" w:line="259" w:lineRule="auto"/>
              <w:ind w:firstLineChars="100" w:firstLine="200"/>
              <w:jc w:val="right"/>
              <w:rPr>
                <w:rFonts w:eastAsia="Calibri"/>
                <w:sz w:val="20"/>
                <w:szCs w:val="20"/>
                <w:lang w:eastAsia="en-US"/>
              </w:rPr>
            </w:pPr>
            <w:r w:rsidRPr="00AA3F66">
              <w:rPr>
                <w:sz w:val="20"/>
                <w:szCs w:val="20"/>
              </w:rPr>
              <w:t>1,7</w:t>
            </w:r>
          </w:p>
        </w:tc>
        <w:tc>
          <w:tcPr>
            <w:tcW w:w="903" w:type="dxa"/>
            <w:tcBorders>
              <w:top w:val="nil"/>
              <w:left w:val="nil"/>
              <w:bottom w:val="nil"/>
              <w:right w:val="nil"/>
            </w:tcBorders>
            <w:shd w:val="clear" w:color="auto" w:fill="F2F2F2"/>
            <w:noWrap/>
          </w:tcPr>
          <w:p w:rsidR="00174C2E" w:rsidRPr="00AA3F66" w:rsidRDefault="00174C2E" w:rsidP="00104459">
            <w:pPr>
              <w:spacing w:after="160" w:line="259" w:lineRule="auto"/>
              <w:ind w:firstLineChars="100" w:firstLine="200"/>
              <w:jc w:val="right"/>
              <w:rPr>
                <w:rFonts w:eastAsia="Calibri"/>
                <w:sz w:val="20"/>
                <w:szCs w:val="20"/>
                <w:lang w:eastAsia="en-US"/>
              </w:rPr>
            </w:pPr>
            <w:r w:rsidRPr="00AA3F66">
              <w:rPr>
                <w:sz w:val="20"/>
                <w:szCs w:val="20"/>
              </w:rPr>
              <w:t>0,0</w:t>
            </w:r>
          </w:p>
        </w:tc>
        <w:tc>
          <w:tcPr>
            <w:tcW w:w="963" w:type="dxa"/>
            <w:tcBorders>
              <w:top w:val="nil"/>
              <w:left w:val="nil"/>
              <w:bottom w:val="nil"/>
              <w:right w:val="nil"/>
            </w:tcBorders>
            <w:shd w:val="clear" w:color="auto" w:fill="F2F2F2"/>
            <w:noWrap/>
          </w:tcPr>
          <w:p w:rsidR="00174C2E" w:rsidRPr="00AA3F66" w:rsidRDefault="00174C2E" w:rsidP="00104459">
            <w:pPr>
              <w:spacing w:after="160" w:line="259" w:lineRule="auto"/>
              <w:ind w:firstLineChars="100" w:firstLine="200"/>
              <w:jc w:val="right"/>
              <w:rPr>
                <w:rFonts w:eastAsia="Calibri"/>
                <w:sz w:val="20"/>
                <w:szCs w:val="20"/>
                <w:lang w:eastAsia="en-US"/>
              </w:rPr>
            </w:pPr>
            <w:r w:rsidRPr="00AA3F66">
              <w:rPr>
                <w:sz w:val="20"/>
                <w:szCs w:val="20"/>
              </w:rPr>
              <w:t>-0,8</w:t>
            </w:r>
          </w:p>
        </w:tc>
        <w:tc>
          <w:tcPr>
            <w:tcW w:w="963" w:type="dxa"/>
            <w:tcBorders>
              <w:top w:val="nil"/>
              <w:left w:val="nil"/>
              <w:bottom w:val="nil"/>
              <w:right w:val="nil"/>
            </w:tcBorders>
            <w:shd w:val="clear" w:color="auto" w:fill="F2F2F2"/>
            <w:noWrap/>
          </w:tcPr>
          <w:p w:rsidR="00174C2E" w:rsidRPr="00AA3F66" w:rsidRDefault="00174C2E" w:rsidP="00104459">
            <w:pPr>
              <w:spacing w:after="160" w:line="259" w:lineRule="auto"/>
              <w:ind w:firstLineChars="100" w:firstLine="200"/>
              <w:jc w:val="right"/>
              <w:rPr>
                <w:rFonts w:eastAsia="Calibri"/>
                <w:sz w:val="20"/>
                <w:szCs w:val="20"/>
                <w:lang w:eastAsia="en-US"/>
              </w:rPr>
            </w:pPr>
            <w:r w:rsidRPr="00AA3F66">
              <w:rPr>
                <w:sz w:val="20"/>
                <w:szCs w:val="20"/>
              </w:rPr>
              <w:t>-1,0</w:t>
            </w:r>
          </w:p>
        </w:tc>
      </w:tr>
      <w:tr w:rsidR="00174C2E" w:rsidRPr="00AA3F66" w:rsidTr="00530DB8">
        <w:trPr>
          <w:gridAfter w:val="1"/>
          <w:wAfter w:w="14" w:type="dxa"/>
          <w:trHeight w:val="20"/>
          <w:jc w:val="center"/>
        </w:trPr>
        <w:tc>
          <w:tcPr>
            <w:tcW w:w="3870" w:type="dxa"/>
            <w:noWrap/>
            <w:vAlign w:val="center"/>
          </w:tcPr>
          <w:p w:rsidR="00174C2E" w:rsidRPr="00AA3F66" w:rsidRDefault="00174C2E" w:rsidP="00104459">
            <w:pPr>
              <w:spacing w:before="40" w:after="40" w:line="259" w:lineRule="auto"/>
              <w:ind w:left="283"/>
              <w:jc w:val="left"/>
              <w:rPr>
                <w:rFonts w:eastAsia="Calibri"/>
                <w:bCs/>
                <w:sz w:val="20"/>
                <w:szCs w:val="20"/>
                <w:lang w:eastAsia="en-GB"/>
              </w:rPr>
            </w:pPr>
            <w:r w:rsidRPr="00AA3F66">
              <w:rPr>
                <w:rFonts w:eastAsia="Calibri"/>
                <w:bCs/>
                <w:sz w:val="20"/>
                <w:szCs w:val="20"/>
                <w:lang w:eastAsia="en-GB"/>
              </w:rPr>
              <w:t>Търговски баланс (% от БВП)</w:t>
            </w:r>
          </w:p>
        </w:tc>
        <w:tc>
          <w:tcPr>
            <w:tcW w:w="987" w:type="dxa"/>
            <w:tcBorders>
              <w:top w:val="nil"/>
              <w:left w:val="nil"/>
              <w:bottom w:val="nil"/>
              <w:right w:val="nil"/>
            </w:tcBorders>
            <w:shd w:val="clear" w:color="auto" w:fill="auto"/>
            <w:noWrap/>
          </w:tcPr>
          <w:p w:rsidR="00174C2E" w:rsidRPr="00AA3F66" w:rsidRDefault="00174C2E" w:rsidP="00104459">
            <w:pPr>
              <w:spacing w:after="160" w:line="259" w:lineRule="auto"/>
              <w:ind w:firstLineChars="100" w:firstLine="200"/>
              <w:jc w:val="right"/>
              <w:rPr>
                <w:rFonts w:eastAsia="Calibri"/>
                <w:sz w:val="20"/>
                <w:szCs w:val="20"/>
                <w:lang w:eastAsia="en-US"/>
              </w:rPr>
            </w:pPr>
            <w:r w:rsidRPr="00AA3F66">
              <w:rPr>
                <w:sz w:val="20"/>
                <w:szCs w:val="20"/>
              </w:rPr>
              <w:t>-4,1</w:t>
            </w:r>
          </w:p>
        </w:tc>
        <w:tc>
          <w:tcPr>
            <w:tcW w:w="963" w:type="dxa"/>
            <w:tcBorders>
              <w:top w:val="nil"/>
              <w:left w:val="nil"/>
              <w:bottom w:val="nil"/>
              <w:right w:val="nil"/>
            </w:tcBorders>
            <w:shd w:val="clear" w:color="auto" w:fill="auto"/>
            <w:noWrap/>
          </w:tcPr>
          <w:p w:rsidR="00174C2E" w:rsidRPr="00AA3F66" w:rsidRDefault="00174C2E" w:rsidP="00104459">
            <w:pPr>
              <w:spacing w:after="160" w:line="259" w:lineRule="auto"/>
              <w:ind w:firstLineChars="100" w:firstLine="200"/>
              <w:jc w:val="right"/>
              <w:rPr>
                <w:rFonts w:eastAsia="Calibri"/>
                <w:sz w:val="20"/>
                <w:szCs w:val="20"/>
                <w:lang w:eastAsia="en-US"/>
              </w:rPr>
            </w:pPr>
            <w:r w:rsidRPr="00AA3F66">
              <w:rPr>
                <w:sz w:val="20"/>
                <w:szCs w:val="20"/>
              </w:rPr>
              <w:t>-5,9</w:t>
            </w:r>
          </w:p>
        </w:tc>
        <w:tc>
          <w:tcPr>
            <w:tcW w:w="884" w:type="dxa"/>
            <w:tcBorders>
              <w:top w:val="nil"/>
              <w:left w:val="nil"/>
              <w:bottom w:val="nil"/>
              <w:right w:val="nil"/>
            </w:tcBorders>
            <w:shd w:val="clear" w:color="auto" w:fill="F2F2F2"/>
            <w:noWrap/>
          </w:tcPr>
          <w:p w:rsidR="00174C2E" w:rsidRPr="00AA3F66" w:rsidRDefault="00174C2E" w:rsidP="00104459">
            <w:pPr>
              <w:spacing w:after="160" w:line="259" w:lineRule="auto"/>
              <w:ind w:firstLineChars="100" w:firstLine="200"/>
              <w:jc w:val="right"/>
              <w:rPr>
                <w:rFonts w:eastAsia="Calibri"/>
                <w:sz w:val="20"/>
                <w:szCs w:val="20"/>
                <w:lang w:eastAsia="en-US"/>
              </w:rPr>
            </w:pPr>
            <w:r w:rsidRPr="00AA3F66">
              <w:rPr>
                <w:sz w:val="20"/>
                <w:szCs w:val="20"/>
              </w:rPr>
              <w:t>-3,1</w:t>
            </w:r>
          </w:p>
        </w:tc>
        <w:tc>
          <w:tcPr>
            <w:tcW w:w="903" w:type="dxa"/>
            <w:tcBorders>
              <w:top w:val="nil"/>
              <w:left w:val="nil"/>
              <w:bottom w:val="nil"/>
              <w:right w:val="nil"/>
            </w:tcBorders>
            <w:shd w:val="clear" w:color="auto" w:fill="F2F2F2"/>
            <w:noWrap/>
          </w:tcPr>
          <w:p w:rsidR="00174C2E" w:rsidRPr="00AA3F66" w:rsidRDefault="00174C2E" w:rsidP="00104459">
            <w:pPr>
              <w:spacing w:after="160" w:line="259" w:lineRule="auto"/>
              <w:ind w:firstLineChars="100" w:firstLine="200"/>
              <w:jc w:val="right"/>
              <w:rPr>
                <w:rFonts w:eastAsia="Calibri"/>
                <w:sz w:val="20"/>
                <w:szCs w:val="20"/>
                <w:lang w:eastAsia="en-US"/>
              </w:rPr>
            </w:pPr>
            <w:r w:rsidRPr="00AA3F66">
              <w:rPr>
                <w:sz w:val="20"/>
                <w:szCs w:val="20"/>
              </w:rPr>
              <w:t>-4,8</w:t>
            </w:r>
          </w:p>
        </w:tc>
        <w:tc>
          <w:tcPr>
            <w:tcW w:w="963" w:type="dxa"/>
            <w:tcBorders>
              <w:top w:val="nil"/>
              <w:left w:val="nil"/>
              <w:bottom w:val="nil"/>
              <w:right w:val="nil"/>
            </w:tcBorders>
            <w:shd w:val="clear" w:color="auto" w:fill="F2F2F2"/>
            <w:noWrap/>
          </w:tcPr>
          <w:p w:rsidR="00174C2E" w:rsidRPr="00AA3F66" w:rsidRDefault="00174C2E" w:rsidP="00104459">
            <w:pPr>
              <w:spacing w:after="160" w:line="259" w:lineRule="auto"/>
              <w:ind w:firstLineChars="100" w:firstLine="200"/>
              <w:jc w:val="right"/>
              <w:rPr>
                <w:rFonts w:eastAsia="Calibri"/>
                <w:sz w:val="20"/>
                <w:szCs w:val="20"/>
                <w:lang w:eastAsia="en-US"/>
              </w:rPr>
            </w:pPr>
            <w:r w:rsidRPr="00AA3F66">
              <w:rPr>
                <w:sz w:val="20"/>
                <w:szCs w:val="20"/>
              </w:rPr>
              <w:t>-5,9</w:t>
            </w:r>
          </w:p>
        </w:tc>
        <w:tc>
          <w:tcPr>
            <w:tcW w:w="963" w:type="dxa"/>
            <w:tcBorders>
              <w:top w:val="nil"/>
              <w:left w:val="nil"/>
              <w:bottom w:val="nil"/>
              <w:right w:val="nil"/>
            </w:tcBorders>
            <w:shd w:val="clear" w:color="auto" w:fill="F2F2F2"/>
            <w:noWrap/>
          </w:tcPr>
          <w:p w:rsidR="00174C2E" w:rsidRPr="00AA3F66" w:rsidRDefault="00174C2E" w:rsidP="00104459">
            <w:pPr>
              <w:spacing w:after="160" w:line="259" w:lineRule="auto"/>
              <w:ind w:firstLineChars="100" w:firstLine="200"/>
              <w:jc w:val="right"/>
              <w:rPr>
                <w:rFonts w:eastAsia="Calibri"/>
                <w:sz w:val="20"/>
                <w:szCs w:val="20"/>
                <w:lang w:eastAsia="en-US"/>
              </w:rPr>
            </w:pPr>
            <w:r w:rsidRPr="00AA3F66">
              <w:rPr>
                <w:sz w:val="20"/>
                <w:szCs w:val="20"/>
              </w:rPr>
              <w:t>-6,1</w:t>
            </w:r>
          </w:p>
        </w:tc>
      </w:tr>
      <w:tr w:rsidR="00174C2E" w:rsidRPr="00AA3F66" w:rsidTr="00530DB8">
        <w:trPr>
          <w:gridAfter w:val="1"/>
          <w:wAfter w:w="14" w:type="dxa"/>
          <w:trHeight w:val="20"/>
          <w:jc w:val="center"/>
        </w:trPr>
        <w:tc>
          <w:tcPr>
            <w:tcW w:w="3870" w:type="dxa"/>
            <w:noWrap/>
            <w:vAlign w:val="center"/>
          </w:tcPr>
          <w:p w:rsidR="00174C2E" w:rsidRPr="00AA3F66" w:rsidRDefault="00174C2E" w:rsidP="00104459">
            <w:pPr>
              <w:spacing w:before="40" w:after="40" w:line="259" w:lineRule="auto"/>
              <w:ind w:left="283"/>
              <w:jc w:val="left"/>
              <w:rPr>
                <w:rFonts w:eastAsia="Calibri"/>
                <w:bCs/>
                <w:sz w:val="20"/>
                <w:szCs w:val="20"/>
                <w:lang w:eastAsia="en-GB"/>
              </w:rPr>
            </w:pPr>
            <w:r w:rsidRPr="00AA3F66">
              <w:rPr>
                <w:rFonts w:eastAsia="Calibri"/>
                <w:bCs/>
                <w:sz w:val="20"/>
                <w:szCs w:val="20"/>
                <w:lang w:eastAsia="en-GB"/>
              </w:rPr>
              <w:t>Преки чуждестранни инвестиции (% от БВП)</w:t>
            </w:r>
          </w:p>
        </w:tc>
        <w:tc>
          <w:tcPr>
            <w:tcW w:w="987" w:type="dxa"/>
            <w:tcBorders>
              <w:top w:val="nil"/>
              <w:left w:val="nil"/>
              <w:bottom w:val="nil"/>
              <w:right w:val="nil"/>
            </w:tcBorders>
            <w:shd w:val="clear" w:color="auto" w:fill="auto"/>
            <w:noWrap/>
          </w:tcPr>
          <w:p w:rsidR="00174C2E" w:rsidRPr="00AA3F66" w:rsidRDefault="00174C2E" w:rsidP="00104459">
            <w:pPr>
              <w:spacing w:after="160" w:line="259" w:lineRule="auto"/>
              <w:ind w:firstLineChars="100" w:firstLine="200"/>
              <w:jc w:val="right"/>
              <w:rPr>
                <w:rFonts w:eastAsia="Calibri"/>
                <w:sz w:val="20"/>
                <w:szCs w:val="20"/>
                <w:lang w:eastAsia="en-US"/>
              </w:rPr>
            </w:pPr>
            <w:r w:rsidRPr="00AA3F66">
              <w:rPr>
                <w:sz w:val="20"/>
                <w:szCs w:val="20"/>
              </w:rPr>
              <w:t>2,9</w:t>
            </w:r>
          </w:p>
        </w:tc>
        <w:tc>
          <w:tcPr>
            <w:tcW w:w="963" w:type="dxa"/>
            <w:tcBorders>
              <w:top w:val="nil"/>
              <w:left w:val="nil"/>
              <w:bottom w:val="nil"/>
              <w:right w:val="nil"/>
            </w:tcBorders>
            <w:shd w:val="clear" w:color="auto" w:fill="auto"/>
            <w:noWrap/>
          </w:tcPr>
          <w:p w:rsidR="00174C2E" w:rsidRPr="00AA3F66" w:rsidRDefault="00174C2E" w:rsidP="00104459">
            <w:pPr>
              <w:spacing w:after="160" w:line="259" w:lineRule="auto"/>
              <w:ind w:firstLineChars="100" w:firstLine="200"/>
              <w:jc w:val="right"/>
              <w:rPr>
                <w:rFonts w:eastAsia="Calibri"/>
                <w:sz w:val="20"/>
                <w:szCs w:val="20"/>
                <w:lang w:eastAsia="en-US"/>
              </w:rPr>
            </w:pPr>
            <w:r w:rsidRPr="00AA3F66">
              <w:rPr>
                <w:sz w:val="20"/>
                <w:szCs w:val="20"/>
              </w:rPr>
              <w:t>3,6</w:t>
            </w:r>
          </w:p>
        </w:tc>
        <w:tc>
          <w:tcPr>
            <w:tcW w:w="884" w:type="dxa"/>
            <w:tcBorders>
              <w:top w:val="nil"/>
              <w:left w:val="nil"/>
              <w:bottom w:val="nil"/>
              <w:right w:val="nil"/>
            </w:tcBorders>
            <w:shd w:val="clear" w:color="auto" w:fill="F2F2F2"/>
            <w:noWrap/>
          </w:tcPr>
          <w:p w:rsidR="00174C2E" w:rsidRPr="00AA3F66" w:rsidRDefault="00174C2E" w:rsidP="00104459">
            <w:pPr>
              <w:spacing w:after="160" w:line="259" w:lineRule="auto"/>
              <w:ind w:firstLineChars="100" w:firstLine="200"/>
              <w:jc w:val="right"/>
              <w:rPr>
                <w:rFonts w:eastAsia="Calibri"/>
                <w:sz w:val="20"/>
                <w:szCs w:val="20"/>
                <w:lang w:eastAsia="en-US"/>
              </w:rPr>
            </w:pPr>
            <w:r w:rsidRPr="00AA3F66">
              <w:rPr>
                <w:sz w:val="20"/>
                <w:szCs w:val="20"/>
              </w:rPr>
              <w:t>3,8</w:t>
            </w:r>
          </w:p>
        </w:tc>
        <w:tc>
          <w:tcPr>
            <w:tcW w:w="903" w:type="dxa"/>
            <w:tcBorders>
              <w:top w:val="nil"/>
              <w:left w:val="nil"/>
              <w:bottom w:val="nil"/>
              <w:right w:val="nil"/>
            </w:tcBorders>
            <w:shd w:val="clear" w:color="auto" w:fill="F2F2F2"/>
            <w:noWrap/>
          </w:tcPr>
          <w:p w:rsidR="00174C2E" w:rsidRPr="00AA3F66" w:rsidRDefault="00174C2E" w:rsidP="00104459">
            <w:pPr>
              <w:spacing w:after="160" w:line="259" w:lineRule="auto"/>
              <w:ind w:firstLineChars="100" w:firstLine="200"/>
              <w:jc w:val="right"/>
              <w:rPr>
                <w:rFonts w:eastAsia="Calibri"/>
                <w:sz w:val="20"/>
                <w:szCs w:val="20"/>
                <w:lang w:eastAsia="en-US"/>
              </w:rPr>
            </w:pPr>
            <w:r w:rsidRPr="00AA3F66">
              <w:rPr>
                <w:sz w:val="20"/>
                <w:szCs w:val="20"/>
              </w:rPr>
              <w:t>3,9</w:t>
            </w:r>
          </w:p>
        </w:tc>
        <w:tc>
          <w:tcPr>
            <w:tcW w:w="963" w:type="dxa"/>
            <w:tcBorders>
              <w:top w:val="nil"/>
              <w:left w:val="nil"/>
              <w:bottom w:val="nil"/>
              <w:right w:val="nil"/>
            </w:tcBorders>
            <w:shd w:val="clear" w:color="auto" w:fill="F2F2F2"/>
            <w:noWrap/>
          </w:tcPr>
          <w:p w:rsidR="00174C2E" w:rsidRPr="00AA3F66" w:rsidRDefault="00174C2E" w:rsidP="00104459">
            <w:pPr>
              <w:spacing w:after="160" w:line="259" w:lineRule="auto"/>
              <w:ind w:firstLineChars="100" w:firstLine="200"/>
              <w:jc w:val="right"/>
              <w:rPr>
                <w:rFonts w:eastAsia="Calibri"/>
                <w:sz w:val="20"/>
                <w:szCs w:val="20"/>
                <w:lang w:eastAsia="en-US"/>
              </w:rPr>
            </w:pPr>
            <w:r w:rsidRPr="00AA3F66">
              <w:rPr>
                <w:sz w:val="20"/>
                <w:szCs w:val="20"/>
              </w:rPr>
              <w:t>3,8</w:t>
            </w:r>
          </w:p>
        </w:tc>
        <w:tc>
          <w:tcPr>
            <w:tcW w:w="963" w:type="dxa"/>
            <w:tcBorders>
              <w:top w:val="nil"/>
              <w:left w:val="nil"/>
              <w:bottom w:val="nil"/>
              <w:right w:val="nil"/>
            </w:tcBorders>
            <w:shd w:val="clear" w:color="auto" w:fill="F2F2F2"/>
            <w:noWrap/>
          </w:tcPr>
          <w:p w:rsidR="00174C2E" w:rsidRPr="00AA3F66" w:rsidRDefault="00174C2E" w:rsidP="00104459">
            <w:pPr>
              <w:spacing w:after="160" w:line="259" w:lineRule="auto"/>
              <w:ind w:firstLineChars="100" w:firstLine="200"/>
              <w:jc w:val="right"/>
              <w:rPr>
                <w:rFonts w:eastAsia="Calibri"/>
                <w:sz w:val="20"/>
                <w:szCs w:val="20"/>
                <w:lang w:eastAsia="en-US"/>
              </w:rPr>
            </w:pPr>
            <w:r w:rsidRPr="00AA3F66">
              <w:rPr>
                <w:sz w:val="20"/>
                <w:szCs w:val="20"/>
              </w:rPr>
              <w:t>3,8</w:t>
            </w:r>
          </w:p>
        </w:tc>
      </w:tr>
      <w:tr w:rsidR="00174C2E" w:rsidRPr="00AA3F66" w:rsidTr="00530DB8">
        <w:trPr>
          <w:gridAfter w:val="1"/>
          <w:wAfter w:w="14" w:type="dxa"/>
          <w:trHeight w:val="20"/>
          <w:jc w:val="center"/>
        </w:trPr>
        <w:tc>
          <w:tcPr>
            <w:tcW w:w="3870" w:type="dxa"/>
            <w:noWrap/>
          </w:tcPr>
          <w:p w:rsidR="00174C2E" w:rsidRPr="00AA3F66" w:rsidRDefault="00174C2E" w:rsidP="00104459">
            <w:pPr>
              <w:spacing w:before="40" w:after="40" w:line="259" w:lineRule="auto"/>
              <w:jc w:val="left"/>
              <w:rPr>
                <w:rFonts w:eastAsia="Calibri"/>
                <w:b/>
                <w:bCs/>
                <w:sz w:val="20"/>
                <w:szCs w:val="20"/>
                <w:lang w:eastAsia="en-GB"/>
              </w:rPr>
            </w:pPr>
            <w:r w:rsidRPr="00AA3F66">
              <w:rPr>
                <w:b/>
                <w:sz w:val="20"/>
                <w:szCs w:val="20"/>
              </w:rPr>
              <w:t>Паричен сектор</w:t>
            </w:r>
          </w:p>
        </w:tc>
        <w:tc>
          <w:tcPr>
            <w:tcW w:w="987" w:type="dxa"/>
            <w:tcBorders>
              <w:top w:val="nil"/>
              <w:left w:val="nil"/>
              <w:bottom w:val="nil"/>
              <w:right w:val="nil"/>
            </w:tcBorders>
            <w:shd w:val="clear" w:color="auto" w:fill="auto"/>
            <w:noWrap/>
          </w:tcPr>
          <w:p w:rsidR="00174C2E" w:rsidRPr="00AA3F66" w:rsidRDefault="00174C2E" w:rsidP="00104459">
            <w:pPr>
              <w:spacing w:after="160" w:line="259" w:lineRule="auto"/>
              <w:ind w:firstLineChars="100" w:firstLine="200"/>
              <w:jc w:val="right"/>
              <w:rPr>
                <w:sz w:val="20"/>
                <w:szCs w:val="20"/>
              </w:rPr>
            </w:pPr>
          </w:p>
        </w:tc>
        <w:tc>
          <w:tcPr>
            <w:tcW w:w="963" w:type="dxa"/>
            <w:tcBorders>
              <w:top w:val="nil"/>
              <w:left w:val="nil"/>
              <w:bottom w:val="nil"/>
              <w:right w:val="nil"/>
            </w:tcBorders>
            <w:shd w:val="clear" w:color="auto" w:fill="auto"/>
            <w:noWrap/>
          </w:tcPr>
          <w:p w:rsidR="00174C2E" w:rsidRPr="00AA3F66" w:rsidRDefault="00174C2E" w:rsidP="00104459">
            <w:pPr>
              <w:spacing w:after="160" w:line="259" w:lineRule="auto"/>
              <w:ind w:firstLineChars="100" w:firstLine="200"/>
              <w:jc w:val="right"/>
              <w:rPr>
                <w:sz w:val="20"/>
                <w:szCs w:val="20"/>
              </w:rPr>
            </w:pPr>
          </w:p>
        </w:tc>
        <w:tc>
          <w:tcPr>
            <w:tcW w:w="884" w:type="dxa"/>
            <w:tcBorders>
              <w:top w:val="nil"/>
              <w:left w:val="nil"/>
              <w:bottom w:val="nil"/>
              <w:right w:val="nil"/>
            </w:tcBorders>
            <w:shd w:val="clear" w:color="auto" w:fill="F2F2F2"/>
            <w:noWrap/>
          </w:tcPr>
          <w:p w:rsidR="00174C2E" w:rsidRPr="00AA3F66" w:rsidRDefault="00174C2E" w:rsidP="00104459">
            <w:pPr>
              <w:spacing w:after="160" w:line="259" w:lineRule="auto"/>
              <w:ind w:firstLineChars="100" w:firstLine="200"/>
              <w:jc w:val="right"/>
              <w:rPr>
                <w:sz w:val="20"/>
                <w:szCs w:val="20"/>
              </w:rPr>
            </w:pPr>
          </w:p>
        </w:tc>
        <w:tc>
          <w:tcPr>
            <w:tcW w:w="903" w:type="dxa"/>
            <w:tcBorders>
              <w:top w:val="nil"/>
              <w:left w:val="nil"/>
              <w:bottom w:val="nil"/>
              <w:right w:val="nil"/>
            </w:tcBorders>
            <w:shd w:val="clear" w:color="auto" w:fill="F2F2F2"/>
            <w:noWrap/>
          </w:tcPr>
          <w:p w:rsidR="00174C2E" w:rsidRPr="00AA3F66" w:rsidRDefault="00174C2E" w:rsidP="00104459">
            <w:pPr>
              <w:spacing w:after="160" w:line="259" w:lineRule="auto"/>
              <w:ind w:firstLineChars="100" w:firstLine="200"/>
              <w:jc w:val="right"/>
              <w:rPr>
                <w:sz w:val="20"/>
                <w:szCs w:val="20"/>
              </w:rPr>
            </w:pPr>
          </w:p>
        </w:tc>
        <w:tc>
          <w:tcPr>
            <w:tcW w:w="963" w:type="dxa"/>
            <w:tcBorders>
              <w:top w:val="nil"/>
              <w:left w:val="nil"/>
              <w:bottom w:val="nil"/>
              <w:right w:val="nil"/>
            </w:tcBorders>
            <w:shd w:val="clear" w:color="auto" w:fill="F2F2F2"/>
            <w:noWrap/>
          </w:tcPr>
          <w:p w:rsidR="00174C2E" w:rsidRPr="00AA3F66" w:rsidRDefault="00174C2E" w:rsidP="00104459">
            <w:pPr>
              <w:spacing w:after="160" w:line="259" w:lineRule="auto"/>
              <w:ind w:firstLineChars="100" w:firstLine="200"/>
              <w:jc w:val="right"/>
              <w:rPr>
                <w:sz w:val="20"/>
                <w:szCs w:val="20"/>
              </w:rPr>
            </w:pPr>
          </w:p>
        </w:tc>
        <w:tc>
          <w:tcPr>
            <w:tcW w:w="963" w:type="dxa"/>
            <w:tcBorders>
              <w:top w:val="nil"/>
              <w:left w:val="nil"/>
              <w:bottom w:val="nil"/>
              <w:right w:val="nil"/>
            </w:tcBorders>
            <w:shd w:val="clear" w:color="auto" w:fill="F2F2F2"/>
            <w:noWrap/>
          </w:tcPr>
          <w:p w:rsidR="00174C2E" w:rsidRPr="00AA3F66" w:rsidRDefault="00174C2E" w:rsidP="00104459">
            <w:pPr>
              <w:spacing w:after="160" w:line="259" w:lineRule="auto"/>
              <w:ind w:firstLineChars="100" w:firstLine="200"/>
              <w:jc w:val="right"/>
              <w:rPr>
                <w:sz w:val="20"/>
                <w:szCs w:val="20"/>
              </w:rPr>
            </w:pPr>
          </w:p>
        </w:tc>
      </w:tr>
      <w:tr w:rsidR="00174C2E" w:rsidRPr="00AA3F66" w:rsidTr="00530DB8">
        <w:trPr>
          <w:gridAfter w:val="1"/>
          <w:wAfter w:w="14" w:type="dxa"/>
          <w:trHeight w:val="20"/>
          <w:jc w:val="center"/>
        </w:trPr>
        <w:tc>
          <w:tcPr>
            <w:tcW w:w="3870" w:type="dxa"/>
            <w:noWrap/>
          </w:tcPr>
          <w:p w:rsidR="00174C2E" w:rsidRPr="00AA3F66" w:rsidRDefault="00174C2E" w:rsidP="00104459">
            <w:pPr>
              <w:spacing w:before="40" w:after="40" w:line="259" w:lineRule="auto"/>
              <w:ind w:left="283"/>
              <w:jc w:val="left"/>
              <w:rPr>
                <w:rFonts w:eastAsia="Calibri"/>
                <w:bCs/>
                <w:sz w:val="20"/>
                <w:szCs w:val="20"/>
                <w:lang w:eastAsia="en-GB"/>
              </w:rPr>
            </w:pPr>
            <w:r w:rsidRPr="00AA3F66">
              <w:rPr>
                <w:sz w:val="20"/>
                <w:szCs w:val="20"/>
              </w:rPr>
              <w:t>М3 (%)</w:t>
            </w:r>
          </w:p>
        </w:tc>
        <w:tc>
          <w:tcPr>
            <w:tcW w:w="987" w:type="dxa"/>
            <w:tcBorders>
              <w:top w:val="nil"/>
              <w:left w:val="nil"/>
              <w:bottom w:val="nil"/>
              <w:right w:val="nil"/>
            </w:tcBorders>
            <w:shd w:val="clear" w:color="auto" w:fill="auto"/>
            <w:noWrap/>
          </w:tcPr>
          <w:p w:rsidR="00174C2E" w:rsidRPr="00AA3F66" w:rsidRDefault="00174C2E" w:rsidP="00104459">
            <w:pPr>
              <w:spacing w:after="160" w:line="259" w:lineRule="auto"/>
              <w:ind w:firstLineChars="100" w:firstLine="200"/>
              <w:jc w:val="right"/>
              <w:rPr>
                <w:sz w:val="20"/>
                <w:szCs w:val="20"/>
              </w:rPr>
            </w:pPr>
            <w:r w:rsidRPr="00AA3F66">
              <w:rPr>
                <w:sz w:val="20"/>
                <w:szCs w:val="20"/>
              </w:rPr>
              <w:t>10,7</w:t>
            </w:r>
          </w:p>
        </w:tc>
        <w:tc>
          <w:tcPr>
            <w:tcW w:w="963" w:type="dxa"/>
            <w:tcBorders>
              <w:top w:val="nil"/>
              <w:left w:val="nil"/>
              <w:bottom w:val="nil"/>
              <w:right w:val="nil"/>
            </w:tcBorders>
            <w:shd w:val="clear" w:color="auto" w:fill="auto"/>
            <w:noWrap/>
          </w:tcPr>
          <w:p w:rsidR="00174C2E" w:rsidRPr="00AA3F66" w:rsidRDefault="00174C2E" w:rsidP="00104459">
            <w:pPr>
              <w:spacing w:after="160" w:line="259" w:lineRule="auto"/>
              <w:ind w:firstLineChars="100" w:firstLine="200"/>
              <w:jc w:val="right"/>
              <w:rPr>
                <w:sz w:val="20"/>
                <w:szCs w:val="20"/>
              </w:rPr>
            </w:pPr>
            <w:r w:rsidRPr="00AA3F66">
              <w:rPr>
                <w:sz w:val="20"/>
                <w:szCs w:val="20"/>
              </w:rPr>
              <w:t>13,2</w:t>
            </w:r>
          </w:p>
        </w:tc>
        <w:tc>
          <w:tcPr>
            <w:tcW w:w="884" w:type="dxa"/>
            <w:tcBorders>
              <w:top w:val="nil"/>
              <w:left w:val="nil"/>
              <w:bottom w:val="nil"/>
              <w:right w:val="nil"/>
            </w:tcBorders>
            <w:shd w:val="clear" w:color="auto" w:fill="F2F2F2"/>
            <w:noWrap/>
          </w:tcPr>
          <w:p w:rsidR="00174C2E" w:rsidRPr="00AA3F66" w:rsidRDefault="00174C2E" w:rsidP="00104459">
            <w:pPr>
              <w:spacing w:after="160" w:line="259" w:lineRule="auto"/>
              <w:ind w:firstLineChars="100" w:firstLine="200"/>
              <w:jc w:val="right"/>
              <w:rPr>
                <w:sz w:val="20"/>
                <w:szCs w:val="20"/>
              </w:rPr>
            </w:pPr>
            <w:r w:rsidRPr="00AA3F66">
              <w:rPr>
                <w:sz w:val="20"/>
                <w:szCs w:val="20"/>
              </w:rPr>
              <w:t>9,8</w:t>
            </w:r>
          </w:p>
        </w:tc>
        <w:tc>
          <w:tcPr>
            <w:tcW w:w="903" w:type="dxa"/>
            <w:tcBorders>
              <w:top w:val="nil"/>
              <w:left w:val="nil"/>
              <w:bottom w:val="nil"/>
              <w:right w:val="nil"/>
            </w:tcBorders>
            <w:shd w:val="clear" w:color="auto" w:fill="F2F2F2"/>
            <w:noWrap/>
          </w:tcPr>
          <w:p w:rsidR="00174C2E" w:rsidRPr="00AA3F66" w:rsidRDefault="00174C2E" w:rsidP="00104459">
            <w:pPr>
              <w:spacing w:after="160" w:line="259" w:lineRule="auto"/>
              <w:ind w:firstLineChars="100" w:firstLine="200"/>
              <w:jc w:val="right"/>
              <w:rPr>
                <w:sz w:val="20"/>
                <w:szCs w:val="20"/>
              </w:rPr>
            </w:pPr>
            <w:r w:rsidRPr="00AA3F66">
              <w:rPr>
                <w:sz w:val="20"/>
                <w:szCs w:val="20"/>
              </w:rPr>
              <w:t>9,6</w:t>
            </w:r>
          </w:p>
        </w:tc>
        <w:tc>
          <w:tcPr>
            <w:tcW w:w="963" w:type="dxa"/>
            <w:tcBorders>
              <w:top w:val="nil"/>
              <w:left w:val="nil"/>
              <w:bottom w:val="nil"/>
              <w:right w:val="nil"/>
            </w:tcBorders>
            <w:shd w:val="clear" w:color="auto" w:fill="F2F2F2"/>
            <w:noWrap/>
          </w:tcPr>
          <w:p w:rsidR="00174C2E" w:rsidRPr="00AA3F66" w:rsidRDefault="00174C2E" w:rsidP="00104459">
            <w:pPr>
              <w:spacing w:after="160" w:line="259" w:lineRule="auto"/>
              <w:ind w:firstLineChars="100" w:firstLine="200"/>
              <w:jc w:val="right"/>
              <w:rPr>
                <w:sz w:val="20"/>
                <w:szCs w:val="20"/>
              </w:rPr>
            </w:pPr>
            <w:r w:rsidRPr="00AA3F66">
              <w:rPr>
                <w:sz w:val="20"/>
                <w:szCs w:val="20"/>
              </w:rPr>
              <w:t>9,2</w:t>
            </w:r>
          </w:p>
        </w:tc>
        <w:tc>
          <w:tcPr>
            <w:tcW w:w="963" w:type="dxa"/>
            <w:tcBorders>
              <w:top w:val="nil"/>
              <w:left w:val="nil"/>
              <w:bottom w:val="nil"/>
              <w:right w:val="nil"/>
            </w:tcBorders>
            <w:shd w:val="clear" w:color="auto" w:fill="F2F2F2"/>
            <w:noWrap/>
          </w:tcPr>
          <w:p w:rsidR="00174C2E" w:rsidRPr="00AA3F66" w:rsidRDefault="00174C2E" w:rsidP="00104459">
            <w:pPr>
              <w:spacing w:after="160" w:line="259" w:lineRule="auto"/>
              <w:ind w:firstLineChars="100" w:firstLine="200"/>
              <w:jc w:val="right"/>
              <w:rPr>
                <w:sz w:val="20"/>
                <w:szCs w:val="20"/>
              </w:rPr>
            </w:pPr>
            <w:r w:rsidRPr="00AA3F66">
              <w:rPr>
                <w:sz w:val="20"/>
                <w:szCs w:val="20"/>
              </w:rPr>
              <w:t>8,9</w:t>
            </w:r>
          </w:p>
        </w:tc>
      </w:tr>
      <w:tr w:rsidR="00174C2E" w:rsidRPr="00AA3F66" w:rsidTr="00530DB8">
        <w:trPr>
          <w:gridAfter w:val="1"/>
          <w:wAfter w:w="14" w:type="dxa"/>
          <w:trHeight w:val="20"/>
          <w:jc w:val="center"/>
        </w:trPr>
        <w:tc>
          <w:tcPr>
            <w:tcW w:w="3870" w:type="dxa"/>
            <w:tcBorders>
              <w:bottom w:val="nil"/>
            </w:tcBorders>
            <w:noWrap/>
          </w:tcPr>
          <w:p w:rsidR="00174C2E" w:rsidRPr="00AA3F66" w:rsidRDefault="00174C2E" w:rsidP="00104459">
            <w:pPr>
              <w:spacing w:before="40" w:after="40" w:line="259" w:lineRule="auto"/>
              <w:ind w:left="283"/>
              <w:jc w:val="left"/>
              <w:rPr>
                <w:rFonts w:eastAsia="Calibri"/>
                <w:bCs/>
                <w:sz w:val="20"/>
                <w:szCs w:val="20"/>
                <w:lang w:eastAsia="en-GB"/>
              </w:rPr>
            </w:pPr>
            <w:r w:rsidRPr="00AA3F66">
              <w:rPr>
                <w:sz w:val="20"/>
                <w:szCs w:val="20"/>
              </w:rPr>
              <w:t>Вземания от фирми (%)</w:t>
            </w:r>
          </w:p>
        </w:tc>
        <w:tc>
          <w:tcPr>
            <w:tcW w:w="987" w:type="dxa"/>
            <w:tcBorders>
              <w:top w:val="nil"/>
              <w:left w:val="nil"/>
              <w:bottom w:val="nil"/>
              <w:right w:val="nil"/>
            </w:tcBorders>
            <w:shd w:val="clear" w:color="auto" w:fill="auto"/>
            <w:noWrap/>
          </w:tcPr>
          <w:p w:rsidR="00174C2E" w:rsidRPr="00AA3F66" w:rsidRDefault="00174C2E" w:rsidP="00104459">
            <w:pPr>
              <w:spacing w:after="160" w:line="259" w:lineRule="auto"/>
              <w:ind w:firstLineChars="100" w:firstLine="200"/>
              <w:jc w:val="right"/>
              <w:rPr>
                <w:sz w:val="20"/>
                <w:szCs w:val="20"/>
              </w:rPr>
            </w:pPr>
            <w:r w:rsidRPr="00AA3F66">
              <w:rPr>
                <w:sz w:val="20"/>
                <w:szCs w:val="20"/>
              </w:rPr>
              <w:t>6,1</w:t>
            </w:r>
          </w:p>
        </w:tc>
        <w:tc>
          <w:tcPr>
            <w:tcW w:w="963" w:type="dxa"/>
            <w:tcBorders>
              <w:top w:val="nil"/>
              <w:left w:val="nil"/>
              <w:bottom w:val="nil"/>
              <w:right w:val="nil"/>
            </w:tcBorders>
            <w:shd w:val="clear" w:color="auto" w:fill="auto"/>
            <w:noWrap/>
          </w:tcPr>
          <w:p w:rsidR="00174C2E" w:rsidRPr="00AA3F66" w:rsidRDefault="00174C2E" w:rsidP="00104459">
            <w:pPr>
              <w:spacing w:after="160" w:line="259" w:lineRule="auto"/>
              <w:ind w:firstLineChars="100" w:firstLine="200"/>
              <w:jc w:val="right"/>
              <w:rPr>
                <w:sz w:val="20"/>
                <w:szCs w:val="20"/>
              </w:rPr>
            </w:pPr>
            <w:r w:rsidRPr="00AA3F66">
              <w:rPr>
                <w:sz w:val="20"/>
                <w:szCs w:val="20"/>
              </w:rPr>
              <w:t>11,1</w:t>
            </w:r>
          </w:p>
        </w:tc>
        <w:tc>
          <w:tcPr>
            <w:tcW w:w="884" w:type="dxa"/>
            <w:tcBorders>
              <w:top w:val="nil"/>
              <w:left w:val="nil"/>
              <w:bottom w:val="nil"/>
              <w:right w:val="nil"/>
            </w:tcBorders>
            <w:shd w:val="clear" w:color="auto" w:fill="F2F2F2"/>
            <w:noWrap/>
          </w:tcPr>
          <w:p w:rsidR="00174C2E" w:rsidRPr="00AA3F66" w:rsidRDefault="00174C2E" w:rsidP="00104459">
            <w:pPr>
              <w:spacing w:after="160" w:line="259" w:lineRule="auto"/>
              <w:ind w:firstLineChars="100" w:firstLine="200"/>
              <w:jc w:val="right"/>
              <w:rPr>
                <w:sz w:val="20"/>
                <w:szCs w:val="20"/>
              </w:rPr>
            </w:pPr>
            <w:r w:rsidRPr="00AA3F66">
              <w:rPr>
                <w:sz w:val="20"/>
                <w:szCs w:val="20"/>
              </w:rPr>
              <w:t>8,3</w:t>
            </w:r>
          </w:p>
        </w:tc>
        <w:tc>
          <w:tcPr>
            <w:tcW w:w="903" w:type="dxa"/>
            <w:tcBorders>
              <w:top w:val="nil"/>
              <w:left w:val="nil"/>
              <w:bottom w:val="nil"/>
              <w:right w:val="nil"/>
            </w:tcBorders>
            <w:shd w:val="clear" w:color="auto" w:fill="F2F2F2"/>
            <w:noWrap/>
          </w:tcPr>
          <w:p w:rsidR="00174C2E" w:rsidRPr="00AA3F66" w:rsidRDefault="00174C2E" w:rsidP="00104459">
            <w:pPr>
              <w:spacing w:after="160" w:line="259" w:lineRule="auto"/>
              <w:ind w:firstLineChars="100" w:firstLine="200"/>
              <w:jc w:val="right"/>
              <w:rPr>
                <w:sz w:val="20"/>
                <w:szCs w:val="20"/>
              </w:rPr>
            </w:pPr>
            <w:r w:rsidRPr="00AA3F66">
              <w:rPr>
                <w:sz w:val="20"/>
                <w:szCs w:val="20"/>
              </w:rPr>
              <w:t>7,0</w:t>
            </w:r>
          </w:p>
        </w:tc>
        <w:tc>
          <w:tcPr>
            <w:tcW w:w="963" w:type="dxa"/>
            <w:tcBorders>
              <w:top w:val="nil"/>
              <w:left w:val="nil"/>
              <w:bottom w:val="nil"/>
              <w:right w:val="nil"/>
            </w:tcBorders>
            <w:shd w:val="clear" w:color="auto" w:fill="F2F2F2"/>
            <w:noWrap/>
          </w:tcPr>
          <w:p w:rsidR="00174C2E" w:rsidRPr="00AA3F66" w:rsidRDefault="00174C2E" w:rsidP="00104459">
            <w:pPr>
              <w:spacing w:after="160" w:line="259" w:lineRule="auto"/>
              <w:ind w:firstLineChars="100" w:firstLine="200"/>
              <w:jc w:val="right"/>
              <w:rPr>
                <w:sz w:val="20"/>
                <w:szCs w:val="20"/>
              </w:rPr>
            </w:pPr>
            <w:r w:rsidRPr="00AA3F66">
              <w:rPr>
                <w:sz w:val="20"/>
                <w:szCs w:val="20"/>
              </w:rPr>
              <w:t>7,3</w:t>
            </w:r>
          </w:p>
        </w:tc>
        <w:tc>
          <w:tcPr>
            <w:tcW w:w="963" w:type="dxa"/>
            <w:tcBorders>
              <w:top w:val="nil"/>
              <w:left w:val="nil"/>
              <w:bottom w:val="nil"/>
              <w:right w:val="nil"/>
            </w:tcBorders>
            <w:shd w:val="clear" w:color="auto" w:fill="F2F2F2"/>
            <w:noWrap/>
          </w:tcPr>
          <w:p w:rsidR="00174C2E" w:rsidRPr="00AA3F66" w:rsidRDefault="00174C2E" w:rsidP="00104459">
            <w:pPr>
              <w:spacing w:after="160" w:line="259" w:lineRule="auto"/>
              <w:ind w:firstLineChars="100" w:firstLine="200"/>
              <w:jc w:val="right"/>
              <w:rPr>
                <w:sz w:val="20"/>
                <w:szCs w:val="20"/>
              </w:rPr>
            </w:pPr>
            <w:r w:rsidRPr="00AA3F66">
              <w:rPr>
                <w:sz w:val="20"/>
                <w:szCs w:val="20"/>
              </w:rPr>
              <w:t>7,8</w:t>
            </w:r>
          </w:p>
        </w:tc>
      </w:tr>
      <w:tr w:rsidR="00174C2E" w:rsidRPr="00AA3F66" w:rsidTr="00530DB8">
        <w:trPr>
          <w:gridAfter w:val="1"/>
          <w:wAfter w:w="14" w:type="dxa"/>
          <w:trHeight w:val="20"/>
          <w:jc w:val="center"/>
        </w:trPr>
        <w:tc>
          <w:tcPr>
            <w:tcW w:w="3870" w:type="dxa"/>
            <w:tcBorders>
              <w:top w:val="nil"/>
              <w:bottom w:val="single" w:sz="4" w:space="0" w:color="auto"/>
            </w:tcBorders>
            <w:noWrap/>
          </w:tcPr>
          <w:p w:rsidR="00174C2E" w:rsidRPr="00AA3F66" w:rsidRDefault="00174C2E" w:rsidP="00104459">
            <w:pPr>
              <w:spacing w:before="40" w:after="40" w:line="259" w:lineRule="auto"/>
              <w:ind w:left="283"/>
              <w:jc w:val="left"/>
              <w:rPr>
                <w:rFonts w:eastAsia="Calibri"/>
                <w:bCs/>
                <w:sz w:val="20"/>
                <w:szCs w:val="20"/>
                <w:lang w:eastAsia="en-GB"/>
              </w:rPr>
            </w:pPr>
            <w:r w:rsidRPr="00AA3F66">
              <w:rPr>
                <w:sz w:val="20"/>
                <w:szCs w:val="20"/>
              </w:rPr>
              <w:t>Вземания от домакинства (%)</w:t>
            </w:r>
          </w:p>
        </w:tc>
        <w:tc>
          <w:tcPr>
            <w:tcW w:w="987" w:type="dxa"/>
            <w:tcBorders>
              <w:top w:val="nil"/>
              <w:left w:val="nil"/>
              <w:bottom w:val="single" w:sz="4" w:space="0" w:color="auto"/>
              <w:right w:val="nil"/>
            </w:tcBorders>
            <w:shd w:val="clear" w:color="auto" w:fill="auto"/>
            <w:noWrap/>
          </w:tcPr>
          <w:p w:rsidR="00174C2E" w:rsidRPr="00AA3F66" w:rsidRDefault="00174C2E" w:rsidP="00104459">
            <w:pPr>
              <w:spacing w:after="160" w:line="259" w:lineRule="auto"/>
              <w:ind w:firstLineChars="100" w:firstLine="200"/>
              <w:jc w:val="right"/>
              <w:rPr>
                <w:sz w:val="20"/>
                <w:szCs w:val="20"/>
              </w:rPr>
            </w:pPr>
            <w:r w:rsidRPr="00AA3F66">
              <w:rPr>
                <w:sz w:val="20"/>
                <w:szCs w:val="20"/>
              </w:rPr>
              <w:t>13,4</w:t>
            </w:r>
          </w:p>
        </w:tc>
        <w:tc>
          <w:tcPr>
            <w:tcW w:w="963" w:type="dxa"/>
            <w:tcBorders>
              <w:top w:val="nil"/>
              <w:left w:val="nil"/>
              <w:bottom w:val="single" w:sz="4" w:space="0" w:color="auto"/>
              <w:right w:val="nil"/>
            </w:tcBorders>
            <w:shd w:val="clear" w:color="auto" w:fill="auto"/>
            <w:noWrap/>
          </w:tcPr>
          <w:p w:rsidR="00174C2E" w:rsidRPr="00AA3F66" w:rsidRDefault="00174C2E" w:rsidP="00104459">
            <w:pPr>
              <w:spacing w:after="160" w:line="259" w:lineRule="auto"/>
              <w:ind w:firstLineChars="100" w:firstLine="200"/>
              <w:jc w:val="right"/>
              <w:rPr>
                <w:sz w:val="20"/>
                <w:szCs w:val="20"/>
              </w:rPr>
            </w:pPr>
            <w:r w:rsidRPr="00AA3F66">
              <w:rPr>
                <w:sz w:val="20"/>
                <w:szCs w:val="20"/>
              </w:rPr>
              <w:t>14,6</w:t>
            </w:r>
          </w:p>
        </w:tc>
        <w:tc>
          <w:tcPr>
            <w:tcW w:w="884" w:type="dxa"/>
            <w:tcBorders>
              <w:top w:val="nil"/>
              <w:left w:val="nil"/>
              <w:bottom w:val="single" w:sz="4" w:space="0" w:color="auto"/>
              <w:right w:val="nil"/>
            </w:tcBorders>
            <w:shd w:val="clear" w:color="auto" w:fill="F2F2F2"/>
            <w:noWrap/>
          </w:tcPr>
          <w:p w:rsidR="00174C2E" w:rsidRPr="00AA3F66" w:rsidRDefault="00174C2E" w:rsidP="00104459">
            <w:pPr>
              <w:spacing w:after="160" w:line="259" w:lineRule="auto"/>
              <w:ind w:firstLineChars="100" w:firstLine="200"/>
              <w:jc w:val="right"/>
              <w:rPr>
                <w:sz w:val="20"/>
                <w:szCs w:val="20"/>
              </w:rPr>
            </w:pPr>
            <w:r w:rsidRPr="00AA3F66">
              <w:rPr>
                <w:sz w:val="20"/>
                <w:szCs w:val="20"/>
              </w:rPr>
              <w:t>11,9</w:t>
            </w:r>
          </w:p>
        </w:tc>
        <w:tc>
          <w:tcPr>
            <w:tcW w:w="903" w:type="dxa"/>
            <w:tcBorders>
              <w:top w:val="nil"/>
              <w:left w:val="nil"/>
              <w:bottom w:val="single" w:sz="4" w:space="0" w:color="auto"/>
              <w:right w:val="nil"/>
            </w:tcBorders>
            <w:shd w:val="clear" w:color="auto" w:fill="F2F2F2"/>
            <w:noWrap/>
          </w:tcPr>
          <w:p w:rsidR="00174C2E" w:rsidRPr="00AA3F66" w:rsidRDefault="00174C2E" w:rsidP="00104459">
            <w:pPr>
              <w:spacing w:after="160" w:line="259" w:lineRule="auto"/>
              <w:ind w:firstLineChars="100" w:firstLine="200"/>
              <w:jc w:val="right"/>
              <w:rPr>
                <w:sz w:val="20"/>
                <w:szCs w:val="20"/>
              </w:rPr>
            </w:pPr>
            <w:r w:rsidRPr="00AA3F66">
              <w:rPr>
                <w:sz w:val="20"/>
                <w:szCs w:val="20"/>
              </w:rPr>
              <w:t>9,6</w:t>
            </w:r>
          </w:p>
        </w:tc>
        <w:tc>
          <w:tcPr>
            <w:tcW w:w="963" w:type="dxa"/>
            <w:tcBorders>
              <w:top w:val="nil"/>
              <w:left w:val="nil"/>
              <w:bottom w:val="single" w:sz="4" w:space="0" w:color="auto"/>
              <w:right w:val="nil"/>
            </w:tcBorders>
            <w:shd w:val="clear" w:color="auto" w:fill="F2F2F2"/>
            <w:noWrap/>
          </w:tcPr>
          <w:p w:rsidR="00174C2E" w:rsidRPr="00AA3F66" w:rsidRDefault="00174C2E" w:rsidP="00104459">
            <w:pPr>
              <w:spacing w:after="160" w:line="259" w:lineRule="auto"/>
              <w:ind w:firstLineChars="100" w:firstLine="200"/>
              <w:jc w:val="right"/>
              <w:rPr>
                <w:sz w:val="20"/>
                <w:szCs w:val="20"/>
              </w:rPr>
            </w:pPr>
            <w:r w:rsidRPr="00AA3F66">
              <w:rPr>
                <w:sz w:val="20"/>
                <w:szCs w:val="20"/>
              </w:rPr>
              <w:t>8,5</w:t>
            </w:r>
          </w:p>
        </w:tc>
        <w:tc>
          <w:tcPr>
            <w:tcW w:w="963" w:type="dxa"/>
            <w:tcBorders>
              <w:top w:val="nil"/>
              <w:left w:val="nil"/>
              <w:bottom w:val="single" w:sz="4" w:space="0" w:color="auto"/>
              <w:right w:val="nil"/>
            </w:tcBorders>
            <w:shd w:val="clear" w:color="auto" w:fill="F2F2F2"/>
            <w:noWrap/>
          </w:tcPr>
          <w:p w:rsidR="00174C2E" w:rsidRPr="00AA3F66" w:rsidRDefault="00174C2E" w:rsidP="00104459">
            <w:pPr>
              <w:spacing w:after="160" w:line="259" w:lineRule="auto"/>
              <w:ind w:firstLineChars="100" w:firstLine="200"/>
              <w:jc w:val="right"/>
              <w:rPr>
                <w:sz w:val="20"/>
                <w:szCs w:val="20"/>
              </w:rPr>
            </w:pPr>
            <w:r w:rsidRPr="00AA3F66">
              <w:rPr>
                <w:sz w:val="20"/>
                <w:szCs w:val="20"/>
              </w:rPr>
              <w:t>8,0</w:t>
            </w:r>
          </w:p>
        </w:tc>
      </w:tr>
    </w:tbl>
    <w:bookmarkEnd w:id="145"/>
    <w:bookmarkEnd w:id="146"/>
    <w:bookmarkEnd w:id="147"/>
    <w:bookmarkEnd w:id="148"/>
    <w:p w:rsidR="00AB7CDA" w:rsidRPr="00AA3F66" w:rsidRDefault="00AB7CDA" w:rsidP="00174C2E">
      <w:pPr>
        <w:spacing w:before="120"/>
        <w:jc w:val="right"/>
        <w:rPr>
          <w:b/>
          <w:bCs/>
          <w:sz w:val="18"/>
          <w:szCs w:val="18"/>
        </w:rPr>
      </w:pPr>
      <w:r w:rsidRPr="00AA3F66">
        <w:rPr>
          <w:sz w:val="18"/>
          <w:szCs w:val="18"/>
        </w:rPr>
        <w:t xml:space="preserve">Източник: </w:t>
      </w:r>
      <w:r w:rsidR="00174C2E" w:rsidRPr="00AA3F66">
        <w:rPr>
          <w:sz w:val="18"/>
          <w:szCs w:val="18"/>
        </w:rPr>
        <w:t>ИАП, НСИ, БНБ</w:t>
      </w:r>
    </w:p>
    <w:p w:rsidR="00AB7CDA" w:rsidRPr="00AA3F66" w:rsidRDefault="00AB7CDA" w:rsidP="00C56C6A">
      <w:pPr>
        <w:pStyle w:val="Heading3"/>
        <w:numPr>
          <w:ilvl w:val="0"/>
          <w:numId w:val="0"/>
        </w:numPr>
        <w:spacing w:before="120" w:after="200"/>
      </w:pPr>
      <w:r w:rsidRPr="00AA3F66">
        <w:t xml:space="preserve">4.1 Брутен вътрешен продукт </w:t>
      </w:r>
    </w:p>
    <w:p w:rsidR="00104459" w:rsidRPr="00AA3F66" w:rsidRDefault="00104459" w:rsidP="00104459">
      <w:pPr>
        <w:rPr>
          <w:bCs/>
          <w:szCs w:val="24"/>
        </w:rPr>
      </w:pPr>
      <w:r w:rsidRPr="00AA3F66">
        <w:rPr>
          <w:bCs/>
          <w:szCs w:val="24"/>
        </w:rPr>
        <w:t>През втората половина на 2023 г. се очаква растежът на БВП леко да се забави и за цялата година да достигне 1,8%. Намалението на индикатора за доверието на потребителите през август и септември и по-слабият растеж на търговията на дребно през юли и август сигнализират за забавяне на растежа на потреблението на домакинствата през втората половина на годината. Общите инвестиции в икономиката за цялата 2023 г. ще спаднат поради отрицателния принос на изменението на запасите, докато инвестициите в основен капитал ще нараснат подкрепени от публичните капиталови разходи. Нетният износ ще има основен положителен принос за растежа на БВП. Въпреки силно пониженото външно търсене през второто полугодие, изчерпването на отрицателните базови ефекти в търговията с енергийни стоки и възстановяването на търговията със зърнени продукти се очаква да ограничат спада в износа на стоки и за годината да бъде отчетен малък растеж на общия износ на стоки и услуги. По-високото вътрешно търсене и износ ще доведат и до растеж на вноса през втората половина на годината, след регистрираните през първите две тримесечия спадове.</w:t>
      </w:r>
    </w:p>
    <w:p w:rsidR="00104459" w:rsidRPr="00AA3F66" w:rsidRDefault="00104459" w:rsidP="00104459">
      <w:pPr>
        <w:rPr>
          <w:bCs/>
          <w:szCs w:val="24"/>
        </w:rPr>
      </w:pPr>
      <w:r w:rsidRPr="00AA3F66">
        <w:rPr>
          <w:bCs/>
          <w:szCs w:val="24"/>
        </w:rPr>
        <w:t xml:space="preserve">През 2024 г. растежът на БВП ще се ускори до 3,2% поради нарастване на инвестициите в икономиката. Очаква се висок растеж на публичните инвестиции и активизиране на частната инвестиционната активност. Заложен е неутрален принос на изменението на запасите за растежа на БВП. По-слабото нарастване на заетостта и кредитите ще се отразят в забавяне на растежа на потреблението на домакинствата. Подобрението на външната среда ще подкрепи износа, но в резултат на силното вътрешно търсене растежът на вноса ще изпревари този на износа. Приносът на нетния износ ще е отрицателен. </w:t>
      </w:r>
    </w:p>
    <w:p w:rsidR="00104459" w:rsidRPr="00AA3F66" w:rsidRDefault="00104459" w:rsidP="00182924">
      <w:pPr>
        <w:rPr>
          <w:color w:val="FF0000"/>
          <w:szCs w:val="24"/>
        </w:rPr>
      </w:pPr>
      <w:r w:rsidRPr="00AA3F66">
        <w:t xml:space="preserve">За 2025 </w:t>
      </w:r>
      <w:r w:rsidR="002B1C4C" w:rsidRPr="00AA3F66">
        <w:t xml:space="preserve">г. </w:t>
      </w:r>
      <w:r w:rsidRPr="00AA3F66">
        <w:t>и 2026 г. БВП ще се повишава с по 3%. Предвижда се забавяне в растежа на вътрешното търсене поради по-слабо нарастване на публичните разходи и на частното потребление</w:t>
      </w:r>
      <w:r w:rsidR="0024558D" w:rsidRPr="00AA3F66">
        <w:t>,</w:t>
      </w:r>
      <w:r w:rsidRPr="00AA3F66">
        <w:t xml:space="preserve"> предизвикано от забавяне в растежа на доходите. Растежът на износа ще бъде в съответствие с допусканията за повишение на външното търсене. Очаква се постепенно забавяне на темповете на растеж на износа и вноса и свиване на отрицателния принос на нетния износ към растежа на БВП.</w:t>
      </w:r>
    </w:p>
    <w:p w:rsidR="00AB7CDA" w:rsidRPr="00AA3F66" w:rsidRDefault="00AB7CDA" w:rsidP="00C56C6A">
      <w:pPr>
        <w:pStyle w:val="Heading3"/>
        <w:numPr>
          <w:ilvl w:val="0"/>
          <w:numId w:val="0"/>
        </w:numPr>
        <w:spacing w:before="120" w:after="200"/>
      </w:pPr>
      <w:r w:rsidRPr="00AA3F66">
        <w:t>4.2 Пазар на труда</w:t>
      </w:r>
      <w:r w:rsidR="00E069E4" w:rsidRPr="00AA3F66">
        <w:t xml:space="preserve"> и доходи</w:t>
      </w:r>
    </w:p>
    <w:p w:rsidR="001A6AE9" w:rsidRPr="00AA3F66" w:rsidRDefault="001A6AE9" w:rsidP="001A6AE9">
      <w:r w:rsidRPr="00AA3F66">
        <w:t>През 2023 г. се очаква броят на заетите лица да се повиши с 1,2% спрямо 2022 г., а коефициентът на безработица да намалее до 4,2% средно за цялата година.</w:t>
      </w:r>
    </w:p>
    <w:p w:rsidR="001A6AE9" w:rsidRPr="00AA3F66" w:rsidRDefault="001A6AE9" w:rsidP="001A6AE9">
      <w:r w:rsidRPr="00AA3F66">
        <w:t>Въпреки че през периода 2024-2026 г. очакванията са българската икономика да се завърне към годишни ръстове на БВП около 3%, заетостта се очаква да забави своя годишен темп на нарастване до 0,6% през 2024 г. и до 0,3% през 2026 г. Очакваме търсенето на трудов ресурс да остане високо, но възможностите за екстензивното увеличаване на предлагането на труд все повече ще бъдат ограничени (основно поради неблагоприятните демографски процеси в страната). Коефициентът на заетост на населението (15-64) се очаква да достигне около 75% към края на прогнозния период.</w:t>
      </w:r>
    </w:p>
    <w:p w:rsidR="001A6AE9" w:rsidRPr="00AA3F66" w:rsidRDefault="001A6AE9" w:rsidP="001A6AE9">
      <w:r w:rsidRPr="00AA3F66">
        <w:t>Успоредно с нарастването на заетостта се очаква безработицата в страната да следва постоянна тенденция на намаление, но темповете на намалението да са относително ниски. Коефициентът на безработица към края на прогнозния период е 3,9%. Прогнозираният ръст на заетостта се очаква да се осъществи преимуществено чрез привличане на част от неактивните лица обратно в работната сила или чрез привличането на работна сила от други държави.</w:t>
      </w:r>
    </w:p>
    <w:p w:rsidR="001A6AE9" w:rsidRPr="00AA3F66" w:rsidRDefault="001A6AE9" w:rsidP="001A6AE9">
      <w:r w:rsidRPr="00AA3F66">
        <w:t>През 2023 г. номиналният растеж на компенсацията на един нает е оценен на 14,6%, като се очаква нарастването на заплатите в частния сектор да има водещо влияние за икономиката. Динамиката на доходите от труд ще остане висока и през 2024 г. (11,2%), успоредно с очакваното ускоряване на растежа на реалната производителност. По-висок принос се очаква и по линия на нарастване на минималната работна заплата в страната, в съответствие с приетите нормативни промени за нейната актуализация. В периода 2025-2026 г. номиналният растеж на компенсацията на един нает ще се забави по-съществено, съответно до 8,1% и 7,3%. В рамките на прогнозния период, реалната динамика на показателя може да се очаква да остане близка до отчетените исторически средни стойности в периода преди 2020 г.</w:t>
      </w:r>
    </w:p>
    <w:p w:rsidR="001A6AE9" w:rsidRPr="00AA3F66" w:rsidRDefault="001A6AE9" w:rsidP="00104459">
      <w:r w:rsidRPr="00AA3F66">
        <w:t>По-съществено забавяне в растежа на производителността на труда до 0,6%, в реално изражение, се очаква през 2023 г., след което се прогнозира той да се повишава с темпове, вариращи в интервала 2,5-3,0%. Възстановяването на растежа на производителността на труда, заедно с по-ниското нарастване на доходите от труд в края на прогнозния период, ще доведе и до ограничаване на растежа на номиналните разходи за труд на единица продукция до около 4,4% през 2026 г. В реално изражение последните ще се повишават с темп от около 2,3% средногодишно през целия прогнозен период.</w:t>
      </w:r>
    </w:p>
    <w:p w:rsidR="00AB7CDA" w:rsidRPr="00AA3F66" w:rsidRDefault="00AB7CDA" w:rsidP="00C56C6A">
      <w:pPr>
        <w:pStyle w:val="Heading3"/>
        <w:numPr>
          <w:ilvl w:val="0"/>
          <w:numId w:val="0"/>
        </w:numPr>
        <w:spacing w:before="120" w:after="200"/>
      </w:pPr>
      <w:r w:rsidRPr="00AA3F66">
        <w:t>4.3 Инфлация</w:t>
      </w:r>
    </w:p>
    <w:p w:rsidR="00104459" w:rsidRPr="00AA3F66" w:rsidRDefault="00104459" w:rsidP="00104459">
      <w:pPr>
        <w:rPr>
          <w:bCs/>
          <w:szCs w:val="24"/>
        </w:rPr>
      </w:pPr>
      <w:r w:rsidRPr="00AA3F66">
        <w:rPr>
          <w:bCs/>
          <w:szCs w:val="24"/>
        </w:rPr>
        <w:t xml:space="preserve">Инфлацията в края на 2023 г. се очаква да бъде 6,9%, а средногодишната – 9,1%. С най-високо поскъпване и най-голям принос за инфлацията в края на 2023 г. се очаква да бъде базисната инфлация и най-вече услугите. Енергийните стоки също ще имат слаб положителен принос. Сред факторите за това са очакваното поскъпване на транспортните горива във връзка с динамиката на фючърсите на суровия петрол в края на годината, както и влязлото в сила от юли поскъпване на електроенергията средно с 4,4% и връщането на стандартната ставка на ДДС за топлоенергия и природен газ за бита. </w:t>
      </w:r>
    </w:p>
    <w:p w:rsidR="00104459" w:rsidRPr="00AA3F66" w:rsidRDefault="00104459" w:rsidP="00104459">
      <w:pPr>
        <w:rPr>
          <w:bCs/>
          <w:szCs w:val="24"/>
        </w:rPr>
      </w:pPr>
      <w:r w:rsidRPr="00AA3F66">
        <w:rPr>
          <w:bCs/>
          <w:szCs w:val="24"/>
        </w:rPr>
        <w:t xml:space="preserve">През следващите години инфлацията ще продължи плавно да се забавя, </w:t>
      </w:r>
      <w:r w:rsidR="00062D5D">
        <w:rPr>
          <w:bCs/>
          <w:szCs w:val="24"/>
        </w:rPr>
        <w:t xml:space="preserve"> </w:t>
      </w:r>
      <w:r w:rsidRPr="00AA3F66">
        <w:rPr>
          <w:bCs/>
          <w:szCs w:val="24"/>
        </w:rPr>
        <w:t>с</w:t>
      </w:r>
      <w:r w:rsidR="00062D5D">
        <w:rPr>
          <w:bCs/>
          <w:szCs w:val="24"/>
        </w:rPr>
        <w:t>ледвайки</w:t>
      </w:r>
      <w:r w:rsidRPr="00AA3F66">
        <w:rPr>
          <w:bCs/>
          <w:szCs w:val="24"/>
        </w:rPr>
        <w:t xml:space="preserve"> очакваната динамика при международните цени. Прогнозата е средногодишната инфлация да се понижи до 4,8% през 2024 г., като повишението на потребителските цени в края на годината се очаква да бъде 3,3%. Енергийните стоки ще имат отрицателен принос към инфлацията, дължащ се на очакваното поевтиняване на транспортните горива. Приносът на услугите и храните ще се свие значително, но ще продължи да бъде водещ за формиране на инфлацията.</w:t>
      </w:r>
    </w:p>
    <w:p w:rsidR="00104459" w:rsidRPr="00AA3F66" w:rsidRDefault="00104459" w:rsidP="00104459">
      <w:pPr>
        <w:rPr>
          <w:bCs/>
          <w:szCs w:val="24"/>
        </w:rPr>
      </w:pPr>
      <w:r w:rsidRPr="00AA3F66">
        <w:rPr>
          <w:bCs/>
          <w:szCs w:val="24"/>
        </w:rPr>
        <w:t xml:space="preserve">През 2025 </w:t>
      </w:r>
      <w:r w:rsidR="002B1C4C" w:rsidRPr="00AA3F66">
        <w:rPr>
          <w:bCs/>
          <w:szCs w:val="24"/>
        </w:rPr>
        <w:t xml:space="preserve">г. </w:t>
      </w:r>
      <w:r w:rsidRPr="00AA3F66">
        <w:rPr>
          <w:bCs/>
          <w:szCs w:val="24"/>
        </w:rPr>
        <w:t xml:space="preserve">и 2026 г. инфлацията в края на годината ще продължи да се забавя, съответно до 2,4% и 2,1%. Отрицателният принос на енергийните стоки ще се запази. Очакваното намаление в международните цени на суровините до края на прогнозния хоризонт ще доведе до забавяне на темпа на поскъпване при храните, неенергийните промишлени стоки и услугите. Поради прогнозираното нарастване на вътрешното търсене обаче, както и на разходите за труд, компонентите на базисната инфлация ще продължат да формират съществен принос към общата инфлация в страната. Средногодишният темп на инфлация ще бъде 2,8% през 2025 г. и 2,2% през 2026 г. </w:t>
      </w:r>
    </w:p>
    <w:p w:rsidR="00104459" w:rsidRPr="00AA3F66" w:rsidRDefault="00104459" w:rsidP="00182924">
      <w:pPr>
        <w:rPr>
          <w:bCs/>
          <w:szCs w:val="24"/>
        </w:rPr>
      </w:pPr>
      <w:r w:rsidRPr="00AA3F66">
        <w:rPr>
          <w:bCs/>
          <w:szCs w:val="24"/>
        </w:rPr>
        <w:t>Влиянието на данъчната политика се очаква да има незначителен принос към инфлацията, тъй като планираното повишение на акцизите върху цигарите в периода 2024-2026 г. ще има слабо отражение в рамките на 0,1 пр.п. към инфлацията в края на всяка една от годините.</w:t>
      </w:r>
    </w:p>
    <w:p w:rsidR="00AB7CDA" w:rsidRPr="00AA3F66" w:rsidRDefault="00AB7CDA" w:rsidP="00C56C6A">
      <w:pPr>
        <w:pStyle w:val="Heading3"/>
        <w:numPr>
          <w:ilvl w:val="0"/>
          <w:numId w:val="0"/>
        </w:numPr>
        <w:spacing w:before="120" w:after="200"/>
      </w:pPr>
      <w:r w:rsidRPr="00AA3F66">
        <w:t>4.4 Платежен баланс</w:t>
      </w:r>
    </w:p>
    <w:p w:rsidR="00104459" w:rsidRPr="00AA3F66" w:rsidRDefault="00104459" w:rsidP="00104459">
      <w:pPr>
        <w:rPr>
          <w:szCs w:val="24"/>
        </w:rPr>
      </w:pPr>
      <w:r w:rsidRPr="00AA3F66">
        <w:rPr>
          <w:szCs w:val="24"/>
        </w:rPr>
        <w:t>Общата динамика на платежния баланс предполага запазване на устойчивата външна позиция и стабилно ниво на международните резерви в прогнозния период.</w:t>
      </w:r>
    </w:p>
    <w:p w:rsidR="00104459" w:rsidRPr="00AA3F66" w:rsidRDefault="00104459" w:rsidP="00104459">
      <w:pPr>
        <w:rPr>
          <w:szCs w:val="24"/>
        </w:rPr>
      </w:pPr>
      <w:r w:rsidRPr="00AA3F66">
        <w:rPr>
          <w:szCs w:val="24"/>
        </w:rPr>
        <w:t>Очаква се до края на 2023 г. излишъкът по текущата сметка да достигне 1,7% от прогнозния БВП. Основен фактор за това ще е подобрението на търговския дефицит и ясно изразеният номинален спад на вноса на стоки при запазване на износа до стойности близки до миналогодишните. Очакваното пълно възстановяване на туристическите услуги до нивата преди 2020 г. и нарастването на износа на информационни, комуникационни и други бизнес услуги ще се отрази в повишение на  излишъка на статия услуги до 6,7% от БВП.</w:t>
      </w:r>
    </w:p>
    <w:p w:rsidR="00104459" w:rsidRPr="00AA3F66" w:rsidRDefault="00104459" w:rsidP="00104459">
      <w:pPr>
        <w:rPr>
          <w:szCs w:val="24"/>
        </w:rPr>
      </w:pPr>
      <w:r w:rsidRPr="00AA3F66">
        <w:rPr>
          <w:szCs w:val="24"/>
        </w:rPr>
        <w:t xml:space="preserve">От 2024 г. се очаква промяна в тенденцията в търговията със стоки и постепенно влошаване на търговския баланс. Това ще се отрази в балансирана текуща сметка през следващата година и постепенно нарастване на отрицателния баланс до 1% от БВП през 2026 г. Прогнозираният по-висок реален растеж на вноса спрямо износа ще е в основата на разрастването на търговския дефицит. Законовите изисквания за промяна в структурата на вноса и преработката на суров нефт в страната и съответното адаптиране на цената на внос към пазарните нива на тип </w:t>
      </w:r>
      <w:r w:rsidR="00BE1B37" w:rsidRPr="00AA3F66">
        <w:rPr>
          <w:szCs w:val="24"/>
        </w:rPr>
        <w:t>„</w:t>
      </w:r>
      <w:r w:rsidRPr="00AA3F66">
        <w:rPr>
          <w:szCs w:val="24"/>
        </w:rPr>
        <w:t>Брент</w:t>
      </w:r>
      <w:r w:rsidR="00BE1B37" w:rsidRPr="00AA3F66">
        <w:rPr>
          <w:szCs w:val="24"/>
        </w:rPr>
        <w:t>“</w:t>
      </w:r>
      <w:r w:rsidRPr="00AA3F66">
        <w:rPr>
          <w:szCs w:val="24"/>
        </w:rPr>
        <w:t xml:space="preserve"> ще формира отрицателни условия на търговия през 2024-2025 г. През следващата година се очаква номиналният темп на нарастване на вноса на стоки да е по-голям от този на износа, като отклонението постепенно ще намалява към 2026 г. Излишъкът в търговията с услуги ще нараства през прогнозния хоризонт до около 7% от БВП, а дефицитът по доходните статии ще е около 2% от БВП.</w:t>
      </w:r>
    </w:p>
    <w:p w:rsidR="00104459" w:rsidRPr="00AA3F66" w:rsidRDefault="00104459" w:rsidP="00182924">
      <w:pPr>
        <w:rPr>
          <w:szCs w:val="24"/>
        </w:rPr>
      </w:pPr>
      <w:r w:rsidRPr="00AA3F66">
        <w:rPr>
          <w:szCs w:val="24"/>
        </w:rPr>
        <w:t>В периода 2024-2026 г. балансът по капиталовата сметка ще бъде над средния от последните години, поради ефекта от трансфери по НПВУ. Очаква се входящ поток на преки чуж</w:t>
      </w:r>
      <w:r w:rsidR="00F92CCA" w:rsidRPr="00AA3F66">
        <w:rPr>
          <w:szCs w:val="24"/>
        </w:rPr>
        <w:t>дестранни инвестиции от около 3,</w:t>
      </w:r>
      <w:r w:rsidRPr="00AA3F66">
        <w:rPr>
          <w:szCs w:val="24"/>
        </w:rPr>
        <w:t>9% от БВП.</w:t>
      </w:r>
    </w:p>
    <w:p w:rsidR="00AB7CDA" w:rsidRPr="00AA3F66" w:rsidRDefault="00AB7CDA" w:rsidP="00C56C6A">
      <w:pPr>
        <w:pStyle w:val="Heading3"/>
        <w:numPr>
          <w:ilvl w:val="0"/>
          <w:numId w:val="0"/>
        </w:numPr>
        <w:spacing w:before="120" w:after="200"/>
      </w:pPr>
      <w:r w:rsidRPr="00AA3F66">
        <w:t>4.5 Паричен сектор</w:t>
      </w:r>
    </w:p>
    <w:p w:rsidR="001A6AE9" w:rsidRPr="00AA3F66" w:rsidRDefault="001A6AE9" w:rsidP="001A6AE9">
      <w:pPr>
        <w:rPr>
          <w:szCs w:val="24"/>
        </w:rPr>
      </w:pPr>
      <w:r w:rsidRPr="00AA3F66">
        <w:rPr>
          <w:szCs w:val="24"/>
        </w:rPr>
        <w:t xml:space="preserve">През 2023 г. растежът на вземанията от частния сектор ще се забави до 9,7% при 12,5% в края на 2022 г. Търсенето на кредит от домакинствата ще остане високо, движено от сегмента на потребителските и кредитите за покупка на жилища, но се очаква да се забави. Годишният растеж на вземанията от домакинствата в края на 2023г. ще бъде 11,9% при 14,6% година по-рано, подкрепян от силното нарастване на доходите. Фактори, които ще влияят в посока охлаждане, са постепенното повишаване на лихвените проценти и макропруденциалните мерки, предприети от БНБ в тази посока. В периода 2024-2026 г. се очаква кредитът за домакинствата да продължи да забавя растежа си в синхрон с очакванията за забавяне на номиналния растеж на компенсациите на наетите и задържането на по-високи лихвени проценти спрямо текущите им нива. </w:t>
      </w:r>
    </w:p>
    <w:p w:rsidR="001A6AE9" w:rsidRPr="00AA3F66" w:rsidRDefault="001A6AE9" w:rsidP="00104459">
      <w:pPr>
        <w:rPr>
          <w:szCs w:val="24"/>
        </w:rPr>
      </w:pPr>
      <w:r w:rsidRPr="00AA3F66">
        <w:rPr>
          <w:szCs w:val="24"/>
        </w:rPr>
        <w:t>Годишното нарастване на вземанията от предприятия</w:t>
      </w:r>
      <w:r w:rsidRPr="00AA3F66">
        <w:rPr>
          <w:rStyle w:val="FootnoteReference"/>
          <w:szCs w:val="24"/>
        </w:rPr>
        <w:footnoteReference w:id="5"/>
      </w:r>
      <w:r w:rsidRPr="00AA3F66">
        <w:rPr>
          <w:szCs w:val="24"/>
        </w:rPr>
        <w:t xml:space="preserve"> през 2023 г. ще бъде около 8,3% при 11,1% в края на 2022 г. За забавянето ще допринесе по-ниският растеж на овърдрафта, следващ по-слабото търсене на оборотни средства от страна на фирмите. През 2024 г. търсенето на кредит от фирмите ще продължи леко да се забавя в синхрон с очакваната динамика на частните инвестиции. В периода 2025-2026 г. годишното нарастване на вземанията от фирми се очаква да започне да се ускорява в контекста на по-засилено усвояване на средствата по НПВУ, като ще достигне 7,8% в края на 2026 г. Общо ръстът на вземанията от частния сектор ще се забави от 8,1% през 2024 г. до 7,9% в края на прогнозния хоризонт.</w:t>
      </w:r>
    </w:p>
    <w:p w:rsidR="00424142" w:rsidRPr="00AA3F66" w:rsidRDefault="00424142" w:rsidP="00424142">
      <w:pPr>
        <w:pStyle w:val="Heading3"/>
        <w:numPr>
          <w:ilvl w:val="0"/>
          <w:numId w:val="0"/>
        </w:numPr>
        <w:spacing w:before="120" w:after="200"/>
      </w:pPr>
      <w:r w:rsidRPr="00AA3F66">
        <w:t>4.6 Рискове пред прогнозата</w:t>
      </w:r>
    </w:p>
    <w:p w:rsidR="001A6AE9" w:rsidRPr="00AA3F66" w:rsidRDefault="001A6AE9" w:rsidP="001A6AE9">
      <w:pPr>
        <w:rPr>
          <w:rFonts w:eastAsia="Batang"/>
        </w:rPr>
      </w:pPr>
      <w:r w:rsidRPr="00AA3F66">
        <w:rPr>
          <w:rFonts w:eastAsia="Batang"/>
        </w:rPr>
        <w:t xml:space="preserve">Геополитическата ситуация около войната в Украйна и събитията в Близкия Изток остава нестабилна, с възможни значителни отрицателни ефекти за икономиката на ЕС и на България. Съществува риск от ограничаване на предлагането на дадени суровини, което може да доведе до покачване на международните цени и/или до ново нарушаване на глобалните вериги за доставки. Това би довело до запазване на по-високите темпове на инфлация и задържане на рестриктивна парична политика по-дълго от очакваното, което ще се отрази негативно както на външната търговия, така и на вътрешното търсене в България.  </w:t>
      </w:r>
    </w:p>
    <w:p w:rsidR="001A6AE9" w:rsidRPr="00AA3F66" w:rsidRDefault="001A6AE9" w:rsidP="001A6AE9">
      <w:pPr>
        <w:rPr>
          <w:rFonts w:eastAsia="Batang"/>
        </w:rPr>
      </w:pPr>
      <w:r w:rsidRPr="00AA3F66">
        <w:rPr>
          <w:rFonts w:eastAsia="Batang"/>
        </w:rPr>
        <w:t>Представената прогноза е изготвена с допускане за плавен преход в доставките на енергийни суровини за преработка в страната. Невъзможност за такава навременна замяна може да се отрази в по-ускорено нарастване на цените на енергоносителите и нарушения в производствените процеси. Това би оказало по-съществен отрицателен ефект върху производството и износа на стоки на България.</w:t>
      </w:r>
    </w:p>
    <w:p w:rsidR="001A6AE9" w:rsidRPr="00AA3F66" w:rsidRDefault="001A6AE9" w:rsidP="001A6AE9">
      <w:pPr>
        <w:rPr>
          <w:szCs w:val="24"/>
        </w:rPr>
      </w:pPr>
      <w:r w:rsidRPr="00AA3F66">
        <w:rPr>
          <w:szCs w:val="24"/>
        </w:rPr>
        <w:t>По отношение на прогнозата за инфлацията, рисковете са преобладаващо във възходяща посока. Те са свързани с евентуално нарастване на цените на основните суровини, търгувани на международните пазари, при очаквано понижение, което би довело до по-висока инфлация в страната в сравнение с основния сценарий в средносрочен период. Това може да доведе до по-слабо нарастване на реалния разполагаем доход на домакинствата и да ограничи нарастването на потреблението.</w:t>
      </w:r>
    </w:p>
    <w:p w:rsidR="001A6AE9" w:rsidRPr="00AA3F66" w:rsidRDefault="001A6AE9" w:rsidP="00BE1B37">
      <w:r w:rsidRPr="00AA3F66">
        <w:t>Влошаването на условията на финансиране може да окаже по-силен негативен ефект върху инвестициите и потреблението от очаквания. Прогнозата е изготвена с допускане за нулев принос на изменението на запасите през 2024 г., но е възможно да се наблюдава значително отрицателно изменение, което, ако не бъде компенсирано от друг компонент (както се наблюдава през 2023 г. със спад на вноса, което при равни други условия има благоприятен ефект върху нетния износ и респективно върху БВП), би свило допълнително растежа на БВП.</w:t>
      </w:r>
    </w:p>
    <w:p w:rsidR="00AB7CDA" w:rsidRPr="00AA3F66" w:rsidRDefault="00424142" w:rsidP="00424142">
      <w:pPr>
        <w:pStyle w:val="Heading3"/>
        <w:numPr>
          <w:ilvl w:val="0"/>
          <w:numId w:val="0"/>
        </w:numPr>
        <w:spacing w:before="120" w:after="200"/>
      </w:pPr>
      <w:r w:rsidRPr="00AA3F66">
        <w:t xml:space="preserve">4.7 </w:t>
      </w:r>
      <w:r w:rsidR="00AB7CDA" w:rsidRPr="00AA3F66">
        <w:t>Потенциален рас</w:t>
      </w:r>
      <w:r w:rsidR="0058553F" w:rsidRPr="00AA3F66">
        <w:t>теж</w:t>
      </w:r>
    </w:p>
    <w:p w:rsidR="0040558D" w:rsidRPr="00AA3F66" w:rsidRDefault="00BE1B37" w:rsidP="00BE1B37">
      <w:pPr>
        <w:rPr>
          <w:bCs/>
          <w:color w:val="FF0000"/>
          <w:szCs w:val="24"/>
        </w:rPr>
      </w:pPr>
      <w:r w:rsidRPr="00AA3F66">
        <w:rPr>
          <w:bCs/>
          <w:szCs w:val="24"/>
        </w:rPr>
        <w:t>Растежът на потенциалния БВП</w:t>
      </w:r>
      <w:r w:rsidRPr="00AA3F66">
        <w:rPr>
          <w:rStyle w:val="FootnoteReference"/>
          <w:bCs/>
          <w:sz w:val="22"/>
        </w:rPr>
        <w:footnoteReference w:id="6"/>
      </w:r>
      <w:r w:rsidRPr="00AA3F66">
        <w:rPr>
          <w:bCs/>
          <w:szCs w:val="24"/>
        </w:rPr>
        <w:t xml:space="preserve"> през 2023 г. се оценява на 3,2%. Това представлява ускорение спрямо 2022 г. и се дължи на повишението на заетостта. За периода 2024-2026 г. се очаква забавяне на потенциалния растеж от 2,9% до 2,7%. Приносът на капитала ще се увеличи с нарастването на инвестициите в икономиката. В същото време положителният ефект върху фактора труд по линия на населението вследствие на притока на имигранти се изчерпва. През целия прогнозен период общата факторна производителност (ОФП) ще бъде с основен принос за потенциалния растеж.</w:t>
      </w:r>
      <w:r w:rsidRPr="00AA3F66">
        <w:rPr>
          <w:bCs/>
          <w:color w:val="FF0000"/>
          <w:szCs w:val="24"/>
        </w:rPr>
        <w:t xml:space="preserve"> </w:t>
      </w:r>
    </w:p>
    <w:p w:rsidR="00BE1B37" w:rsidRPr="00AA3F66" w:rsidRDefault="00133400" w:rsidP="00BE1B37">
      <w:pPr>
        <w:pStyle w:val="Caption"/>
        <w:rPr>
          <w:rFonts w:eastAsia="Times New Roman" w:cs="Times New Roman"/>
          <w:sz w:val="22"/>
          <w:szCs w:val="22"/>
          <w:lang w:eastAsia="en-US"/>
        </w:rPr>
      </w:pPr>
      <w:bookmarkStart w:id="149" w:name="_Toc150443412"/>
      <w:r w:rsidRPr="00AA3F66">
        <w:t xml:space="preserve">Табл. </w:t>
      </w:r>
      <w:fldSimple w:instr=" STYLEREF 1 \s ">
        <w:r w:rsidR="005A69ED">
          <w:rPr>
            <w:noProof/>
          </w:rPr>
          <w:t>I</w:t>
        </w:r>
      </w:fldSimple>
      <w:r w:rsidRPr="00AA3F66">
        <w:noBreakHyphen/>
      </w:r>
      <w:fldSimple w:instr=" SEQ Табл. \* ARABIC \s 1 ">
        <w:r w:rsidR="005A69ED">
          <w:rPr>
            <w:noProof/>
          </w:rPr>
          <w:t>3</w:t>
        </w:r>
      </w:fldSimple>
      <w:r w:rsidRPr="00AA3F66">
        <w:t>:</w:t>
      </w:r>
      <w:r w:rsidRPr="00AA3F66">
        <w:tab/>
      </w:r>
      <w:r w:rsidRPr="00AA3F66">
        <w:rPr>
          <w:rFonts w:eastAsia="Times New Roman" w:cs="Times New Roman"/>
          <w:sz w:val="22"/>
          <w:szCs w:val="22"/>
          <w:lang w:eastAsia="en-US"/>
        </w:rPr>
        <w:t>Стойности на потенциалния растеж и на отклонението от потенциалния БВП</w:t>
      </w:r>
      <w:bookmarkEnd w:id="149"/>
    </w:p>
    <w:tbl>
      <w:tblPr>
        <w:tblW w:w="5000" w:type="pct"/>
        <w:tblCellMar>
          <w:left w:w="70" w:type="dxa"/>
          <w:right w:w="70" w:type="dxa"/>
        </w:tblCellMar>
        <w:tblLook w:val="04A0" w:firstRow="1" w:lastRow="0" w:firstColumn="1" w:lastColumn="0" w:noHBand="0" w:noVBand="1"/>
      </w:tblPr>
      <w:tblGrid>
        <w:gridCol w:w="1896"/>
        <w:gridCol w:w="3336"/>
        <w:gridCol w:w="3838"/>
      </w:tblGrid>
      <w:tr w:rsidR="00BE1B37" w:rsidRPr="00AA3F66" w:rsidTr="006E42D0">
        <w:trPr>
          <w:trHeight w:val="319"/>
        </w:trPr>
        <w:tc>
          <w:tcPr>
            <w:tcW w:w="1045" w:type="pct"/>
            <w:tcBorders>
              <w:top w:val="single" w:sz="4" w:space="0" w:color="auto"/>
              <w:left w:val="nil"/>
              <w:bottom w:val="nil"/>
              <w:right w:val="nil"/>
            </w:tcBorders>
            <w:shd w:val="clear" w:color="auto" w:fill="auto"/>
            <w:noWrap/>
            <w:vAlign w:val="center"/>
            <w:hideMark/>
          </w:tcPr>
          <w:p w:rsidR="00BE1B37" w:rsidRPr="00AA3F66" w:rsidRDefault="00BE1B37" w:rsidP="006E42D0">
            <w:pPr>
              <w:spacing w:after="0"/>
              <w:jc w:val="center"/>
              <w:rPr>
                <w:b/>
                <w:bCs/>
                <w:sz w:val="20"/>
                <w:szCs w:val="20"/>
              </w:rPr>
            </w:pPr>
            <w:r w:rsidRPr="00AA3F66">
              <w:rPr>
                <w:b/>
                <w:bCs/>
                <w:sz w:val="20"/>
                <w:szCs w:val="20"/>
              </w:rPr>
              <w:t>Година</w:t>
            </w:r>
          </w:p>
        </w:tc>
        <w:tc>
          <w:tcPr>
            <w:tcW w:w="1839" w:type="pct"/>
            <w:tcBorders>
              <w:top w:val="single" w:sz="4" w:space="0" w:color="auto"/>
              <w:left w:val="nil"/>
              <w:bottom w:val="nil"/>
              <w:right w:val="nil"/>
            </w:tcBorders>
            <w:shd w:val="clear" w:color="auto" w:fill="auto"/>
            <w:vAlign w:val="center"/>
            <w:hideMark/>
          </w:tcPr>
          <w:p w:rsidR="00BE1B37" w:rsidRPr="00AA3F66" w:rsidRDefault="00BE1B37" w:rsidP="006E42D0">
            <w:pPr>
              <w:spacing w:after="0"/>
              <w:jc w:val="center"/>
              <w:rPr>
                <w:b/>
                <w:bCs/>
                <w:sz w:val="20"/>
                <w:szCs w:val="20"/>
              </w:rPr>
            </w:pPr>
            <w:r w:rsidRPr="00AA3F66">
              <w:rPr>
                <w:b/>
                <w:bCs/>
                <w:sz w:val="20"/>
                <w:szCs w:val="20"/>
              </w:rPr>
              <w:t>Потенциален растеж, %</w:t>
            </w:r>
          </w:p>
        </w:tc>
        <w:tc>
          <w:tcPr>
            <w:tcW w:w="2116" w:type="pct"/>
            <w:tcBorders>
              <w:top w:val="single" w:sz="4" w:space="0" w:color="auto"/>
              <w:left w:val="nil"/>
              <w:bottom w:val="nil"/>
              <w:right w:val="nil"/>
            </w:tcBorders>
            <w:shd w:val="clear" w:color="auto" w:fill="auto"/>
            <w:vAlign w:val="center"/>
            <w:hideMark/>
          </w:tcPr>
          <w:p w:rsidR="00BE1B37" w:rsidRPr="00AA3F66" w:rsidRDefault="00BE1B37" w:rsidP="006E42D0">
            <w:pPr>
              <w:spacing w:after="0"/>
              <w:jc w:val="center"/>
              <w:rPr>
                <w:b/>
                <w:bCs/>
                <w:sz w:val="20"/>
                <w:szCs w:val="20"/>
              </w:rPr>
            </w:pPr>
            <w:r w:rsidRPr="00AA3F66">
              <w:rPr>
                <w:b/>
                <w:bCs/>
                <w:sz w:val="20"/>
                <w:szCs w:val="20"/>
              </w:rPr>
              <w:t>Отклонение от потенциалния БВП, %</w:t>
            </w:r>
          </w:p>
        </w:tc>
      </w:tr>
      <w:tr w:rsidR="00BE1B37" w:rsidRPr="00AA3F66" w:rsidTr="006E42D0">
        <w:trPr>
          <w:trHeight w:val="269"/>
        </w:trPr>
        <w:tc>
          <w:tcPr>
            <w:tcW w:w="1045" w:type="pct"/>
            <w:tcBorders>
              <w:top w:val="single" w:sz="4" w:space="0" w:color="auto"/>
              <w:left w:val="nil"/>
              <w:bottom w:val="nil"/>
              <w:right w:val="nil"/>
            </w:tcBorders>
            <w:shd w:val="clear" w:color="auto" w:fill="auto"/>
            <w:noWrap/>
            <w:vAlign w:val="center"/>
          </w:tcPr>
          <w:p w:rsidR="00BE1B37" w:rsidRPr="00AA3F66" w:rsidRDefault="00BE1B37" w:rsidP="006E42D0">
            <w:pPr>
              <w:spacing w:before="40" w:after="40" w:line="276" w:lineRule="auto"/>
              <w:jc w:val="center"/>
              <w:rPr>
                <w:bCs/>
                <w:sz w:val="20"/>
                <w:szCs w:val="20"/>
              </w:rPr>
            </w:pPr>
            <w:r w:rsidRPr="00AA3F66">
              <w:rPr>
                <w:bCs/>
                <w:sz w:val="20"/>
                <w:szCs w:val="20"/>
              </w:rPr>
              <w:t>2022</w:t>
            </w:r>
          </w:p>
        </w:tc>
        <w:tc>
          <w:tcPr>
            <w:tcW w:w="1839" w:type="pct"/>
            <w:tcBorders>
              <w:top w:val="single" w:sz="4" w:space="0" w:color="auto"/>
              <w:left w:val="nil"/>
              <w:bottom w:val="nil"/>
              <w:right w:val="nil"/>
            </w:tcBorders>
            <w:shd w:val="clear" w:color="auto" w:fill="auto"/>
            <w:noWrap/>
          </w:tcPr>
          <w:p w:rsidR="00BE1B37" w:rsidRPr="00AA3F66" w:rsidRDefault="00BE1B37" w:rsidP="006E42D0">
            <w:pPr>
              <w:spacing w:after="0"/>
              <w:jc w:val="center"/>
              <w:rPr>
                <w:sz w:val="20"/>
                <w:szCs w:val="20"/>
              </w:rPr>
            </w:pPr>
            <w:r w:rsidRPr="00AA3F66">
              <w:rPr>
                <w:sz w:val="20"/>
                <w:szCs w:val="20"/>
              </w:rPr>
              <w:t>2,7</w:t>
            </w:r>
          </w:p>
        </w:tc>
        <w:tc>
          <w:tcPr>
            <w:tcW w:w="2116" w:type="pct"/>
            <w:tcBorders>
              <w:top w:val="single" w:sz="4" w:space="0" w:color="auto"/>
              <w:left w:val="nil"/>
              <w:bottom w:val="nil"/>
              <w:right w:val="nil"/>
            </w:tcBorders>
            <w:shd w:val="clear" w:color="auto" w:fill="auto"/>
            <w:noWrap/>
          </w:tcPr>
          <w:p w:rsidR="00BE1B37" w:rsidRPr="00AA3F66" w:rsidRDefault="00BE1B37" w:rsidP="006E42D0">
            <w:pPr>
              <w:spacing w:after="0"/>
              <w:jc w:val="center"/>
              <w:rPr>
                <w:sz w:val="20"/>
                <w:szCs w:val="20"/>
              </w:rPr>
            </w:pPr>
            <w:r w:rsidRPr="00AA3F66">
              <w:rPr>
                <w:sz w:val="20"/>
                <w:szCs w:val="20"/>
              </w:rPr>
              <w:t>1,5</w:t>
            </w:r>
          </w:p>
        </w:tc>
      </w:tr>
      <w:tr w:rsidR="00BE1B37" w:rsidRPr="00AA3F66" w:rsidTr="006E42D0">
        <w:trPr>
          <w:trHeight w:val="300"/>
        </w:trPr>
        <w:tc>
          <w:tcPr>
            <w:tcW w:w="1045" w:type="pct"/>
            <w:tcBorders>
              <w:top w:val="nil"/>
              <w:left w:val="nil"/>
              <w:bottom w:val="nil"/>
              <w:right w:val="nil"/>
            </w:tcBorders>
            <w:shd w:val="clear" w:color="auto" w:fill="auto"/>
            <w:noWrap/>
            <w:vAlign w:val="center"/>
          </w:tcPr>
          <w:p w:rsidR="00BE1B37" w:rsidRPr="00AA3F66" w:rsidRDefault="00BE1B37" w:rsidP="006E42D0">
            <w:pPr>
              <w:spacing w:before="40" w:after="40" w:line="276" w:lineRule="auto"/>
              <w:jc w:val="center"/>
              <w:rPr>
                <w:bCs/>
                <w:sz w:val="20"/>
                <w:szCs w:val="20"/>
              </w:rPr>
            </w:pPr>
            <w:r w:rsidRPr="00AA3F66">
              <w:rPr>
                <w:bCs/>
                <w:sz w:val="20"/>
                <w:szCs w:val="20"/>
              </w:rPr>
              <w:t>2023</w:t>
            </w:r>
          </w:p>
        </w:tc>
        <w:tc>
          <w:tcPr>
            <w:tcW w:w="1839" w:type="pct"/>
            <w:tcBorders>
              <w:top w:val="nil"/>
              <w:left w:val="nil"/>
              <w:bottom w:val="nil"/>
              <w:right w:val="nil"/>
            </w:tcBorders>
            <w:shd w:val="clear" w:color="auto" w:fill="auto"/>
            <w:noWrap/>
          </w:tcPr>
          <w:p w:rsidR="00BE1B37" w:rsidRPr="00AA3F66" w:rsidRDefault="00BE1B37" w:rsidP="006E42D0">
            <w:pPr>
              <w:spacing w:after="0"/>
              <w:jc w:val="center"/>
              <w:rPr>
                <w:sz w:val="20"/>
                <w:szCs w:val="20"/>
              </w:rPr>
            </w:pPr>
            <w:r w:rsidRPr="00AA3F66">
              <w:rPr>
                <w:sz w:val="20"/>
                <w:szCs w:val="20"/>
              </w:rPr>
              <w:t>3,2</w:t>
            </w:r>
          </w:p>
        </w:tc>
        <w:tc>
          <w:tcPr>
            <w:tcW w:w="2116" w:type="pct"/>
            <w:tcBorders>
              <w:top w:val="nil"/>
              <w:left w:val="nil"/>
              <w:bottom w:val="nil"/>
              <w:right w:val="nil"/>
            </w:tcBorders>
            <w:shd w:val="clear" w:color="auto" w:fill="auto"/>
            <w:noWrap/>
          </w:tcPr>
          <w:p w:rsidR="00BE1B37" w:rsidRPr="00AA3F66" w:rsidRDefault="00BE1B37" w:rsidP="006E42D0">
            <w:pPr>
              <w:spacing w:after="0"/>
              <w:jc w:val="center"/>
              <w:rPr>
                <w:sz w:val="20"/>
                <w:szCs w:val="20"/>
              </w:rPr>
            </w:pPr>
            <w:r w:rsidRPr="00AA3F66">
              <w:rPr>
                <w:sz w:val="20"/>
                <w:szCs w:val="20"/>
              </w:rPr>
              <w:t>0,2</w:t>
            </w:r>
          </w:p>
        </w:tc>
      </w:tr>
      <w:tr w:rsidR="00BE1B37" w:rsidRPr="00AA3F66" w:rsidTr="006E42D0">
        <w:trPr>
          <w:trHeight w:val="300"/>
        </w:trPr>
        <w:tc>
          <w:tcPr>
            <w:tcW w:w="1045" w:type="pct"/>
            <w:tcBorders>
              <w:top w:val="nil"/>
              <w:left w:val="nil"/>
              <w:bottom w:val="nil"/>
              <w:right w:val="nil"/>
            </w:tcBorders>
            <w:shd w:val="clear" w:color="auto" w:fill="auto"/>
            <w:noWrap/>
            <w:vAlign w:val="center"/>
          </w:tcPr>
          <w:p w:rsidR="00BE1B37" w:rsidRPr="00AA3F66" w:rsidRDefault="00BE1B37" w:rsidP="006E42D0">
            <w:pPr>
              <w:spacing w:before="40" w:after="40" w:line="276" w:lineRule="auto"/>
              <w:jc w:val="center"/>
              <w:rPr>
                <w:bCs/>
                <w:sz w:val="20"/>
                <w:szCs w:val="20"/>
              </w:rPr>
            </w:pPr>
            <w:r w:rsidRPr="00AA3F66">
              <w:rPr>
                <w:bCs/>
                <w:sz w:val="20"/>
                <w:szCs w:val="20"/>
              </w:rPr>
              <w:t>2024</w:t>
            </w:r>
          </w:p>
        </w:tc>
        <w:tc>
          <w:tcPr>
            <w:tcW w:w="1839" w:type="pct"/>
            <w:tcBorders>
              <w:top w:val="nil"/>
              <w:left w:val="nil"/>
              <w:bottom w:val="nil"/>
              <w:right w:val="nil"/>
            </w:tcBorders>
            <w:shd w:val="clear" w:color="auto" w:fill="auto"/>
            <w:noWrap/>
          </w:tcPr>
          <w:p w:rsidR="00BE1B37" w:rsidRPr="00AA3F66" w:rsidRDefault="00BE1B37" w:rsidP="006E42D0">
            <w:pPr>
              <w:spacing w:after="0"/>
              <w:jc w:val="center"/>
              <w:rPr>
                <w:sz w:val="20"/>
                <w:szCs w:val="20"/>
              </w:rPr>
            </w:pPr>
            <w:r w:rsidRPr="00AA3F66">
              <w:rPr>
                <w:sz w:val="20"/>
                <w:szCs w:val="20"/>
              </w:rPr>
              <w:t>2,9</w:t>
            </w:r>
          </w:p>
        </w:tc>
        <w:tc>
          <w:tcPr>
            <w:tcW w:w="2116" w:type="pct"/>
            <w:tcBorders>
              <w:top w:val="nil"/>
              <w:left w:val="nil"/>
              <w:bottom w:val="nil"/>
              <w:right w:val="nil"/>
            </w:tcBorders>
            <w:shd w:val="clear" w:color="auto" w:fill="auto"/>
            <w:noWrap/>
          </w:tcPr>
          <w:p w:rsidR="00BE1B37" w:rsidRPr="00AA3F66" w:rsidRDefault="00BE1B37" w:rsidP="006E42D0">
            <w:pPr>
              <w:spacing w:after="0"/>
              <w:jc w:val="center"/>
              <w:rPr>
                <w:sz w:val="20"/>
                <w:szCs w:val="20"/>
              </w:rPr>
            </w:pPr>
            <w:r w:rsidRPr="00AA3F66">
              <w:rPr>
                <w:sz w:val="20"/>
                <w:szCs w:val="20"/>
              </w:rPr>
              <w:t>0,5</w:t>
            </w:r>
          </w:p>
        </w:tc>
      </w:tr>
      <w:tr w:rsidR="00BE1B37" w:rsidRPr="00AA3F66" w:rsidTr="006E42D0">
        <w:trPr>
          <w:trHeight w:val="300"/>
        </w:trPr>
        <w:tc>
          <w:tcPr>
            <w:tcW w:w="1045" w:type="pct"/>
            <w:tcBorders>
              <w:top w:val="nil"/>
              <w:left w:val="nil"/>
              <w:bottom w:val="nil"/>
              <w:right w:val="nil"/>
            </w:tcBorders>
            <w:shd w:val="clear" w:color="auto" w:fill="auto"/>
            <w:noWrap/>
            <w:vAlign w:val="center"/>
          </w:tcPr>
          <w:p w:rsidR="00BE1B37" w:rsidRPr="00AA3F66" w:rsidRDefault="00BE1B37" w:rsidP="006E42D0">
            <w:pPr>
              <w:spacing w:before="40" w:after="40" w:line="276" w:lineRule="auto"/>
              <w:jc w:val="center"/>
              <w:rPr>
                <w:bCs/>
                <w:sz w:val="20"/>
                <w:szCs w:val="20"/>
              </w:rPr>
            </w:pPr>
            <w:r w:rsidRPr="00AA3F66">
              <w:rPr>
                <w:bCs/>
                <w:sz w:val="20"/>
                <w:szCs w:val="20"/>
              </w:rPr>
              <w:t>2025</w:t>
            </w:r>
          </w:p>
        </w:tc>
        <w:tc>
          <w:tcPr>
            <w:tcW w:w="1839" w:type="pct"/>
            <w:tcBorders>
              <w:top w:val="nil"/>
              <w:left w:val="nil"/>
              <w:bottom w:val="nil"/>
              <w:right w:val="nil"/>
            </w:tcBorders>
            <w:shd w:val="clear" w:color="auto" w:fill="auto"/>
            <w:noWrap/>
          </w:tcPr>
          <w:p w:rsidR="00BE1B37" w:rsidRPr="00AA3F66" w:rsidRDefault="00BE1B37" w:rsidP="006E42D0">
            <w:pPr>
              <w:spacing w:after="0"/>
              <w:jc w:val="center"/>
              <w:rPr>
                <w:sz w:val="20"/>
                <w:szCs w:val="20"/>
              </w:rPr>
            </w:pPr>
            <w:r w:rsidRPr="00AA3F66">
              <w:rPr>
                <w:sz w:val="20"/>
                <w:szCs w:val="20"/>
              </w:rPr>
              <w:t>2,9</w:t>
            </w:r>
          </w:p>
        </w:tc>
        <w:tc>
          <w:tcPr>
            <w:tcW w:w="2116" w:type="pct"/>
            <w:tcBorders>
              <w:top w:val="nil"/>
              <w:left w:val="nil"/>
              <w:bottom w:val="nil"/>
              <w:right w:val="nil"/>
            </w:tcBorders>
            <w:shd w:val="clear" w:color="auto" w:fill="auto"/>
            <w:noWrap/>
          </w:tcPr>
          <w:p w:rsidR="00BE1B37" w:rsidRPr="00AA3F66" w:rsidRDefault="00BE1B37" w:rsidP="006E42D0">
            <w:pPr>
              <w:spacing w:after="0"/>
              <w:jc w:val="center"/>
              <w:rPr>
                <w:sz w:val="20"/>
                <w:szCs w:val="20"/>
              </w:rPr>
            </w:pPr>
            <w:r w:rsidRPr="00AA3F66">
              <w:rPr>
                <w:sz w:val="20"/>
                <w:szCs w:val="20"/>
              </w:rPr>
              <w:t>0,5</w:t>
            </w:r>
          </w:p>
        </w:tc>
      </w:tr>
      <w:tr w:rsidR="00BE1B37" w:rsidRPr="00AA3F66" w:rsidTr="006E42D0">
        <w:trPr>
          <w:trHeight w:val="300"/>
        </w:trPr>
        <w:tc>
          <w:tcPr>
            <w:tcW w:w="1045" w:type="pct"/>
            <w:tcBorders>
              <w:top w:val="nil"/>
              <w:left w:val="nil"/>
              <w:bottom w:val="single" w:sz="4" w:space="0" w:color="auto"/>
              <w:right w:val="nil"/>
            </w:tcBorders>
            <w:shd w:val="clear" w:color="auto" w:fill="auto"/>
            <w:noWrap/>
            <w:vAlign w:val="center"/>
          </w:tcPr>
          <w:p w:rsidR="00BE1B37" w:rsidRPr="00AA3F66" w:rsidRDefault="00BE1B37" w:rsidP="006E42D0">
            <w:pPr>
              <w:spacing w:before="40" w:after="40" w:line="276" w:lineRule="auto"/>
              <w:jc w:val="center"/>
              <w:rPr>
                <w:bCs/>
                <w:sz w:val="20"/>
                <w:szCs w:val="20"/>
              </w:rPr>
            </w:pPr>
            <w:r w:rsidRPr="00AA3F66">
              <w:rPr>
                <w:bCs/>
                <w:sz w:val="20"/>
                <w:szCs w:val="20"/>
              </w:rPr>
              <w:t>2026</w:t>
            </w:r>
          </w:p>
        </w:tc>
        <w:tc>
          <w:tcPr>
            <w:tcW w:w="1839" w:type="pct"/>
            <w:tcBorders>
              <w:top w:val="nil"/>
              <w:left w:val="nil"/>
              <w:bottom w:val="single" w:sz="4" w:space="0" w:color="auto"/>
              <w:right w:val="nil"/>
            </w:tcBorders>
            <w:shd w:val="clear" w:color="auto" w:fill="auto"/>
            <w:noWrap/>
          </w:tcPr>
          <w:p w:rsidR="00BE1B37" w:rsidRPr="00AA3F66" w:rsidRDefault="00BE1B37" w:rsidP="006E42D0">
            <w:pPr>
              <w:spacing w:after="0"/>
              <w:jc w:val="center"/>
              <w:rPr>
                <w:sz w:val="20"/>
                <w:szCs w:val="20"/>
              </w:rPr>
            </w:pPr>
            <w:r w:rsidRPr="00AA3F66">
              <w:rPr>
                <w:sz w:val="20"/>
                <w:szCs w:val="20"/>
              </w:rPr>
              <w:t>2,7</w:t>
            </w:r>
          </w:p>
        </w:tc>
        <w:tc>
          <w:tcPr>
            <w:tcW w:w="2116" w:type="pct"/>
            <w:tcBorders>
              <w:top w:val="nil"/>
              <w:left w:val="nil"/>
              <w:bottom w:val="single" w:sz="4" w:space="0" w:color="auto"/>
              <w:right w:val="nil"/>
            </w:tcBorders>
            <w:shd w:val="clear" w:color="auto" w:fill="auto"/>
            <w:noWrap/>
          </w:tcPr>
          <w:p w:rsidR="00BE1B37" w:rsidRPr="00AA3F66" w:rsidRDefault="00BE1B37" w:rsidP="006E42D0">
            <w:pPr>
              <w:spacing w:after="0"/>
              <w:jc w:val="center"/>
              <w:rPr>
                <w:sz w:val="20"/>
                <w:szCs w:val="20"/>
              </w:rPr>
            </w:pPr>
            <w:r w:rsidRPr="00AA3F66">
              <w:rPr>
                <w:sz w:val="20"/>
                <w:szCs w:val="20"/>
              </w:rPr>
              <w:t>0,9</w:t>
            </w:r>
          </w:p>
        </w:tc>
      </w:tr>
    </w:tbl>
    <w:p w:rsidR="00C601A9" w:rsidRPr="00AA3F66" w:rsidRDefault="00BE1B37" w:rsidP="00BE1B37">
      <w:pPr>
        <w:spacing w:before="120"/>
        <w:jc w:val="right"/>
        <w:rPr>
          <w:rFonts w:eastAsia="Batang" w:cs="Times New Roman"/>
          <w:sz w:val="18"/>
          <w:szCs w:val="18"/>
        </w:rPr>
      </w:pPr>
      <w:bookmarkStart w:id="150" w:name="_Hlk92879592"/>
      <w:bookmarkStart w:id="151" w:name="_Toc22660372"/>
      <w:r w:rsidRPr="00AA3F66">
        <w:rPr>
          <w:rFonts w:eastAsia="Batang" w:cs="Times New Roman"/>
          <w:sz w:val="18"/>
          <w:szCs w:val="18"/>
        </w:rPr>
        <w:t>Източник: ИАП</w:t>
      </w:r>
    </w:p>
    <w:bookmarkEnd w:id="150"/>
    <w:p w:rsidR="004402B0" w:rsidRPr="00AA3F66" w:rsidRDefault="00BE1B37" w:rsidP="00BE1B37">
      <w:pPr>
        <w:rPr>
          <w:bCs/>
          <w:color w:val="FF0000"/>
          <w:szCs w:val="24"/>
        </w:rPr>
      </w:pPr>
      <w:r w:rsidRPr="00AA3F66">
        <w:rPr>
          <w:bCs/>
          <w:szCs w:val="24"/>
        </w:rPr>
        <w:t>Отклонението от потенциала</w:t>
      </w:r>
      <w:r w:rsidRPr="00AA3F66">
        <w:rPr>
          <w:rStyle w:val="FootnoteReference"/>
          <w:bCs/>
          <w:sz w:val="22"/>
        </w:rPr>
        <w:footnoteReference w:id="7"/>
      </w:r>
      <w:r w:rsidRPr="00AA3F66">
        <w:rPr>
          <w:bCs/>
          <w:szCs w:val="24"/>
        </w:rPr>
        <w:t xml:space="preserve"> през 2023 г. е положително в размер на 0,2%. За 2024 г., с ускоряването в растежа на фактическия БВП, се очаква отклонението да се увеличи до 0,5%. В края на прогнозния период се очаква отклонението да достигне 0,9%.</w:t>
      </w:r>
    </w:p>
    <w:p w:rsidR="009A4A76" w:rsidRPr="00AA3F66" w:rsidRDefault="00133400" w:rsidP="00B27CE1">
      <w:pPr>
        <w:pStyle w:val="Caption"/>
      </w:pPr>
      <w:bookmarkStart w:id="152" w:name="_Toc150443413"/>
      <w:r w:rsidRPr="00AA3F66">
        <w:t xml:space="preserve">Табл. </w:t>
      </w:r>
      <w:fldSimple w:instr=" STYLEREF 1 \s ">
        <w:r w:rsidR="005A69ED">
          <w:rPr>
            <w:noProof/>
          </w:rPr>
          <w:t>I</w:t>
        </w:r>
      </w:fldSimple>
      <w:r w:rsidRPr="00AA3F66">
        <w:noBreakHyphen/>
      </w:r>
      <w:fldSimple w:instr=" SEQ Табл. \* ARABIC \s 1 ">
        <w:r w:rsidR="005A69ED">
          <w:rPr>
            <w:noProof/>
          </w:rPr>
          <w:t>4</w:t>
        </w:r>
      </w:fldSimple>
      <w:r w:rsidRPr="00AA3F66">
        <w:t>:</w:t>
      </w:r>
      <w:r w:rsidRPr="00AA3F66">
        <w:tab/>
        <w:t>Приноси към потенциалния растеж (пр.п.)</w:t>
      </w:r>
      <w:bookmarkEnd w:id="152"/>
    </w:p>
    <w:tbl>
      <w:tblPr>
        <w:tblW w:w="5000" w:type="pct"/>
        <w:tblCellMar>
          <w:left w:w="70" w:type="dxa"/>
          <w:right w:w="70" w:type="dxa"/>
        </w:tblCellMar>
        <w:tblLook w:val="04A0" w:firstRow="1" w:lastRow="0" w:firstColumn="1" w:lastColumn="0" w:noHBand="0" w:noVBand="1"/>
      </w:tblPr>
      <w:tblGrid>
        <w:gridCol w:w="1605"/>
        <w:gridCol w:w="2824"/>
        <w:gridCol w:w="2979"/>
        <w:gridCol w:w="1662"/>
      </w:tblGrid>
      <w:tr w:rsidR="00BE1B37" w:rsidRPr="00AA3F66" w:rsidTr="006E42D0">
        <w:trPr>
          <w:trHeight w:val="292"/>
        </w:trPr>
        <w:tc>
          <w:tcPr>
            <w:tcW w:w="885" w:type="pct"/>
            <w:tcBorders>
              <w:top w:val="single" w:sz="4" w:space="0" w:color="auto"/>
              <w:left w:val="nil"/>
              <w:bottom w:val="single" w:sz="4" w:space="0" w:color="auto"/>
              <w:right w:val="nil"/>
            </w:tcBorders>
            <w:shd w:val="clear" w:color="auto" w:fill="auto"/>
            <w:noWrap/>
            <w:vAlign w:val="center"/>
            <w:hideMark/>
          </w:tcPr>
          <w:p w:rsidR="00BE1B37" w:rsidRPr="00AA3F66" w:rsidRDefault="00BE1B37" w:rsidP="006E42D0">
            <w:pPr>
              <w:spacing w:after="0"/>
              <w:jc w:val="center"/>
              <w:rPr>
                <w:b/>
                <w:bCs/>
                <w:sz w:val="20"/>
                <w:szCs w:val="20"/>
              </w:rPr>
            </w:pPr>
            <w:r w:rsidRPr="00AA3F66">
              <w:rPr>
                <w:b/>
                <w:bCs/>
                <w:sz w:val="20"/>
                <w:szCs w:val="20"/>
              </w:rPr>
              <w:t>Година</w:t>
            </w:r>
          </w:p>
        </w:tc>
        <w:tc>
          <w:tcPr>
            <w:tcW w:w="1557" w:type="pct"/>
            <w:tcBorders>
              <w:top w:val="single" w:sz="4" w:space="0" w:color="auto"/>
              <w:left w:val="nil"/>
              <w:bottom w:val="single" w:sz="4" w:space="0" w:color="auto"/>
              <w:right w:val="nil"/>
            </w:tcBorders>
            <w:shd w:val="clear" w:color="auto" w:fill="auto"/>
            <w:vAlign w:val="center"/>
            <w:hideMark/>
          </w:tcPr>
          <w:p w:rsidR="00BE1B37" w:rsidRPr="00AA3F66" w:rsidRDefault="00BE1B37" w:rsidP="006E42D0">
            <w:pPr>
              <w:spacing w:after="0"/>
              <w:jc w:val="center"/>
              <w:rPr>
                <w:b/>
                <w:bCs/>
                <w:sz w:val="20"/>
                <w:szCs w:val="20"/>
              </w:rPr>
            </w:pPr>
            <w:r w:rsidRPr="00AA3F66">
              <w:rPr>
                <w:b/>
                <w:bCs/>
                <w:sz w:val="20"/>
                <w:szCs w:val="20"/>
              </w:rPr>
              <w:t>Труд</w:t>
            </w:r>
          </w:p>
        </w:tc>
        <w:tc>
          <w:tcPr>
            <w:tcW w:w="1642" w:type="pct"/>
            <w:tcBorders>
              <w:top w:val="single" w:sz="4" w:space="0" w:color="auto"/>
              <w:left w:val="nil"/>
              <w:bottom w:val="single" w:sz="4" w:space="0" w:color="auto"/>
              <w:right w:val="nil"/>
            </w:tcBorders>
            <w:shd w:val="clear" w:color="auto" w:fill="auto"/>
            <w:vAlign w:val="center"/>
            <w:hideMark/>
          </w:tcPr>
          <w:p w:rsidR="00BE1B37" w:rsidRPr="00AA3F66" w:rsidRDefault="00BE1B37" w:rsidP="006E42D0">
            <w:pPr>
              <w:spacing w:after="0"/>
              <w:jc w:val="center"/>
              <w:rPr>
                <w:b/>
                <w:bCs/>
                <w:sz w:val="20"/>
                <w:szCs w:val="20"/>
              </w:rPr>
            </w:pPr>
            <w:r w:rsidRPr="00AA3F66">
              <w:rPr>
                <w:b/>
                <w:bCs/>
                <w:sz w:val="20"/>
                <w:szCs w:val="20"/>
              </w:rPr>
              <w:t>Капитал</w:t>
            </w:r>
          </w:p>
        </w:tc>
        <w:tc>
          <w:tcPr>
            <w:tcW w:w="916" w:type="pct"/>
            <w:tcBorders>
              <w:top w:val="single" w:sz="4" w:space="0" w:color="auto"/>
              <w:left w:val="nil"/>
              <w:bottom w:val="single" w:sz="4" w:space="0" w:color="auto"/>
              <w:right w:val="nil"/>
            </w:tcBorders>
            <w:shd w:val="clear" w:color="auto" w:fill="auto"/>
            <w:noWrap/>
            <w:vAlign w:val="center"/>
            <w:hideMark/>
          </w:tcPr>
          <w:p w:rsidR="00BE1B37" w:rsidRPr="00AA3F66" w:rsidRDefault="00BE1B37" w:rsidP="006E42D0">
            <w:pPr>
              <w:spacing w:after="0"/>
              <w:jc w:val="center"/>
              <w:rPr>
                <w:b/>
                <w:bCs/>
                <w:sz w:val="20"/>
                <w:szCs w:val="20"/>
              </w:rPr>
            </w:pPr>
            <w:r w:rsidRPr="00AA3F66">
              <w:rPr>
                <w:b/>
                <w:bCs/>
                <w:sz w:val="20"/>
                <w:szCs w:val="20"/>
              </w:rPr>
              <w:t>ОФП</w:t>
            </w:r>
          </w:p>
        </w:tc>
      </w:tr>
      <w:tr w:rsidR="00BE1B37" w:rsidRPr="00AA3F66" w:rsidTr="006E42D0">
        <w:trPr>
          <w:trHeight w:val="300"/>
        </w:trPr>
        <w:tc>
          <w:tcPr>
            <w:tcW w:w="885" w:type="pct"/>
            <w:tcBorders>
              <w:top w:val="nil"/>
              <w:left w:val="nil"/>
              <w:bottom w:val="nil"/>
              <w:right w:val="nil"/>
            </w:tcBorders>
            <w:shd w:val="clear" w:color="auto" w:fill="auto"/>
            <w:noWrap/>
            <w:vAlign w:val="center"/>
          </w:tcPr>
          <w:p w:rsidR="00BE1B37" w:rsidRPr="00AA3F66" w:rsidRDefault="00BE1B37" w:rsidP="006E42D0">
            <w:pPr>
              <w:spacing w:before="40" w:after="40" w:line="276" w:lineRule="auto"/>
              <w:jc w:val="center"/>
              <w:rPr>
                <w:bCs/>
                <w:sz w:val="20"/>
                <w:szCs w:val="20"/>
              </w:rPr>
            </w:pPr>
            <w:r w:rsidRPr="00AA3F66">
              <w:rPr>
                <w:bCs/>
                <w:sz w:val="20"/>
                <w:szCs w:val="20"/>
              </w:rPr>
              <w:t>2022</w:t>
            </w:r>
          </w:p>
        </w:tc>
        <w:tc>
          <w:tcPr>
            <w:tcW w:w="1557" w:type="pct"/>
            <w:tcBorders>
              <w:top w:val="nil"/>
              <w:left w:val="nil"/>
              <w:bottom w:val="nil"/>
              <w:right w:val="nil"/>
            </w:tcBorders>
            <w:shd w:val="clear" w:color="auto" w:fill="auto"/>
            <w:noWrap/>
          </w:tcPr>
          <w:p w:rsidR="00BE1B37" w:rsidRPr="00AA3F66" w:rsidRDefault="00BE1B37" w:rsidP="006E42D0">
            <w:pPr>
              <w:spacing w:after="0"/>
              <w:jc w:val="center"/>
              <w:rPr>
                <w:color w:val="FF0000"/>
                <w:sz w:val="20"/>
                <w:szCs w:val="20"/>
              </w:rPr>
            </w:pPr>
            <w:r w:rsidRPr="00AA3F66">
              <w:rPr>
                <w:sz w:val="20"/>
                <w:szCs w:val="20"/>
              </w:rPr>
              <w:t>-0,1</w:t>
            </w:r>
          </w:p>
        </w:tc>
        <w:tc>
          <w:tcPr>
            <w:tcW w:w="1642" w:type="pct"/>
            <w:tcBorders>
              <w:top w:val="nil"/>
              <w:left w:val="nil"/>
              <w:bottom w:val="nil"/>
              <w:right w:val="nil"/>
            </w:tcBorders>
            <w:shd w:val="clear" w:color="auto" w:fill="auto"/>
            <w:noWrap/>
          </w:tcPr>
          <w:p w:rsidR="00BE1B37" w:rsidRPr="00AA3F66" w:rsidRDefault="00BE1B37" w:rsidP="006E42D0">
            <w:pPr>
              <w:spacing w:after="0"/>
              <w:jc w:val="center"/>
              <w:rPr>
                <w:color w:val="FF0000"/>
                <w:sz w:val="20"/>
                <w:szCs w:val="20"/>
              </w:rPr>
            </w:pPr>
            <w:r w:rsidRPr="00AA3F66">
              <w:rPr>
                <w:sz w:val="20"/>
                <w:szCs w:val="20"/>
              </w:rPr>
              <w:t>0,7</w:t>
            </w:r>
          </w:p>
        </w:tc>
        <w:tc>
          <w:tcPr>
            <w:tcW w:w="916" w:type="pct"/>
            <w:tcBorders>
              <w:top w:val="nil"/>
              <w:left w:val="nil"/>
              <w:bottom w:val="nil"/>
              <w:right w:val="nil"/>
            </w:tcBorders>
            <w:shd w:val="clear" w:color="auto" w:fill="auto"/>
            <w:noWrap/>
          </w:tcPr>
          <w:p w:rsidR="00BE1B37" w:rsidRPr="00AA3F66" w:rsidRDefault="00BE1B37" w:rsidP="006E42D0">
            <w:pPr>
              <w:spacing w:after="0"/>
              <w:jc w:val="center"/>
              <w:rPr>
                <w:color w:val="FF0000"/>
                <w:sz w:val="20"/>
                <w:szCs w:val="20"/>
              </w:rPr>
            </w:pPr>
            <w:r w:rsidRPr="00AA3F66">
              <w:rPr>
                <w:sz w:val="20"/>
                <w:szCs w:val="20"/>
              </w:rPr>
              <w:t>2,1</w:t>
            </w:r>
          </w:p>
        </w:tc>
      </w:tr>
      <w:tr w:rsidR="00BE1B37" w:rsidRPr="00AA3F66" w:rsidTr="006E42D0">
        <w:trPr>
          <w:trHeight w:val="300"/>
        </w:trPr>
        <w:tc>
          <w:tcPr>
            <w:tcW w:w="885" w:type="pct"/>
            <w:tcBorders>
              <w:top w:val="nil"/>
              <w:left w:val="nil"/>
              <w:bottom w:val="nil"/>
              <w:right w:val="nil"/>
            </w:tcBorders>
            <w:shd w:val="clear" w:color="auto" w:fill="auto"/>
            <w:noWrap/>
            <w:vAlign w:val="center"/>
          </w:tcPr>
          <w:p w:rsidR="00BE1B37" w:rsidRPr="00AA3F66" w:rsidRDefault="00BE1B37" w:rsidP="006E42D0">
            <w:pPr>
              <w:spacing w:before="40" w:after="40" w:line="276" w:lineRule="auto"/>
              <w:jc w:val="center"/>
              <w:rPr>
                <w:bCs/>
                <w:sz w:val="20"/>
                <w:szCs w:val="20"/>
              </w:rPr>
            </w:pPr>
            <w:r w:rsidRPr="00AA3F66">
              <w:rPr>
                <w:bCs/>
                <w:sz w:val="20"/>
                <w:szCs w:val="20"/>
              </w:rPr>
              <w:t>2023</w:t>
            </w:r>
          </w:p>
        </w:tc>
        <w:tc>
          <w:tcPr>
            <w:tcW w:w="1557" w:type="pct"/>
            <w:tcBorders>
              <w:top w:val="nil"/>
              <w:left w:val="nil"/>
              <w:bottom w:val="nil"/>
              <w:right w:val="nil"/>
            </w:tcBorders>
            <w:shd w:val="clear" w:color="auto" w:fill="auto"/>
            <w:noWrap/>
          </w:tcPr>
          <w:p w:rsidR="00BE1B37" w:rsidRPr="00AA3F66" w:rsidRDefault="00BE1B37" w:rsidP="006E42D0">
            <w:pPr>
              <w:spacing w:after="0"/>
              <w:jc w:val="center"/>
              <w:rPr>
                <w:color w:val="FF0000"/>
                <w:sz w:val="20"/>
                <w:szCs w:val="20"/>
              </w:rPr>
            </w:pPr>
            <w:r w:rsidRPr="00AA3F66">
              <w:rPr>
                <w:sz w:val="20"/>
                <w:szCs w:val="20"/>
              </w:rPr>
              <w:t>0,6</w:t>
            </w:r>
          </w:p>
        </w:tc>
        <w:tc>
          <w:tcPr>
            <w:tcW w:w="1642" w:type="pct"/>
            <w:tcBorders>
              <w:top w:val="nil"/>
              <w:left w:val="nil"/>
              <w:bottom w:val="nil"/>
              <w:right w:val="nil"/>
            </w:tcBorders>
            <w:shd w:val="clear" w:color="auto" w:fill="auto"/>
            <w:noWrap/>
          </w:tcPr>
          <w:p w:rsidR="00BE1B37" w:rsidRPr="00AA3F66" w:rsidRDefault="00BE1B37" w:rsidP="006E42D0">
            <w:pPr>
              <w:spacing w:after="0"/>
              <w:jc w:val="center"/>
              <w:rPr>
                <w:color w:val="FF0000"/>
                <w:sz w:val="20"/>
                <w:szCs w:val="20"/>
              </w:rPr>
            </w:pPr>
            <w:r w:rsidRPr="00AA3F66">
              <w:rPr>
                <w:sz w:val="20"/>
                <w:szCs w:val="20"/>
              </w:rPr>
              <w:t>0,7</w:t>
            </w:r>
          </w:p>
        </w:tc>
        <w:tc>
          <w:tcPr>
            <w:tcW w:w="916" w:type="pct"/>
            <w:tcBorders>
              <w:top w:val="nil"/>
              <w:left w:val="nil"/>
              <w:bottom w:val="nil"/>
              <w:right w:val="nil"/>
            </w:tcBorders>
            <w:shd w:val="clear" w:color="auto" w:fill="auto"/>
            <w:noWrap/>
          </w:tcPr>
          <w:p w:rsidR="00BE1B37" w:rsidRPr="00AA3F66" w:rsidRDefault="00BE1B37" w:rsidP="006E42D0">
            <w:pPr>
              <w:spacing w:after="0"/>
              <w:jc w:val="center"/>
              <w:rPr>
                <w:color w:val="FF0000"/>
                <w:sz w:val="20"/>
                <w:szCs w:val="20"/>
              </w:rPr>
            </w:pPr>
            <w:r w:rsidRPr="00AA3F66">
              <w:rPr>
                <w:sz w:val="20"/>
                <w:szCs w:val="20"/>
              </w:rPr>
              <w:t>1,9</w:t>
            </w:r>
          </w:p>
        </w:tc>
      </w:tr>
      <w:tr w:rsidR="00BE1B37" w:rsidRPr="00AA3F66" w:rsidTr="006E42D0">
        <w:trPr>
          <w:trHeight w:val="300"/>
        </w:trPr>
        <w:tc>
          <w:tcPr>
            <w:tcW w:w="885" w:type="pct"/>
            <w:tcBorders>
              <w:top w:val="nil"/>
              <w:left w:val="nil"/>
              <w:bottom w:val="nil"/>
              <w:right w:val="nil"/>
            </w:tcBorders>
            <w:shd w:val="clear" w:color="auto" w:fill="auto"/>
            <w:noWrap/>
            <w:vAlign w:val="center"/>
          </w:tcPr>
          <w:p w:rsidR="00BE1B37" w:rsidRPr="00AA3F66" w:rsidRDefault="00BE1B37" w:rsidP="006E42D0">
            <w:pPr>
              <w:spacing w:before="40" w:after="40" w:line="276" w:lineRule="auto"/>
              <w:jc w:val="center"/>
              <w:rPr>
                <w:bCs/>
                <w:sz w:val="20"/>
                <w:szCs w:val="20"/>
              </w:rPr>
            </w:pPr>
            <w:r w:rsidRPr="00AA3F66">
              <w:rPr>
                <w:bCs/>
                <w:sz w:val="20"/>
                <w:szCs w:val="20"/>
              </w:rPr>
              <w:t>2024</w:t>
            </w:r>
          </w:p>
        </w:tc>
        <w:tc>
          <w:tcPr>
            <w:tcW w:w="1557" w:type="pct"/>
            <w:tcBorders>
              <w:top w:val="nil"/>
              <w:left w:val="nil"/>
              <w:bottom w:val="nil"/>
              <w:right w:val="nil"/>
            </w:tcBorders>
            <w:shd w:val="clear" w:color="auto" w:fill="auto"/>
            <w:noWrap/>
          </w:tcPr>
          <w:p w:rsidR="00BE1B37" w:rsidRPr="00AA3F66" w:rsidRDefault="00BE1B37" w:rsidP="006E42D0">
            <w:pPr>
              <w:spacing w:after="0"/>
              <w:jc w:val="center"/>
              <w:rPr>
                <w:color w:val="FF0000"/>
                <w:sz w:val="20"/>
                <w:szCs w:val="20"/>
              </w:rPr>
            </w:pPr>
            <w:r w:rsidRPr="00AA3F66">
              <w:rPr>
                <w:sz w:val="20"/>
                <w:szCs w:val="20"/>
              </w:rPr>
              <w:t>0,2</w:t>
            </w:r>
          </w:p>
        </w:tc>
        <w:tc>
          <w:tcPr>
            <w:tcW w:w="1642" w:type="pct"/>
            <w:tcBorders>
              <w:top w:val="nil"/>
              <w:left w:val="nil"/>
              <w:bottom w:val="nil"/>
              <w:right w:val="nil"/>
            </w:tcBorders>
            <w:shd w:val="clear" w:color="auto" w:fill="auto"/>
            <w:noWrap/>
          </w:tcPr>
          <w:p w:rsidR="00BE1B37" w:rsidRPr="00AA3F66" w:rsidRDefault="00BE1B37" w:rsidP="006E42D0">
            <w:pPr>
              <w:spacing w:after="0"/>
              <w:jc w:val="center"/>
              <w:rPr>
                <w:color w:val="FF0000"/>
                <w:sz w:val="20"/>
                <w:szCs w:val="20"/>
              </w:rPr>
            </w:pPr>
            <w:r w:rsidRPr="00AA3F66">
              <w:rPr>
                <w:sz w:val="20"/>
                <w:szCs w:val="20"/>
              </w:rPr>
              <w:t>0,9</w:t>
            </w:r>
          </w:p>
        </w:tc>
        <w:tc>
          <w:tcPr>
            <w:tcW w:w="916" w:type="pct"/>
            <w:tcBorders>
              <w:top w:val="nil"/>
              <w:left w:val="nil"/>
              <w:bottom w:val="nil"/>
              <w:right w:val="nil"/>
            </w:tcBorders>
            <w:shd w:val="clear" w:color="auto" w:fill="auto"/>
            <w:noWrap/>
          </w:tcPr>
          <w:p w:rsidR="00BE1B37" w:rsidRPr="00AA3F66" w:rsidRDefault="00BE1B37" w:rsidP="006E42D0">
            <w:pPr>
              <w:spacing w:after="0"/>
              <w:jc w:val="center"/>
              <w:rPr>
                <w:color w:val="FF0000"/>
                <w:sz w:val="20"/>
                <w:szCs w:val="20"/>
              </w:rPr>
            </w:pPr>
            <w:r w:rsidRPr="00AA3F66">
              <w:rPr>
                <w:sz w:val="20"/>
                <w:szCs w:val="20"/>
              </w:rPr>
              <w:t>1,8</w:t>
            </w:r>
          </w:p>
        </w:tc>
      </w:tr>
      <w:tr w:rsidR="00BE1B37" w:rsidRPr="00AA3F66" w:rsidTr="006E42D0">
        <w:trPr>
          <w:trHeight w:val="300"/>
        </w:trPr>
        <w:tc>
          <w:tcPr>
            <w:tcW w:w="885" w:type="pct"/>
            <w:tcBorders>
              <w:top w:val="nil"/>
              <w:left w:val="nil"/>
              <w:bottom w:val="nil"/>
              <w:right w:val="nil"/>
            </w:tcBorders>
            <w:shd w:val="clear" w:color="auto" w:fill="auto"/>
            <w:noWrap/>
            <w:vAlign w:val="center"/>
          </w:tcPr>
          <w:p w:rsidR="00BE1B37" w:rsidRPr="00AA3F66" w:rsidRDefault="00BE1B37" w:rsidP="006E42D0">
            <w:pPr>
              <w:spacing w:before="40" w:after="40" w:line="276" w:lineRule="auto"/>
              <w:jc w:val="center"/>
              <w:rPr>
                <w:bCs/>
                <w:sz w:val="20"/>
                <w:szCs w:val="20"/>
              </w:rPr>
            </w:pPr>
            <w:r w:rsidRPr="00AA3F66">
              <w:rPr>
                <w:bCs/>
                <w:sz w:val="20"/>
                <w:szCs w:val="20"/>
              </w:rPr>
              <w:t>2025</w:t>
            </w:r>
          </w:p>
        </w:tc>
        <w:tc>
          <w:tcPr>
            <w:tcW w:w="1557" w:type="pct"/>
            <w:tcBorders>
              <w:top w:val="nil"/>
              <w:left w:val="nil"/>
              <w:bottom w:val="nil"/>
              <w:right w:val="nil"/>
            </w:tcBorders>
            <w:shd w:val="clear" w:color="auto" w:fill="auto"/>
            <w:noWrap/>
          </w:tcPr>
          <w:p w:rsidR="00BE1B37" w:rsidRPr="00AA3F66" w:rsidRDefault="00BE1B37" w:rsidP="006E42D0">
            <w:pPr>
              <w:spacing w:after="0"/>
              <w:jc w:val="center"/>
              <w:rPr>
                <w:color w:val="FF0000"/>
                <w:sz w:val="20"/>
                <w:szCs w:val="20"/>
              </w:rPr>
            </w:pPr>
            <w:r w:rsidRPr="00AA3F66">
              <w:rPr>
                <w:sz w:val="20"/>
                <w:szCs w:val="20"/>
              </w:rPr>
              <w:t>0,2</w:t>
            </w:r>
          </w:p>
        </w:tc>
        <w:tc>
          <w:tcPr>
            <w:tcW w:w="1642" w:type="pct"/>
            <w:tcBorders>
              <w:top w:val="nil"/>
              <w:left w:val="nil"/>
              <w:bottom w:val="nil"/>
              <w:right w:val="nil"/>
            </w:tcBorders>
            <w:shd w:val="clear" w:color="auto" w:fill="auto"/>
            <w:noWrap/>
          </w:tcPr>
          <w:p w:rsidR="00BE1B37" w:rsidRPr="00AA3F66" w:rsidRDefault="00BE1B37" w:rsidP="006E42D0">
            <w:pPr>
              <w:spacing w:after="0"/>
              <w:jc w:val="center"/>
              <w:rPr>
                <w:color w:val="FF0000"/>
                <w:sz w:val="20"/>
                <w:szCs w:val="20"/>
              </w:rPr>
            </w:pPr>
            <w:r w:rsidRPr="00AA3F66">
              <w:rPr>
                <w:sz w:val="20"/>
                <w:szCs w:val="20"/>
              </w:rPr>
              <w:t>1,0</w:t>
            </w:r>
          </w:p>
        </w:tc>
        <w:tc>
          <w:tcPr>
            <w:tcW w:w="916" w:type="pct"/>
            <w:tcBorders>
              <w:top w:val="nil"/>
              <w:left w:val="nil"/>
              <w:bottom w:val="nil"/>
              <w:right w:val="nil"/>
            </w:tcBorders>
            <w:shd w:val="clear" w:color="auto" w:fill="auto"/>
            <w:noWrap/>
          </w:tcPr>
          <w:p w:rsidR="00BE1B37" w:rsidRPr="00AA3F66" w:rsidRDefault="00BE1B37" w:rsidP="006E42D0">
            <w:pPr>
              <w:spacing w:after="0"/>
              <w:jc w:val="center"/>
              <w:rPr>
                <w:color w:val="FF0000"/>
                <w:sz w:val="20"/>
                <w:szCs w:val="20"/>
              </w:rPr>
            </w:pPr>
            <w:r w:rsidRPr="00AA3F66">
              <w:rPr>
                <w:sz w:val="20"/>
                <w:szCs w:val="20"/>
              </w:rPr>
              <w:t>1,7</w:t>
            </w:r>
          </w:p>
        </w:tc>
      </w:tr>
      <w:tr w:rsidR="00BE1B37" w:rsidRPr="00AA3F66" w:rsidTr="006E42D0">
        <w:trPr>
          <w:trHeight w:val="300"/>
        </w:trPr>
        <w:tc>
          <w:tcPr>
            <w:tcW w:w="885" w:type="pct"/>
            <w:tcBorders>
              <w:top w:val="nil"/>
              <w:left w:val="nil"/>
              <w:bottom w:val="single" w:sz="4" w:space="0" w:color="auto"/>
              <w:right w:val="nil"/>
            </w:tcBorders>
            <w:shd w:val="clear" w:color="auto" w:fill="auto"/>
            <w:noWrap/>
            <w:vAlign w:val="center"/>
          </w:tcPr>
          <w:p w:rsidR="00BE1B37" w:rsidRPr="00AA3F66" w:rsidRDefault="00BE1B37" w:rsidP="006E42D0">
            <w:pPr>
              <w:spacing w:before="40" w:after="40" w:line="276" w:lineRule="auto"/>
              <w:jc w:val="center"/>
              <w:rPr>
                <w:bCs/>
                <w:sz w:val="20"/>
                <w:szCs w:val="20"/>
              </w:rPr>
            </w:pPr>
            <w:r w:rsidRPr="00AA3F66">
              <w:rPr>
                <w:bCs/>
                <w:sz w:val="20"/>
                <w:szCs w:val="20"/>
              </w:rPr>
              <w:t>2026</w:t>
            </w:r>
          </w:p>
        </w:tc>
        <w:tc>
          <w:tcPr>
            <w:tcW w:w="1557" w:type="pct"/>
            <w:tcBorders>
              <w:top w:val="nil"/>
              <w:left w:val="nil"/>
              <w:bottom w:val="single" w:sz="4" w:space="0" w:color="auto"/>
              <w:right w:val="nil"/>
            </w:tcBorders>
            <w:shd w:val="clear" w:color="auto" w:fill="auto"/>
            <w:noWrap/>
          </w:tcPr>
          <w:p w:rsidR="00BE1B37" w:rsidRPr="00AA3F66" w:rsidRDefault="00BE1B37" w:rsidP="006E42D0">
            <w:pPr>
              <w:spacing w:after="0"/>
              <w:jc w:val="center"/>
              <w:rPr>
                <w:color w:val="FF0000"/>
                <w:sz w:val="20"/>
                <w:szCs w:val="20"/>
              </w:rPr>
            </w:pPr>
            <w:r w:rsidRPr="00AA3F66">
              <w:rPr>
                <w:sz w:val="20"/>
                <w:szCs w:val="20"/>
              </w:rPr>
              <w:t>0,0</w:t>
            </w:r>
          </w:p>
        </w:tc>
        <w:tc>
          <w:tcPr>
            <w:tcW w:w="1642" w:type="pct"/>
            <w:tcBorders>
              <w:top w:val="nil"/>
              <w:left w:val="nil"/>
              <w:bottom w:val="single" w:sz="4" w:space="0" w:color="auto"/>
              <w:right w:val="nil"/>
            </w:tcBorders>
            <w:shd w:val="clear" w:color="auto" w:fill="auto"/>
            <w:noWrap/>
          </w:tcPr>
          <w:p w:rsidR="00BE1B37" w:rsidRPr="00AA3F66" w:rsidRDefault="00BE1B37" w:rsidP="006E42D0">
            <w:pPr>
              <w:spacing w:after="0"/>
              <w:jc w:val="center"/>
              <w:rPr>
                <w:color w:val="FF0000"/>
                <w:sz w:val="20"/>
                <w:szCs w:val="20"/>
              </w:rPr>
            </w:pPr>
            <w:r w:rsidRPr="00AA3F66">
              <w:rPr>
                <w:sz w:val="20"/>
                <w:szCs w:val="20"/>
              </w:rPr>
              <w:t>1,1</w:t>
            </w:r>
          </w:p>
        </w:tc>
        <w:tc>
          <w:tcPr>
            <w:tcW w:w="916" w:type="pct"/>
            <w:tcBorders>
              <w:top w:val="nil"/>
              <w:left w:val="nil"/>
              <w:bottom w:val="single" w:sz="4" w:space="0" w:color="auto"/>
              <w:right w:val="nil"/>
            </w:tcBorders>
            <w:shd w:val="clear" w:color="auto" w:fill="auto"/>
            <w:noWrap/>
          </w:tcPr>
          <w:p w:rsidR="00BE1B37" w:rsidRPr="00AA3F66" w:rsidRDefault="00BE1B37" w:rsidP="006E42D0">
            <w:pPr>
              <w:spacing w:after="0"/>
              <w:jc w:val="center"/>
              <w:rPr>
                <w:color w:val="FF0000"/>
                <w:sz w:val="20"/>
                <w:szCs w:val="20"/>
              </w:rPr>
            </w:pPr>
            <w:r w:rsidRPr="00AA3F66">
              <w:rPr>
                <w:sz w:val="20"/>
                <w:szCs w:val="20"/>
              </w:rPr>
              <w:t>1,6</w:t>
            </w:r>
          </w:p>
        </w:tc>
      </w:tr>
    </w:tbl>
    <w:bookmarkEnd w:id="151"/>
    <w:p w:rsidR="00AB7CDA" w:rsidRPr="00AA3F66" w:rsidRDefault="00BE1B37" w:rsidP="00BE1B37">
      <w:pPr>
        <w:spacing w:before="120"/>
        <w:jc w:val="right"/>
        <w:rPr>
          <w:rFonts w:eastAsia="Batang" w:cs="Times New Roman"/>
          <w:sz w:val="18"/>
          <w:szCs w:val="18"/>
        </w:rPr>
      </w:pPr>
      <w:r w:rsidRPr="00AA3F66">
        <w:rPr>
          <w:rFonts w:eastAsia="Batang" w:cs="Times New Roman"/>
          <w:sz w:val="18"/>
          <w:szCs w:val="18"/>
        </w:rPr>
        <w:t>Източник: ИАП</w:t>
      </w:r>
    </w:p>
    <w:p w:rsidR="00854036" w:rsidRPr="00AA3F66" w:rsidRDefault="00854036" w:rsidP="00BE1B37">
      <w:pPr>
        <w:spacing w:before="120"/>
        <w:jc w:val="right"/>
        <w:rPr>
          <w:rFonts w:eastAsia="Batang" w:cs="Times New Roman"/>
          <w:sz w:val="18"/>
          <w:szCs w:val="18"/>
        </w:rPr>
      </w:pPr>
    </w:p>
    <w:p w:rsidR="00424142" w:rsidRPr="00AA3F66" w:rsidRDefault="00424142" w:rsidP="00424142">
      <w:pPr>
        <w:pStyle w:val="Heading3"/>
        <w:numPr>
          <w:ilvl w:val="0"/>
          <w:numId w:val="0"/>
        </w:numPr>
      </w:pPr>
      <w:r w:rsidRPr="00AA3F66">
        <w:t>4.8 Съпоставка на макроикономическата прогноза с тази на ЕК</w:t>
      </w:r>
    </w:p>
    <w:p w:rsidR="00854036" w:rsidRPr="00AA3F66" w:rsidRDefault="00854036" w:rsidP="00CD46AA">
      <w:pPr>
        <w:spacing w:before="120"/>
        <w:rPr>
          <w:color w:val="FF0000"/>
          <w:szCs w:val="24"/>
        </w:rPr>
      </w:pPr>
      <w:r w:rsidRPr="00AA3F66">
        <w:rPr>
          <w:szCs w:val="24"/>
        </w:rPr>
        <w:t>Направено е сравнение на прогнозата на Института за анализи и прогнози (ИАП) с пролетната макроикономическа прогноза на ЕК, публикувана на 15 май 2023 г. Различният период на изготвяне на двете прогнози предопределя използването на различни редове от отчетни статистически данни и различни допускания.</w:t>
      </w:r>
    </w:p>
    <w:p w:rsidR="00CD46AA" w:rsidRPr="00AA3F66" w:rsidRDefault="00C601A9" w:rsidP="00CD46AA">
      <w:pPr>
        <w:pStyle w:val="Caption"/>
      </w:pPr>
      <w:bookmarkStart w:id="153" w:name="_Toc22660373"/>
      <w:bookmarkStart w:id="154" w:name="_Toc150443414"/>
      <w:r w:rsidRPr="00AA3F66">
        <w:t xml:space="preserve">Табл. </w:t>
      </w:r>
      <w:fldSimple w:instr=" STYLEREF 1 \s ">
        <w:r w:rsidR="005A69ED">
          <w:rPr>
            <w:noProof/>
          </w:rPr>
          <w:t>I</w:t>
        </w:r>
      </w:fldSimple>
      <w:r w:rsidRPr="00AA3F66">
        <w:noBreakHyphen/>
      </w:r>
      <w:fldSimple w:instr=" SEQ Табл. \* ARABIC \s 1 ">
        <w:r w:rsidR="005A69ED">
          <w:rPr>
            <w:noProof/>
          </w:rPr>
          <w:t>5</w:t>
        </w:r>
      </w:fldSimple>
      <w:r w:rsidRPr="00AA3F66">
        <w:t>:</w:t>
      </w:r>
      <w:r w:rsidR="00AB7CDA" w:rsidRPr="00AA3F66">
        <w:tab/>
        <w:t>Сравнение на макроикономическата прогноза на МФ с прогнозата на ЕК</w:t>
      </w:r>
      <w:bookmarkEnd w:id="153"/>
      <w:bookmarkEnd w:id="154"/>
    </w:p>
    <w:tbl>
      <w:tblPr>
        <w:tblW w:w="5000" w:type="pct"/>
        <w:tblCellMar>
          <w:left w:w="70" w:type="dxa"/>
          <w:right w:w="70" w:type="dxa"/>
        </w:tblCellMar>
        <w:tblLook w:val="04A0" w:firstRow="1" w:lastRow="0" w:firstColumn="1" w:lastColumn="0" w:noHBand="0" w:noVBand="1"/>
      </w:tblPr>
      <w:tblGrid>
        <w:gridCol w:w="4888"/>
        <w:gridCol w:w="1036"/>
        <w:gridCol w:w="974"/>
        <w:gridCol w:w="1085"/>
        <w:gridCol w:w="1087"/>
      </w:tblGrid>
      <w:tr w:rsidR="00854036" w:rsidRPr="00AA3F66" w:rsidTr="006E42D0">
        <w:trPr>
          <w:trHeight w:val="250"/>
        </w:trPr>
        <w:tc>
          <w:tcPr>
            <w:tcW w:w="2695" w:type="pct"/>
            <w:vMerge w:val="restart"/>
            <w:tcBorders>
              <w:top w:val="single" w:sz="4" w:space="0" w:color="auto"/>
              <w:left w:val="nil"/>
            </w:tcBorders>
            <w:shd w:val="clear" w:color="auto" w:fill="auto"/>
            <w:noWrap/>
            <w:vAlign w:val="center"/>
            <w:hideMark/>
          </w:tcPr>
          <w:p w:rsidR="00854036" w:rsidRPr="00AA3F66" w:rsidRDefault="00854036" w:rsidP="006E42D0">
            <w:pPr>
              <w:spacing w:after="0"/>
              <w:jc w:val="center"/>
              <w:rPr>
                <w:b/>
                <w:sz w:val="20"/>
                <w:szCs w:val="20"/>
              </w:rPr>
            </w:pPr>
            <w:r w:rsidRPr="00AA3F66">
              <w:rPr>
                <w:b/>
                <w:sz w:val="20"/>
                <w:szCs w:val="20"/>
              </w:rPr>
              <w:t>Основни макроикономически показатели</w:t>
            </w:r>
          </w:p>
        </w:tc>
        <w:tc>
          <w:tcPr>
            <w:tcW w:w="1108" w:type="pct"/>
            <w:gridSpan w:val="2"/>
            <w:tcBorders>
              <w:top w:val="single" w:sz="4" w:space="0" w:color="auto"/>
              <w:left w:val="nil"/>
              <w:bottom w:val="single" w:sz="4" w:space="0" w:color="auto"/>
              <w:right w:val="nil"/>
            </w:tcBorders>
            <w:shd w:val="clear" w:color="auto" w:fill="auto"/>
            <w:noWrap/>
            <w:vAlign w:val="center"/>
            <w:hideMark/>
          </w:tcPr>
          <w:p w:rsidR="00854036" w:rsidRPr="00AA3F66" w:rsidRDefault="00854036" w:rsidP="006E42D0">
            <w:pPr>
              <w:spacing w:after="0"/>
              <w:jc w:val="center"/>
              <w:rPr>
                <w:b/>
                <w:sz w:val="20"/>
                <w:szCs w:val="20"/>
              </w:rPr>
            </w:pPr>
            <w:r w:rsidRPr="00AA3F66">
              <w:rPr>
                <w:b/>
                <w:sz w:val="20"/>
                <w:szCs w:val="20"/>
              </w:rPr>
              <w:t>2023</w:t>
            </w:r>
          </w:p>
        </w:tc>
        <w:tc>
          <w:tcPr>
            <w:tcW w:w="1197" w:type="pct"/>
            <w:gridSpan w:val="2"/>
            <w:tcBorders>
              <w:top w:val="single" w:sz="4" w:space="0" w:color="auto"/>
              <w:left w:val="nil"/>
              <w:bottom w:val="single" w:sz="4" w:space="0" w:color="auto"/>
              <w:right w:val="nil"/>
            </w:tcBorders>
            <w:shd w:val="clear" w:color="auto" w:fill="auto"/>
            <w:noWrap/>
            <w:vAlign w:val="center"/>
            <w:hideMark/>
          </w:tcPr>
          <w:p w:rsidR="00854036" w:rsidRPr="00AA3F66" w:rsidRDefault="00854036" w:rsidP="006E42D0">
            <w:pPr>
              <w:spacing w:after="0"/>
              <w:jc w:val="center"/>
              <w:rPr>
                <w:b/>
                <w:sz w:val="20"/>
                <w:szCs w:val="20"/>
              </w:rPr>
            </w:pPr>
            <w:r w:rsidRPr="00AA3F66">
              <w:rPr>
                <w:b/>
                <w:sz w:val="20"/>
                <w:szCs w:val="20"/>
              </w:rPr>
              <w:t>2024</w:t>
            </w:r>
          </w:p>
        </w:tc>
      </w:tr>
      <w:tr w:rsidR="00854036" w:rsidRPr="00AA3F66" w:rsidTr="006E42D0">
        <w:trPr>
          <w:trHeight w:val="456"/>
        </w:trPr>
        <w:tc>
          <w:tcPr>
            <w:tcW w:w="2695" w:type="pct"/>
            <w:vMerge/>
            <w:tcBorders>
              <w:left w:val="nil"/>
              <w:bottom w:val="single" w:sz="4" w:space="0" w:color="auto"/>
            </w:tcBorders>
            <w:shd w:val="clear" w:color="auto" w:fill="auto"/>
            <w:vAlign w:val="center"/>
            <w:hideMark/>
          </w:tcPr>
          <w:p w:rsidR="00854036" w:rsidRPr="00AA3F66" w:rsidRDefault="00854036" w:rsidP="006E42D0">
            <w:pPr>
              <w:spacing w:after="0"/>
              <w:rPr>
                <w:sz w:val="20"/>
                <w:szCs w:val="20"/>
              </w:rPr>
            </w:pPr>
          </w:p>
        </w:tc>
        <w:tc>
          <w:tcPr>
            <w:tcW w:w="571" w:type="pct"/>
            <w:tcBorders>
              <w:top w:val="single" w:sz="4" w:space="0" w:color="auto"/>
              <w:left w:val="nil"/>
              <w:bottom w:val="single" w:sz="4" w:space="0" w:color="auto"/>
              <w:right w:val="nil"/>
            </w:tcBorders>
            <w:shd w:val="clear" w:color="auto" w:fill="auto"/>
            <w:noWrap/>
            <w:vAlign w:val="center"/>
            <w:hideMark/>
          </w:tcPr>
          <w:p w:rsidR="00854036" w:rsidRPr="00AA3F66" w:rsidRDefault="00854036" w:rsidP="006E42D0">
            <w:pPr>
              <w:spacing w:after="0"/>
              <w:jc w:val="center"/>
              <w:rPr>
                <w:b/>
                <w:bCs/>
                <w:sz w:val="20"/>
                <w:szCs w:val="20"/>
              </w:rPr>
            </w:pPr>
            <w:r w:rsidRPr="00AA3F66">
              <w:rPr>
                <w:b/>
                <w:bCs/>
                <w:sz w:val="20"/>
                <w:szCs w:val="20"/>
              </w:rPr>
              <w:t>ИАП</w:t>
            </w:r>
          </w:p>
        </w:tc>
        <w:tc>
          <w:tcPr>
            <w:tcW w:w="537" w:type="pct"/>
            <w:tcBorders>
              <w:top w:val="single" w:sz="4" w:space="0" w:color="auto"/>
              <w:left w:val="nil"/>
              <w:bottom w:val="single" w:sz="4" w:space="0" w:color="auto"/>
              <w:right w:val="nil"/>
            </w:tcBorders>
            <w:shd w:val="clear" w:color="auto" w:fill="auto"/>
            <w:noWrap/>
            <w:vAlign w:val="center"/>
            <w:hideMark/>
          </w:tcPr>
          <w:p w:rsidR="00854036" w:rsidRPr="00AA3F66" w:rsidRDefault="00854036" w:rsidP="006E42D0">
            <w:pPr>
              <w:spacing w:after="0"/>
              <w:jc w:val="center"/>
              <w:rPr>
                <w:b/>
                <w:bCs/>
                <w:sz w:val="20"/>
                <w:szCs w:val="20"/>
              </w:rPr>
            </w:pPr>
            <w:r w:rsidRPr="00AA3F66">
              <w:rPr>
                <w:b/>
                <w:bCs/>
                <w:sz w:val="20"/>
                <w:szCs w:val="20"/>
              </w:rPr>
              <w:t>ЕК</w:t>
            </w:r>
          </w:p>
        </w:tc>
        <w:tc>
          <w:tcPr>
            <w:tcW w:w="598" w:type="pct"/>
            <w:tcBorders>
              <w:top w:val="single" w:sz="4" w:space="0" w:color="auto"/>
              <w:left w:val="nil"/>
              <w:bottom w:val="single" w:sz="4" w:space="0" w:color="auto"/>
              <w:right w:val="nil"/>
            </w:tcBorders>
            <w:shd w:val="clear" w:color="auto" w:fill="auto"/>
            <w:noWrap/>
            <w:vAlign w:val="center"/>
            <w:hideMark/>
          </w:tcPr>
          <w:p w:rsidR="00854036" w:rsidRPr="00AA3F66" w:rsidRDefault="00854036" w:rsidP="006E42D0">
            <w:pPr>
              <w:spacing w:after="0"/>
              <w:jc w:val="center"/>
              <w:rPr>
                <w:b/>
                <w:bCs/>
                <w:sz w:val="20"/>
                <w:szCs w:val="20"/>
              </w:rPr>
            </w:pPr>
            <w:r w:rsidRPr="00AA3F66">
              <w:rPr>
                <w:b/>
                <w:bCs/>
                <w:sz w:val="20"/>
                <w:szCs w:val="20"/>
              </w:rPr>
              <w:t>ИАП</w:t>
            </w:r>
          </w:p>
        </w:tc>
        <w:tc>
          <w:tcPr>
            <w:tcW w:w="599" w:type="pct"/>
            <w:tcBorders>
              <w:top w:val="single" w:sz="4" w:space="0" w:color="auto"/>
              <w:left w:val="nil"/>
              <w:bottom w:val="single" w:sz="4" w:space="0" w:color="auto"/>
              <w:right w:val="nil"/>
            </w:tcBorders>
            <w:shd w:val="clear" w:color="auto" w:fill="auto"/>
            <w:noWrap/>
            <w:vAlign w:val="center"/>
            <w:hideMark/>
          </w:tcPr>
          <w:p w:rsidR="00854036" w:rsidRPr="00AA3F66" w:rsidRDefault="00854036" w:rsidP="006E42D0">
            <w:pPr>
              <w:spacing w:after="0"/>
              <w:jc w:val="center"/>
              <w:rPr>
                <w:b/>
                <w:bCs/>
                <w:sz w:val="20"/>
                <w:szCs w:val="20"/>
              </w:rPr>
            </w:pPr>
            <w:r w:rsidRPr="00AA3F66">
              <w:rPr>
                <w:b/>
                <w:bCs/>
                <w:sz w:val="20"/>
                <w:szCs w:val="20"/>
              </w:rPr>
              <w:t>ЕК</w:t>
            </w:r>
          </w:p>
        </w:tc>
      </w:tr>
      <w:tr w:rsidR="00854036" w:rsidRPr="00AA3F66" w:rsidTr="006E42D0">
        <w:trPr>
          <w:trHeight w:val="287"/>
        </w:trPr>
        <w:tc>
          <w:tcPr>
            <w:tcW w:w="2695" w:type="pct"/>
            <w:tcBorders>
              <w:top w:val="single" w:sz="4" w:space="0" w:color="auto"/>
              <w:left w:val="nil"/>
              <w:bottom w:val="nil"/>
            </w:tcBorders>
            <w:shd w:val="clear" w:color="auto" w:fill="auto"/>
            <w:noWrap/>
            <w:vAlign w:val="center"/>
            <w:hideMark/>
          </w:tcPr>
          <w:p w:rsidR="00854036" w:rsidRPr="00AA3F66" w:rsidRDefault="00854036" w:rsidP="006E42D0">
            <w:pPr>
              <w:spacing w:after="0"/>
              <w:ind w:firstLineChars="100" w:firstLine="200"/>
              <w:rPr>
                <w:sz w:val="20"/>
                <w:szCs w:val="20"/>
              </w:rPr>
            </w:pPr>
            <w:r w:rsidRPr="00AA3F66">
              <w:rPr>
                <w:sz w:val="20"/>
                <w:szCs w:val="20"/>
              </w:rPr>
              <w:t>БВП (реален растеж) (%)</w:t>
            </w:r>
          </w:p>
        </w:tc>
        <w:tc>
          <w:tcPr>
            <w:tcW w:w="571" w:type="pct"/>
            <w:tcBorders>
              <w:top w:val="single" w:sz="4" w:space="0" w:color="auto"/>
              <w:left w:val="nil"/>
              <w:bottom w:val="nil"/>
              <w:right w:val="nil"/>
            </w:tcBorders>
            <w:shd w:val="clear" w:color="auto" w:fill="auto"/>
            <w:noWrap/>
            <w:vAlign w:val="center"/>
          </w:tcPr>
          <w:p w:rsidR="00854036" w:rsidRPr="00AA3F66" w:rsidRDefault="00854036" w:rsidP="006E42D0">
            <w:pPr>
              <w:spacing w:after="0"/>
              <w:ind w:firstLineChars="100" w:firstLine="200"/>
              <w:jc w:val="right"/>
              <w:rPr>
                <w:sz w:val="20"/>
                <w:szCs w:val="20"/>
              </w:rPr>
            </w:pPr>
            <w:r w:rsidRPr="00AA3F66">
              <w:rPr>
                <w:sz w:val="20"/>
                <w:szCs w:val="20"/>
              </w:rPr>
              <w:t>1,8</w:t>
            </w:r>
          </w:p>
        </w:tc>
        <w:tc>
          <w:tcPr>
            <w:tcW w:w="537" w:type="pct"/>
            <w:tcBorders>
              <w:top w:val="single" w:sz="4" w:space="0" w:color="auto"/>
              <w:left w:val="nil"/>
              <w:bottom w:val="nil"/>
              <w:right w:val="nil"/>
            </w:tcBorders>
            <w:shd w:val="clear" w:color="auto" w:fill="auto"/>
            <w:noWrap/>
            <w:vAlign w:val="center"/>
          </w:tcPr>
          <w:p w:rsidR="00854036" w:rsidRPr="00AA3F66" w:rsidRDefault="00854036" w:rsidP="006E42D0">
            <w:pPr>
              <w:spacing w:after="0"/>
              <w:ind w:firstLineChars="100" w:firstLine="200"/>
              <w:jc w:val="right"/>
              <w:rPr>
                <w:sz w:val="20"/>
                <w:szCs w:val="20"/>
              </w:rPr>
            </w:pPr>
            <w:r w:rsidRPr="00AA3F66">
              <w:rPr>
                <w:sz w:val="20"/>
                <w:szCs w:val="20"/>
              </w:rPr>
              <w:t>1,5</w:t>
            </w:r>
          </w:p>
        </w:tc>
        <w:tc>
          <w:tcPr>
            <w:tcW w:w="598" w:type="pct"/>
            <w:tcBorders>
              <w:top w:val="single" w:sz="4" w:space="0" w:color="auto"/>
              <w:left w:val="nil"/>
              <w:bottom w:val="nil"/>
              <w:right w:val="nil"/>
            </w:tcBorders>
            <w:shd w:val="clear" w:color="auto" w:fill="auto"/>
            <w:noWrap/>
            <w:vAlign w:val="center"/>
          </w:tcPr>
          <w:p w:rsidR="00854036" w:rsidRPr="00AA3F66" w:rsidRDefault="00854036" w:rsidP="006E42D0">
            <w:pPr>
              <w:spacing w:after="0"/>
              <w:ind w:firstLineChars="100" w:firstLine="200"/>
              <w:jc w:val="right"/>
              <w:rPr>
                <w:sz w:val="20"/>
                <w:szCs w:val="20"/>
              </w:rPr>
            </w:pPr>
            <w:r w:rsidRPr="00AA3F66">
              <w:rPr>
                <w:sz w:val="20"/>
                <w:szCs w:val="20"/>
              </w:rPr>
              <w:t>3,2</w:t>
            </w:r>
          </w:p>
        </w:tc>
        <w:tc>
          <w:tcPr>
            <w:tcW w:w="599" w:type="pct"/>
            <w:tcBorders>
              <w:top w:val="single" w:sz="4" w:space="0" w:color="auto"/>
              <w:left w:val="nil"/>
              <w:bottom w:val="nil"/>
              <w:right w:val="nil"/>
            </w:tcBorders>
            <w:shd w:val="clear" w:color="auto" w:fill="auto"/>
            <w:noWrap/>
            <w:vAlign w:val="center"/>
          </w:tcPr>
          <w:p w:rsidR="00854036" w:rsidRPr="00AA3F66" w:rsidRDefault="00854036" w:rsidP="006E42D0">
            <w:pPr>
              <w:spacing w:after="0"/>
              <w:ind w:firstLineChars="100" w:firstLine="200"/>
              <w:jc w:val="right"/>
              <w:rPr>
                <w:sz w:val="20"/>
                <w:szCs w:val="20"/>
              </w:rPr>
            </w:pPr>
            <w:r w:rsidRPr="00AA3F66">
              <w:rPr>
                <w:sz w:val="20"/>
                <w:szCs w:val="20"/>
              </w:rPr>
              <w:t>2,4</w:t>
            </w:r>
          </w:p>
        </w:tc>
      </w:tr>
      <w:tr w:rsidR="00854036" w:rsidRPr="00AA3F66" w:rsidTr="006E42D0">
        <w:trPr>
          <w:trHeight w:val="287"/>
        </w:trPr>
        <w:tc>
          <w:tcPr>
            <w:tcW w:w="2695" w:type="pct"/>
            <w:tcBorders>
              <w:top w:val="nil"/>
              <w:left w:val="nil"/>
              <w:bottom w:val="single" w:sz="4" w:space="0" w:color="auto"/>
            </w:tcBorders>
            <w:shd w:val="clear" w:color="auto" w:fill="auto"/>
            <w:vAlign w:val="center"/>
            <w:hideMark/>
          </w:tcPr>
          <w:p w:rsidR="00854036" w:rsidRPr="00AA3F66" w:rsidRDefault="00854036" w:rsidP="006E42D0">
            <w:pPr>
              <w:spacing w:after="0"/>
              <w:ind w:firstLineChars="100" w:firstLine="200"/>
              <w:rPr>
                <w:sz w:val="20"/>
                <w:szCs w:val="20"/>
              </w:rPr>
            </w:pPr>
            <w:r w:rsidRPr="00AA3F66">
              <w:rPr>
                <w:sz w:val="20"/>
                <w:szCs w:val="20"/>
              </w:rPr>
              <w:t>Средногодишна инфлация (ХИПЦ) (%)</w:t>
            </w:r>
          </w:p>
        </w:tc>
        <w:tc>
          <w:tcPr>
            <w:tcW w:w="571" w:type="pct"/>
            <w:tcBorders>
              <w:top w:val="nil"/>
              <w:left w:val="nil"/>
              <w:bottom w:val="single" w:sz="4" w:space="0" w:color="auto"/>
              <w:right w:val="nil"/>
            </w:tcBorders>
            <w:shd w:val="clear" w:color="auto" w:fill="auto"/>
            <w:noWrap/>
            <w:vAlign w:val="center"/>
          </w:tcPr>
          <w:p w:rsidR="00854036" w:rsidRPr="00AA3F66" w:rsidRDefault="00854036" w:rsidP="006E42D0">
            <w:pPr>
              <w:spacing w:after="0"/>
              <w:ind w:firstLineChars="100" w:firstLine="200"/>
              <w:jc w:val="right"/>
              <w:rPr>
                <w:sz w:val="20"/>
                <w:szCs w:val="20"/>
              </w:rPr>
            </w:pPr>
            <w:r w:rsidRPr="00AA3F66">
              <w:rPr>
                <w:sz w:val="20"/>
                <w:szCs w:val="20"/>
              </w:rPr>
              <w:t>9,1</w:t>
            </w:r>
          </w:p>
        </w:tc>
        <w:tc>
          <w:tcPr>
            <w:tcW w:w="537" w:type="pct"/>
            <w:tcBorders>
              <w:top w:val="nil"/>
              <w:left w:val="nil"/>
              <w:bottom w:val="single" w:sz="4" w:space="0" w:color="auto"/>
              <w:right w:val="nil"/>
            </w:tcBorders>
            <w:shd w:val="clear" w:color="auto" w:fill="auto"/>
            <w:noWrap/>
            <w:vAlign w:val="center"/>
          </w:tcPr>
          <w:p w:rsidR="00854036" w:rsidRPr="00AA3F66" w:rsidRDefault="00854036" w:rsidP="006E42D0">
            <w:pPr>
              <w:spacing w:after="0"/>
              <w:ind w:firstLineChars="100" w:firstLine="200"/>
              <w:jc w:val="right"/>
              <w:rPr>
                <w:sz w:val="20"/>
                <w:szCs w:val="20"/>
              </w:rPr>
            </w:pPr>
            <w:r w:rsidRPr="00AA3F66">
              <w:rPr>
                <w:sz w:val="20"/>
                <w:szCs w:val="20"/>
              </w:rPr>
              <w:t>9,4</w:t>
            </w:r>
          </w:p>
        </w:tc>
        <w:tc>
          <w:tcPr>
            <w:tcW w:w="598" w:type="pct"/>
            <w:tcBorders>
              <w:top w:val="nil"/>
              <w:left w:val="nil"/>
              <w:bottom w:val="single" w:sz="4" w:space="0" w:color="auto"/>
              <w:right w:val="nil"/>
            </w:tcBorders>
            <w:shd w:val="clear" w:color="auto" w:fill="auto"/>
            <w:noWrap/>
            <w:vAlign w:val="center"/>
          </w:tcPr>
          <w:p w:rsidR="00854036" w:rsidRPr="00AA3F66" w:rsidRDefault="00854036" w:rsidP="006E42D0">
            <w:pPr>
              <w:spacing w:after="0"/>
              <w:ind w:firstLineChars="100" w:firstLine="200"/>
              <w:jc w:val="right"/>
              <w:rPr>
                <w:sz w:val="20"/>
                <w:szCs w:val="20"/>
              </w:rPr>
            </w:pPr>
            <w:r w:rsidRPr="00AA3F66">
              <w:rPr>
                <w:sz w:val="20"/>
                <w:szCs w:val="20"/>
              </w:rPr>
              <w:t>4,8</w:t>
            </w:r>
          </w:p>
        </w:tc>
        <w:tc>
          <w:tcPr>
            <w:tcW w:w="599" w:type="pct"/>
            <w:tcBorders>
              <w:top w:val="nil"/>
              <w:left w:val="nil"/>
              <w:bottom w:val="single" w:sz="4" w:space="0" w:color="auto"/>
              <w:right w:val="nil"/>
            </w:tcBorders>
            <w:shd w:val="clear" w:color="auto" w:fill="auto"/>
            <w:noWrap/>
            <w:vAlign w:val="center"/>
          </w:tcPr>
          <w:p w:rsidR="00854036" w:rsidRPr="00AA3F66" w:rsidRDefault="00854036" w:rsidP="006E42D0">
            <w:pPr>
              <w:spacing w:after="0"/>
              <w:ind w:firstLineChars="100" w:firstLine="200"/>
              <w:jc w:val="right"/>
              <w:rPr>
                <w:sz w:val="20"/>
                <w:szCs w:val="20"/>
              </w:rPr>
            </w:pPr>
            <w:r w:rsidRPr="00AA3F66">
              <w:rPr>
                <w:sz w:val="20"/>
                <w:szCs w:val="20"/>
              </w:rPr>
              <w:t>4,2</w:t>
            </w:r>
          </w:p>
        </w:tc>
      </w:tr>
    </w:tbl>
    <w:p w:rsidR="00AB7CDA" w:rsidRPr="00AA3F66" w:rsidRDefault="00AB7CDA" w:rsidP="009A4A76">
      <w:pPr>
        <w:spacing w:before="120"/>
        <w:jc w:val="right"/>
        <w:rPr>
          <w:rFonts w:eastAsia="Batang" w:cs="Times New Roman"/>
          <w:sz w:val="18"/>
          <w:szCs w:val="18"/>
        </w:rPr>
      </w:pPr>
      <w:r w:rsidRPr="00AA3F66">
        <w:rPr>
          <w:rFonts w:eastAsia="Batang" w:cs="Times New Roman"/>
          <w:sz w:val="18"/>
          <w:szCs w:val="18"/>
        </w:rPr>
        <w:t xml:space="preserve">Източник: </w:t>
      </w:r>
      <w:r w:rsidR="00854036" w:rsidRPr="00AA3F66">
        <w:rPr>
          <w:rFonts w:eastAsia="Batang" w:cs="Times New Roman"/>
          <w:sz w:val="18"/>
          <w:szCs w:val="18"/>
        </w:rPr>
        <w:t>ЕК, ИАП</w:t>
      </w:r>
    </w:p>
    <w:p w:rsidR="00674B55" w:rsidRPr="00AA3F66" w:rsidRDefault="001A6AE9" w:rsidP="001A6AE9">
      <w:pPr>
        <w:rPr>
          <w:szCs w:val="24"/>
        </w:rPr>
      </w:pPr>
      <w:r w:rsidRPr="00AA3F66">
        <w:rPr>
          <w:szCs w:val="24"/>
        </w:rPr>
        <w:t>Двете институции имат близки очаквания за растежа на БВП през 2023 г. За 2024 г. ИАП очаква по-висок растеж поради очаквания за по-ускорено нарастването на потреблението на домакинствата и на инвестициите. Очаква се отслабването на инфлационния натиск и реалното нарастване на разполагаемия доход да подкрепи растежа на потреблението през 2024 г. Инвестициите се очаква да бъдат подкрепени от публичните капиталови разходи.</w:t>
      </w:r>
    </w:p>
    <w:p w:rsidR="00C3380E" w:rsidRPr="00AA3F66" w:rsidRDefault="00C3380E" w:rsidP="001A6AE9">
      <w:pPr>
        <w:rPr>
          <w:rFonts w:eastAsia="Batang"/>
          <w:color w:val="FF0000"/>
        </w:rPr>
      </w:pPr>
    </w:p>
    <w:p w:rsidR="00133661" w:rsidRDefault="00133661" w:rsidP="00AB7CDA">
      <w:pPr>
        <w:spacing w:after="120"/>
        <w:rPr>
          <w:rFonts w:cs="Times New Roman"/>
          <w:szCs w:val="24"/>
        </w:rPr>
        <w:sectPr w:rsidR="00133661" w:rsidSect="002D7CED">
          <w:headerReference w:type="first" r:id="rId16"/>
          <w:pgSz w:w="11906" w:h="16838" w:code="9"/>
          <w:pgMar w:top="1418" w:right="1418" w:bottom="851" w:left="1418" w:header="708" w:footer="708" w:gutter="0"/>
          <w:cols w:space="708"/>
          <w:titlePg/>
          <w:docGrid w:linePitch="360"/>
        </w:sectPr>
      </w:pPr>
    </w:p>
    <w:bookmarkStart w:id="155" w:name="_Toc464458972"/>
    <w:bookmarkStart w:id="156" w:name="_Toc464459718"/>
    <w:bookmarkStart w:id="157" w:name="_Toc464460673"/>
    <w:bookmarkStart w:id="158" w:name="_Toc464463072"/>
    <w:bookmarkStart w:id="159" w:name="_Toc464464899"/>
    <w:bookmarkStart w:id="160" w:name="_Toc464465405"/>
    <w:bookmarkStart w:id="161" w:name="_Toc464465593"/>
    <w:bookmarkStart w:id="162" w:name="_Toc464466418"/>
    <w:bookmarkStart w:id="163" w:name="_Toc464466662"/>
    <w:bookmarkStart w:id="164" w:name="_Toc464466724"/>
    <w:bookmarkStart w:id="165" w:name="_Toc464470222"/>
    <w:bookmarkStart w:id="166" w:name="_Toc464644968"/>
    <w:bookmarkStart w:id="167" w:name="_Toc464646354"/>
    <w:bookmarkStart w:id="168" w:name="_Toc151557295"/>
    <w:bookmarkStart w:id="169" w:name="_Toc464224775"/>
    <w:bookmarkStart w:id="170" w:name="_Toc464225425"/>
    <w:p w:rsidR="00083361" w:rsidRPr="00F27608" w:rsidRDefault="00710C44" w:rsidP="00840F02">
      <w:pPr>
        <w:pStyle w:val="Heading1"/>
      </w:pPr>
      <w:r w:rsidRPr="00710C44">
        <w:rPr>
          <w:noProof/>
        </w:rPr>
        <mc:AlternateContent>
          <mc:Choice Requires="wps">
            <w:drawing>
              <wp:anchor distT="0" distB="0" distL="114300" distR="114300" simplePos="0" relativeHeight="251649536" behindDoc="0" locked="0" layoutInCell="1" allowOverlap="1" wp14:anchorId="5878FFC8" wp14:editId="34F974AC">
                <wp:simplePos x="0" y="0"/>
                <wp:positionH relativeFrom="column">
                  <wp:posOffset>-911225</wp:posOffset>
                </wp:positionH>
                <wp:positionV relativeFrom="paragraph">
                  <wp:posOffset>1405255</wp:posOffset>
                </wp:positionV>
                <wp:extent cx="7560310" cy="0"/>
                <wp:effectExtent l="0" t="0" r="21590" b="19050"/>
                <wp:wrapNone/>
                <wp:docPr id="28" name="Straight Connector 28"/>
                <wp:cNvGraphicFramePr/>
                <a:graphic xmlns:a="http://schemas.openxmlformats.org/drawingml/2006/main">
                  <a:graphicData uri="http://schemas.microsoft.com/office/word/2010/wordprocessingShape">
                    <wps:wsp>
                      <wps:cNvCnPr/>
                      <wps:spPr>
                        <a:xfrm>
                          <a:off x="0" y="0"/>
                          <a:ext cx="7560310" cy="0"/>
                        </a:xfrm>
                        <a:prstGeom prst="line">
                          <a:avLst/>
                        </a:prstGeom>
                        <a:ln>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9E15E7C" id="Straight Connector 28" o:spid="_x0000_s1026" style="position:absolute;z-index:251649536;visibility:visible;mso-wrap-style:square;mso-wrap-distance-left:9pt;mso-wrap-distance-top:0;mso-wrap-distance-right:9pt;mso-wrap-distance-bottom:0;mso-position-horizontal:absolute;mso-position-horizontal-relative:text;mso-position-vertical:absolute;mso-position-vertical-relative:text" from="-71.75pt,110.65pt" to="523.55pt,1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Ty30QEAAAkEAAAOAAAAZHJzL2Uyb0RvYy54bWysU8Fu3CAQvVfqPyDuXdsbNa2s9eawUXqp&#10;2lXTfADBwxoJGAR07f37DnjXidJKVaNcsAfmPd68GTY3kzXsCCFqdB1vVjVn4CT22h06/vDz7sNn&#10;zmISrhcGHXT8BJHfbN+/24y+hTUOaHoIjEhcbEff8SEl31ZVlANYEVfowdGhwmBFojAcqj6Ikdit&#10;qdZ1fV2NGHofUEKMtHs7H/Jt4VcKZPquVITETMdJWyprKOtjXqvtRrSHIPyg5VmGeIUKK7SjSxeq&#10;W5EE+xX0H1RWy4ARVVpJtBUqpSWUGqiapn5Rzf0gPJRayJzoF5vi29HKb8d9YLrv+Jo65YSlHt2n&#10;IPRhSGyHzpGDGBgdklOjjy0Bdm4fzlH0+5DLnlSw+UsFsam4e1rchSkxSZufPl7XVw01QV7Oqieg&#10;DzF9AbQs/3TcaJcLF604fo2JLqPUS0reNi6vEY3u77QxJcgjAzsT2FFQs4WU4NJVlk3YZ5kUZXSV&#10;i5nll790MjAz/wBFhpDgpigoo/iStznzGkfZGaZIxQKs/w0852colDH9H/CCKDejSwvYaofhb7en&#10;6SJZzfkXB+a6swWP2J9KY4s1NG/FufPbyAP9PC7wpxe8/Q0AAP//AwBQSwMEFAAGAAgAAAAhANmc&#10;Q5HhAAAADQEAAA8AAABkcnMvZG93bnJldi54bWxMj8tOwzAQRfdI/IM1SOxa51FoFeJUCNENG0RB&#10;lKUbD3FaexzFThP4elwJCZYzc3Tn3HI9WcNO2PvWkYB0ngBDqp1qqRHw9rqZrYD5IElJ4wgFfKGH&#10;dXV5UcpCuZFe8LQNDYsh5AspQIfQFZz7WqOVfu46pHj7dL2VIY59w1UvxxhuDc+S5JZb2VL8oGWH&#10;Dxrr43awAszu+XF1/P445E/doDejz6bDuxXi+mq6vwMWcAp/MJz1ozpU0WnvBlKeGQGzdJHfRFZA&#10;lqU5sDOSLJYpsP3vilcl/9+i+gEAAP//AwBQSwECLQAUAAYACAAAACEAtoM4kv4AAADhAQAAEwAA&#10;AAAAAAAAAAAAAAAAAAAAW0NvbnRlbnRfVHlwZXNdLnhtbFBLAQItABQABgAIAAAAIQA4/SH/1gAA&#10;AJQBAAALAAAAAAAAAAAAAAAAAC8BAABfcmVscy8ucmVsc1BLAQItABQABgAIAAAAIQCHjTy30QEA&#10;AAkEAAAOAAAAAAAAAAAAAAAAAC4CAABkcnMvZTJvRG9jLnhtbFBLAQItABQABgAIAAAAIQDZnEOR&#10;4QAAAA0BAAAPAAAAAAAAAAAAAAAAACsEAABkcnMvZG93bnJldi54bWxQSwUGAAAAAAQABADzAAAA&#10;OQUAAAAA&#10;" strokecolor="#b32c16 [3206]"/>
            </w:pict>
          </mc:Fallback>
        </mc:AlternateContent>
      </w:r>
      <w:r w:rsidRPr="00710C44">
        <w:rPr>
          <w:noProof/>
        </w:rPr>
        <mc:AlternateContent>
          <mc:Choice Requires="wps">
            <w:drawing>
              <wp:anchor distT="0" distB="0" distL="114300" distR="114300" simplePos="0" relativeHeight="251646464" behindDoc="1" locked="0" layoutInCell="1" allowOverlap="1" wp14:anchorId="60FDBC3B" wp14:editId="012B03CC">
                <wp:simplePos x="0" y="0"/>
                <wp:positionH relativeFrom="page">
                  <wp:posOffset>0</wp:posOffset>
                </wp:positionH>
                <wp:positionV relativeFrom="page">
                  <wp:posOffset>0</wp:posOffset>
                </wp:positionV>
                <wp:extent cx="7560000" cy="2304000"/>
                <wp:effectExtent l="0" t="0" r="3175" b="1270"/>
                <wp:wrapNone/>
                <wp:docPr id="21" name="Rectangle 21"/>
                <wp:cNvGraphicFramePr/>
                <a:graphic xmlns:a="http://schemas.openxmlformats.org/drawingml/2006/main">
                  <a:graphicData uri="http://schemas.microsoft.com/office/word/2010/wordprocessingShape">
                    <wps:wsp>
                      <wps:cNvSpPr/>
                      <wps:spPr>
                        <a:xfrm>
                          <a:off x="0" y="0"/>
                          <a:ext cx="7560000" cy="2304000"/>
                        </a:xfrm>
                        <a:prstGeom prst="rect">
                          <a:avLst/>
                        </a:prstGeom>
                        <a:solidFill>
                          <a:schemeClr val="accent3">
                            <a:lumMod val="20000"/>
                            <a:lumOff val="8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5904C8" id="Rectangle 21" o:spid="_x0000_s1026" style="position:absolute;margin-left:0;margin-top:0;width:595.3pt;height:181.4pt;z-index:-25167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4M6qgIAANAFAAAOAAAAZHJzL2Uyb0RvYy54bWysVN1P2zAQf5+0/8Hy+0gbyldEiioQ0yQG&#10;CJh4No7dRLJ9nu027f76ne00dAxepuXB8X3f/Xx35xcbrchaON+Bqen0YEKJMByazixr+uPp+ssp&#10;JT4w0zAFRtR0Kzy9mH/+dN7bSpTQgmqEI+jE+Kq3NW1DsFVReN4KzfwBWGFQKMFpFpB0y6JxrEfv&#10;WhXlZHJc9OAa64AL75F7lYV0nvxLKXi4k9KLQFRNMbeQTpfOl3gW83NWLR2zbceHNNg/ZKFZZzDo&#10;6OqKBUZWrvvLle64Aw8yHHDQBUjZcZFqwGqmkzfVPLbMilQLguPtCJP/f2757freka6paTmlxDCN&#10;b/SAqDGzVIIgDwHqra9Q79Heu4HyeI3VbqTT8Y91kE0CdTuCKjaBcGSeHB1P8KOEo6w8nMwigX6K&#10;V3PrfPgqQJN4qanD+AlMtr7xIavuVGI0D6prrjulEhE7RVwqR9YM35hxLkw4TOZqpb9Dk/nYKzks&#10;q5CNPZHZpzs2ZpN6LnpKuf0RRBnSY3eXJ+gjBjUQw+fMlEH9CFEGJd3CVomop8yDkIguwlAmwzHG&#10;frbTLGpZIzL76MOsksPoWWL80ffg4D0k0gNicYN+NBVpLEbjXNEHieUSR4sUGUwYjXVnwL1XmQpj&#10;5Ky/AylDE1F6gWaLvecgD6W3/LrD979hPtwzh1OIPYObJdzhIRXgA8Bwo6QF9+s9ftTH4UApJT1O&#10;dU39zxVzghL1zeDYnE1ns7gGEjE7OimRcPuSl32JWelLwKbCycDs0jXqB7W7Sgf6GRfQIkZFETMc&#10;Y9eUB7cjLkPeNrjCuFgskhqOvmXhxjxaHp1HVGN/P22embPDEAScn1vYbQBWvZmFrBstDSxWAWSX&#10;BuUV1wFvXBupnYcVF/fSPp20Xhfx/DcAAAD//wMAUEsDBBQABgAIAAAAIQBqzGx33gAAAAYBAAAP&#10;AAAAZHJzL2Rvd25yZXYueG1sTI9Ba8JAEIXvQv/DMkJvutGWaGM2YgVvUqhtId7W7JgEd2dDdo1J&#10;f33XXtrLwOM93vsmXfdGsw5bV1sSMJtGwJAKq2oqBXx+7CZLYM5LUlJbQgEDOlhnD6NUJsre6B27&#10;gy9ZKCGXSAGV903CuSsqNNJNbYMUvLNtjfRBtiVXrbyFcqP5PIpibmRNYaGSDW4rLC6HqxGwXWyG&#10;fPG8z7+64rjPX992w/FbC/E47jcrYB57/xeGO35AhywwneyVlGNaQHjE/967N3uJYmAnAU/xfAk8&#10;S/l//OwHAAD//wMAUEsBAi0AFAAGAAgAAAAhALaDOJL+AAAA4QEAABMAAAAAAAAAAAAAAAAAAAAA&#10;AFtDb250ZW50X1R5cGVzXS54bWxQSwECLQAUAAYACAAAACEAOP0h/9YAAACUAQAACwAAAAAAAAAA&#10;AAAAAAAvAQAAX3JlbHMvLnJlbHNQSwECLQAUAAYACAAAACEAA6+DOqoCAADQBQAADgAAAAAAAAAA&#10;AAAAAAAuAgAAZHJzL2Uyb0RvYy54bWxQSwECLQAUAAYACAAAACEAasxsd94AAAAGAQAADwAAAAAA&#10;AAAAAAAAAAAEBQAAZHJzL2Rvd25yZXYueG1sUEsFBgAAAAAEAAQA8wAAAA8GAAAAAA==&#10;" fillcolor="#f8cec7 [662]" stroked="f" strokeweight="1pt">
                <w10:wrap anchorx="page" anchory="page"/>
              </v:rect>
            </w:pict>
          </mc:Fallback>
        </mc:AlternateContent>
      </w:r>
      <w:r w:rsidR="00AA3035">
        <w:br/>
      </w:r>
      <w:bookmarkStart w:id="171" w:name="_Toc465205504"/>
      <w:r w:rsidR="00083361" w:rsidRPr="00710C44">
        <w:rPr>
          <w:color w:val="auto"/>
        </w:rPr>
        <w:t xml:space="preserve">Фискална политика и </w:t>
      </w:r>
      <w:r w:rsidR="002A37C0">
        <w:rPr>
          <w:color w:val="auto"/>
        </w:rPr>
        <w:t>о</w:t>
      </w:r>
      <w:r w:rsidR="00C87DE2">
        <w:rPr>
          <w:color w:val="auto"/>
        </w:rPr>
        <w:t>сновни параметри за периода 2024</w:t>
      </w:r>
      <w:r w:rsidR="00083361" w:rsidRPr="00710C44">
        <w:rPr>
          <w:color w:val="auto"/>
        </w:rPr>
        <w:t>-20</w:t>
      </w:r>
      <w:r w:rsidR="005D525B">
        <w:rPr>
          <w:color w:val="auto"/>
        </w:rPr>
        <w:t>2</w:t>
      </w:r>
      <w:r w:rsidR="00C87DE2">
        <w:rPr>
          <w:color w:val="auto"/>
        </w:rPr>
        <w:t>6</w:t>
      </w:r>
      <w:r w:rsidR="00AA3035" w:rsidRPr="00710C44">
        <w:rPr>
          <w:color w:val="auto"/>
        </w:rPr>
        <w:t> г.</w:t>
      </w:r>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71"/>
    </w:p>
    <w:p w:rsidR="00083361" w:rsidRPr="00006A45" w:rsidRDefault="00083361" w:rsidP="00DE2BDB">
      <w:pPr>
        <w:pStyle w:val="Heading2"/>
      </w:pPr>
      <w:bookmarkStart w:id="172" w:name="_Toc464224777"/>
      <w:bookmarkStart w:id="173" w:name="_Toc464225427"/>
      <w:bookmarkStart w:id="174" w:name="_Toc464458974"/>
      <w:bookmarkStart w:id="175" w:name="_Toc464459720"/>
      <w:bookmarkStart w:id="176" w:name="_Toc464460675"/>
      <w:bookmarkStart w:id="177" w:name="_Toc464463074"/>
      <w:bookmarkStart w:id="178" w:name="_Toc464464901"/>
      <w:bookmarkStart w:id="179" w:name="_Toc464465407"/>
      <w:bookmarkStart w:id="180" w:name="_Toc464465595"/>
      <w:bookmarkStart w:id="181" w:name="_Toc464466420"/>
      <w:bookmarkStart w:id="182" w:name="_Toc464466664"/>
      <w:bookmarkStart w:id="183" w:name="_Toc464644970"/>
      <w:bookmarkStart w:id="184" w:name="_Toc465205505"/>
      <w:bookmarkStart w:id="185" w:name="_Toc151557296"/>
      <w:bookmarkEnd w:id="169"/>
      <w:bookmarkEnd w:id="170"/>
      <w:r w:rsidRPr="00001344">
        <w:t>СРЕДНОСРОЧНИ</w:t>
      </w:r>
      <w:r w:rsidRPr="00006A45">
        <w:t xml:space="preserve"> ЦЕЛИ НА ФИСКАЛНАТА ПОЛИТИКА</w:t>
      </w:r>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p>
    <w:p w:rsidR="00F54958" w:rsidRDefault="00F54958" w:rsidP="00B74041">
      <w:pPr>
        <w:rPr>
          <w:rFonts w:eastAsia="Times New Roman" w:cs="Times New Roman"/>
          <w:lang w:bidi="bg-BG"/>
        </w:rPr>
      </w:pPr>
    </w:p>
    <w:p w:rsidR="00B74041" w:rsidRPr="00B74041" w:rsidRDefault="00B74041" w:rsidP="00B74041">
      <w:pPr>
        <w:rPr>
          <w:rFonts w:eastAsia="Times New Roman" w:cs="Times New Roman"/>
          <w:lang w:bidi="bg-BG"/>
        </w:rPr>
      </w:pPr>
      <w:r w:rsidRPr="00B74041">
        <w:rPr>
          <w:rFonts w:eastAsia="Times New Roman" w:cs="Times New Roman"/>
          <w:lang w:bidi="bg-BG"/>
        </w:rPr>
        <w:t>Подготовката на Бюджет 2024 и актуализираната средносрочна бюджетна прогноза за периода 2024-2026 г. беше повлияна от късното приемане на Бюджет 2023.</w:t>
      </w:r>
    </w:p>
    <w:p w:rsidR="00B74041" w:rsidRPr="00B74041" w:rsidRDefault="00B74041" w:rsidP="00B74041">
      <w:pPr>
        <w:rPr>
          <w:rFonts w:eastAsia="Times New Roman" w:cs="Times New Roman"/>
          <w:lang w:bidi="bg-BG"/>
        </w:rPr>
      </w:pPr>
      <w:r w:rsidRPr="00B74041">
        <w:rPr>
          <w:rFonts w:eastAsia="Times New Roman" w:cs="Times New Roman"/>
          <w:lang w:bidi="bg-BG"/>
        </w:rPr>
        <w:t xml:space="preserve">Запазват се целите на фискалната политика по отношение на дефицита в средносрочен план при спазване на фискалните правила и ограничения по националното и европейското законодателство, </w:t>
      </w:r>
      <w:r w:rsidR="00AA29FD" w:rsidRPr="00AA29FD">
        <w:rPr>
          <w:rFonts w:eastAsia="Times New Roman" w:cs="Times New Roman"/>
          <w:lang w:bidi="bg-BG"/>
        </w:rPr>
        <w:t xml:space="preserve">при осигуряване на необходимия финансов ресурс за изпълнение </w:t>
      </w:r>
      <w:r w:rsidR="00AA29FD">
        <w:rPr>
          <w:rFonts w:eastAsia="Times New Roman" w:cs="Times New Roman"/>
          <w:lang w:bidi="bg-BG"/>
        </w:rPr>
        <w:t>на</w:t>
      </w:r>
      <w:r w:rsidR="00662D79">
        <w:rPr>
          <w:rFonts w:eastAsia="Times New Roman" w:cs="Times New Roman"/>
          <w:lang w:bidi="bg-BG"/>
        </w:rPr>
        <w:t xml:space="preserve"> </w:t>
      </w:r>
      <w:r w:rsidRPr="00B74041">
        <w:rPr>
          <w:rFonts w:eastAsia="Times New Roman" w:cs="Times New Roman"/>
          <w:lang w:bidi="bg-BG"/>
        </w:rPr>
        <w:t>разходните приоритети, заложени в правителствената програма, с акцент върху социалните политики, инвестиционните програми и реформите, финансирани както от националния бюджет, така и от сметки</w:t>
      </w:r>
      <w:r w:rsidR="00662D79">
        <w:rPr>
          <w:rFonts w:eastAsia="Times New Roman" w:cs="Times New Roman"/>
          <w:lang w:bidi="bg-BG"/>
        </w:rPr>
        <w:t>те</w:t>
      </w:r>
      <w:r w:rsidRPr="00B74041">
        <w:rPr>
          <w:rFonts w:eastAsia="Times New Roman" w:cs="Times New Roman"/>
          <w:lang w:bidi="bg-BG"/>
        </w:rPr>
        <w:t xml:space="preserve"> за средства от ЕС. </w:t>
      </w:r>
    </w:p>
    <w:p w:rsidR="00B74041" w:rsidRPr="00B74041" w:rsidRDefault="00B74041" w:rsidP="00B74041">
      <w:pPr>
        <w:rPr>
          <w:rFonts w:eastAsia="Times New Roman" w:cs="Times New Roman"/>
          <w:lang w:bidi="bg-BG"/>
        </w:rPr>
      </w:pPr>
      <w:r w:rsidRPr="00B74041">
        <w:rPr>
          <w:rFonts w:eastAsia="Times New Roman" w:cs="Times New Roman"/>
          <w:lang w:bidi="bg-BG"/>
        </w:rPr>
        <w:t xml:space="preserve">За </w:t>
      </w:r>
      <w:r w:rsidR="005501BC">
        <w:rPr>
          <w:rFonts w:eastAsia="Times New Roman" w:cs="Times New Roman"/>
          <w:lang w:bidi="bg-BG"/>
        </w:rPr>
        <w:t xml:space="preserve">осигуряване </w:t>
      </w:r>
      <w:r w:rsidRPr="00B74041">
        <w:rPr>
          <w:rFonts w:eastAsia="Times New Roman" w:cs="Times New Roman"/>
          <w:lang w:bidi="bg-BG"/>
        </w:rPr>
        <w:t>реалистичността на бюджетните прогнози са взети предвид оценките на отчетните данни за параметрите на показателите по КФП за 2022 г., както и за програмата и очакваното изпълнение за 2023 г.</w:t>
      </w:r>
    </w:p>
    <w:p w:rsidR="00B74041" w:rsidRDefault="00B74041" w:rsidP="00B74041">
      <w:pPr>
        <w:pStyle w:val="Caption"/>
        <w:rPr>
          <w:vertAlign w:val="superscript"/>
        </w:rPr>
      </w:pPr>
      <w:bookmarkStart w:id="186" w:name="_Toc150443415"/>
      <w:r w:rsidRPr="00006A45">
        <w:t xml:space="preserve">Табл. </w:t>
      </w:r>
      <w:fldSimple w:instr=" STYLEREF 1 \s ">
        <w:r w:rsidR="005A69ED">
          <w:rPr>
            <w:noProof/>
          </w:rPr>
          <w:t>II</w:t>
        </w:r>
      </w:fldSimple>
      <w:r w:rsidRPr="00006A45">
        <w:noBreakHyphen/>
      </w:r>
      <w:fldSimple w:instr=" SEQ Табл. \* ARABIC \s 1 ">
        <w:r w:rsidR="005A69ED">
          <w:rPr>
            <w:noProof/>
          </w:rPr>
          <w:t>1</w:t>
        </w:r>
      </w:fldSimple>
      <w:r w:rsidRPr="00006A45">
        <w:t>:</w:t>
      </w:r>
      <w:r w:rsidRPr="00006A45">
        <w:tab/>
      </w:r>
      <w:r w:rsidRPr="00B74041">
        <w:t>Основни показатели на КФП (касова основа)</w:t>
      </w:r>
      <w:r w:rsidRPr="00B74041">
        <w:rPr>
          <w:vertAlign w:val="superscript"/>
        </w:rPr>
        <w:t xml:space="preserve"> </w:t>
      </w:r>
      <w:r w:rsidRPr="00B74041">
        <w:rPr>
          <w:vertAlign w:val="superscript"/>
        </w:rPr>
        <w:footnoteReference w:id="8"/>
      </w:r>
      <w:bookmarkEnd w:id="186"/>
    </w:p>
    <w:p w:rsidR="00777C89" w:rsidRDefault="00777C89" w:rsidP="00777C89"/>
    <w:tbl>
      <w:tblPr>
        <w:tblW w:w="10348" w:type="dxa"/>
        <w:tblInd w:w="-567" w:type="dxa"/>
        <w:tblCellMar>
          <w:left w:w="70" w:type="dxa"/>
          <w:right w:w="70" w:type="dxa"/>
        </w:tblCellMar>
        <w:tblLook w:val="04A0" w:firstRow="1" w:lastRow="0" w:firstColumn="1" w:lastColumn="0" w:noHBand="0" w:noVBand="1"/>
      </w:tblPr>
      <w:tblGrid>
        <w:gridCol w:w="1701"/>
        <w:gridCol w:w="851"/>
        <w:gridCol w:w="572"/>
        <w:gridCol w:w="8"/>
        <w:gridCol w:w="837"/>
        <w:gridCol w:w="580"/>
        <w:gridCol w:w="838"/>
        <w:gridCol w:w="725"/>
        <w:gridCol w:w="834"/>
        <w:gridCol w:w="580"/>
        <w:gridCol w:w="15"/>
        <w:gridCol w:w="823"/>
        <w:gridCol w:w="580"/>
        <w:gridCol w:w="22"/>
        <w:gridCol w:w="815"/>
        <w:gridCol w:w="580"/>
      </w:tblGrid>
      <w:tr w:rsidR="00777C89" w:rsidRPr="00777C89" w:rsidTr="00777C89">
        <w:trPr>
          <w:trHeight w:val="300"/>
        </w:trPr>
        <w:tc>
          <w:tcPr>
            <w:tcW w:w="1701" w:type="dxa"/>
            <w:vMerge w:val="restart"/>
            <w:tcBorders>
              <w:top w:val="single" w:sz="4" w:space="0" w:color="auto"/>
              <w:left w:val="nil"/>
              <w:bottom w:val="single" w:sz="4" w:space="0" w:color="000000"/>
              <w:right w:val="nil"/>
            </w:tcBorders>
            <w:shd w:val="clear" w:color="auto" w:fill="auto"/>
            <w:noWrap/>
            <w:vAlign w:val="center"/>
            <w:hideMark/>
          </w:tcPr>
          <w:p w:rsidR="00777C89" w:rsidRPr="00777C89" w:rsidRDefault="00777C89" w:rsidP="00777C89">
            <w:pPr>
              <w:spacing w:after="0"/>
              <w:jc w:val="center"/>
              <w:rPr>
                <w:rFonts w:eastAsia="Times New Roman" w:cs="Times New Roman"/>
                <w:b/>
                <w:bCs/>
                <w:color w:val="000000"/>
                <w:sz w:val="16"/>
                <w:szCs w:val="16"/>
              </w:rPr>
            </w:pPr>
            <w:r w:rsidRPr="00777C89">
              <w:rPr>
                <w:rFonts w:eastAsia="Times New Roman" w:cs="Times New Roman"/>
                <w:b/>
                <w:bCs/>
                <w:color w:val="000000"/>
                <w:sz w:val="16"/>
                <w:szCs w:val="16"/>
              </w:rPr>
              <w:t>Показатели</w:t>
            </w:r>
          </w:p>
        </w:tc>
        <w:tc>
          <w:tcPr>
            <w:tcW w:w="1423" w:type="dxa"/>
            <w:gridSpan w:val="2"/>
            <w:vMerge w:val="restart"/>
            <w:tcBorders>
              <w:top w:val="single" w:sz="4" w:space="0" w:color="auto"/>
              <w:left w:val="nil"/>
              <w:bottom w:val="single" w:sz="4" w:space="0" w:color="000000"/>
              <w:right w:val="nil"/>
            </w:tcBorders>
            <w:shd w:val="clear" w:color="auto" w:fill="auto"/>
            <w:vAlign w:val="center"/>
            <w:hideMark/>
          </w:tcPr>
          <w:p w:rsidR="00777C89" w:rsidRPr="00777C89" w:rsidRDefault="00777C89" w:rsidP="00777C89">
            <w:pPr>
              <w:spacing w:after="0"/>
              <w:jc w:val="center"/>
              <w:rPr>
                <w:rFonts w:eastAsia="Times New Roman" w:cs="Times New Roman"/>
                <w:b/>
                <w:bCs/>
                <w:color w:val="000000"/>
                <w:sz w:val="16"/>
                <w:szCs w:val="16"/>
              </w:rPr>
            </w:pPr>
            <w:r w:rsidRPr="00777C89">
              <w:rPr>
                <w:rFonts w:eastAsia="Times New Roman" w:cs="Times New Roman"/>
                <w:b/>
                <w:bCs/>
                <w:color w:val="000000"/>
                <w:sz w:val="16"/>
                <w:szCs w:val="16"/>
              </w:rPr>
              <w:t>2022 г.</w:t>
            </w:r>
            <w:r w:rsidRPr="00777C89">
              <w:rPr>
                <w:rFonts w:eastAsia="Times New Roman" w:cs="Times New Roman"/>
                <w:b/>
                <w:bCs/>
                <w:color w:val="000000"/>
                <w:sz w:val="16"/>
                <w:szCs w:val="16"/>
              </w:rPr>
              <w:br/>
              <w:t>Отчет</w:t>
            </w:r>
          </w:p>
        </w:tc>
        <w:tc>
          <w:tcPr>
            <w:tcW w:w="1425" w:type="dxa"/>
            <w:gridSpan w:val="3"/>
            <w:vMerge w:val="restart"/>
            <w:tcBorders>
              <w:top w:val="single" w:sz="4" w:space="0" w:color="auto"/>
              <w:left w:val="nil"/>
              <w:bottom w:val="single" w:sz="4" w:space="0" w:color="000000"/>
              <w:right w:val="nil"/>
            </w:tcBorders>
            <w:shd w:val="clear" w:color="auto" w:fill="auto"/>
            <w:vAlign w:val="center"/>
            <w:hideMark/>
          </w:tcPr>
          <w:p w:rsidR="00777C89" w:rsidRPr="00777C89" w:rsidRDefault="00777C89" w:rsidP="00777C89">
            <w:pPr>
              <w:spacing w:after="0"/>
              <w:jc w:val="center"/>
              <w:rPr>
                <w:rFonts w:eastAsia="Times New Roman" w:cs="Times New Roman"/>
                <w:b/>
                <w:bCs/>
                <w:color w:val="000000"/>
                <w:sz w:val="16"/>
                <w:szCs w:val="16"/>
              </w:rPr>
            </w:pPr>
            <w:r w:rsidRPr="00777C89">
              <w:rPr>
                <w:rFonts w:eastAsia="Times New Roman" w:cs="Times New Roman"/>
                <w:b/>
                <w:bCs/>
                <w:color w:val="000000"/>
                <w:sz w:val="16"/>
                <w:szCs w:val="16"/>
              </w:rPr>
              <w:t>2023</w:t>
            </w:r>
            <w:r w:rsidRPr="00777C89">
              <w:rPr>
                <w:rFonts w:eastAsia="Times New Roman" w:cs="Times New Roman"/>
                <w:b/>
                <w:bCs/>
                <w:color w:val="000000"/>
                <w:sz w:val="16"/>
                <w:szCs w:val="16"/>
              </w:rPr>
              <w:br/>
              <w:t>Програма</w:t>
            </w:r>
          </w:p>
        </w:tc>
        <w:tc>
          <w:tcPr>
            <w:tcW w:w="1563" w:type="dxa"/>
            <w:gridSpan w:val="2"/>
            <w:vMerge w:val="restart"/>
            <w:tcBorders>
              <w:top w:val="single" w:sz="4" w:space="0" w:color="auto"/>
              <w:left w:val="nil"/>
              <w:bottom w:val="single" w:sz="4" w:space="0" w:color="000000"/>
              <w:right w:val="nil"/>
            </w:tcBorders>
            <w:shd w:val="clear" w:color="auto" w:fill="auto"/>
            <w:vAlign w:val="center"/>
            <w:hideMark/>
          </w:tcPr>
          <w:p w:rsidR="00777C89" w:rsidRPr="00777C89" w:rsidRDefault="00777C89" w:rsidP="00777C89">
            <w:pPr>
              <w:spacing w:after="0"/>
              <w:jc w:val="center"/>
              <w:rPr>
                <w:rFonts w:eastAsia="Times New Roman" w:cs="Times New Roman"/>
                <w:b/>
                <w:bCs/>
                <w:color w:val="000000"/>
                <w:sz w:val="16"/>
                <w:szCs w:val="16"/>
              </w:rPr>
            </w:pPr>
            <w:r w:rsidRPr="00777C89">
              <w:rPr>
                <w:rFonts w:eastAsia="Times New Roman" w:cs="Times New Roman"/>
                <w:b/>
                <w:bCs/>
                <w:color w:val="000000"/>
                <w:sz w:val="16"/>
                <w:szCs w:val="16"/>
              </w:rPr>
              <w:t>2023</w:t>
            </w:r>
            <w:r w:rsidRPr="00777C89">
              <w:rPr>
                <w:rFonts w:eastAsia="Times New Roman" w:cs="Times New Roman"/>
                <w:b/>
                <w:bCs/>
                <w:color w:val="000000"/>
                <w:sz w:val="16"/>
                <w:szCs w:val="16"/>
              </w:rPr>
              <w:br/>
              <w:t>Очакв.</w:t>
            </w:r>
          </w:p>
        </w:tc>
        <w:tc>
          <w:tcPr>
            <w:tcW w:w="1429" w:type="dxa"/>
            <w:gridSpan w:val="3"/>
            <w:vMerge w:val="restart"/>
            <w:tcBorders>
              <w:top w:val="single" w:sz="4" w:space="0" w:color="auto"/>
              <w:left w:val="nil"/>
              <w:bottom w:val="single" w:sz="4" w:space="0" w:color="000000"/>
              <w:right w:val="nil"/>
            </w:tcBorders>
            <w:shd w:val="clear" w:color="auto" w:fill="auto"/>
            <w:vAlign w:val="center"/>
            <w:hideMark/>
          </w:tcPr>
          <w:p w:rsidR="00777C89" w:rsidRPr="00777C89" w:rsidRDefault="00777C89" w:rsidP="00777C89">
            <w:pPr>
              <w:spacing w:after="0"/>
              <w:jc w:val="center"/>
              <w:rPr>
                <w:rFonts w:eastAsia="Times New Roman" w:cs="Times New Roman"/>
                <w:b/>
                <w:bCs/>
                <w:color w:val="000000"/>
                <w:sz w:val="16"/>
                <w:szCs w:val="16"/>
              </w:rPr>
            </w:pPr>
            <w:r w:rsidRPr="00777C89">
              <w:rPr>
                <w:rFonts w:eastAsia="Times New Roman" w:cs="Times New Roman"/>
                <w:b/>
                <w:bCs/>
                <w:color w:val="000000"/>
                <w:sz w:val="16"/>
                <w:szCs w:val="16"/>
              </w:rPr>
              <w:t>2024 г.</w:t>
            </w:r>
            <w:r w:rsidRPr="00777C89">
              <w:rPr>
                <w:rFonts w:eastAsia="Times New Roman" w:cs="Times New Roman"/>
                <w:b/>
                <w:bCs/>
                <w:color w:val="000000"/>
                <w:sz w:val="16"/>
                <w:szCs w:val="16"/>
              </w:rPr>
              <w:br/>
              <w:t>Проект</w:t>
            </w:r>
          </w:p>
        </w:tc>
        <w:tc>
          <w:tcPr>
            <w:tcW w:w="1425" w:type="dxa"/>
            <w:gridSpan w:val="3"/>
            <w:vMerge w:val="restart"/>
            <w:tcBorders>
              <w:top w:val="single" w:sz="4" w:space="0" w:color="auto"/>
              <w:left w:val="nil"/>
              <w:bottom w:val="single" w:sz="4" w:space="0" w:color="000000"/>
              <w:right w:val="nil"/>
            </w:tcBorders>
            <w:shd w:val="clear" w:color="auto" w:fill="auto"/>
            <w:vAlign w:val="center"/>
            <w:hideMark/>
          </w:tcPr>
          <w:p w:rsidR="00777C89" w:rsidRPr="00777C89" w:rsidRDefault="00777C89" w:rsidP="00777C89">
            <w:pPr>
              <w:spacing w:after="0"/>
              <w:jc w:val="center"/>
              <w:rPr>
                <w:rFonts w:eastAsia="Times New Roman" w:cs="Times New Roman"/>
                <w:b/>
                <w:bCs/>
                <w:color w:val="000000"/>
                <w:sz w:val="16"/>
                <w:szCs w:val="16"/>
              </w:rPr>
            </w:pPr>
            <w:r w:rsidRPr="00777C89">
              <w:rPr>
                <w:rFonts w:eastAsia="Times New Roman" w:cs="Times New Roman"/>
                <w:b/>
                <w:bCs/>
                <w:color w:val="000000"/>
                <w:sz w:val="16"/>
                <w:szCs w:val="16"/>
              </w:rPr>
              <w:t>2025 г.</w:t>
            </w:r>
            <w:r w:rsidRPr="00777C89">
              <w:rPr>
                <w:rFonts w:eastAsia="Times New Roman" w:cs="Times New Roman"/>
                <w:b/>
                <w:bCs/>
                <w:color w:val="000000"/>
                <w:sz w:val="16"/>
                <w:szCs w:val="16"/>
              </w:rPr>
              <w:br/>
              <w:t>Прогноза</w:t>
            </w:r>
          </w:p>
        </w:tc>
        <w:tc>
          <w:tcPr>
            <w:tcW w:w="1382" w:type="dxa"/>
            <w:gridSpan w:val="2"/>
            <w:vMerge w:val="restart"/>
            <w:tcBorders>
              <w:top w:val="single" w:sz="4" w:space="0" w:color="auto"/>
              <w:left w:val="nil"/>
              <w:bottom w:val="single" w:sz="4" w:space="0" w:color="000000"/>
              <w:right w:val="nil"/>
            </w:tcBorders>
            <w:shd w:val="clear" w:color="auto" w:fill="auto"/>
            <w:vAlign w:val="center"/>
            <w:hideMark/>
          </w:tcPr>
          <w:p w:rsidR="00777C89" w:rsidRPr="00777C89" w:rsidRDefault="00777C89" w:rsidP="00777C89">
            <w:pPr>
              <w:spacing w:after="0"/>
              <w:jc w:val="center"/>
              <w:rPr>
                <w:rFonts w:eastAsia="Times New Roman" w:cs="Times New Roman"/>
                <w:b/>
                <w:bCs/>
                <w:color w:val="000000"/>
                <w:sz w:val="16"/>
                <w:szCs w:val="16"/>
              </w:rPr>
            </w:pPr>
            <w:r w:rsidRPr="00777C89">
              <w:rPr>
                <w:rFonts w:eastAsia="Times New Roman" w:cs="Times New Roman"/>
                <w:b/>
                <w:bCs/>
                <w:color w:val="000000"/>
                <w:sz w:val="16"/>
                <w:szCs w:val="16"/>
              </w:rPr>
              <w:t>2026 г.</w:t>
            </w:r>
            <w:r w:rsidRPr="00777C89">
              <w:rPr>
                <w:rFonts w:eastAsia="Times New Roman" w:cs="Times New Roman"/>
                <w:b/>
                <w:bCs/>
                <w:color w:val="000000"/>
                <w:sz w:val="16"/>
                <w:szCs w:val="16"/>
              </w:rPr>
              <w:br/>
              <w:t>Прогноза</w:t>
            </w:r>
          </w:p>
        </w:tc>
      </w:tr>
      <w:tr w:rsidR="00777C89" w:rsidRPr="00777C89" w:rsidTr="00777C89">
        <w:trPr>
          <w:trHeight w:val="517"/>
        </w:trPr>
        <w:tc>
          <w:tcPr>
            <w:tcW w:w="1701" w:type="dxa"/>
            <w:vMerge/>
            <w:tcBorders>
              <w:top w:val="single" w:sz="4" w:space="0" w:color="auto"/>
              <w:left w:val="nil"/>
              <w:bottom w:val="single" w:sz="4" w:space="0" w:color="000000"/>
              <w:right w:val="nil"/>
            </w:tcBorders>
            <w:vAlign w:val="center"/>
            <w:hideMark/>
          </w:tcPr>
          <w:p w:rsidR="00777C89" w:rsidRPr="00777C89" w:rsidRDefault="00777C89" w:rsidP="00777C89">
            <w:pPr>
              <w:spacing w:after="0"/>
              <w:jc w:val="left"/>
              <w:rPr>
                <w:rFonts w:eastAsia="Times New Roman" w:cs="Times New Roman"/>
                <w:b/>
                <w:bCs/>
                <w:color w:val="000000"/>
                <w:sz w:val="16"/>
                <w:szCs w:val="16"/>
              </w:rPr>
            </w:pPr>
          </w:p>
        </w:tc>
        <w:tc>
          <w:tcPr>
            <w:tcW w:w="1423" w:type="dxa"/>
            <w:gridSpan w:val="2"/>
            <w:vMerge/>
            <w:tcBorders>
              <w:top w:val="single" w:sz="4" w:space="0" w:color="auto"/>
              <w:left w:val="nil"/>
              <w:bottom w:val="single" w:sz="4" w:space="0" w:color="000000"/>
              <w:right w:val="nil"/>
            </w:tcBorders>
            <w:vAlign w:val="center"/>
            <w:hideMark/>
          </w:tcPr>
          <w:p w:rsidR="00777C89" w:rsidRPr="00777C89" w:rsidRDefault="00777C89" w:rsidP="00777C89">
            <w:pPr>
              <w:spacing w:after="0"/>
              <w:jc w:val="left"/>
              <w:rPr>
                <w:rFonts w:eastAsia="Times New Roman" w:cs="Times New Roman"/>
                <w:b/>
                <w:bCs/>
                <w:color w:val="000000"/>
                <w:sz w:val="16"/>
                <w:szCs w:val="16"/>
              </w:rPr>
            </w:pPr>
          </w:p>
        </w:tc>
        <w:tc>
          <w:tcPr>
            <w:tcW w:w="1425" w:type="dxa"/>
            <w:gridSpan w:val="3"/>
            <w:vMerge/>
            <w:tcBorders>
              <w:top w:val="single" w:sz="4" w:space="0" w:color="auto"/>
              <w:left w:val="nil"/>
              <w:bottom w:val="single" w:sz="4" w:space="0" w:color="000000"/>
              <w:right w:val="nil"/>
            </w:tcBorders>
            <w:vAlign w:val="center"/>
            <w:hideMark/>
          </w:tcPr>
          <w:p w:rsidR="00777C89" w:rsidRPr="00777C89" w:rsidRDefault="00777C89" w:rsidP="00777C89">
            <w:pPr>
              <w:spacing w:after="0"/>
              <w:jc w:val="left"/>
              <w:rPr>
                <w:rFonts w:eastAsia="Times New Roman" w:cs="Times New Roman"/>
                <w:b/>
                <w:bCs/>
                <w:color w:val="000000"/>
                <w:sz w:val="16"/>
                <w:szCs w:val="16"/>
              </w:rPr>
            </w:pPr>
          </w:p>
        </w:tc>
        <w:tc>
          <w:tcPr>
            <w:tcW w:w="1563" w:type="dxa"/>
            <w:gridSpan w:val="2"/>
            <w:vMerge/>
            <w:tcBorders>
              <w:top w:val="single" w:sz="4" w:space="0" w:color="auto"/>
              <w:left w:val="nil"/>
              <w:bottom w:val="single" w:sz="4" w:space="0" w:color="000000"/>
              <w:right w:val="nil"/>
            </w:tcBorders>
            <w:vAlign w:val="center"/>
            <w:hideMark/>
          </w:tcPr>
          <w:p w:rsidR="00777C89" w:rsidRPr="00777C89" w:rsidRDefault="00777C89" w:rsidP="00777C89">
            <w:pPr>
              <w:spacing w:after="0"/>
              <w:jc w:val="left"/>
              <w:rPr>
                <w:rFonts w:eastAsia="Times New Roman" w:cs="Times New Roman"/>
                <w:b/>
                <w:bCs/>
                <w:color w:val="000000"/>
                <w:sz w:val="16"/>
                <w:szCs w:val="16"/>
              </w:rPr>
            </w:pPr>
          </w:p>
        </w:tc>
        <w:tc>
          <w:tcPr>
            <w:tcW w:w="1429" w:type="dxa"/>
            <w:gridSpan w:val="3"/>
            <w:vMerge/>
            <w:tcBorders>
              <w:top w:val="single" w:sz="4" w:space="0" w:color="auto"/>
              <w:left w:val="nil"/>
              <w:bottom w:val="single" w:sz="4" w:space="0" w:color="000000"/>
              <w:right w:val="nil"/>
            </w:tcBorders>
            <w:vAlign w:val="center"/>
            <w:hideMark/>
          </w:tcPr>
          <w:p w:rsidR="00777C89" w:rsidRPr="00777C89" w:rsidRDefault="00777C89" w:rsidP="00777C89">
            <w:pPr>
              <w:spacing w:after="0"/>
              <w:jc w:val="left"/>
              <w:rPr>
                <w:rFonts w:eastAsia="Times New Roman" w:cs="Times New Roman"/>
                <w:b/>
                <w:bCs/>
                <w:color w:val="000000"/>
                <w:sz w:val="16"/>
                <w:szCs w:val="16"/>
              </w:rPr>
            </w:pPr>
          </w:p>
        </w:tc>
        <w:tc>
          <w:tcPr>
            <w:tcW w:w="1425" w:type="dxa"/>
            <w:gridSpan w:val="3"/>
            <w:vMerge/>
            <w:tcBorders>
              <w:top w:val="single" w:sz="4" w:space="0" w:color="auto"/>
              <w:left w:val="nil"/>
              <w:bottom w:val="single" w:sz="4" w:space="0" w:color="000000"/>
              <w:right w:val="nil"/>
            </w:tcBorders>
            <w:vAlign w:val="center"/>
            <w:hideMark/>
          </w:tcPr>
          <w:p w:rsidR="00777C89" w:rsidRPr="00777C89" w:rsidRDefault="00777C89" w:rsidP="00777C89">
            <w:pPr>
              <w:spacing w:after="0"/>
              <w:jc w:val="left"/>
              <w:rPr>
                <w:rFonts w:eastAsia="Times New Roman" w:cs="Times New Roman"/>
                <w:b/>
                <w:bCs/>
                <w:color w:val="000000"/>
                <w:sz w:val="16"/>
                <w:szCs w:val="16"/>
              </w:rPr>
            </w:pPr>
          </w:p>
        </w:tc>
        <w:tc>
          <w:tcPr>
            <w:tcW w:w="1382" w:type="dxa"/>
            <w:gridSpan w:val="2"/>
            <w:vMerge/>
            <w:tcBorders>
              <w:top w:val="single" w:sz="4" w:space="0" w:color="auto"/>
              <w:left w:val="nil"/>
              <w:bottom w:val="single" w:sz="4" w:space="0" w:color="000000"/>
              <w:right w:val="nil"/>
            </w:tcBorders>
            <w:vAlign w:val="center"/>
            <w:hideMark/>
          </w:tcPr>
          <w:p w:rsidR="00777C89" w:rsidRPr="00777C89" w:rsidRDefault="00777C89" w:rsidP="00777C89">
            <w:pPr>
              <w:spacing w:after="0"/>
              <w:jc w:val="left"/>
              <w:rPr>
                <w:rFonts w:eastAsia="Times New Roman" w:cs="Times New Roman"/>
                <w:b/>
                <w:bCs/>
                <w:color w:val="000000"/>
                <w:sz w:val="16"/>
                <w:szCs w:val="16"/>
              </w:rPr>
            </w:pPr>
          </w:p>
        </w:tc>
      </w:tr>
      <w:tr w:rsidR="00777C89" w:rsidRPr="00777C89" w:rsidTr="00777C89">
        <w:trPr>
          <w:trHeight w:val="517"/>
        </w:trPr>
        <w:tc>
          <w:tcPr>
            <w:tcW w:w="1701" w:type="dxa"/>
            <w:vMerge/>
            <w:tcBorders>
              <w:top w:val="single" w:sz="4" w:space="0" w:color="auto"/>
              <w:left w:val="nil"/>
              <w:bottom w:val="single" w:sz="4" w:space="0" w:color="000000"/>
              <w:right w:val="nil"/>
            </w:tcBorders>
            <w:vAlign w:val="center"/>
            <w:hideMark/>
          </w:tcPr>
          <w:p w:rsidR="00777C89" w:rsidRPr="00777C89" w:rsidRDefault="00777C89" w:rsidP="00777C89">
            <w:pPr>
              <w:spacing w:after="0"/>
              <w:jc w:val="left"/>
              <w:rPr>
                <w:rFonts w:eastAsia="Times New Roman" w:cs="Times New Roman"/>
                <w:b/>
                <w:bCs/>
                <w:color w:val="000000"/>
                <w:sz w:val="16"/>
                <w:szCs w:val="16"/>
              </w:rPr>
            </w:pPr>
          </w:p>
        </w:tc>
        <w:tc>
          <w:tcPr>
            <w:tcW w:w="1423" w:type="dxa"/>
            <w:gridSpan w:val="2"/>
            <w:vMerge/>
            <w:tcBorders>
              <w:top w:val="single" w:sz="4" w:space="0" w:color="auto"/>
              <w:left w:val="nil"/>
              <w:bottom w:val="single" w:sz="4" w:space="0" w:color="000000"/>
              <w:right w:val="nil"/>
            </w:tcBorders>
            <w:vAlign w:val="center"/>
            <w:hideMark/>
          </w:tcPr>
          <w:p w:rsidR="00777C89" w:rsidRPr="00777C89" w:rsidRDefault="00777C89" w:rsidP="00777C89">
            <w:pPr>
              <w:spacing w:after="0"/>
              <w:jc w:val="left"/>
              <w:rPr>
                <w:rFonts w:eastAsia="Times New Roman" w:cs="Times New Roman"/>
                <w:b/>
                <w:bCs/>
                <w:color w:val="000000"/>
                <w:sz w:val="16"/>
                <w:szCs w:val="16"/>
              </w:rPr>
            </w:pPr>
          </w:p>
        </w:tc>
        <w:tc>
          <w:tcPr>
            <w:tcW w:w="1425" w:type="dxa"/>
            <w:gridSpan w:val="3"/>
            <w:vMerge/>
            <w:tcBorders>
              <w:top w:val="single" w:sz="4" w:space="0" w:color="auto"/>
              <w:left w:val="nil"/>
              <w:bottom w:val="single" w:sz="4" w:space="0" w:color="000000"/>
              <w:right w:val="nil"/>
            </w:tcBorders>
            <w:vAlign w:val="center"/>
            <w:hideMark/>
          </w:tcPr>
          <w:p w:rsidR="00777C89" w:rsidRPr="00777C89" w:rsidRDefault="00777C89" w:rsidP="00777C89">
            <w:pPr>
              <w:spacing w:after="0"/>
              <w:jc w:val="left"/>
              <w:rPr>
                <w:rFonts w:eastAsia="Times New Roman" w:cs="Times New Roman"/>
                <w:b/>
                <w:bCs/>
                <w:color w:val="000000"/>
                <w:sz w:val="16"/>
                <w:szCs w:val="16"/>
              </w:rPr>
            </w:pPr>
          </w:p>
        </w:tc>
        <w:tc>
          <w:tcPr>
            <w:tcW w:w="1563" w:type="dxa"/>
            <w:gridSpan w:val="2"/>
            <w:vMerge/>
            <w:tcBorders>
              <w:top w:val="single" w:sz="4" w:space="0" w:color="auto"/>
              <w:left w:val="nil"/>
              <w:bottom w:val="single" w:sz="4" w:space="0" w:color="000000"/>
              <w:right w:val="nil"/>
            </w:tcBorders>
            <w:vAlign w:val="center"/>
            <w:hideMark/>
          </w:tcPr>
          <w:p w:rsidR="00777C89" w:rsidRPr="00777C89" w:rsidRDefault="00777C89" w:rsidP="00777C89">
            <w:pPr>
              <w:spacing w:after="0"/>
              <w:jc w:val="left"/>
              <w:rPr>
                <w:rFonts w:eastAsia="Times New Roman" w:cs="Times New Roman"/>
                <w:b/>
                <w:bCs/>
                <w:color w:val="000000"/>
                <w:sz w:val="16"/>
                <w:szCs w:val="16"/>
              </w:rPr>
            </w:pPr>
          </w:p>
        </w:tc>
        <w:tc>
          <w:tcPr>
            <w:tcW w:w="1429" w:type="dxa"/>
            <w:gridSpan w:val="3"/>
            <w:vMerge/>
            <w:tcBorders>
              <w:top w:val="single" w:sz="4" w:space="0" w:color="auto"/>
              <w:left w:val="nil"/>
              <w:bottom w:val="single" w:sz="4" w:space="0" w:color="000000"/>
              <w:right w:val="nil"/>
            </w:tcBorders>
            <w:vAlign w:val="center"/>
            <w:hideMark/>
          </w:tcPr>
          <w:p w:rsidR="00777C89" w:rsidRPr="00777C89" w:rsidRDefault="00777C89" w:rsidP="00777C89">
            <w:pPr>
              <w:spacing w:after="0"/>
              <w:jc w:val="left"/>
              <w:rPr>
                <w:rFonts w:eastAsia="Times New Roman" w:cs="Times New Roman"/>
                <w:b/>
                <w:bCs/>
                <w:color w:val="000000"/>
                <w:sz w:val="16"/>
                <w:szCs w:val="16"/>
              </w:rPr>
            </w:pPr>
          </w:p>
        </w:tc>
        <w:tc>
          <w:tcPr>
            <w:tcW w:w="1425" w:type="dxa"/>
            <w:gridSpan w:val="3"/>
            <w:vMerge/>
            <w:tcBorders>
              <w:top w:val="single" w:sz="4" w:space="0" w:color="auto"/>
              <w:left w:val="nil"/>
              <w:bottom w:val="single" w:sz="4" w:space="0" w:color="000000"/>
              <w:right w:val="nil"/>
            </w:tcBorders>
            <w:vAlign w:val="center"/>
            <w:hideMark/>
          </w:tcPr>
          <w:p w:rsidR="00777C89" w:rsidRPr="00777C89" w:rsidRDefault="00777C89" w:rsidP="00777C89">
            <w:pPr>
              <w:spacing w:after="0"/>
              <w:jc w:val="left"/>
              <w:rPr>
                <w:rFonts w:eastAsia="Times New Roman" w:cs="Times New Roman"/>
                <w:b/>
                <w:bCs/>
                <w:color w:val="000000"/>
                <w:sz w:val="16"/>
                <w:szCs w:val="16"/>
              </w:rPr>
            </w:pPr>
          </w:p>
        </w:tc>
        <w:tc>
          <w:tcPr>
            <w:tcW w:w="1382" w:type="dxa"/>
            <w:gridSpan w:val="2"/>
            <w:vMerge/>
            <w:tcBorders>
              <w:top w:val="single" w:sz="4" w:space="0" w:color="auto"/>
              <w:left w:val="nil"/>
              <w:bottom w:val="single" w:sz="4" w:space="0" w:color="000000"/>
              <w:right w:val="nil"/>
            </w:tcBorders>
            <w:vAlign w:val="center"/>
            <w:hideMark/>
          </w:tcPr>
          <w:p w:rsidR="00777C89" w:rsidRPr="00777C89" w:rsidRDefault="00777C89" w:rsidP="00777C89">
            <w:pPr>
              <w:spacing w:after="0"/>
              <w:jc w:val="left"/>
              <w:rPr>
                <w:rFonts w:eastAsia="Times New Roman" w:cs="Times New Roman"/>
                <w:b/>
                <w:bCs/>
                <w:color w:val="000000"/>
                <w:sz w:val="16"/>
                <w:szCs w:val="16"/>
              </w:rPr>
            </w:pPr>
          </w:p>
        </w:tc>
      </w:tr>
      <w:tr w:rsidR="00777C89" w:rsidRPr="00777C89" w:rsidTr="00777C89">
        <w:trPr>
          <w:trHeight w:val="450"/>
        </w:trPr>
        <w:tc>
          <w:tcPr>
            <w:tcW w:w="1701" w:type="dxa"/>
            <w:vMerge/>
            <w:tcBorders>
              <w:top w:val="single" w:sz="4" w:space="0" w:color="auto"/>
              <w:left w:val="nil"/>
              <w:bottom w:val="single" w:sz="4" w:space="0" w:color="000000"/>
              <w:right w:val="nil"/>
            </w:tcBorders>
            <w:vAlign w:val="center"/>
            <w:hideMark/>
          </w:tcPr>
          <w:p w:rsidR="00777C89" w:rsidRPr="00777C89" w:rsidRDefault="00777C89" w:rsidP="00777C89">
            <w:pPr>
              <w:spacing w:after="0"/>
              <w:jc w:val="left"/>
              <w:rPr>
                <w:rFonts w:eastAsia="Times New Roman" w:cs="Times New Roman"/>
                <w:b/>
                <w:bCs/>
                <w:color w:val="000000"/>
                <w:sz w:val="16"/>
                <w:szCs w:val="16"/>
              </w:rPr>
            </w:pPr>
          </w:p>
        </w:tc>
        <w:tc>
          <w:tcPr>
            <w:tcW w:w="851" w:type="dxa"/>
            <w:tcBorders>
              <w:top w:val="nil"/>
              <w:left w:val="nil"/>
              <w:bottom w:val="single" w:sz="4" w:space="0" w:color="auto"/>
              <w:right w:val="nil"/>
            </w:tcBorders>
            <w:shd w:val="clear" w:color="auto" w:fill="auto"/>
            <w:vAlign w:val="center"/>
            <w:hideMark/>
          </w:tcPr>
          <w:p w:rsidR="00777C89" w:rsidRPr="00777C89" w:rsidRDefault="00777C89" w:rsidP="00777C89">
            <w:pPr>
              <w:spacing w:after="0"/>
              <w:jc w:val="center"/>
              <w:rPr>
                <w:rFonts w:eastAsia="Times New Roman" w:cs="Times New Roman"/>
                <w:b/>
                <w:bCs/>
                <w:color w:val="000000"/>
                <w:sz w:val="16"/>
                <w:szCs w:val="16"/>
              </w:rPr>
            </w:pPr>
            <w:r w:rsidRPr="00777C89">
              <w:rPr>
                <w:rFonts w:eastAsia="Times New Roman" w:cs="Times New Roman"/>
                <w:b/>
                <w:bCs/>
                <w:color w:val="000000"/>
                <w:sz w:val="16"/>
                <w:szCs w:val="16"/>
              </w:rPr>
              <w:t>млн. лв.</w:t>
            </w:r>
          </w:p>
        </w:tc>
        <w:tc>
          <w:tcPr>
            <w:tcW w:w="580" w:type="dxa"/>
            <w:gridSpan w:val="2"/>
            <w:tcBorders>
              <w:top w:val="nil"/>
              <w:left w:val="nil"/>
              <w:bottom w:val="single" w:sz="4" w:space="0" w:color="auto"/>
              <w:right w:val="nil"/>
            </w:tcBorders>
            <w:shd w:val="clear" w:color="auto" w:fill="auto"/>
            <w:vAlign w:val="center"/>
            <w:hideMark/>
          </w:tcPr>
          <w:p w:rsidR="00777C89" w:rsidRPr="00777C89" w:rsidRDefault="00777C89" w:rsidP="00777C89">
            <w:pPr>
              <w:spacing w:after="0"/>
              <w:jc w:val="center"/>
              <w:rPr>
                <w:rFonts w:eastAsia="Times New Roman" w:cs="Times New Roman"/>
                <w:b/>
                <w:bCs/>
                <w:color w:val="000000"/>
                <w:sz w:val="16"/>
                <w:szCs w:val="16"/>
              </w:rPr>
            </w:pPr>
            <w:r w:rsidRPr="00777C89">
              <w:rPr>
                <w:rFonts w:eastAsia="Times New Roman" w:cs="Times New Roman"/>
                <w:b/>
                <w:bCs/>
                <w:color w:val="000000"/>
                <w:sz w:val="16"/>
                <w:szCs w:val="16"/>
              </w:rPr>
              <w:t>% от БВП</w:t>
            </w:r>
          </w:p>
        </w:tc>
        <w:tc>
          <w:tcPr>
            <w:tcW w:w="837" w:type="dxa"/>
            <w:tcBorders>
              <w:top w:val="nil"/>
              <w:left w:val="nil"/>
              <w:bottom w:val="single" w:sz="4" w:space="0" w:color="auto"/>
              <w:right w:val="nil"/>
            </w:tcBorders>
            <w:shd w:val="clear" w:color="auto" w:fill="auto"/>
            <w:vAlign w:val="center"/>
            <w:hideMark/>
          </w:tcPr>
          <w:p w:rsidR="00777C89" w:rsidRPr="00777C89" w:rsidRDefault="00777C89" w:rsidP="00777C89">
            <w:pPr>
              <w:spacing w:after="0"/>
              <w:jc w:val="center"/>
              <w:rPr>
                <w:rFonts w:eastAsia="Times New Roman" w:cs="Times New Roman"/>
                <w:b/>
                <w:bCs/>
                <w:sz w:val="16"/>
                <w:szCs w:val="16"/>
              </w:rPr>
            </w:pPr>
            <w:r w:rsidRPr="00777C89">
              <w:rPr>
                <w:rFonts w:eastAsia="Times New Roman" w:cs="Times New Roman"/>
                <w:b/>
                <w:bCs/>
                <w:sz w:val="16"/>
                <w:szCs w:val="16"/>
              </w:rPr>
              <w:t>млн. лв.</w:t>
            </w:r>
          </w:p>
        </w:tc>
        <w:tc>
          <w:tcPr>
            <w:tcW w:w="580" w:type="dxa"/>
            <w:tcBorders>
              <w:top w:val="nil"/>
              <w:left w:val="nil"/>
              <w:bottom w:val="single" w:sz="4" w:space="0" w:color="auto"/>
              <w:right w:val="nil"/>
            </w:tcBorders>
            <w:shd w:val="clear" w:color="auto" w:fill="auto"/>
            <w:vAlign w:val="center"/>
            <w:hideMark/>
          </w:tcPr>
          <w:p w:rsidR="00777C89" w:rsidRPr="00777C89" w:rsidRDefault="00777C89" w:rsidP="00777C89">
            <w:pPr>
              <w:spacing w:after="0"/>
              <w:jc w:val="center"/>
              <w:rPr>
                <w:rFonts w:eastAsia="Times New Roman" w:cs="Times New Roman"/>
                <w:b/>
                <w:bCs/>
                <w:sz w:val="16"/>
                <w:szCs w:val="16"/>
              </w:rPr>
            </w:pPr>
            <w:r w:rsidRPr="00777C89">
              <w:rPr>
                <w:rFonts w:eastAsia="Times New Roman" w:cs="Times New Roman"/>
                <w:b/>
                <w:bCs/>
                <w:sz w:val="16"/>
                <w:szCs w:val="16"/>
              </w:rPr>
              <w:t>% от БВП</w:t>
            </w:r>
          </w:p>
        </w:tc>
        <w:tc>
          <w:tcPr>
            <w:tcW w:w="838" w:type="dxa"/>
            <w:tcBorders>
              <w:top w:val="nil"/>
              <w:left w:val="nil"/>
              <w:bottom w:val="single" w:sz="4" w:space="0" w:color="auto"/>
              <w:right w:val="nil"/>
            </w:tcBorders>
            <w:shd w:val="clear" w:color="auto" w:fill="auto"/>
            <w:vAlign w:val="center"/>
            <w:hideMark/>
          </w:tcPr>
          <w:p w:rsidR="00777C89" w:rsidRPr="00777C89" w:rsidRDefault="00777C89" w:rsidP="00777C89">
            <w:pPr>
              <w:spacing w:after="0"/>
              <w:jc w:val="center"/>
              <w:rPr>
                <w:rFonts w:eastAsia="Times New Roman" w:cs="Times New Roman"/>
                <w:b/>
                <w:bCs/>
                <w:color w:val="000000"/>
                <w:sz w:val="16"/>
                <w:szCs w:val="16"/>
              </w:rPr>
            </w:pPr>
            <w:r w:rsidRPr="00777C89">
              <w:rPr>
                <w:rFonts w:eastAsia="Times New Roman" w:cs="Times New Roman"/>
                <w:b/>
                <w:bCs/>
                <w:color w:val="000000"/>
                <w:sz w:val="16"/>
                <w:szCs w:val="16"/>
              </w:rPr>
              <w:t>млн. лв.</w:t>
            </w:r>
          </w:p>
        </w:tc>
        <w:tc>
          <w:tcPr>
            <w:tcW w:w="725" w:type="dxa"/>
            <w:tcBorders>
              <w:top w:val="nil"/>
              <w:left w:val="nil"/>
              <w:bottom w:val="single" w:sz="4" w:space="0" w:color="auto"/>
              <w:right w:val="nil"/>
            </w:tcBorders>
            <w:shd w:val="clear" w:color="auto" w:fill="auto"/>
            <w:vAlign w:val="center"/>
            <w:hideMark/>
          </w:tcPr>
          <w:p w:rsidR="00777C89" w:rsidRPr="00777C89" w:rsidRDefault="00777C89" w:rsidP="00777C89">
            <w:pPr>
              <w:spacing w:after="0"/>
              <w:jc w:val="center"/>
              <w:rPr>
                <w:rFonts w:eastAsia="Times New Roman" w:cs="Times New Roman"/>
                <w:b/>
                <w:bCs/>
                <w:color w:val="000000"/>
                <w:sz w:val="16"/>
                <w:szCs w:val="16"/>
              </w:rPr>
            </w:pPr>
            <w:r w:rsidRPr="00777C89">
              <w:rPr>
                <w:rFonts w:eastAsia="Times New Roman" w:cs="Times New Roman"/>
                <w:b/>
                <w:bCs/>
                <w:color w:val="000000"/>
                <w:sz w:val="16"/>
                <w:szCs w:val="16"/>
              </w:rPr>
              <w:t>% от БВП</w:t>
            </w:r>
          </w:p>
        </w:tc>
        <w:tc>
          <w:tcPr>
            <w:tcW w:w="834" w:type="dxa"/>
            <w:tcBorders>
              <w:top w:val="nil"/>
              <w:left w:val="nil"/>
              <w:bottom w:val="single" w:sz="4" w:space="0" w:color="auto"/>
              <w:right w:val="nil"/>
            </w:tcBorders>
            <w:shd w:val="clear" w:color="auto" w:fill="auto"/>
            <w:vAlign w:val="center"/>
            <w:hideMark/>
          </w:tcPr>
          <w:p w:rsidR="00777C89" w:rsidRPr="00777C89" w:rsidRDefault="00777C89" w:rsidP="00777C89">
            <w:pPr>
              <w:spacing w:after="0"/>
              <w:jc w:val="center"/>
              <w:rPr>
                <w:rFonts w:eastAsia="Times New Roman" w:cs="Times New Roman"/>
                <w:b/>
                <w:bCs/>
                <w:color w:val="000000"/>
                <w:sz w:val="16"/>
                <w:szCs w:val="16"/>
              </w:rPr>
            </w:pPr>
            <w:r w:rsidRPr="00777C89">
              <w:rPr>
                <w:rFonts w:eastAsia="Times New Roman" w:cs="Times New Roman"/>
                <w:b/>
                <w:bCs/>
                <w:color w:val="000000"/>
                <w:sz w:val="16"/>
                <w:szCs w:val="16"/>
              </w:rPr>
              <w:t>млн. лв.</w:t>
            </w:r>
          </w:p>
        </w:tc>
        <w:tc>
          <w:tcPr>
            <w:tcW w:w="580" w:type="dxa"/>
            <w:tcBorders>
              <w:top w:val="nil"/>
              <w:left w:val="nil"/>
              <w:bottom w:val="single" w:sz="4" w:space="0" w:color="auto"/>
              <w:right w:val="nil"/>
            </w:tcBorders>
            <w:shd w:val="clear" w:color="auto" w:fill="auto"/>
            <w:vAlign w:val="center"/>
            <w:hideMark/>
          </w:tcPr>
          <w:p w:rsidR="00777C89" w:rsidRPr="00777C89" w:rsidRDefault="00777C89" w:rsidP="00777C89">
            <w:pPr>
              <w:spacing w:after="0"/>
              <w:jc w:val="center"/>
              <w:rPr>
                <w:rFonts w:eastAsia="Times New Roman" w:cs="Times New Roman"/>
                <w:b/>
                <w:bCs/>
                <w:color w:val="000000"/>
                <w:sz w:val="16"/>
                <w:szCs w:val="16"/>
              </w:rPr>
            </w:pPr>
            <w:r w:rsidRPr="00777C89">
              <w:rPr>
                <w:rFonts w:eastAsia="Times New Roman" w:cs="Times New Roman"/>
                <w:b/>
                <w:bCs/>
                <w:color w:val="000000"/>
                <w:sz w:val="16"/>
                <w:szCs w:val="16"/>
              </w:rPr>
              <w:t>% от БВП</w:t>
            </w:r>
          </w:p>
        </w:tc>
        <w:tc>
          <w:tcPr>
            <w:tcW w:w="838" w:type="dxa"/>
            <w:gridSpan w:val="2"/>
            <w:tcBorders>
              <w:top w:val="nil"/>
              <w:left w:val="nil"/>
              <w:bottom w:val="single" w:sz="4" w:space="0" w:color="auto"/>
              <w:right w:val="nil"/>
            </w:tcBorders>
            <w:shd w:val="clear" w:color="auto" w:fill="auto"/>
            <w:vAlign w:val="center"/>
            <w:hideMark/>
          </w:tcPr>
          <w:p w:rsidR="00777C89" w:rsidRPr="00777C89" w:rsidRDefault="00777C89" w:rsidP="00777C89">
            <w:pPr>
              <w:spacing w:after="0"/>
              <w:jc w:val="center"/>
              <w:rPr>
                <w:rFonts w:eastAsia="Times New Roman" w:cs="Times New Roman"/>
                <w:b/>
                <w:bCs/>
                <w:color w:val="000000"/>
                <w:sz w:val="16"/>
                <w:szCs w:val="16"/>
              </w:rPr>
            </w:pPr>
            <w:r w:rsidRPr="00777C89">
              <w:rPr>
                <w:rFonts w:eastAsia="Times New Roman" w:cs="Times New Roman"/>
                <w:b/>
                <w:bCs/>
                <w:color w:val="000000"/>
                <w:sz w:val="16"/>
                <w:szCs w:val="16"/>
              </w:rPr>
              <w:t>млн. лв.</w:t>
            </w:r>
          </w:p>
        </w:tc>
        <w:tc>
          <w:tcPr>
            <w:tcW w:w="580" w:type="dxa"/>
            <w:tcBorders>
              <w:top w:val="nil"/>
              <w:left w:val="nil"/>
              <w:bottom w:val="single" w:sz="4" w:space="0" w:color="auto"/>
              <w:right w:val="nil"/>
            </w:tcBorders>
            <w:shd w:val="clear" w:color="auto" w:fill="auto"/>
            <w:vAlign w:val="center"/>
            <w:hideMark/>
          </w:tcPr>
          <w:p w:rsidR="00777C89" w:rsidRPr="00777C89" w:rsidRDefault="00777C89" w:rsidP="00777C89">
            <w:pPr>
              <w:spacing w:after="0"/>
              <w:jc w:val="center"/>
              <w:rPr>
                <w:rFonts w:eastAsia="Times New Roman" w:cs="Times New Roman"/>
                <w:b/>
                <w:bCs/>
                <w:color w:val="000000"/>
                <w:sz w:val="16"/>
                <w:szCs w:val="16"/>
              </w:rPr>
            </w:pPr>
            <w:r w:rsidRPr="00777C89">
              <w:rPr>
                <w:rFonts w:eastAsia="Times New Roman" w:cs="Times New Roman"/>
                <w:b/>
                <w:bCs/>
                <w:color w:val="000000"/>
                <w:sz w:val="16"/>
                <w:szCs w:val="16"/>
              </w:rPr>
              <w:t>% от БВП</w:t>
            </w:r>
          </w:p>
        </w:tc>
        <w:tc>
          <w:tcPr>
            <w:tcW w:w="837" w:type="dxa"/>
            <w:gridSpan w:val="2"/>
            <w:tcBorders>
              <w:top w:val="nil"/>
              <w:left w:val="nil"/>
              <w:bottom w:val="single" w:sz="4" w:space="0" w:color="auto"/>
              <w:right w:val="nil"/>
            </w:tcBorders>
            <w:shd w:val="clear" w:color="auto" w:fill="auto"/>
            <w:vAlign w:val="center"/>
            <w:hideMark/>
          </w:tcPr>
          <w:p w:rsidR="00777C89" w:rsidRPr="00777C89" w:rsidRDefault="00777C89" w:rsidP="00777C89">
            <w:pPr>
              <w:spacing w:after="0"/>
              <w:jc w:val="center"/>
              <w:rPr>
                <w:rFonts w:eastAsia="Times New Roman" w:cs="Times New Roman"/>
                <w:b/>
                <w:bCs/>
                <w:color w:val="000000"/>
                <w:sz w:val="16"/>
                <w:szCs w:val="16"/>
              </w:rPr>
            </w:pPr>
            <w:r w:rsidRPr="00777C89">
              <w:rPr>
                <w:rFonts w:eastAsia="Times New Roman" w:cs="Times New Roman"/>
                <w:b/>
                <w:bCs/>
                <w:color w:val="000000"/>
                <w:sz w:val="16"/>
                <w:szCs w:val="16"/>
              </w:rPr>
              <w:t>млн. лв.</w:t>
            </w:r>
          </w:p>
        </w:tc>
        <w:tc>
          <w:tcPr>
            <w:tcW w:w="567" w:type="dxa"/>
            <w:tcBorders>
              <w:top w:val="nil"/>
              <w:left w:val="nil"/>
              <w:bottom w:val="single" w:sz="4" w:space="0" w:color="auto"/>
              <w:right w:val="nil"/>
            </w:tcBorders>
            <w:shd w:val="clear" w:color="auto" w:fill="auto"/>
            <w:vAlign w:val="center"/>
            <w:hideMark/>
          </w:tcPr>
          <w:p w:rsidR="00777C89" w:rsidRPr="00777C89" w:rsidRDefault="00777C89" w:rsidP="00777C89">
            <w:pPr>
              <w:spacing w:after="0"/>
              <w:jc w:val="center"/>
              <w:rPr>
                <w:rFonts w:eastAsia="Times New Roman" w:cs="Times New Roman"/>
                <w:b/>
                <w:bCs/>
                <w:color w:val="000000"/>
                <w:sz w:val="16"/>
                <w:szCs w:val="16"/>
              </w:rPr>
            </w:pPr>
            <w:r w:rsidRPr="00777C89">
              <w:rPr>
                <w:rFonts w:eastAsia="Times New Roman" w:cs="Times New Roman"/>
                <w:b/>
                <w:bCs/>
                <w:color w:val="000000"/>
                <w:sz w:val="16"/>
                <w:szCs w:val="16"/>
              </w:rPr>
              <w:t>% от БВП</w:t>
            </w:r>
          </w:p>
        </w:tc>
      </w:tr>
      <w:tr w:rsidR="00777C89" w:rsidRPr="00777C89" w:rsidTr="00777C89">
        <w:trPr>
          <w:trHeight w:val="255"/>
        </w:trPr>
        <w:tc>
          <w:tcPr>
            <w:tcW w:w="1701" w:type="dxa"/>
            <w:tcBorders>
              <w:top w:val="nil"/>
              <w:left w:val="nil"/>
              <w:bottom w:val="nil"/>
              <w:right w:val="nil"/>
            </w:tcBorders>
            <w:shd w:val="clear" w:color="auto" w:fill="auto"/>
            <w:noWrap/>
            <w:hideMark/>
          </w:tcPr>
          <w:p w:rsidR="00777C89" w:rsidRPr="00777C89" w:rsidRDefault="00777C89" w:rsidP="00777C89">
            <w:pPr>
              <w:spacing w:after="0"/>
              <w:jc w:val="left"/>
              <w:rPr>
                <w:rFonts w:eastAsia="Times New Roman" w:cs="Times New Roman"/>
                <w:b/>
                <w:bCs/>
                <w:color w:val="000000"/>
                <w:sz w:val="16"/>
                <w:szCs w:val="16"/>
              </w:rPr>
            </w:pPr>
            <w:r w:rsidRPr="00777C89">
              <w:rPr>
                <w:rFonts w:eastAsia="Times New Roman" w:cs="Times New Roman"/>
                <w:b/>
                <w:bCs/>
                <w:color w:val="000000"/>
                <w:sz w:val="16"/>
                <w:szCs w:val="16"/>
              </w:rPr>
              <w:t>Приходи, помощи и дарения</w:t>
            </w:r>
          </w:p>
        </w:tc>
        <w:tc>
          <w:tcPr>
            <w:tcW w:w="851" w:type="dxa"/>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64 788,7</w:t>
            </w:r>
          </w:p>
        </w:tc>
        <w:tc>
          <w:tcPr>
            <w:tcW w:w="580" w:type="dxa"/>
            <w:gridSpan w:val="2"/>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38,6%</w:t>
            </w:r>
          </w:p>
        </w:tc>
        <w:tc>
          <w:tcPr>
            <w:tcW w:w="837" w:type="dxa"/>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sz w:val="16"/>
                <w:szCs w:val="16"/>
              </w:rPr>
            </w:pPr>
            <w:r w:rsidRPr="00777C89">
              <w:rPr>
                <w:rFonts w:eastAsia="Times New Roman" w:cs="Times New Roman"/>
                <w:b/>
                <w:bCs/>
                <w:sz w:val="16"/>
                <w:szCs w:val="16"/>
              </w:rPr>
              <w:t>69 471,8</w:t>
            </w:r>
          </w:p>
        </w:tc>
        <w:tc>
          <w:tcPr>
            <w:tcW w:w="580" w:type="dxa"/>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sz w:val="16"/>
                <w:szCs w:val="16"/>
              </w:rPr>
            </w:pPr>
            <w:r w:rsidRPr="00777C89">
              <w:rPr>
                <w:rFonts w:eastAsia="Times New Roman" w:cs="Times New Roman"/>
                <w:b/>
                <w:bCs/>
                <w:sz w:val="16"/>
                <w:szCs w:val="16"/>
              </w:rPr>
              <w:t>37,7%</w:t>
            </w:r>
          </w:p>
        </w:tc>
        <w:tc>
          <w:tcPr>
            <w:tcW w:w="838" w:type="dxa"/>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67 192,9</w:t>
            </w:r>
          </w:p>
        </w:tc>
        <w:tc>
          <w:tcPr>
            <w:tcW w:w="725" w:type="dxa"/>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35,1%</w:t>
            </w:r>
          </w:p>
        </w:tc>
        <w:tc>
          <w:tcPr>
            <w:tcW w:w="834" w:type="dxa"/>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75 163,6</w:t>
            </w:r>
          </w:p>
        </w:tc>
        <w:tc>
          <w:tcPr>
            <w:tcW w:w="580" w:type="dxa"/>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36,5%</w:t>
            </w:r>
          </w:p>
        </w:tc>
        <w:tc>
          <w:tcPr>
            <w:tcW w:w="838" w:type="dxa"/>
            <w:gridSpan w:val="2"/>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80 577,9</w:t>
            </w:r>
          </w:p>
        </w:tc>
        <w:tc>
          <w:tcPr>
            <w:tcW w:w="580" w:type="dxa"/>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37,0%</w:t>
            </w:r>
          </w:p>
        </w:tc>
        <w:tc>
          <w:tcPr>
            <w:tcW w:w="837" w:type="dxa"/>
            <w:gridSpan w:val="2"/>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85 360,6</w:t>
            </w:r>
          </w:p>
        </w:tc>
        <w:tc>
          <w:tcPr>
            <w:tcW w:w="567" w:type="dxa"/>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36,9%</w:t>
            </w:r>
          </w:p>
        </w:tc>
      </w:tr>
      <w:tr w:rsidR="00777C89" w:rsidRPr="00777C89" w:rsidTr="00777C89">
        <w:trPr>
          <w:trHeight w:val="255"/>
        </w:trPr>
        <w:tc>
          <w:tcPr>
            <w:tcW w:w="1701" w:type="dxa"/>
            <w:tcBorders>
              <w:top w:val="nil"/>
              <w:left w:val="nil"/>
              <w:bottom w:val="nil"/>
              <w:right w:val="nil"/>
            </w:tcBorders>
            <w:shd w:val="clear" w:color="auto" w:fill="auto"/>
            <w:noWrap/>
            <w:hideMark/>
          </w:tcPr>
          <w:p w:rsidR="00777C89" w:rsidRPr="00777C89" w:rsidRDefault="00777C89" w:rsidP="00777C89">
            <w:pPr>
              <w:spacing w:after="0"/>
              <w:jc w:val="left"/>
              <w:rPr>
                <w:rFonts w:eastAsia="Times New Roman" w:cs="Times New Roman"/>
                <w:b/>
                <w:bCs/>
                <w:color w:val="000000"/>
                <w:sz w:val="16"/>
                <w:szCs w:val="16"/>
              </w:rPr>
            </w:pPr>
            <w:r w:rsidRPr="00777C89">
              <w:rPr>
                <w:rFonts w:eastAsia="Times New Roman" w:cs="Times New Roman"/>
                <w:b/>
                <w:bCs/>
                <w:color w:val="000000"/>
                <w:sz w:val="16"/>
                <w:szCs w:val="16"/>
              </w:rPr>
              <w:t>Общо разходи и Вноска в общия бюджет на ЕС</w:t>
            </w:r>
          </w:p>
        </w:tc>
        <w:tc>
          <w:tcPr>
            <w:tcW w:w="851" w:type="dxa"/>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66 112,3</w:t>
            </w:r>
          </w:p>
        </w:tc>
        <w:tc>
          <w:tcPr>
            <w:tcW w:w="580" w:type="dxa"/>
            <w:gridSpan w:val="2"/>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39,4%</w:t>
            </w:r>
          </w:p>
        </w:tc>
        <w:tc>
          <w:tcPr>
            <w:tcW w:w="837" w:type="dxa"/>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sz w:val="16"/>
                <w:szCs w:val="16"/>
              </w:rPr>
            </w:pPr>
            <w:r w:rsidRPr="00777C89">
              <w:rPr>
                <w:rFonts w:eastAsia="Times New Roman" w:cs="Times New Roman"/>
                <w:b/>
                <w:bCs/>
                <w:sz w:val="16"/>
                <w:szCs w:val="16"/>
              </w:rPr>
              <w:t>74 051,8</w:t>
            </w:r>
          </w:p>
        </w:tc>
        <w:tc>
          <w:tcPr>
            <w:tcW w:w="580" w:type="dxa"/>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sz w:val="16"/>
                <w:szCs w:val="16"/>
              </w:rPr>
            </w:pPr>
            <w:r w:rsidRPr="00777C89">
              <w:rPr>
                <w:rFonts w:eastAsia="Times New Roman" w:cs="Times New Roman"/>
                <w:b/>
                <w:bCs/>
                <w:sz w:val="16"/>
                <w:szCs w:val="16"/>
              </w:rPr>
              <w:t>40,1%</w:t>
            </w:r>
          </w:p>
        </w:tc>
        <w:tc>
          <w:tcPr>
            <w:tcW w:w="838" w:type="dxa"/>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73 012,9</w:t>
            </w:r>
          </w:p>
        </w:tc>
        <w:tc>
          <w:tcPr>
            <w:tcW w:w="725" w:type="dxa"/>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38,2%</w:t>
            </w:r>
          </w:p>
        </w:tc>
        <w:tc>
          <w:tcPr>
            <w:tcW w:w="834" w:type="dxa"/>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81 382,9</w:t>
            </w:r>
          </w:p>
        </w:tc>
        <w:tc>
          <w:tcPr>
            <w:tcW w:w="580" w:type="dxa"/>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39,5%</w:t>
            </w:r>
          </w:p>
        </w:tc>
        <w:tc>
          <w:tcPr>
            <w:tcW w:w="838" w:type="dxa"/>
            <w:gridSpan w:val="2"/>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87 024,3</w:t>
            </w:r>
          </w:p>
        </w:tc>
        <w:tc>
          <w:tcPr>
            <w:tcW w:w="580" w:type="dxa"/>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40,0%</w:t>
            </w:r>
          </w:p>
        </w:tc>
        <w:tc>
          <w:tcPr>
            <w:tcW w:w="837" w:type="dxa"/>
            <w:gridSpan w:val="2"/>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92 328,0</w:t>
            </w:r>
          </w:p>
        </w:tc>
        <w:tc>
          <w:tcPr>
            <w:tcW w:w="567" w:type="dxa"/>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39,9%</w:t>
            </w:r>
          </w:p>
        </w:tc>
      </w:tr>
      <w:tr w:rsidR="00777C89" w:rsidRPr="00777C89" w:rsidTr="00777C89">
        <w:trPr>
          <w:trHeight w:val="270"/>
        </w:trPr>
        <w:tc>
          <w:tcPr>
            <w:tcW w:w="1701" w:type="dxa"/>
            <w:tcBorders>
              <w:top w:val="nil"/>
              <w:left w:val="nil"/>
              <w:bottom w:val="nil"/>
              <w:right w:val="nil"/>
            </w:tcBorders>
            <w:shd w:val="clear" w:color="auto" w:fill="auto"/>
            <w:hideMark/>
          </w:tcPr>
          <w:p w:rsidR="00777C89" w:rsidRPr="00777C89" w:rsidRDefault="00777C89" w:rsidP="00777C89">
            <w:pPr>
              <w:spacing w:after="0"/>
              <w:ind w:firstLineChars="100" w:firstLine="160"/>
              <w:jc w:val="left"/>
              <w:rPr>
                <w:rFonts w:eastAsia="Times New Roman" w:cs="Times New Roman"/>
                <w:b/>
                <w:bCs/>
                <w:color w:val="000099"/>
                <w:sz w:val="16"/>
                <w:szCs w:val="16"/>
              </w:rPr>
            </w:pPr>
            <w:r w:rsidRPr="00777C89">
              <w:rPr>
                <w:rFonts w:eastAsia="Times New Roman" w:cs="Times New Roman"/>
                <w:b/>
                <w:bCs/>
                <w:color w:val="000099"/>
                <w:sz w:val="16"/>
                <w:szCs w:val="16"/>
              </w:rPr>
              <w:t>в т.ч. Разходи чл. 28, ал. 1 от ЗПФ</w:t>
            </w:r>
          </w:p>
        </w:tc>
        <w:tc>
          <w:tcPr>
            <w:tcW w:w="851" w:type="dxa"/>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99"/>
                <w:sz w:val="16"/>
                <w:szCs w:val="16"/>
              </w:rPr>
            </w:pPr>
            <w:r w:rsidRPr="00777C89">
              <w:rPr>
                <w:rFonts w:eastAsia="Times New Roman" w:cs="Times New Roman"/>
                <w:b/>
                <w:bCs/>
                <w:color w:val="000099"/>
                <w:sz w:val="16"/>
                <w:szCs w:val="16"/>
              </w:rPr>
              <w:t>62 894,8</w:t>
            </w:r>
          </w:p>
        </w:tc>
        <w:tc>
          <w:tcPr>
            <w:tcW w:w="580" w:type="dxa"/>
            <w:gridSpan w:val="2"/>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99"/>
                <w:sz w:val="16"/>
                <w:szCs w:val="16"/>
              </w:rPr>
            </w:pPr>
            <w:r w:rsidRPr="00777C89">
              <w:rPr>
                <w:rFonts w:eastAsia="Times New Roman" w:cs="Times New Roman"/>
                <w:b/>
                <w:bCs/>
                <w:color w:val="000099"/>
                <w:sz w:val="16"/>
                <w:szCs w:val="16"/>
              </w:rPr>
              <w:t>37,5%</w:t>
            </w:r>
          </w:p>
        </w:tc>
        <w:tc>
          <w:tcPr>
            <w:tcW w:w="837" w:type="dxa"/>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99"/>
                <w:sz w:val="16"/>
                <w:szCs w:val="16"/>
              </w:rPr>
            </w:pPr>
            <w:r w:rsidRPr="00777C89">
              <w:rPr>
                <w:rFonts w:eastAsia="Times New Roman" w:cs="Times New Roman"/>
                <w:b/>
                <w:bCs/>
                <w:color w:val="000099"/>
                <w:sz w:val="16"/>
                <w:szCs w:val="16"/>
              </w:rPr>
              <w:t>3 857,0</w:t>
            </w:r>
          </w:p>
        </w:tc>
        <w:tc>
          <w:tcPr>
            <w:tcW w:w="580" w:type="dxa"/>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99"/>
                <w:sz w:val="16"/>
                <w:szCs w:val="16"/>
              </w:rPr>
            </w:pPr>
            <w:r w:rsidRPr="00777C89">
              <w:rPr>
                <w:rFonts w:eastAsia="Times New Roman" w:cs="Times New Roman"/>
                <w:b/>
                <w:bCs/>
                <w:color w:val="000099"/>
                <w:sz w:val="16"/>
                <w:szCs w:val="16"/>
              </w:rPr>
              <w:t>2,1%</w:t>
            </w:r>
          </w:p>
        </w:tc>
        <w:tc>
          <w:tcPr>
            <w:tcW w:w="838" w:type="dxa"/>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99"/>
                <w:sz w:val="16"/>
                <w:szCs w:val="16"/>
              </w:rPr>
            </w:pPr>
            <w:r w:rsidRPr="00777C89">
              <w:rPr>
                <w:rFonts w:eastAsia="Times New Roman" w:cs="Times New Roman"/>
                <w:b/>
                <w:bCs/>
                <w:color w:val="000099"/>
                <w:sz w:val="16"/>
                <w:szCs w:val="16"/>
              </w:rPr>
              <w:t>67 480,1</w:t>
            </w:r>
          </w:p>
        </w:tc>
        <w:tc>
          <w:tcPr>
            <w:tcW w:w="725" w:type="dxa"/>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99"/>
                <w:sz w:val="16"/>
                <w:szCs w:val="16"/>
              </w:rPr>
            </w:pPr>
            <w:r w:rsidRPr="00777C89">
              <w:rPr>
                <w:rFonts w:eastAsia="Times New Roman" w:cs="Times New Roman"/>
                <w:b/>
                <w:bCs/>
                <w:color w:val="000099"/>
                <w:sz w:val="16"/>
                <w:szCs w:val="16"/>
              </w:rPr>
              <w:t>35,3%</w:t>
            </w:r>
          </w:p>
        </w:tc>
        <w:tc>
          <w:tcPr>
            <w:tcW w:w="834" w:type="dxa"/>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99"/>
                <w:sz w:val="16"/>
                <w:szCs w:val="16"/>
              </w:rPr>
            </w:pPr>
            <w:r w:rsidRPr="00777C89">
              <w:rPr>
                <w:rFonts w:eastAsia="Times New Roman" w:cs="Times New Roman"/>
                <w:b/>
                <w:bCs/>
                <w:color w:val="000099"/>
                <w:sz w:val="16"/>
                <w:szCs w:val="16"/>
              </w:rPr>
              <w:t>72 892,7</w:t>
            </w:r>
          </w:p>
        </w:tc>
        <w:tc>
          <w:tcPr>
            <w:tcW w:w="580" w:type="dxa"/>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99"/>
                <w:sz w:val="16"/>
                <w:szCs w:val="16"/>
              </w:rPr>
            </w:pPr>
            <w:r w:rsidRPr="00777C89">
              <w:rPr>
                <w:rFonts w:eastAsia="Times New Roman" w:cs="Times New Roman"/>
                <w:b/>
                <w:bCs/>
                <w:color w:val="000099"/>
                <w:sz w:val="16"/>
                <w:szCs w:val="16"/>
              </w:rPr>
              <w:t>35,4%</w:t>
            </w:r>
          </w:p>
        </w:tc>
        <w:tc>
          <w:tcPr>
            <w:tcW w:w="838" w:type="dxa"/>
            <w:gridSpan w:val="2"/>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99"/>
                <w:sz w:val="16"/>
                <w:szCs w:val="16"/>
              </w:rPr>
            </w:pPr>
            <w:r w:rsidRPr="00777C89">
              <w:rPr>
                <w:rFonts w:eastAsia="Times New Roman" w:cs="Times New Roman"/>
                <w:b/>
                <w:bCs/>
                <w:color w:val="000099"/>
                <w:sz w:val="16"/>
                <w:szCs w:val="16"/>
              </w:rPr>
              <w:t>76 724,5</w:t>
            </w:r>
          </w:p>
        </w:tc>
        <w:tc>
          <w:tcPr>
            <w:tcW w:w="580" w:type="dxa"/>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99"/>
                <w:sz w:val="16"/>
                <w:szCs w:val="16"/>
              </w:rPr>
            </w:pPr>
            <w:r w:rsidRPr="00777C89">
              <w:rPr>
                <w:rFonts w:eastAsia="Times New Roman" w:cs="Times New Roman"/>
                <w:b/>
                <w:bCs/>
                <w:color w:val="000099"/>
                <w:sz w:val="16"/>
                <w:szCs w:val="16"/>
              </w:rPr>
              <w:t>35,2%</w:t>
            </w:r>
          </w:p>
        </w:tc>
        <w:tc>
          <w:tcPr>
            <w:tcW w:w="837" w:type="dxa"/>
            <w:gridSpan w:val="2"/>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99"/>
                <w:sz w:val="16"/>
                <w:szCs w:val="16"/>
              </w:rPr>
            </w:pPr>
            <w:r w:rsidRPr="00777C89">
              <w:rPr>
                <w:rFonts w:eastAsia="Times New Roman" w:cs="Times New Roman"/>
                <w:b/>
                <w:bCs/>
                <w:color w:val="000099"/>
                <w:sz w:val="16"/>
                <w:szCs w:val="16"/>
              </w:rPr>
              <w:t>82 076,3</w:t>
            </w:r>
          </w:p>
        </w:tc>
        <w:tc>
          <w:tcPr>
            <w:tcW w:w="567" w:type="dxa"/>
            <w:tcBorders>
              <w:top w:val="nil"/>
              <w:left w:val="nil"/>
              <w:bottom w:val="nil"/>
              <w:right w:val="nil"/>
            </w:tcBorders>
            <w:shd w:val="clear" w:color="auto" w:fill="auto"/>
            <w:noWrap/>
            <w:hideMark/>
          </w:tcPr>
          <w:p w:rsidR="00777C89" w:rsidRPr="00777C89" w:rsidRDefault="00777C89" w:rsidP="00777C89">
            <w:pPr>
              <w:spacing w:after="0"/>
              <w:jc w:val="right"/>
              <w:rPr>
                <w:rFonts w:eastAsia="Times New Roman" w:cs="Times New Roman"/>
                <w:b/>
                <w:bCs/>
                <w:color w:val="000099"/>
                <w:sz w:val="16"/>
                <w:szCs w:val="16"/>
              </w:rPr>
            </w:pPr>
            <w:r w:rsidRPr="00777C89">
              <w:rPr>
                <w:rFonts w:eastAsia="Times New Roman" w:cs="Times New Roman"/>
                <w:b/>
                <w:bCs/>
                <w:color w:val="000099"/>
                <w:sz w:val="16"/>
                <w:szCs w:val="16"/>
              </w:rPr>
              <w:t>35,5%</w:t>
            </w:r>
          </w:p>
        </w:tc>
      </w:tr>
      <w:tr w:rsidR="00777C89" w:rsidRPr="00777C89" w:rsidTr="00777C89">
        <w:trPr>
          <w:trHeight w:val="255"/>
        </w:trPr>
        <w:tc>
          <w:tcPr>
            <w:tcW w:w="1701" w:type="dxa"/>
            <w:tcBorders>
              <w:top w:val="nil"/>
              <w:left w:val="nil"/>
              <w:bottom w:val="single" w:sz="4" w:space="0" w:color="auto"/>
              <w:right w:val="nil"/>
            </w:tcBorders>
            <w:shd w:val="clear" w:color="auto" w:fill="auto"/>
            <w:noWrap/>
            <w:hideMark/>
          </w:tcPr>
          <w:p w:rsidR="00777C89" w:rsidRPr="00777C89" w:rsidRDefault="00777C89" w:rsidP="00777C89">
            <w:pPr>
              <w:spacing w:after="0"/>
              <w:jc w:val="left"/>
              <w:rPr>
                <w:rFonts w:eastAsia="Times New Roman" w:cs="Times New Roman"/>
                <w:b/>
                <w:bCs/>
                <w:color w:val="000000"/>
                <w:sz w:val="16"/>
                <w:szCs w:val="16"/>
              </w:rPr>
            </w:pPr>
            <w:r w:rsidRPr="00777C89">
              <w:rPr>
                <w:rFonts w:eastAsia="Times New Roman" w:cs="Times New Roman"/>
                <w:b/>
                <w:bCs/>
                <w:color w:val="000000"/>
                <w:sz w:val="16"/>
                <w:szCs w:val="16"/>
              </w:rPr>
              <w:t>Бюджетно салдо (+/-)</w:t>
            </w:r>
          </w:p>
        </w:tc>
        <w:tc>
          <w:tcPr>
            <w:tcW w:w="851" w:type="dxa"/>
            <w:tcBorders>
              <w:top w:val="nil"/>
              <w:left w:val="nil"/>
              <w:bottom w:val="single" w:sz="4" w:space="0" w:color="auto"/>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-1 323,6</w:t>
            </w:r>
          </w:p>
        </w:tc>
        <w:tc>
          <w:tcPr>
            <w:tcW w:w="580" w:type="dxa"/>
            <w:gridSpan w:val="2"/>
            <w:tcBorders>
              <w:top w:val="nil"/>
              <w:left w:val="nil"/>
              <w:bottom w:val="single" w:sz="4" w:space="0" w:color="auto"/>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-0,8%</w:t>
            </w:r>
          </w:p>
        </w:tc>
        <w:tc>
          <w:tcPr>
            <w:tcW w:w="837" w:type="dxa"/>
            <w:tcBorders>
              <w:top w:val="nil"/>
              <w:left w:val="nil"/>
              <w:bottom w:val="single" w:sz="4" w:space="0" w:color="auto"/>
              <w:right w:val="nil"/>
            </w:tcBorders>
            <w:shd w:val="clear" w:color="auto" w:fill="auto"/>
            <w:noWrap/>
            <w:hideMark/>
          </w:tcPr>
          <w:p w:rsidR="00777C89" w:rsidRPr="00777C89" w:rsidRDefault="00777C89" w:rsidP="00777C89">
            <w:pPr>
              <w:spacing w:after="0"/>
              <w:jc w:val="right"/>
              <w:rPr>
                <w:rFonts w:eastAsia="Times New Roman" w:cs="Times New Roman"/>
                <w:b/>
                <w:bCs/>
                <w:sz w:val="16"/>
                <w:szCs w:val="16"/>
              </w:rPr>
            </w:pPr>
            <w:r w:rsidRPr="00777C89">
              <w:rPr>
                <w:rFonts w:eastAsia="Times New Roman" w:cs="Times New Roman"/>
                <w:b/>
                <w:bCs/>
                <w:sz w:val="16"/>
                <w:szCs w:val="16"/>
              </w:rPr>
              <w:t>-4 580,0</w:t>
            </w:r>
          </w:p>
        </w:tc>
        <w:tc>
          <w:tcPr>
            <w:tcW w:w="580" w:type="dxa"/>
            <w:tcBorders>
              <w:top w:val="nil"/>
              <w:left w:val="nil"/>
              <w:bottom w:val="single" w:sz="4" w:space="0" w:color="auto"/>
              <w:right w:val="nil"/>
            </w:tcBorders>
            <w:shd w:val="clear" w:color="auto" w:fill="auto"/>
            <w:noWrap/>
            <w:hideMark/>
          </w:tcPr>
          <w:p w:rsidR="00777C89" w:rsidRPr="00777C89" w:rsidRDefault="00777C89" w:rsidP="00777C89">
            <w:pPr>
              <w:spacing w:after="0"/>
              <w:jc w:val="right"/>
              <w:rPr>
                <w:rFonts w:eastAsia="Times New Roman" w:cs="Times New Roman"/>
                <w:b/>
                <w:bCs/>
                <w:sz w:val="16"/>
                <w:szCs w:val="16"/>
              </w:rPr>
            </w:pPr>
            <w:r w:rsidRPr="00777C89">
              <w:rPr>
                <w:rFonts w:eastAsia="Times New Roman" w:cs="Times New Roman"/>
                <w:b/>
                <w:bCs/>
                <w:sz w:val="16"/>
                <w:szCs w:val="16"/>
              </w:rPr>
              <w:t>-2,5%</w:t>
            </w:r>
          </w:p>
        </w:tc>
        <w:tc>
          <w:tcPr>
            <w:tcW w:w="838" w:type="dxa"/>
            <w:tcBorders>
              <w:top w:val="nil"/>
              <w:left w:val="nil"/>
              <w:bottom w:val="single" w:sz="4" w:space="0" w:color="auto"/>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-5 820,0</w:t>
            </w:r>
          </w:p>
        </w:tc>
        <w:tc>
          <w:tcPr>
            <w:tcW w:w="725" w:type="dxa"/>
            <w:tcBorders>
              <w:top w:val="nil"/>
              <w:left w:val="nil"/>
              <w:bottom w:val="single" w:sz="4" w:space="0" w:color="auto"/>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-3,0%</w:t>
            </w:r>
          </w:p>
        </w:tc>
        <w:tc>
          <w:tcPr>
            <w:tcW w:w="834" w:type="dxa"/>
            <w:tcBorders>
              <w:top w:val="nil"/>
              <w:left w:val="nil"/>
              <w:bottom w:val="single" w:sz="4" w:space="0" w:color="auto"/>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-6 219,3</w:t>
            </w:r>
          </w:p>
        </w:tc>
        <w:tc>
          <w:tcPr>
            <w:tcW w:w="580" w:type="dxa"/>
            <w:tcBorders>
              <w:top w:val="nil"/>
              <w:left w:val="nil"/>
              <w:bottom w:val="single" w:sz="4" w:space="0" w:color="auto"/>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-3,0%</w:t>
            </w:r>
          </w:p>
        </w:tc>
        <w:tc>
          <w:tcPr>
            <w:tcW w:w="838" w:type="dxa"/>
            <w:gridSpan w:val="2"/>
            <w:tcBorders>
              <w:top w:val="nil"/>
              <w:left w:val="nil"/>
              <w:bottom w:val="single" w:sz="4" w:space="0" w:color="auto"/>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-6 446,4</w:t>
            </w:r>
          </w:p>
        </w:tc>
        <w:tc>
          <w:tcPr>
            <w:tcW w:w="580" w:type="dxa"/>
            <w:tcBorders>
              <w:top w:val="nil"/>
              <w:left w:val="nil"/>
              <w:bottom w:val="single" w:sz="4" w:space="0" w:color="auto"/>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-3,0%</w:t>
            </w:r>
          </w:p>
        </w:tc>
        <w:tc>
          <w:tcPr>
            <w:tcW w:w="837" w:type="dxa"/>
            <w:gridSpan w:val="2"/>
            <w:tcBorders>
              <w:top w:val="nil"/>
              <w:left w:val="nil"/>
              <w:bottom w:val="single" w:sz="4" w:space="0" w:color="auto"/>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-6 967,4</w:t>
            </w:r>
          </w:p>
        </w:tc>
        <w:tc>
          <w:tcPr>
            <w:tcW w:w="567" w:type="dxa"/>
            <w:tcBorders>
              <w:top w:val="nil"/>
              <w:left w:val="nil"/>
              <w:bottom w:val="single" w:sz="4" w:space="0" w:color="auto"/>
              <w:right w:val="nil"/>
            </w:tcBorders>
            <w:shd w:val="clear" w:color="auto" w:fill="auto"/>
            <w:noWrap/>
            <w:hideMark/>
          </w:tcPr>
          <w:p w:rsidR="00777C89" w:rsidRPr="00777C89" w:rsidRDefault="00777C89" w:rsidP="00777C89">
            <w:pPr>
              <w:spacing w:after="0"/>
              <w:jc w:val="right"/>
              <w:rPr>
                <w:rFonts w:eastAsia="Times New Roman" w:cs="Times New Roman"/>
                <w:b/>
                <w:bCs/>
                <w:color w:val="000000"/>
                <w:sz w:val="16"/>
                <w:szCs w:val="16"/>
              </w:rPr>
            </w:pPr>
            <w:r w:rsidRPr="00777C89">
              <w:rPr>
                <w:rFonts w:eastAsia="Times New Roman" w:cs="Times New Roman"/>
                <w:b/>
                <w:bCs/>
                <w:color w:val="000000"/>
                <w:sz w:val="16"/>
                <w:szCs w:val="16"/>
              </w:rPr>
              <w:t>-3,0%</w:t>
            </w:r>
          </w:p>
        </w:tc>
      </w:tr>
    </w:tbl>
    <w:p w:rsidR="00E352C3" w:rsidRPr="00802354" w:rsidRDefault="00E352C3" w:rsidP="00E352C3">
      <w:pPr>
        <w:jc w:val="right"/>
        <w:rPr>
          <w:rFonts w:eastAsia="Batang" w:cs="Times New Roman"/>
          <w:sz w:val="18"/>
          <w:szCs w:val="18"/>
        </w:rPr>
      </w:pPr>
      <w:r w:rsidRPr="00802354">
        <w:rPr>
          <w:rFonts w:eastAsia="Batang" w:cs="Times New Roman"/>
          <w:sz w:val="18"/>
          <w:szCs w:val="18"/>
        </w:rPr>
        <w:t>Източник: МФ</w:t>
      </w:r>
    </w:p>
    <w:p w:rsidR="00E352C3" w:rsidRDefault="00E352C3" w:rsidP="00E352C3"/>
    <w:p w:rsidR="00E352C3" w:rsidRPr="00E352C3" w:rsidRDefault="00E352C3" w:rsidP="00E352C3"/>
    <w:p w:rsidR="00B74041" w:rsidRPr="00B74041" w:rsidRDefault="00B74041" w:rsidP="00B74041">
      <w:pPr>
        <w:spacing w:before="240"/>
        <w:rPr>
          <w:color w:val="000000" w:themeColor="text1"/>
        </w:rPr>
      </w:pPr>
      <w:r w:rsidRPr="00B74041">
        <w:rPr>
          <w:rFonts w:eastAsia="Times New Roman" w:cs="Times New Roman"/>
          <w:lang w:bidi="bg-BG"/>
        </w:rPr>
        <w:t xml:space="preserve">За 2022 г. отчетните данни показват дефицит по КФП в размер на 0,8% от БВП, като спрямо заложената цел в актуализираната програма за 2022 г. (дефицит по КФП в размер на 4,1% от БВП) се отчита подобрение с 3,3 пр.п. Основен фактор за това е по-ниско от планираното усвояване на разходите по сметките за средства от ЕС и държавния бюджет. </w:t>
      </w:r>
      <w:r w:rsidRPr="00B74041">
        <w:rPr>
          <w:color w:val="000000" w:themeColor="text1"/>
        </w:rPr>
        <w:t>Бюджетното салдо по КФП съответства на предвидения ограничител във фискалното правило по чл. 27, ал. 4 от ЗПФ.</w:t>
      </w:r>
    </w:p>
    <w:p w:rsidR="00B74041" w:rsidRPr="00B74041" w:rsidRDefault="00B74041" w:rsidP="00B74041">
      <w:pPr>
        <w:spacing w:before="240"/>
        <w:rPr>
          <w:rFonts w:eastAsia="Times New Roman" w:cs="Times New Roman"/>
          <w:lang w:bidi="bg-BG"/>
        </w:rPr>
      </w:pPr>
      <w:r w:rsidRPr="00B74041">
        <w:rPr>
          <w:rFonts w:eastAsia="Times New Roman" w:cs="Times New Roman"/>
          <w:lang w:bidi="bg-BG"/>
        </w:rPr>
        <w:t>В бюджетната рамка за 2023 г. при отразени фискални ефекти от политиките, предопределящи приходите и разходите, бюджетното салдо по КФП беше планирано да е дефицит от 2,5% от БВП при ниво на разходите</w:t>
      </w:r>
      <w:r w:rsidR="005501BC" w:rsidRPr="00B74041">
        <w:rPr>
          <w:rFonts w:eastAsia="Times New Roman" w:cs="Times New Roman"/>
          <w:lang w:bidi="bg-BG"/>
        </w:rPr>
        <w:t xml:space="preserve"> </w:t>
      </w:r>
      <w:r w:rsidR="005501BC">
        <w:rPr>
          <w:rFonts w:eastAsia="Times New Roman" w:cs="Times New Roman"/>
          <w:lang w:bidi="bg-BG"/>
        </w:rPr>
        <w:t xml:space="preserve">от </w:t>
      </w:r>
      <w:r w:rsidR="005501BC" w:rsidRPr="00B74041">
        <w:rPr>
          <w:rFonts w:eastAsia="Times New Roman" w:cs="Times New Roman"/>
          <w:lang w:bidi="bg-BG"/>
        </w:rPr>
        <w:t>40,1%</w:t>
      </w:r>
      <w:r w:rsidRPr="00B74041">
        <w:rPr>
          <w:rFonts w:eastAsia="Times New Roman" w:cs="Times New Roman"/>
          <w:lang w:bidi="bg-BG"/>
        </w:rPr>
        <w:t xml:space="preserve"> от БВП, съответно ниво на приходите от 37,7% от БВП.</w:t>
      </w:r>
    </w:p>
    <w:p w:rsidR="00B74041" w:rsidRPr="00B74041" w:rsidRDefault="00B74041" w:rsidP="00B74041">
      <w:pPr>
        <w:spacing w:before="240"/>
        <w:rPr>
          <w:rFonts w:eastAsia="Times New Roman" w:cs="Times New Roman"/>
          <w:lang w:bidi="bg-BG"/>
        </w:rPr>
      </w:pPr>
      <w:r w:rsidRPr="00B74041">
        <w:rPr>
          <w:rFonts w:eastAsia="Times New Roman" w:cs="Times New Roman"/>
          <w:lang w:bidi="bg-BG"/>
        </w:rPr>
        <w:t>Очакваното изпълнение на КФП за 2023 г. се основава на оценка за приходите от 35,1% от БВП и разходите на ниво от 38,</w:t>
      </w:r>
      <w:r>
        <w:rPr>
          <w:rFonts w:eastAsia="Times New Roman" w:cs="Times New Roman"/>
          <w:lang w:bidi="bg-BG"/>
        </w:rPr>
        <w:t>1</w:t>
      </w:r>
      <w:r w:rsidR="005501BC">
        <w:rPr>
          <w:rFonts w:eastAsia="Times New Roman" w:cs="Times New Roman"/>
          <w:lang w:bidi="bg-BG"/>
        </w:rPr>
        <w:t>%</w:t>
      </w:r>
      <w:r w:rsidRPr="00B74041">
        <w:rPr>
          <w:rFonts w:eastAsia="Times New Roman" w:cs="Times New Roman"/>
          <w:lang w:bidi="bg-BG"/>
        </w:rPr>
        <w:t xml:space="preserve"> от БВП, при което се формира дефицит от 3% от БВП. Следвайки консервативен подход при изготвянето на прогнозите и отчитайки потенциалните рискове за забавяне на втория транш по НПВУ от страна на ЕК поради </w:t>
      </w:r>
      <w:r w:rsidRPr="008441A7">
        <w:rPr>
          <w:rFonts w:eastAsia="Times New Roman" w:cs="Times New Roman"/>
          <w:lang w:bidi="bg-BG"/>
        </w:rPr>
        <w:t>забавен</w:t>
      </w:r>
      <w:r w:rsidR="00032AFC">
        <w:rPr>
          <w:rFonts w:eastAsia="Times New Roman" w:cs="Times New Roman"/>
          <w:lang w:bidi="bg-BG"/>
        </w:rPr>
        <w:t>о</w:t>
      </w:r>
      <w:r w:rsidRPr="008441A7">
        <w:rPr>
          <w:rFonts w:eastAsia="Times New Roman" w:cs="Times New Roman"/>
          <w:lang w:bidi="bg-BG"/>
        </w:rPr>
        <w:t>то изпращане и необходимото технологично време за разглеждането на същото от страна на службите на ЕК, оценката за дефицита по КФП е разчетена при допускането за изместване на това плащане за началото на 2024 г. При това допускане прогнозният дефицит по КФП на касова основа за 2023 г. би възлязъл на около 5,8 млрд. лв. (3% от прогноз</w:t>
      </w:r>
      <w:r w:rsidR="00032AFC">
        <w:rPr>
          <w:rFonts w:eastAsia="Times New Roman" w:cs="Times New Roman"/>
          <w:lang w:bidi="bg-BG"/>
        </w:rPr>
        <w:t>н</w:t>
      </w:r>
      <w:r w:rsidRPr="008441A7">
        <w:rPr>
          <w:rFonts w:eastAsia="Times New Roman" w:cs="Times New Roman"/>
          <w:lang w:bidi="bg-BG"/>
        </w:rPr>
        <w:t xml:space="preserve">ия БВП), а прогнозният дефицит на сектор „Държавно управление“ остава непроменен </w:t>
      </w:r>
      <w:r w:rsidR="000110D2" w:rsidRPr="008441A7">
        <w:rPr>
          <w:rFonts w:eastAsia="Times New Roman" w:cs="Times New Roman"/>
          <w:lang w:bidi="bg-BG"/>
        </w:rPr>
        <w:t>(2,9</w:t>
      </w:r>
      <w:r w:rsidRPr="008441A7">
        <w:rPr>
          <w:rFonts w:eastAsia="Times New Roman" w:cs="Times New Roman"/>
          <w:lang w:bidi="bg-BG"/>
        </w:rPr>
        <w:t>% от прогнозния БВП).</w:t>
      </w:r>
    </w:p>
    <w:p w:rsidR="00B74041" w:rsidRPr="00B74041" w:rsidRDefault="00B74041" w:rsidP="00B74041">
      <w:pPr>
        <w:spacing w:before="120"/>
        <w:rPr>
          <w:rFonts w:eastAsia="Times New Roman" w:cs="Times New Roman"/>
          <w:color w:val="0000FF"/>
          <w:u w:val="single"/>
          <w:lang w:bidi="bg-BG"/>
        </w:rPr>
      </w:pPr>
      <w:r w:rsidRPr="00B74041">
        <w:rPr>
          <w:rFonts w:eastAsia="Times New Roman" w:cs="Times New Roman"/>
          <w:lang w:bidi="bg-BG"/>
        </w:rPr>
        <w:t xml:space="preserve">Повече информация за изпълнението на КФП за 2022 г. и за оценката за изпълнението на КФП за 2023 г. се съдържа в прегледа по </w:t>
      </w:r>
      <w:hyperlink w:anchor="_ПРИЛОЖЕНИЕ_№_1:" w:history="1">
        <w:r w:rsidRPr="00B74041">
          <w:rPr>
            <w:rStyle w:val="Hyperlink"/>
            <w:rFonts w:eastAsia="Times New Roman"/>
            <w:lang w:bidi="bg-BG"/>
          </w:rPr>
          <w:t>приложение № 1.</w:t>
        </w:r>
      </w:hyperlink>
    </w:p>
    <w:p w:rsidR="00B74041" w:rsidRPr="00B74041" w:rsidRDefault="00B74041" w:rsidP="00B74041">
      <w:pPr>
        <w:rPr>
          <w:rFonts w:eastAsia="Times New Roman" w:cs="Times New Roman"/>
          <w:lang w:bidi="bg-BG"/>
        </w:rPr>
      </w:pPr>
      <w:r w:rsidRPr="00B74041">
        <w:rPr>
          <w:rFonts w:eastAsia="Times New Roman" w:cs="Times New Roman"/>
          <w:lang w:bidi="bg-BG"/>
        </w:rPr>
        <w:t xml:space="preserve">Бюджетното салдо по КФП е дефицит от 3,0% от БВП за всяка година от прогнозния период и е в рамките на правилата и ограниченията по Закона за публичните финанси, а за сектор „Държавно управление“ е дефицит от </w:t>
      </w:r>
      <w:r w:rsidRPr="00BD28EB">
        <w:rPr>
          <w:rFonts w:eastAsia="Times New Roman" w:cs="Times New Roman"/>
          <w:lang w:bidi="bg-BG"/>
        </w:rPr>
        <w:t>2,9%</w:t>
      </w:r>
      <w:r w:rsidRPr="00B74041">
        <w:rPr>
          <w:rFonts w:eastAsia="Times New Roman" w:cs="Times New Roman"/>
          <w:color w:val="002060"/>
          <w:lang w:bidi="bg-BG"/>
        </w:rPr>
        <w:t xml:space="preserve"> </w:t>
      </w:r>
      <w:r w:rsidRPr="00B74041">
        <w:rPr>
          <w:rFonts w:eastAsia="Times New Roman" w:cs="Times New Roman"/>
          <w:lang w:bidi="bg-BG"/>
        </w:rPr>
        <w:t>от БВП за 2024 г., 3,0% от БВП за 2025 г. и 2,5% от БВП за 2026 г.</w:t>
      </w:r>
    </w:p>
    <w:p w:rsidR="00B74041" w:rsidRPr="00B74041" w:rsidRDefault="00B74041" w:rsidP="00B74041">
      <w:pPr>
        <w:rPr>
          <w:rFonts w:eastAsia="Times New Roman" w:cs="Times New Roman"/>
          <w:lang w:bidi="bg-BG"/>
        </w:rPr>
      </w:pPr>
      <w:r w:rsidRPr="00B74041">
        <w:rPr>
          <w:rFonts w:eastAsia="Times New Roman" w:cs="Times New Roman"/>
          <w:lang w:bidi="bg-BG"/>
        </w:rPr>
        <w:t xml:space="preserve">В средносрочен период се очаква устойчив номинален ръст на приходите, вкл. на данъчно-осигурителните, и леко намаление на помощите от чужбина, което се дължи на етапите на реализация на програмите, съфинансирани от ЕС. </w:t>
      </w:r>
    </w:p>
    <w:p w:rsidR="00B74041" w:rsidRPr="00B74041" w:rsidRDefault="00B74041" w:rsidP="00B74041">
      <w:pPr>
        <w:rPr>
          <w:rFonts w:eastAsia="Times New Roman" w:cs="Times New Roman"/>
          <w:lang w:bidi="bg-BG"/>
        </w:rPr>
      </w:pPr>
      <w:r w:rsidRPr="00B74041">
        <w:rPr>
          <w:rFonts w:eastAsia="Times New Roman" w:cs="Times New Roman"/>
          <w:lang w:bidi="bg-BG"/>
        </w:rPr>
        <w:t xml:space="preserve">Като дял от БВП общото ниво на приходите е в диапазона </w:t>
      </w:r>
      <w:r w:rsidR="00AE359E">
        <w:rPr>
          <w:rFonts w:eastAsia="Times New Roman" w:cs="Times New Roman"/>
          <w:lang w:bidi="bg-BG"/>
        </w:rPr>
        <w:t>36,5</w:t>
      </w:r>
      <w:r w:rsidRPr="00B74041">
        <w:rPr>
          <w:rFonts w:eastAsia="Times New Roman" w:cs="Times New Roman"/>
          <w:lang w:bidi="bg-BG"/>
        </w:rPr>
        <w:t xml:space="preserve"> - 3</w:t>
      </w:r>
      <w:r w:rsidR="00AE359E">
        <w:rPr>
          <w:rFonts w:eastAsia="Times New Roman" w:cs="Times New Roman"/>
          <w:lang w:bidi="bg-BG"/>
        </w:rPr>
        <w:t>7,0</w:t>
      </w:r>
      <w:r w:rsidRPr="00B74041">
        <w:rPr>
          <w:rFonts w:eastAsia="Times New Roman" w:cs="Times New Roman"/>
          <w:lang w:bidi="bg-BG"/>
        </w:rPr>
        <w:t xml:space="preserve">% от БВП. Същата тенденция се наблюдава и при общото ниво на разходите (общо разходи и вноска в общия бюджет на ЕС), които като дял от БВП са в диапазона </w:t>
      </w:r>
      <w:r w:rsidR="00AE359E">
        <w:rPr>
          <w:rFonts w:eastAsia="Times New Roman" w:cs="Times New Roman"/>
          <w:lang w:bidi="bg-BG"/>
        </w:rPr>
        <w:t>39,5</w:t>
      </w:r>
      <w:r w:rsidRPr="00B74041">
        <w:rPr>
          <w:rFonts w:eastAsia="Times New Roman" w:cs="Times New Roman"/>
          <w:lang w:bidi="bg-BG"/>
        </w:rPr>
        <w:t xml:space="preserve"> - 4</w:t>
      </w:r>
      <w:r w:rsidR="00AE359E">
        <w:rPr>
          <w:rFonts w:eastAsia="Times New Roman" w:cs="Times New Roman"/>
          <w:lang w:bidi="bg-BG"/>
        </w:rPr>
        <w:t>0,0</w:t>
      </w:r>
      <w:r w:rsidRPr="00B74041">
        <w:rPr>
          <w:rFonts w:eastAsia="Times New Roman" w:cs="Times New Roman"/>
          <w:lang w:bidi="bg-BG"/>
        </w:rPr>
        <w:t>%.</w:t>
      </w:r>
    </w:p>
    <w:p w:rsidR="00B74041" w:rsidRDefault="00B74041" w:rsidP="00B74041">
      <w:pPr>
        <w:rPr>
          <w:rFonts w:eastAsia="Times New Roman" w:cs="Times New Roman"/>
          <w:lang w:bidi="bg-BG"/>
        </w:rPr>
      </w:pPr>
      <w:r w:rsidRPr="00B74041">
        <w:rPr>
          <w:rFonts w:eastAsia="Times New Roman" w:cs="Times New Roman"/>
          <w:lang w:bidi="bg-BG"/>
        </w:rPr>
        <w:t>В средносрочен план разходите по КФП (без разходите, извършвани от сметки за средства от ЕС и по други международни програми и договори, приравнени към тях, вкл. свързаното с тях национално съфинансиране) са в рамките на 40%-то правило по ЗПФ и през плановия период варират в диапазона 3</w:t>
      </w:r>
      <w:r w:rsidR="00AE359E">
        <w:rPr>
          <w:rFonts w:eastAsia="Times New Roman" w:cs="Times New Roman"/>
          <w:lang w:bidi="bg-BG"/>
        </w:rPr>
        <w:t>5</w:t>
      </w:r>
      <w:r w:rsidRPr="00B74041">
        <w:rPr>
          <w:rFonts w:eastAsia="Times New Roman" w:cs="Times New Roman"/>
          <w:lang w:bidi="bg-BG"/>
        </w:rPr>
        <w:t>,</w:t>
      </w:r>
      <w:r w:rsidR="00AE359E">
        <w:rPr>
          <w:rFonts w:eastAsia="Times New Roman" w:cs="Times New Roman"/>
          <w:lang w:bidi="bg-BG"/>
        </w:rPr>
        <w:t>2</w:t>
      </w:r>
      <w:r w:rsidRPr="00B74041">
        <w:rPr>
          <w:rFonts w:eastAsia="Times New Roman" w:cs="Times New Roman"/>
          <w:lang w:bidi="bg-BG"/>
        </w:rPr>
        <w:t xml:space="preserve"> - 3</w:t>
      </w:r>
      <w:r w:rsidR="00AE359E">
        <w:rPr>
          <w:rFonts w:eastAsia="Times New Roman" w:cs="Times New Roman"/>
          <w:lang w:bidi="bg-BG"/>
        </w:rPr>
        <w:t>5,5</w:t>
      </w:r>
      <w:r w:rsidRPr="00B74041">
        <w:rPr>
          <w:rFonts w:eastAsia="Times New Roman" w:cs="Times New Roman"/>
          <w:lang w:bidi="bg-BG"/>
        </w:rPr>
        <w:t>% от БВП.</w:t>
      </w:r>
    </w:p>
    <w:p w:rsidR="008909F9" w:rsidRDefault="008909F9" w:rsidP="00B74041">
      <w:pPr>
        <w:rPr>
          <w:rFonts w:eastAsia="Times New Roman" w:cs="Times New Roman"/>
          <w:lang w:bidi="bg-BG"/>
        </w:rPr>
      </w:pPr>
    </w:p>
    <w:p w:rsidR="00662D79" w:rsidRDefault="00662D79" w:rsidP="00B74041">
      <w:pPr>
        <w:rPr>
          <w:rFonts w:eastAsia="Times New Roman" w:cs="Times New Roman"/>
          <w:lang w:bidi="bg-BG"/>
        </w:rPr>
      </w:pPr>
    </w:p>
    <w:p w:rsidR="00662D79" w:rsidRDefault="00662D79" w:rsidP="00B74041">
      <w:pPr>
        <w:rPr>
          <w:rFonts w:eastAsia="Times New Roman" w:cs="Times New Roman"/>
          <w:lang w:bidi="bg-BG"/>
        </w:rPr>
      </w:pPr>
    </w:p>
    <w:p w:rsidR="00662D79" w:rsidRDefault="00662D79" w:rsidP="00B74041">
      <w:pPr>
        <w:rPr>
          <w:rFonts w:eastAsia="Times New Roman" w:cs="Times New Roman"/>
          <w:lang w:bidi="bg-BG"/>
        </w:rPr>
      </w:pPr>
    </w:p>
    <w:p w:rsidR="00662D79" w:rsidRPr="008D4C0C" w:rsidRDefault="00662D79" w:rsidP="00B74041">
      <w:pPr>
        <w:rPr>
          <w:rFonts w:eastAsia="Times New Roman" w:cs="Times New Roman"/>
          <w:lang w:bidi="bg-BG"/>
        </w:rPr>
      </w:pPr>
    </w:p>
    <w:p w:rsidR="00083361" w:rsidRPr="00006A45" w:rsidRDefault="00083361" w:rsidP="00DE2BDB">
      <w:pPr>
        <w:pStyle w:val="Heading2"/>
      </w:pPr>
      <w:bookmarkStart w:id="187" w:name="_Toc464224779"/>
      <w:bookmarkStart w:id="188" w:name="_Toc464225429"/>
      <w:bookmarkStart w:id="189" w:name="_Toc464458976"/>
      <w:bookmarkStart w:id="190" w:name="_Toc464459722"/>
      <w:bookmarkStart w:id="191" w:name="_Toc464460677"/>
      <w:bookmarkStart w:id="192" w:name="_Toc464463076"/>
      <w:bookmarkStart w:id="193" w:name="_Toc464464903"/>
      <w:bookmarkStart w:id="194" w:name="_Toc464465409"/>
      <w:bookmarkStart w:id="195" w:name="_Toc464465597"/>
      <w:bookmarkStart w:id="196" w:name="_Toc464466422"/>
      <w:bookmarkStart w:id="197" w:name="_Toc464466666"/>
      <w:bookmarkStart w:id="198" w:name="_Toc464644975"/>
      <w:bookmarkStart w:id="199" w:name="_Toc465205507"/>
      <w:bookmarkStart w:id="200" w:name="_Toc151557297"/>
      <w:r w:rsidRPr="00006A45">
        <w:t>ОСНОВНИ ФИСК</w:t>
      </w:r>
      <w:r w:rsidR="00C87DE2">
        <w:t>АЛНИ ПАРАМЕТРИ ЗА ПЕРИОДА 2024</w:t>
      </w:r>
      <w:r w:rsidRPr="00006A45">
        <w:t>-20</w:t>
      </w:r>
      <w:r w:rsidR="00C87DE2">
        <w:t>26</w:t>
      </w:r>
      <w:r w:rsidR="00AA3035" w:rsidRPr="00006A45">
        <w:t> г.</w:t>
      </w:r>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p>
    <w:p w:rsidR="0085423D" w:rsidRPr="002F4780" w:rsidRDefault="00B46A06" w:rsidP="002F58F4">
      <w:pPr>
        <w:spacing w:after="120"/>
        <w:rPr>
          <w:rFonts w:eastAsia="Times New Roman" w:cs="Times New Roman"/>
        </w:rPr>
      </w:pPr>
      <w:bookmarkStart w:id="201" w:name="_Toc464644976"/>
      <w:bookmarkStart w:id="202" w:name="_Toc464646359"/>
      <w:bookmarkStart w:id="203" w:name="_Toc464737637"/>
      <w:r w:rsidRPr="00850E86">
        <w:rPr>
          <w:rFonts w:eastAsia="Times New Roman" w:cs="Times New Roman"/>
        </w:rPr>
        <w:t>Разчетите в АСБП за периода 202</w:t>
      </w:r>
      <w:r w:rsidR="00850E86" w:rsidRPr="00850E86">
        <w:rPr>
          <w:rFonts w:eastAsia="Times New Roman" w:cs="Times New Roman"/>
        </w:rPr>
        <w:t>4</w:t>
      </w:r>
      <w:r w:rsidRPr="00850E86">
        <w:rPr>
          <w:rFonts w:eastAsia="Times New Roman" w:cs="Times New Roman"/>
        </w:rPr>
        <w:t>-202</w:t>
      </w:r>
      <w:r w:rsidR="00850E86" w:rsidRPr="00850E86">
        <w:rPr>
          <w:rFonts w:eastAsia="Times New Roman" w:cs="Times New Roman"/>
        </w:rPr>
        <w:t>6</w:t>
      </w:r>
      <w:r w:rsidRPr="00850E86">
        <w:rPr>
          <w:rFonts w:eastAsia="Times New Roman" w:cs="Times New Roman"/>
        </w:rPr>
        <w:t xml:space="preserve"> г. отразяват тенденциите в </w:t>
      </w:r>
      <w:r w:rsidR="00BB0DDF" w:rsidRPr="00850E86">
        <w:rPr>
          <w:rFonts w:eastAsia="Times New Roman" w:cs="Times New Roman"/>
        </w:rPr>
        <w:t xml:space="preserve">актуалната </w:t>
      </w:r>
      <w:r w:rsidRPr="00850E86">
        <w:rPr>
          <w:rFonts w:eastAsia="Times New Roman" w:cs="Times New Roman"/>
        </w:rPr>
        <w:t xml:space="preserve">макроикономическа прогноза за развитието на националната икономика и оценките за ефекта </w:t>
      </w:r>
      <w:r w:rsidR="006266B0" w:rsidRPr="00850E86">
        <w:rPr>
          <w:rFonts w:eastAsia="Times New Roman" w:cs="Times New Roman"/>
        </w:rPr>
        <w:t>върху основните показатели на КФП</w:t>
      </w:r>
      <w:r w:rsidR="00C76FAC" w:rsidRPr="00850E86">
        <w:rPr>
          <w:rFonts w:eastAsia="Times New Roman" w:cs="Times New Roman"/>
        </w:rPr>
        <w:t>.</w:t>
      </w:r>
      <w:r w:rsidR="006266B0" w:rsidRPr="002F4780">
        <w:rPr>
          <w:rFonts w:eastAsia="Times New Roman" w:cs="Times New Roman"/>
        </w:rPr>
        <w:t xml:space="preserve"> </w:t>
      </w:r>
    </w:p>
    <w:p w:rsidR="007E3E32" w:rsidRDefault="00566333" w:rsidP="001A31D9">
      <w:pPr>
        <w:pStyle w:val="Caption"/>
        <w:spacing w:before="240"/>
        <w:ind w:left="0" w:firstLine="0"/>
        <w:rPr>
          <w:color w:val="000000"/>
        </w:rPr>
      </w:pPr>
      <w:bookmarkStart w:id="204" w:name="_Toc150443416"/>
      <w:r w:rsidRPr="00006A45">
        <w:t xml:space="preserve">Табл. </w:t>
      </w:r>
      <w:fldSimple w:instr=" STYLEREF 1 \s ">
        <w:r w:rsidR="005A69ED">
          <w:rPr>
            <w:noProof/>
          </w:rPr>
          <w:t>II</w:t>
        </w:r>
      </w:fldSimple>
      <w:r w:rsidRPr="00006A45">
        <w:noBreakHyphen/>
      </w:r>
      <w:fldSimple w:instr=" SEQ Табл. \* ARABIC \s 1 ">
        <w:r w:rsidR="005A69ED">
          <w:rPr>
            <w:noProof/>
          </w:rPr>
          <w:t>2</w:t>
        </w:r>
      </w:fldSimple>
      <w:r w:rsidRPr="00006A45">
        <w:t>:</w:t>
      </w:r>
      <w:r w:rsidRPr="00006A45">
        <w:tab/>
      </w:r>
      <w:r w:rsidR="007A5358" w:rsidRPr="00006A45">
        <w:rPr>
          <w:color w:val="000000"/>
        </w:rPr>
        <w:t>Основни показатели по КФП (202</w:t>
      </w:r>
      <w:r w:rsidR="00850E86">
        <w:rPr>
          <w:color w:val="000000"/>
        </w:rPr>
        <w:t>3</w:t>
      </w:r>
      <w:r w:rsidRPr="00006A45">
        <w:rPr>
          <w:color w:val="000000"/>
        </w:rPr>
        <w:t>-20</w:t>
      </w:r>
      <w:r w:rsidR="00C2601C" w:rsidRPr="00006A45">
        <w:rPr>
          <w:color w:val="000000"/>
        </w:rPr>
        <w:t>2</w:t>
      </w:r>
      <w:r w:rsidR="00886C3C">
        <w:rPr>
          <w:color w:val="000000"/>
        </w:rPr>
        <w:t>6</w:t>
      </w:r>
      <w:r w:rsidR="006140A3">
        <w:rPr>
          <w:color w:val="000000"/>
        </w:rPr>
        <w:t xml:space="preserve"> </w:t>
      </w:r>
      <w:r w:rsidRPr="00006A45">
        <w:rPr>
          <w:color w:val="000000"/>
        </w:rPr>
        <w:t>г.)</w:t>
      </w:r>
      <w:r w:rsidR="002F58F4">
        <w:rPr>
          <w:rStyle w:val="FootnoteReference"/>
        </w:rPr>
        <w:footnoteReference w:id="9"/>
      </w:r>
      <w:bookmarkEnd w:id="204"/>
    </w:p>
    <w:tbl>
      <w:tblPr>
        <w:tblW w:w="9642" w:type="dxa"/>
        <w:tblCellMar>
          <w:left w:w="70" w:type="dxa"/>
          <w:right w:w="70" w:type="dxa"/>
        </w:tblCellMar>
        <w:tblLook w:val="04A0" w:firstRow="1" w:lastRow="0" w:firstColumn="1" w:lastColumn="0" w:noHBand="0" w:noVBand="1"/>
      </w:tblPr>
      <w:tblGrid>
        <w:gridCol w:w="4536"/>
        <w:gridCol w:w="1046"/>
        <w:gridCol w:w="1020"/>
        <w:gridCol w:w="1020"/>
        <w:gridCol w:w="1020"/>
        <w:gridCol w:w="1000"/>
      </w:tblGrid>
      <w:tr w:rsidR="00F271BD" w:rsidRPr="00F271BD" w:rsidTr="00F271BD">
        <w:trPr>
          <w:trHeight w:val="230"/>
        </w:trPr>
        <w:tc>
          <w:tcPr>
            <w:tcW w:w="4536" w:type="dxa"/>
            <w:vMerge w:val="restart"/>
            <w:tcBorders>
              <w:top w:val="single" w:sz="4" w:space="0" w:color="595959"/>
              <w:left w:val="nil"/>
              <w:bottom w:val="single" w:sz="4" w:space="0" w:color="000000"/>
              <w:right w:val="nil"/>
            </w:tcBorders>
            <w:shd w:val="clear" w:color="auto" w:fill="auto"/>
            <w:vAlign w:val="center"/>
            <w:hideMark/>
          </w:tcPr>
          <w:p w:rsidR="00F271BD" w:rsidRPr="00F271BD" w:rsidRDefault="00F271BD" w:rsidP="00F271BD">
            <w:pPr>
              <w:spacing w:after="0"/>
              <w:jc w:val="center"/>
              <w:rPr>
                <w:rFonts w:eastAsia="Times New Roman" w:cs="Times New Roman"/>
                <w:b/>
                <w:bCs/>
                <w:sz w:val="20"/>
                <w:szCs w:val="20"/>
              </w:rPr>
            </w:pPr>
            <w:r w:rsidRPr="00F271BD">
              <w:rPr>
                <w:rFonts w:eastAsia="Times New Roman" w:cs="Times New Roman"/>
                <w:b/>
                <w:bCs/>
                <w:sz w:val="20"/>
                <w:szCs w:val="20"/>
              </w:rPr>
              <w:t>КФП</w:t>
            </w:r>
            <w:r w:rsidRPr="00F271BD">
              <w:rPr>
                <w:rFonts w:eastAsia="Times New Roman" w:cs="Times New Roman"/>
                <w:b/>
                <w:bCs/>
                <w:sz w:val="20"/>
                <w:szCs w:val="20"/>
              </w:rPr>
              <w:br/>
              <w:t>млн. лв.</w:t>
            </w:r>
          </w:p>
        </w:tc>
        <w:tc>
          <w:tcPr>
            <w:tcW w:w="1046" w:type="dxa"/>
            <w:vMerge w:val="restart"/>
            <w:tcBorders>
              <w:top w:val="single" w:sz="4" w:space="0" w:color="595959"/>
              <w:left w:val="nil"/>
              <w:bottom w:val="single" w:sz="4" w:space="0" w:color="000000"/>
              <w:right w:val="nil"/>
            </w:tcBorders>
            <w:shd w:val="clear" w:color="auto" w:fill="auto"/>
            <w:hideMark/>
          </w:tcPr>
          <w:p w:rsidR="00F271BD" w:rsidRPr="00F271BD" w:rsidRDefault="00F271BD" w:rsidP="00F271BD">
            <w:pPr>
              <w:spacing w:after="0"/>
              <w:jc w:val="center"/>
              <w:rPr>
                <w:rFonts w:eastAsia="Times New Roman" w:cs="Times New Roman"/>
                <w:b/>
                <w:bCs/>
                <w:sz w:val="20"/>
                <w:szCs w:val="20"/>
              </w:rPr>
            </w:pPr>
            <w:r w:rsidRPr="00F271BD">
              <w:rPr>
                <w:rFonts w:eastAsia="Times New Roman" w:cs="Times New Roman"/>
                <w:b/>
                <w:bCs/>
                <w:sz w:val="20"/>
                <w:szCs w:val="20"/>
              </w:rPr>
              <w:t>2023</w:t>
            </w:r>
            <w:r w:rsidRPr="00F271BD">
              <w:rPr>
                <w:rFonts w:eastAsia="Times New Roman" w:cs="Times New Roman"/>
                <w:b/>
                <w:bCs/>
                <w:sz w:val="20"/>
                <w:szCs w:val="20"/>
              </w:rPr>
              <w:br/>
              <w:t>Програма</w:t>
            </w:r>
          </w:p>
        </w:tc>
        <w:tc>
          <w:tcPr>
            <w:tcW w:w="1020" w:type="dxa"/>
            <w:vMerge w:val="restart"/>
            <w:tcBorders>
              <w:top w:val="single" w:sz="4" w:space="0" w:color="595959"/>
              <w:left w:val="nil"/>
              <w:bottom w:val="single" w:sz="4" w:space="0" w:color="000000"/>
              <w:right w:val="nil"/>
            </w:tcBorders>
            <w:shd w:val="clear" w:color="auto" w:fill="auto"/>
            <w:hideMark/>
          </w:tcPr>
          <w:p w:rsidR="00F271BD" w:rsidRPr="00F271BD" w:rsidRDefault="00F271BD" w:rsidP="00F271BD">
            <w:pPr>
              <w:spacing w:after="0"/>
              <w:jc w:val="center"/>
              <w:rPr>
                <w:rFonts w:eastAsia="Times New Roman" w:cs="Times New Roman"/>
                <w:b/>
                <w:bCs/>
                <w:sz w:val="20"/>
                <w:szCs w:val="20"/>
              </w:rPr>
            </w:pPr>
            <w:r w:rsidRPr="00F271BD">
              <w:rPr>
                <w:rFonts w:eastAsia="Times New Roman" w:cs="Times New Roman"/>
                <w:b/>
                <w:bCs/>
                <w:sz w:val="20"/>
                <w:szCs w:val="20"/>
              </w:rPr>
              <w:t>2023</w:t>
            </w:r>
            <w:r w:rsidRPr="00F271BD">
              <w:rPr>
                <w:rFonts w:eastAsia="Times New Roman" w:cs="Times New Roman"/>
                <w:b/>
                <w:bCs/>
                <w:sz w:val="20"/>
                <w:szCs w:val="20"/>
              </w:rPr>
              <w:br/>
              <w:t>Очакв.</w:t>
            </w:r>
          </w:p>
        </w:tc>
        <w:tc>
          <w:tcPr>
            <w:tcW w:w="1020" w:type="dxa"/>
            <w:vMerge w:val="restart"/>
            <w:tcBorders>
              <w:top w:val="single" w:sz="4" w:space="0" w:color="595959"/>
              <w:left w:val="nil"/>
              <w:bottom w:val="single" w:sz="4" w:space="0" w:color="000000"/>
              <w:right w:val="nil"/>
            </w:tcBorders>
            <w:shd w:val="clear" w:color="auto" w:fill="auto"/>
            <w:hideMark/>
          </w:tcPr>
          <w:p w:rsidR="00F271BD" w:rsidRPr="00F271BD" w:rsidRDefault="00F271BD" w:rsidP="00F271BD">
            <w:pPr>
              <w:spacing w:after="0"/>
              <w:jc w:val="center"/>
              <w:rPr>
                <w:rFonts w:eastAsia="Times New Roman" w:cs="Times New Roman"/>
                <w:b/>
                <w:bCs/>
                <w:sz w:val="20"/>
                <w:szCs w:val="20"/>
              </w:rPr>
            </w:pPr>
            <w:r w:rsidRPr="00F271BD">
              <w:rPr>
                <w:rFonts w:eastAsia="Times New Roman" w:cs="Times New Roman"/>
                <w:b/>
                <w:bCs/>
                <w:sz w:val="20"/>
                <w:szCs w:val="20"/>
              </w:rPr>
              <w:t>2024</w:t>
            </w:r>
            <w:r w:rsidRPr="00F271BD">
              <w:rPr>
                <w:rFonts w:eastAsia="Times New Roman" w:cs="Times New Roman"/>
                <w:b/>
                <w:bCs/>
                <w:sz w:val="20"/>
                <w:szCs w:val="20"/>
              </w:rPr>
              <w:br/>
              <w:t>Проект</w:t>
            </w:r>
          </w:p>
        </w:tc>
        <w:tc>
          <w:tcPr>
            <w:tcW w:w="1020" w:type="dxa"/>
            <w:vMerge w:val="restart"/>
            <w:tcBorders>
              <w:top w:val="single" w:sz="4" w:space="0" w:color="595959"/>
              <w:left w:val="nil"/>
              <w:bottom w:val="single" w:sz="4" w:space="0" w:color="000000"/>
              <w:right w:val="nil"/>
            </w:tcBorders>
            <w:shd w:val="clear" w:color="auto" w:fill="auto"/>
            <w:hideMark/>
          </w:tcPr>
          <w:p w:rsidR="00F271BD" w:rsidRPr="00F271BD" w:rsidRDefault="00F271BD" w:rsidP="00F271BD">
            <w:pPr>
              <w:spacing w:after="0"/>
              <w:jc w:val="center"/>
              <w:rPr>
                <w:rFonts w:eastAsia="Times New Roman" w:cs="Times New Roman"/>
                <w:b/>
                <w:bCs/>
                <w:sz w:val="20"/>
                <w:szCs w:val="20"/>
              </w:rPr>
            </w:pPr>
            <w:r w:rsidRPr="00F271BD">
              <w:rPr>
                <w:rFonts w:eastAsia="Times New Roman" w:cs="Times New Roman"/>
                <w:b/>
                <w:bCs/>
                <w:sz w:val="20"/>
                <w:szCs w:val="20"/>
              </w:rPr>
              <w:t>2025</w:t>
            </w:r>
            <w:r w:rsidRPr="00F271BD">
              <w:rPr>
                <w:rFonts w:eastAsia="Times New Roman" w:cs="Times New Roman"/>
                <w:b/>
                <w:bCs/>
                <w:sz w:val="20"/>
                <w:szCs w:val="20"/>
              </w:rPr>
              <w:br/>
              <w:t>Прогноза</w:t>
            </w:r>
          </w:p>
        </w:tc>
        <w:tc>
          <w:tcPr>
            <w:tcW w:w="1000" w:type="dxa"/>
            <w:vMerge w:val="restart"/>
            <w:tcBorders>
              <w:top w:val="single" w:sz="4" w:space="0" w:color="595959"/>
              <w:left w:val="nil"/>
              <w:bottom w:val="single" w:sz="4" w:space="0" w:color="000000"/>
              <w:right w:val="nil"/>
            </w:tcBorders>
            <w:shd w:val="clear" w:color="auto" w:fill="auto"/>
            <w:hideMark/>
          </w:tcPr>
          <w:p w:rsidR="00F271BD" w:rsidRPr="00F271BD" w:rsidRDefault="00F271BD" w:rsidP="00F271BD">
            <w:pPr>
              <w:spacing w:after="0"/>
              <w:jc w:val="center"/>
              <w:rPr>
                <w:rFonts w:eastAsia="Times New Roman" w:cs="Times New Roman"/>
                <w:b/>
                <w:bCs/>
                <w:sz w:val="20"/>
                <w:szCs w:val="20"/>
              </w:rPr>
            </w:pPr>
            <w:r w:rsidRPr="00F271BD">
              <w:rPr>
                <w:rFonts w:eastAsia="Times New Roman" w:cs="Times New Roman"/>
                <w:b/>
                <w:bCs/>
                <w:sz w:val="20"/>
                <w:szCs w:val="20"/>
              </w:rPr>
              <w:t>2026</w:t>
            </w:r>
            <w:r w:rsidRPr="00F271BD">
              <w:rPr>
                <w:rFonts w:eastAsia="Times New Roman" w:cs="Times New Roman"/>
                <w:b/>
                <w:bCs/>
                <w:sz w:val="20"/>
                <w:szCs w:val="20"/>
              </w:rPr>
              <w:br/>
              <w:t>Прогноза</w:t>
            </w:r>
          </w:p>
        </w:tc>
      </w:tr>
      <w:tr w:rsidR="00F271BD" w:rsidRPr="00F271BD" w:rsidTr="00F271BD">
        <w:trPr>
          <w:trHeight w:val="517"/>
        </w:trPr>
        <w:tc>
          <w:tcPr>
            <w:tcW w:w="4536" w:type="dxa"/>
            <w:vMerge/>
            <w:tcBorders>
              <w:top w:val="single" w:sz="4" w:space="0" w:color="595959"/>
              <w:left w:val="nil"/>
              <w:bottom w:val="single" w:sz="4" w:space="0" w:color="000000"/>
              <w:right w:val="nil"/>
            </w:tcBorders>
            <w:vAlign w:val="center"/>
            <w:hideMark/>
          </w:tcPr>
          <w:p w:rsidR="00F271BD" w:rsidRPr="00F271BD" w:rsidRDefault="00F271BD" w:rsidP="00F271BD">
            <w:pPr>
              <w:spacing w:after="0"/>
              <w:jc w:val="left"/>
              <w:rPr>
                <w:rFonts w:eastAsia="Times New Roman" w:cs="Times New Roman"/>
                <w:b/>
                <w:bCs/>
                <w:sz w:val="20"/>
                <w:szCs w:val="20"/>
              </w:rPr>
            </w:pPr>
          </w:p>
        </w:tc>
        <w:tc>
          <w:tcPr>
            <w:tcW w:w="1046" w:type="dxa"/>
            <w:vMerge/>
            <w:tcBorders>
              <w:top w:val="single" w:sz="4" w:space="0" w:color="595959"/>
              <w:left w:val="nil"/>
              <w:bottom w:val="single" w:sz="4" w:space="0" w:color="000000"/>
              <w:right w:val="nil"/>
            </w:tcBorders>
            <w:vAlign w:val="center"/>
            <w:hideMark/>
          </w:tcPr>
          <w:p w:rsidR="00F271BD" w:rsidRPr="00F271BD" w:rsidRDefault="00F271BD" w:rsidP="00F271BD">
            <w:pPr>
              <w:spacing w:after="0"/>
              <w:jc w:val="left"/>
              <w:rPr>
                <w:rFonts w:eastAsia="Times New Roman" w:cs="Times New Roman"/>
                <w:b/>
                <w:bCs/>
                <w:sz w:val="20"/>
                <w:szCs w:val="20"/>
              </w:rPr>
            </w:pPr>
          </w:p>
        </w:tc>
        <w:tc>
          <w:tcPr>
            <w:tcW w:w="1020" w:type="dxa"/>
            <w:vMerge/>
            <w:tcBorders>
              <w:top w:val="single" w:sz="4" w:space="0" w:color="595959"/>
              <w:left w:val="nil"/>
              <w:bottom w:val="single" w:sz="4" w:space="0" w:color="000000"/>
              <w:right w:val="nil"/>
            </w:tcBorders>
            <w:vAlign w:val="center"/>
            <w:hideMark/>
          </w:tcPr>
          <w:p w:rsidR="00F271BD" w:rsidRPr="00F271BD" w:rsidRDefault="00F271BD" w:rsidP="00F271BD">
            <w:pPr>
              <w:spacing w:after="0"/>
              <w:jc w:val="left"/>
              <w:rPr>
                <w:rFonts w:eastAsia="Times New Roman" w:cs="Times New Roman"/>
                <w:b/>
                <w:bCs/>
                <w:sz w:val="20"/>
                <w:szCs w:val="20"/>
              </w:rPr>
            </w:pPr>
          </w:p>
        </w:tc>
        <w:tc>
          <w:tcPr>
            <w:tcW w:w="1020" w:type="dxa"/>
            <w:vMerge/>
            <w:tcBorders>
              <w:top w:val="single" w:sz="4" w:space="0" w:color="595959"/>
              <w:left w:val="nil"/>
              <w:bottom w:val="single" w:sz="4" w:space="0" w:color="000000"/>
              <w:right w:val="nil"/>
            </w:tcBorders>
            <w:vAlign w:val="center"/>
            <w:hideMark/>
          </w:tcPr>
          <w:p w:rsidR="00F271BD" w:rsidRPr="00F271BD" w:rsidRDefault="00F271BD" w:rsidP="00F271BD">
            <w:pPr>
              <w:spacing w:after="0"/>
              <w:jc w:val="left"/>
              <w:rPr>
                <w:rFonts w:eastAsia="Times New Roman" w:cs="Times New Roman"/>
                <w:b/>
                <w:bCs/>
                <w:sz w:val="20"/>
                <w:szCs w:val="20"/>
              </w:rPr>
            </w:pPr>
          </w:p>
        </w:tc>
        <w:tc>
          <w:tcPr>
            <w:tcW w:w="1020" w:type="dxa"/>
            <w:vMerge/>
            <w:tcBorders>
              <w:top w:val="single" w:sz="4" w:space="0" w:color="595959"/>
              <w:left w:val="nil"/>
              <w:bottom w:val="single" w:sz="4" w:space="0" w:color="000000"/>
              <w:right w:val="nil"/>
            </w:tcBorders>
            <w:vAlign w:val="center"/>
            <w:hideMark/>
          </w:tcPr>
          <w:p w:rsidR="00F271BD" w:rsidRPr="00F271BD" w:rsidRDefault="00F271BD" w:rsidP="00F271BD">
            <w:pPr>
              <w:spacing w:after="0"/>
              <w:jc w:val="left"/>
              <w:rPr>
                <w:rFonts w:eastAsia="Times New Roman" w:cs="Times New Roman"/>
                <w:b/>
                <w:bCs/>
                <w:sz w:val="20"/>
                <w:szCs w:val="20"/>
              </w:rPr>
            </w:pPr>
          </w:p>
        </w:tc>
        <w:tc>
          <w:tcPr>
            <w:tcW w:w="1000" w:type="dxa"/>
            <w:vMerge/>
            <w:tcBorders>
              <w:top w:val="single" w:sz="4" w:space="0" w:color="595959"/>
              <w:left w:val="nil"/>
              <w:bottom w:val="single" w:sz="4" w:space="0" w:color="000000"/>
              <w:right w:val="nil"/>
            </w:tcBorders>
            <w:vAlign w:val="center"/>
            <w:hideMark/>
          </w:tcPr>
          <w:p w:rsidR="00F271BD" w:rsidRPr="00F271BD" w:rsidRDefault="00F271BD" w:rsidP="00F271BD">
            <w:pPr>
              <w:spacing w:after="0"/>
              <w:jc w:val="left"/>
              <w:rPr>
                <w:rFonts w:eastAsia="Times New Roman" w:cs="Times New Roman"/>
                <w:b/>
                <w:bCs/>
                <w:sz w:val="20"/>
                <w:szCs w:val="20"/>
              </w:rPr>
            </w:pPr>
          </w:p>
        </w:tc>
      </w:tr>
      <w:tr w:rsidR="00F271BD" w:rsidRPr="00F271BD" w:rsidTr="00F271BD">
        <w:trPr>
          <w:trHeight w:val="517"/>
        </w:trPr>
        <w:tc>
          <w:tcPr>
            <w:tcW w:w="4536" w:type="dxa"/>
            <w:vMerge/>
            <w:tcBorders>
              <w:top w:val="single" w:sz="4" w:space="0" w:color="595959"/>
              <w:left w:val="nil"/>
              <w:bottom w:val="single" w:sz="4" w:space="0" w:color="000000"/>
              <w:right w:val="nil"/>
            </w:tcBorders>
            <w:vAlign w:val="center"/>
            <w:hideMark/>
          </w:tcPr>
          <w:p w:rsidR="00F271BD" w:rsidRPr="00F271BD" w:rsidRDefault="00F271BD" w:rsidP="00F271BD">
            <w:pPr>
              <w:spacing w:after="0"/>
              <w:jc w:val="left"/>
              <w:rPr>
                <w:rFonts w:eastAsia="Times New Roman" w:cs="Times New Roman"/>
                <w:b/>
                <w:bCs/>
                <w:sz w:val="20"/>
                <w:szCs w:val="20"/>
              </w:rPr>
            </w:pPr>
          </w:p>
        </w:tc>
        <w:tc>
          <w:tcPr>
            <w:tcW w:w="1046" w:type="dxa"/>
            <w:vMerge/>
            <w:tcBorders>
              <w:top w:val="single" w:sz="4" w:space="0" w:color="595959"/>
              <w:left w:val="nil"/>
              <w:bottom w:val="single" w:sz="4" w:space="0" w:color="000000"/>
              <w:right w:val="nil"/>
            </w:tcBorders>
            <w:vAlign w:val="center"/>
            <w:hideMark/>
          </w:tcPr>
          <w:p w:rsidR="00F271BD" w:rsidRPr="00F271BD" w:rsidRDefault="00F271BD" w:rsidP="00F271BD">
            <w:pPr>
              <w:spacing w:after="0"/>
              <w:jc w:val="left"/>
              <w:rPr>
                <w:rFonts w:eastAsia="Times New Roman" w:cs="Times New Roman"/>
                <w:b/>
                <w:bCs/>
                <w:sz w:val="20"/>
                <w:szCs w:val="20"/>
              </w:rPr>
            </w:pPr>
          </w:p>
        </w:tc>
        <w:tc>
          <w:tcPr>
            <w:tcW w:w="1020" w:type="dxa"/>
            <w:vMerge/>
            <w:tcBorders>
              <w:top w:val="single" w:sz="4" w:space="0" w:color="595959"/>
              <w:left w:val="nil"/>
              <w:bottom w:val="single" w:sz="4" w:space="0" w:color="000000"/>
              <w:right w:val="nil"/>
            </w:tcBorders>
            <w:vAlign w:val="center"/>
            <w:hideMark/>
          </w:tcPr>
          <w:p w:rsidR="00F271BD" w:rsidRPr="00F271BD" w:rsidRDefault="00F271BD" w:rsidP="00F271BD">
            <w:pPr>
              <w:spacing w:after="0"/>
              <w:jc w:val="left"/>
              <w:rPr>
                <w:rFonts w:eastAsia="Times New Roman" w:cs="Times New Roman"/>
                <w:b/>
                <w:bCs/>
                <w:sz w:val="20"/>
                <w:szCs w:val="20"/>
              </w:rPr>
            </w:pPr>
          </w:p>
        </w:tc>
        <w:tc>
          <w:tcPr>
            <w:tcW w:w="1020" w:type="dxa"/>
            <w:vMerge/>
            <w:tcBorders>
              <w:top w:val="single" w:sz="4" w:space="0" w:color="595959"/>
              <w:left w:val="nil"/>
              <w:bottom w:val="single" w:sz="4" w:space="0" w:color="000000"/>
              <w:right w:val="nil"/>
            </w:tcBorders>
            <w:vAlign w:val="center"/>
            <w:hideMark/>
          </w:tcPr>
          <w:p w:rsidR="00F271BD" w:rsidRPr="00F271BD" w:rsidRDefault="00F271BD" w:rsidP="00F271BD">
            <w:pPr>
              <w:spacing w:after="0"/>
              <w:jc w:val="left"/>
              <w:rPr>
                <w:rFonts w:eastAsia="Times New Roman" w:cs="Times New Roman"/>
                <w:b/>
                <w:bCs/>
                <w:sz w:val="20"/>
                <w:szCs w:val="20"/>
              </w:rPr>
            </w:pPr>
          </w:p>
        </w:tc>
        <w:tc>
          <w:tcPr>
            <w:tcW w:w="1020" w:type="dxa"/>
            <w:vMerge/>
            <w:tcBorders>
              <w:top w:val="single" w:sz="4" w:space="0" w:color="595959"/>
              <w:left w:val="nil"/>
              <w:bottom w:val="single" w:sz="4" w:space="0" w:color="000000"/>
              <w:right w:val="nil"/>
            </w:tcBorders>
            <w:vAlign w:val="center"/>
            <w:hideMark/>
          </w:tcPr>
          <w:p w:rsidR="00F271BD" w:rsidRPr="00F271BD" w:rsidRDefault="00F271BD" w:rsidP="00F271BD">
            <w:pPr>
              <w:spacing w:after="0"/>
              <w:jc w:val="left"/>
              <w:rPr>
                <w:rFonts w:eastAsia="Times New Roman" w:cs="Times New Roman"/>
                <w:b/>
                <w:bCs/>
                <w:sz w:val="20"/>
                <w:szCs w:val="20"/>
              </w:rPr>
            </w:pPr>
          </w:p>
        </w:tc>
        <w:tc>
          <w:tcPr>
            <w:tcW w:w="1000" w:type="dxa"/>
            <w:vMerge/>
            <w:tcBorders>
              <w:top w:val="single" w:sz="4" w:space="0" w:color="595959"/>
              <w:left w:val="nil"/>
              <w:bottom w:val="single" w:sz="4" w:space="0" w:color="000000"/>
              <w:right w:val="nil"/>
            </w:tcBorders>
            <w:vAlign w:val="center"/>
            <w:hideMark/>
          </w:tcPr>
          <w:p w:rsidR="00F271BD" w:rsidRPr="00F271BD" w:rsidRDefault="00F271BD" w:rsidP="00F271BD">
            <w:pPr>
              <w:spacing w:after="0"/>
              <w:jc w:val="left"/>
              <w:rPr>
                <w:rFonts w:eastAsia="Times New Roman" w:cs="Times New Roman"/>
                <w:b/>
                <w:bCs/>
                <w:sz w:val="20"/>
                <w:szCs w:val="20"/>
              </w:rPr>
            </w:pPr>
          </w:p>
        </w:tc>
      </w:tr>
      <w:tr w:rsidR="00F271BD" w:rsidRPr="00F271BD" w:rsidTr="00F271BD">
        <w:trPr>
          <w:trHeight w:val="240"/>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jc w:val="left"/>
              <w:rPr>
                <w:rFonts w:eastAsia="Times New Roman" w:cs="Times New Roman"/>
                <w:b/>
                <w:bCs/>
                <w:color w:val="000000"/>
                <w:sz w:val="18"/>
                <w:szCs w:val="18"/>
              </w:rPr>
            </w:pPr>
            <w:r w:rsidRPr="00F271BD">
              <w:rPr>
                <w:rFonts w:eastAsia="Times New Roman" w:cs="Times New Roman"/>
                <w:b/>
                <w:bCs/>
                <w:color w:val="000000"/>
                <w:sz w:val="18"/>
                <w:szCs w:val="18"/>
              </w:rPr>
              <w:t>ПРИХОДИ, ПОМОЩИ И ДАРЕНИЯ</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69 471,8</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67 192,9</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75 163,6</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80 577,9</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85 360,6</w:t>
            </w:r>
          </w:p>
        </w:tc>
      </w:tr>
      <w:tr w:rsidR="00F271BD" w:rsidRPr="00F271BD" w:rsidTr="00F271BD">
        <w:trPr>
          <w:trHeight w:val="240"/>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 от БВП</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i/>
                <w:iCs/>
                <w:color w:val="000000"/>
                <w:sz w:val="18"/>
                <w:szCs w:val="18"/>
              </w:rPr>
            </w:pPr>
            <w:r w:rsidRPr="00F271BD">
              <w:rPr>
                <w:rFonts w:eastAsia="Times New Roman" w:cs="Times New Roman"/>
                <w:b/>
                <w:bCs/>
                <w:i/>
                <w:iCs/>
                <w:color w:val="000000"/>
                <w:sz w:val="18"/>
                <w:szCs w:val="18"/>
              </w:rPr>
              <w:t>36,3%</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i/>
                <w:iCs/>
                <w:color w:val="000000"/>
                <w:sz w:val="18"/>
                <w:szCs w:val="18"/>
              </w:rPr>
            </w:pPr>
            <w:r w:rsidRPr="00F271BD">
              <w:rPr>
                <w:rFonts w:eastAsia="Times New Roman" w:cs="Times New Roman"/>
                <w:b/>
                <w:bCs/>
                <w:i/>
                <w:iCs/>
                <w:color w:val="000000"/>
                <w:sz w:val="18"/>
                <w:szCs w:val="18"/>
              </w:rPr>
              <w:t>35,1%</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i/>
                <w:iCs/>
                <w:color w:val="000000"/>
                <w:sz w:val="18"/>
                <w:szCs w:val="18"/>
              </w:rPr>
            </w:pPr>
            <w:r w:rsidRPr="00F271BD">
              <w:rPr>
                <w:rFonts w:eastAsia="Times New Roman" w:cs="Times New Roman"/>
                <w:b/>
                <w:bCs/>
                <w:i/>
                <w:iCs/>
                <w:color w:val="000000"/>
                <w:sz w:val="18"/>
                <w:szCs w:val="18"/>
              </w:rPr>
              <w:t>36,5%</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i/>
                <w:iCs/>
                <w:color w:val="000000"/>
                <w:sz w:val="18"/>
                <w:szCs w:val="18"/>
              </w:rPr>
            </w:pPr>
            <w:r w:rsidRPr="00F271BD">
              <w:rPr>
                <w:rFonts w:eastAsia="Times New Roman" w:cs="Times New Roman"/>
                <w:b/>
                <w:bCs/>
                <w:i/>
                <w:iCs/>
                <w:color w:val="000000"/>
                <w:sz w:val="18"/>
                <w:szCs w:val="18"/>
              </w:rPr>
              <w:t>37,0%</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i/>
                <w:iCs/>
                <w:color w:val="000000"/>
                <w:sz w:val="18"/>
                <w:szCs w:val="18"/>
              </w:rPr>
            </w:pPr>
            <w:r w:rsidRPr="00F271BD">
              <w:rPr>
                <w:rFonts w:eastAsia="Times New Roman" w:cs="Times New Roman"/>
                <w:b/>
                <w:bCs/>
                <w:i/>
                <w:iCs/>
                <w:color w:val="000000"/>
                <w:sz w:val="18"/>
                <w:szCs w:val="18"/>
              </w:rPr>
              <w:t>36,9%</w:t>
            </w:r>
          </w:p>
        </w:tc>
      </w:tr>
      <w:tr w:rsidR="00F271BD" w:rsidRPr="00F271BD" w:rsidTr="00F271BD">
        <w:trPr>
          <w:trHeight w:val="240"/>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ind w:firstLineChars="100" w:firstLine="180"/>
              <w:jc w:val="left"/>
              <w:rPr>
                <w:rFonts w:eastAsia="Times New Roman" w:cs="Times New Roman"/>
                <w:color w:val="000000"/>
                <w:sz w:val="18"/>
                <w:szCs w:val="18"/>
              </w:rPr>
            </w:pPr>
            <w:r w:rsidRPr="00F271BD">
              <w:rPr>
                <w:rFonts w:eastAsia="Times New Roman" w:cs="Times New Roman"/>
                <w:color w:val="000000"/>
                <w:sz w:val="18"/>
                <w:szCs w:val="18"/>
              </w:rPr>
              <w:t>Данъчно-осигурителни приходи</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53 166,0</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52 874,9</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57 824,7</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62 343,3</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67 330,6</w:t>
            </w:r>
          </w:p>
        </w:tc>
      </w:tr>
      <w:tr w:rsidR="00F271BD" w:rsidRPr="00F271BD" w:rsidTr="00F271BD">
        <w:trPr>
          <w:trHeight w:val="240"/>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ind w:firstLineChars="100" w:firstLine="180"/>
              <w:jc w:val="left"/>
              <w:rPr>
                <w:rFonts w:eastAsia="Times New Roman" w:cs="Times New Roman"/>
                <w:color w:val="000000"/>
                <w:sz w:val="18"/>
                <w:szCs w:val="18"/>
              </w:rPr>
            </w:pPr>
            <w:r w:rsidRPr="00F271BD">
              <w:rPr>
                <w:rFonts w:eastAsia="Times New Roman" w:cs="Times New Roman"/>
                <w:color w:val="000000"/>
                <w:sz w:val="18"/>
                <w:szCs w:val="18"/>
              </w:rPr>
              <w:t>Неданъчни приходи</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11 152,2</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10 731,1</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10 258,2</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11 538,2</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12 455,4</w:t>
            </w:r>
          </w:p>
        </w:tc>
      </w:tr>
      <w:tr w:rsidR="00F271BD" w:rsidRPr="00F271BD" w:rsidTr="00F271BD">
        <w:trPr>
          <w:trHeight w:val="240"/>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ind w:firstLineChars="100" w:firstLine="180"/>
              <w:jc w:val="left"/>
              <w:rPr>
                <w:rFonts w:eastAsia="Times New Roman" w:cs="Times New Roman"/>
                <w:color w:val="000000"/>
                <w:sz w:val="18"/>
                <w:szCs w:val="18"/>
              </w:rPr>
            </w:pPr>
            <w:r w:rsidRPr="00F271BD">
              <w:rPr>
                <w:rFonts w:eastAsia="Times New Roman" w:cs="Times New Roman"/>
                <w:color w:val="000000"/>
                <w:sz w:val="18"/>
                <w:szCs w:val="18"/>
              </w:rPr>
              <w:t>Помощи и дарения</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5 153,6</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3 586,9</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7 080,7</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6 696,4</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5 574,6</w:t>
            </w:r>
          </w:p>
        </w:tc>
      </w:tr>
      <w:tr w:rsidR="00F271BD" w:rsidRPr="00F271BD" w:rsidTr="00F271BD">
        <w:trPr>
          <w:trHeight w:val="165"/>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jc w:val="right"/>
              <w:rPr>
                <w:rFonts w:eastAsia="Times New Roman" w:cs="Times New Roman"/>
                <w:color w:val="000000"/>
                <w:sz w:val="18"/>
                <w:szCs w:val="18"/>
              </w:rPr>
            </w:pP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lef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r>
      <w:tr w:rsidR="00F271BD" w:rsidRPr="00F271BD" w:rsidTr="00F271BD">
        <w:trPr>
          <w:trHeight w:val="255"/>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jc w:val="left"/>
              <w:rPr>
                <w:rFonts w:eastAsia="Times New Roman" w:cs="Times New Roman"/>
                <w:b/>
                <w:bCs/>
                <w:color w:val="000000"/>
                <w:sz w:val="18"/>
                <w:szCs w:val="18"/>
              </w:rPr>
            </w:pPr>
            <w:r w:rsidRPr="00F271BD">
              <w:rPr>
                <w:rFonts w:eastAsia="Times New Roman" w:cs="Times New Roman"/>
                <w:b/>
                <w:bCs/>
                <w:color w:val="000000"/>
                <w:sz w:val="18"/>
                <w:szCs w:val="18"/>
              </w:rPr>
              <w:t xml:space="preserve">ОБЩО РАЗХОДИ И ВНОСКА В БЮДЖЕТА НА ЕС  </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74 051,8</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73 012,9</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81 382,9</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87 024,3</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92 328,0</w:t>
            </w:r>
          </w:p>
        </w:tc>
      </w:tr>
      <w:tr w:rsidR="00F271BD" w:rsidRPr="00F271BD" w:rsidTr="00F271BD">
        <w:trPr>
          <w:trHeight w:val="240"/>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 от БВП</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i/>
                <w:iCs/>
                <w:color w:val="000000"/>
                <w:sz w:val="18"/>
                <w:szCs w:val="18"/>
              </w:rPr>
            </w:pPr>
            <w:r w:rsidRPr="00F271BD">
              <w:rPr>
                <w:rFonts w:eastAsia="Times New Roman" w:cs="Times New Roman"/>
                <w:b/>
                <w:bCs/>
                <w:i/>
                <w:iCs/>
                <w:color w:val="000000"/>
                <w:sz w:val="18"/>
                <w:szCs w:val="18"/>
              </w:rPr>
              <w:t>38,7%</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i/>
                <w:iCs/>
                <w:color w:val="000000"/>
                <w:sz w:val="18"/>
                <w:szCs w:val="18"/>
              </w:rPr>
            </w:pPr>
            <w:r w:rsidRPr="00F271BD">
              <w:rPr>
                <w:rFonts w:eastAsia="Times New Roman" w:cs="Times New Roman"/>
                <w:b/>
                <w:bCs/>
                <w:i/>
                <w:iCs/>
                <w:color w:val="000000"/>
                <w:sz w:val="18"/>
                <w:szCs w:val="18"/>
              </w:rPr>
              <w:t>38,2%</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i/>
                <w:iCs/>
                <w:color w:val="000000"/>
                <w:sz w:val="18"/>
                <w:szCs w:val="18"/>
              </w:rPr>
            </w:pPr>
            <w:r w:rsidRPr="00F271BD">
              <w:rPr>
                <w:rFonts w:eastAsia="Times New Roman" w:cs="Times New Roman"/>
                <w:b/>
                <w:bCs/>
                <w:i/>
                <w:iCs/>
                <w:color w:val="000000"/>
                <w:sz w:val="18"/>
                <w:szCs w:val="18"/>
              </w:rPr>
              <w:t>39,5%</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i/>
                <w:iCs/>
                <w:color w:val="000000"/>
                <w:sz w:val="18"/>
                <w:szCs w:val="18"/>
              </w:rPr>
            </w:pPr>
            <w:r w:rsidRPr="00F271BD">
              <w:rPr>
                <w:rFonts w:eastAsia="Times New Roman" w:cs="Times New Roman"/>
                <w:b/>
                <w:bCs/>
                <w:i/>
                <w:iCs/>
                <w:color w:val="000000"/>
                <w:sz w:val="18"/>
                <w:szCs w:val="18"/>
              </w:rPr>
              <w:t>40,0%</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i/>
                <w:iCs/>
                <w:color w:val="000000"/>
                <w:sz w:val="18"/>
                <w:szCs w:val="18"/>
              </w:rPr>
            </w:pPr>
            <w:r w:rsidRPr="00F271BD">
              <w:rPr>
                <w:rFonts w:eastAsia="Times New Roman" w:cs="Times New Roman"/>
                <w:b/>
                <w:bCs/>
                <w:i/>
                <w:iCs/>
                <w:color w:val="000000"/>
                <w:sz w:val="18"/>
                <w:szCs w:val="18"/>
              </w:rPr>
              <w:t>39,9%</w:t>
            </w:r>
          </w:p>
        </w:tc>
      </w:tr>
      <w:tr w:rsidR="00F271BD" w:rsidRPr="00F271BD" w:rsidTr="00F271BD">
        <w:trPr>
          <w:trHeight w:val="240"/>
        </w:trPr>
        <w:tc>
          <w:tcPr>
            <w:tcW w:w="4536" w:type="dxa"/>
            <w:tcBorders>
              <w:top w:val="nil"/>
              <w:left w:val="nil"/>
              <w:bottom w:val="nil"/>
              <w:right w:val="nil"/>
            </w:tcBorders>
            <w:shd w:val="clear" w:color="auto" w:fill="auto"/>
            <w:noWrap/>
            <w:vAlign w:val="center"/>
            <w:hideMark/>
          </w:tcPr>
          <w:p w:rsidR="00F271BD" w:rsidRPr="00F271BD" w:rsidRDefault="00F271BD" w:rsidP="00F271BD">
            <w:pPr>
              <w:spacing w:after="0"/>
              <w:ind w:firstLineChars="100" w:firstLine="180"/>
              <w:jc w:val="left"/>
              <w:rPr>
                <w:rFonts w:eastAsia="Times New Roman" w:cs="Times New Roman"/>
                <w:color w:val="000000"/>
                <w:sz w:val="18"/>
                <w:szCs w:val="18"/>
              </w:rPr>
            </w:pPr>
            <w:r w:rsidRPr="00F271BD">
              <w:rPr>
                <w:rFonts w:eastAsia="Times New Roman" w:cs="Times New Roman"/>
                <w:color w:val="000000"/>
                <w:sz w:val="18"/>
                <w:szCs w:val="18"/>
              </w:rPr>
              <w:t xml:space="preserve">Разходи </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72 009,4</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70 970,5</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79 111,9</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84 884,8</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90 073,6</w:t>
            </w:r>
          </w:p>
        </w:tc>
      </w:tr>
      <w:tr w:rsidR="00F271BD" w:rsidRPr="00F271BD" w:rsidTr="00F271BD">
        <w:trPr>
          <w:trHeight w:val="240"/>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ind w:firstLineChars="200" w:firstLine="360"/>
              <w:jc w:val="left"/>
              <w:rPr>
                <w:rFonts w:eastAsia="Times New Roman" w:cs="Times New Roman"/>
                <w:color w:val="000000"/>
                <w:sz w:val="18"/>
                <w:szCs w:val="18"/>
              </w:rPr>
            </w:pPr>
            <w:r w:rsidRPr="00F271BD">
              <w:rPr>
                <w:rFonts w:eastAsia="Times New Roman" w:cs="Times New Roman"/>
                <w:color w:val="000000"/>
                <w:sz w:val="18"/>
                <w:szCs w:val="18"/>
              </w:rPr>
              <w:t>Нелихвени разходи</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71 185,7</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70 143,9</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78 101,2</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83 352,4</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87 822,5</w:t>
            </w:r>
          </w:p>
        </w:tc>
      </w:tr>
      <w:tr w:rsidR="00F271BD" w:rsidRPr="00F271BD" w:rsidTr="00F271BD">
        <w:trPr>
          <w:trHeight w:val="240"/>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ind w:firstLineChars="200" w:firstLine="360"/>
              <w:jc w:val="left"/>
              <w:rPr>
                <w:rFonts w:eastAsia="Times New Roman" w:cs="Times New Roman"/>
                <w:color w:val="000000"/>
                <w:sz w:val="18"/>
                <w:szCs w:val="18"/>
              </w:rPr>
            </w:pPr>
            <w:r w:rsidRPr="00F271BD">
              <w:rPr>
                <w:rFonts w:eastAsia="Times New Roman" w:cs="Times New Roman"/>
                <w:color w:val="000000"/>
                <w:sz w:val="18"/>
                <w:szCs w:val="18"/>
              </w:rPr>
              <w:t>Лихви</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823,8</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826,6</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1 010,6</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1 532,3</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2 251,1</w:t>
            </w:r>
          </w:p>
        </w:tc>
      </w:tr>
      <w:tr w:rsidR="00F271BD" w:rsidRPr="00F271BD" w:rsidTr="00F271BD">
        <w:trPr>
          <w:trHeight w:val="240"/>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ind w:firstLineChars="100" w:firstLine="180"/>
              <w:jc w:val="left"/>
              <w:rPr>
                <w:rFonts w:eastAsia="Times New Roman" w:cs="Times New Roman"/>
                <w:color w:val="000000"/>
                <w:sz w:val="18"/>
                <w:szCs w:val="18"/>
              </w:rPr>
            </w:pPr>
            <w:r w:rsidRPr="00F271BD">
              <w:rPr>
                <w:rFonts w:eastAsia="Times New Roman" w:cs="Times New Roman"/>
                <w:color w:val="000000"/>
                <w:sz w:val="18"/>
                <w:szCs w:val="18"/>
              </w:rPr>
              <w:t>Вноска в общия бюджет на ЕС</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2 042,4</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2 042,4</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2 271,1</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2 139,6</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2 254,3</w:t>
            </w:r>
          </w:p>
        </w:tc>
      </w:tr>
      <w:tr w:rsidR="00F271BD" w:rsidRPr="00F271BD" w:rsidTr="00F271BD">
        <w:trPr>
          <w:trHeight w:val="240"/>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jc w:val="right"/>
              <w:rPr>
                <w:rFonts w:eastAsia="Times New Roman" w:cs="Times New Roman"/>
                <w:color w:val="000000"/>
                <w:sz w:val="18"/>
                <w:szCs w:val="18"/>
              </w:rPr>
            </w:pP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lef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r>
      <w:tr w:rsidR="00F271BD" w:rsidRPr="00F271BD" w:rsidTr="00F271BD">
        <w:trPr>
          <w:trHeight w:val="255"/>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jc w:val="left"/>
              <w:rPr>
                <w:rFonts w:eastAsia="Times New Roman" w:cs="Times New Roman"/>
                <w:b/>
                <w:bCs/>
                <w:color w:val="000000"/>
                <w:sz w:val="18"/>
                <w:szCs w:val="18"/>
              </w:rPr>
            </w:pPr>
            <w:r w:rsidRPr="00F271BD">
              <w:rPr>
                <w:rFonts w:eastAsia="Times New Roman" w:cs="Times New Roman"/>
                <w:b/>
                <w:bCs/>
                <w:color w:val="000000"/>
                <w:sz w:val="18"/>
                <w:szCs w:val="18"/>
              </w:rPr>
              <w:t>БЮДЖЕТНО САЛДО (+/-)</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-4 580,0</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-5 820,0</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-6 219,3</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-6 446,4</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-6 967,4</w:t>
            </w:r>
          </w:p>
        </w:tc>
      </w:tr>
      <w:tr w:rsidR="00F271BD" w:rsidRPr="00F271BD" w:rsidTr="00F271BD">
        <w:trPr>
          <w:trHeight w:val="240"/>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 от БВП</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i/>
                <w:iCs/>
                <w:color w:val="000000"/>
                <w:sz w:val="18"/>
                <w:szCs w:val="18"/>
              </w:rPr>
            </w:pPr>
            <w:r w:rsidRPr="00F271BD">
              <w:rPr>
                <w:rFonts w:eastAsia="Times New Roman" w:cs="Times New Roman"/>
                <w:b/>
                <w:bCs/>
                <w:i/>
                <w:iCs/>
                <w:color w:val="000000"/>
                <w:sz w:val="18"/>
                <w:szCs w:val="18"/>
              </w:rPr>
              <w:t>-2,4%</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i/>
                <w:iCs/>
                <w:color w:val="000000"/>
                <w:sz w:val="18"/>
                <w:szCs w:val="18"/>
              </w:rPr>
            </w:pPr>
            <w:r w:rsidRPr="00F271BD">
              <w:rPr>
                <w:rFonts w:eastAsia="Times New Roman" w:cs="Times New Roman"/>
                <w:b/>
                <w:bCs/>
                <w:i/>
                <w:iCs/>
                <w:color w:val="000000"/>
                <w:sz w:val="18"/>
                <w:szCs w:val="18"/>
              </w:rPr>
              <w:t>-3,0%</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i/>
                <w:iCs/>
                <w:color w:val="000000"/>
                <w:sz w:val="18"/>
                <w:szCs w:val="18"/>
              </w:rPr>
            </w:pPr>
            <w:r w:rsidRPr="00F271BD">
              <w:rPr>
                <w:rFonts w:eastAsia="Times New Roman" w:cs="Times New Roman"/>
                <w:b/>
                <w:bCs/>
                <w:i/>
                <w:iCs/>
                <w:color w:val="000000"/>
                <w:sz w:val="18"/>
                <w:szCs w:val="18"/>
              </w:rPr>
              <w:t>-3,0%</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i/>
                <w:iCs/>
                <w:color w:val="000000"/>
                <w:sz w:val="18"/>
                <w:szCs w:val="18"/>
              </w:rPr>
            </w:pPr>
            <w:r w:rsidRPr="00F271BD">
              <w:rPr>
                <w:rFonts w:eastAsia="Times New Roman" w:cs="Times New Roman"/>
                <w:b/>
                <w:bCs/>
                <w:i/>
                <w:iCs/>
                <w:color w:val="000000"/>
                <w:sz w:val="18"/>
                <w:szCs w:val="18"/>
              </w:rPr>
              <w:t>-3,0%</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i/>
                <w:iCs/>
                <w:color w:val="000000"/>
                <w:sz w:val="18"/>
                <w:szCs w:val="18"/>
              </w:rPr>
            </w:pPr>
            <w:r w:rsidRPr="00F271BD">
              <w:rPr>
                <w:rFonts w:eastAsia="Times New Roman" w:cs="Times New Roman"/>
                <w:b/>
                <w:bCs/>
                <w:i/>
                <w:iCs/>
                <w:color w:val="000000"/>
                <w:sz w:val="18"/>
                <w:szCs w:val="18"/>
              </w:rPr>
              <w:t>-3,0%</w:t>
            </w:r>
          </w:p>
        </w:tc>
      </w:tr>
      <w:tr w:rsidR="00F271BD" w:rsidRPr="00F271BD" w:rsidTr="00F271BD">
        <w:trPr>
          <w:trHeight w:val="195"/>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jc w:val="right"/>
              <w:rPr>
                <w:rFonts w:eastAsia="Times New Roman" w:cs="Times New Roman"/>
                <w:b/>
                <w:bCs/>
                <w:i/>
                <w:iCs/>
                <w:color w:val="000000"/>
                <w:sz w:val="18"/>
                <w:szCs w:val="18"/>
              </w:rPr>
            </w:pP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lef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r>
      <w:tr w:rsidR="00F271BD" w:rsidRPr="00F271BD" w:rsidTr="00F271BD">
        <w:trPr>
          <w:trHeight w:val="240"/>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jc w:val="left"/>
              <w:rPr>
                <w:rFonts w:eastAsia="Times New Roman" w:cs="Times New Roman"/>
                <w:b/>
                <w:bCs/>
                <w:color w:val="000000"/>
                <w:sz w:val="18"/>
                <w:szCs w:val="18"/>
              </w:rPr>
            </w:pPr>
            <w:r w:rsidRPr="00F271BD">
              <w:rPr>
                <w:rFonts w:eastAsia="Times New Roman" w:cs="Times New Roman"/>
                <w:b/>
                <w:bCs/>
                <w:color w:val="000000"/>
                <w:sz w:val="18"/>
                <w:szCs w:val="18"/>
              </w:rPr>
              <w:t>ФИНАНСИРАНЕ (+/-)</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4 580,0</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5 820,0</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6 219,3</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6 446,4</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6 967,4</w:t>
            </w:r>
          </w:p>
        </w:tc>
      </w:tr>
      <w:tr w:rsidR="00F271BD" w:rsidRPr="00F271BD" w:rsidTr="00F271BD">
        <w:trPr>
          <w:trHeight w:val="240"/>
        </w:trPr>
        <w:tc>
          <w:tcPr>
            <w:tcW w:w="4536" w:type="dxa"/>
            <w:tcBorders>
              <w:top w:val="nil"/>
              <w:left w:val="nil"/>
              <w:bottom w:val="single" w:sz="4" w:space="0" w:color="auto"/>
              <w:right w:val="nil"/>
            </w:tcBorders>
            <w:shd w:val="clear" w:color="auto" w:fill="auto"/>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 от БВП</w:t>
            </w:r>
          </w:p>
        </w:tc>
        <w:tc>
          <w:tcPr>
            <w:tcW w:w="1046" w:type="dxa"/>
            <w:tcBorders>
              <w:top w:val="nil"/>
              <w:left w:val="nil"/>
              <w:bottom w:val="single" w:sz="4" w:space="0" w:color="auto"/>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i/>
                <w:iCs/>
                <w:color w:val="000000"/>
                <w:sz w:val="18"/>
                <w:szCs w:val="18"/>
              </w:rPr>
            </w:pPr>
            <w:r w:rsidRPr="00F271BD">
              <w:rPr>
                <w:rFonts w:eastAsia="Times New Roman" w:cs="Times New Roman"/>
                <w:b/>
                <w:bCs/>
                <w:i/>
                <w:iCs/>
                <w:color w:val="000000"/>
                <w:sz w:val="18"/>
                <w:szCs w:val="18"/>
              </w:rPr>
              <w:t>2,4%</w:t>
            </w:r>
          </w:p>
        </w:tc>
        <w:tc>
          <w:tcPr>
            <w:tcW w:w="1020" w:type="dxa"/>
            <w:tcBorders>
              <w:top w:val="nil"/>
              <w:left w:val="nil"/>
              <w:bottom w:val="single" w:sz="4" w:space="0" w:color="auto"/>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i/>
                <w:iCs/>
                <w:color w:val="000000"/>
                <w:sz w:val="18"/>
                <w:szCs w:val="18"/>
              </w:rPr>
            </w:pPr>
            <w:r w:rsidRPr="00F271BD">
              <w:rPr>
                <w:rFonts w:eastAsia="Times New Roman" w:cs="Times New Roman"/>
                <w:b/>
                <w:bCs/>
                <w:i/>
                <w:iCs/>
                <w:color w:val="000000"/>
                <w:sz w:val="18"/>
                <w:szCs w:val="18"/>
              </w:rPr>
              <w:t>3,0%</w:t>
            </w:r>
          </w:p>
        </w:tc>
        <w:tc>
          <w:tcPr>
            <w:tcW w:w="1020" w:type="dxa"/>
            <w:tcBorders>
              <w:top w:val="nil"/>
              <w:left w:val="nil"/>
              <w:bottom w:val="single" w:sz="4" w:space="0" w:color="auto"/>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i/>
                <w:iCs/>
                <w:color w:val="000000"/>
                <w:sz w:val="18"/>
                <w:szCs w:val="18"/>
              </w:rPr>
            </w:pPr>
            <w:r w:rsidRPr="00F271BD">
              <w:rPr>
                <w:rFonts w:eastAsia="Times New Roman" w:cs="Times New Roman"/>
                <w:b/>
                <w:bCs/>
                <w:i/>
                <w:iCs/>
                <w:color w:val="000000"/>
                <w:sz w:val="18"/>
                <w:szCs w:val="18"/>
              </w:rPr>
              <w:t>3,0%</w:t>
            </w:r>
          </w:p>
        </w:tc>
        <w:tc>
          <w:tcPr>
            <w:tcW w:w="1020" w:type="dxa"/>
            <w:tcBorders>
              <w:top w:val="nil"/>
              <w:left w:val="nil"/>
              <w:bottom w:val="single" w:sz="4" w:space="0" w:color="auto"/>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i/>
                <w:iCs/>
                <w:color w:val="000000"/>
                <w:sz w:val="18"/>
                <w:szCs w:val="18"/>
              </w:rPr>
            </w:pPr>
            <w:r w:rsidRPr="00F271BD">
              <w:rPr>
                <w:rFonts w:eastAsia="Times New Roman" w:cs="Times New Roman"/>
                <w:b/>
                <w:bCs/>
                <w:i/>
                <w:iCs/>
                <w:color w:val="000000"/>
                <w:sz w:val="18"/>
                <w:szCs w:val="18"/>
              </w:rPr>
              <w:t>3,0%</w:t>
            </w:r>
          </w:p>
        </w:tc>
        <w:tc>
          <w:tcPr>
            <w:tcW w:w="1000" w:type="dxa"/>
            <w:tcBorders>
              <w:top w:val="nil"/>
              <w:left w:val="nil"/>
              <w:bottom w:val="single" w:sz="4" w:space="0" w:color="auto"/>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i/>
                <w:iCs/>
                <w:color w:val="000000"/>
                <w:sz w:val="18"/>
                <w:szCs w:val="18"/>
              </w:rPr>
            </w:pPr>
            <w:r w:rsidRPr="00F271BD">
              <w:rPr>
                <w:rFonts w:eastAsia="Times New Roman" w:cs="Times New Roman"/>
                <w:b/>
                <w:bCs/>
                <w:i/>
                <w:iCs/>
                <w:color w:val="000000"/>
                <w:sz w:val="18"/>
                <w:szCs w:val="18"/>
              </w:rPr>
              <w:t>3,0%</w:t>
            </w:r>
          </w:p>
        </w:tc>
      </w:tr>
    </w:tbl>
    <w:p w:rsidR="006140A3" w:rsidRPr="00802354" w:rsidRDefault="006140A3" w:rsidP="006140A3">
      <w:pPr>
        <w:jc w:val="right"/>
        <w:rPr>
          <w:rFonts w:eastAsia="Batang" w:cs="Times New Roman"/>
          <w:sz w:val="18"/>
          <w:szCs w:val="18"/>
        </w:rPr>
      </w:pPr>
      <w:r w:rsidRPr="00802354">
        <w:rPr>
          <w:rFonts w:eastAsia="Batang" w:cs="Times New Roman"/>
          <w:sz w:val="18"/>
          <w:szCs w:val="18"/>
        </w:rPr>
        <w:t>Източник: МФ</w:t>
      </w:r>
    </w:p>
    <w:p w:rsidR="005A7988" w:rsidRPr="003D1836" w:rsidRDefault="005A7988" w:rsidP="005A7988">
      <w:pPr>
        <w:spacing w:before="240" w:after="120"/>
        <w:rPr>
          <w:rFonts w:eastAsia="Batang"/>
        </w:rPr>
      </w:pPr>
      <w:r w:rsidRPr="003D1836">
        <w:rPr>
          <w:rFonts w:eastAsia="Batang"/>
          <w:b/>
        </w:rPr>
        <w:t>Приходите, помощите и даренията по националния бюджет</w:t>
      </w:r>
      <w:r w:rsidRPr="003D1836">
        <w:rPr>
          <w:rFonts w:eastAsia="Batang"/>
        </w:rPr>
        <w:t xml:space="preserve"> са </w:t>
      </w:r>
      <w:r w:rsidR="00C76FAC" w:rsidRPr="003D1836">
        <w:rPr>
          <w:rFonts w:eastAsia="Batang"/>
        </w:rPr>
        <w:t xml:space="preserve">в </w:t>
      </w:r>
      <w:r w:rsidRPr="003D1836">
        <w:rPr>
          <w:rFonts w:eastAsia="Batang"/>
        </w:rPr>
        <w:t xml:space="preserve">диапазона </w:t>
      </w:r>
      <w:r w:rsidRPr="003D1836">
        <w:t>от 3</w:t>
      </w:r>
      <w:r w:rsidR="00F271BD">
        <w:t>3</w:t>
      </w:r>
      <w:r w:rsidRPr="003D1836">
        <w:t>,</w:t>
      </w:r>
      <w:r w:rsidR="00F271BD">
        <w:t>1</w:t>
      </w:r>
      <w:r w:rsidRPr="003D1836">
        <w:t>% до 3</w:t>
      </w:r>
      <w:r w:rsidR="00F271BD">
        <w:t>4</w:t>
      </w:r>
      <w:r w:rsidRPr="003D1836">
        <w:t>,</w:t>
      </w:r>
      <w:r w:rsidR="00F94882" w:rsidRPr="003D1836">
        <w:t>5</w:t>
      </w:r>
      <w:r w:rsidRPr="003D1836">
        <w:t xml:space="preserve">% </w:t>
      </w:r>
      <w:r w:rsidRPr="003D1836">
        <w:rPr>
          <w:rFonts w:eastAsia="Batang"/>
        </w:rPr>
        <w:t>от БВП</w:t>
      </w:r>
      <w:r w:rsidR="00662D79">
        <w:rPr>
          <w:rFonts w:eastAsia="Batang"/>
        </w:rPr>
        <w:t>,</w:t>
      </w:r>
      <w:r w:rsidRPr="003D1836">
        <w:t xml:space="preserve"> </w:t>
      </w:r>
      <w:r w:rsidRPr="003D1836">
        <w:rPr>
          <w:rFonts w:eastAsia="Batang"/>
        </w:rPr>
        <w:t>като се наблюдава ръст в номинално изражение за целия тригодишен период</w:t>
      </w:r>
      <w:r w:rsidR="005501BC" w:rsidRPr="003D1836">
        <w:rPr>
          <w:rFonts w:eastAsia="Batang"/>
        </w:rPr>
        <w:t>.</w:t>
      </w:r>
    </w:p>
    <w:p w:rsidR="000512C7" w:rsidRPr="003D1836" w:rsidRDefault="000512C7" w:rsidP="000512C7">
      <w:pPr>
        <w:spacing w:before="240" w:after="120"/>
        <w:rPr>
          <w:rFonts w:eastAsia="Batang"/>
        </w:rPr>
      </w:pPr>
      <w:r w:rsidRPr="003D1836">
        <w:rPr>
          <w:rFonts w:eastAsia="Batang"/>
          <w:b/>
        </w:rPr>
        <w:t>Разходите и вноската в бюджета на ЕС по националния бюджет</w:t>
      </w:r>
      <w:r w:rsidRPr="003D1836">
        <w:rPr>
          <w:rFonts w:eastAsia="Batang"/>
        </w:rPr>
        <w:t xml:space="preserve"> в средносрочен план </w:t>
      </w:r>
      <w:r w:rsidR="0084250E" w:rsidRPr="003D1836">
        <w:rPr>
          <w:rFonts w:eastAsia="Batang"/>
        </w:rPr>
        <w:t xml:space="preserve">са в диапазона </w:t>
      </w:r>
      <w:r w:rsidR="0084250E" w:rsidRPr="003D1836">
        <w:t>от 3</w:t>
      </w:r>
      <w:r w:rsidR="00F271BD">
        <w:t>5</w:t>
      </w:r>
      <w:r w:rsidR="0084250E" w:rsidRPr="003D1836">
        <w:t>,</w:t>
      </w:r>
      <w:r w:rsidR="00F271BD">
        <w:t>2</w:t>
      </w:r>
      <w:r w:rsidR="0084250E" w:rsidRPr="003D1836">
        <w:t>% до 3</w:t>
      </w:r>
      <w:r w:rsidR="00F271BD">
        <w:t>5</w:t>
      </w:r>
      <w:r w:rsidR="0084250E" w:rsidRPr="003D1836">
        <w:t>,</w:t>
      </w:r>
      <w:r w:rsidR="00F271BD">
        <w:t>5</w:t>
      </w:r>
      <w:r w:rsidR="0084250E" w:rsidRPr="003D1836">
        <w:t xml:space="preserve">% </w:t>
      </w:r>
      <w:r w:rsidR="0084250E" w:rsidRPr="003D1836">
        <w:rPr>
          <w:rFonts w:eastAsia="Batang"/>
        </w:rPr>
        <w:t>от БВП</w:t>
      </w:r>
      <w:r w:rsidRPr="003D1836">
        <w:rPr>
          <w:rFonts w:eastAsia="Batang"/>
        </w:rPr>
        <w:t xml:space="preserve">. Нетният размер на трансфера за сметките за средства от ЕС е </w:t>
      </w:r>
      <w:r w:rsidR="00EE5FFF" w:rsidRPr="003D1836">
        <w:rPr>
          <w:rFonts w:eastAsia="Batang"/>
        </w:rPr>
        <w:t>в диапазона</w:t>
      </w:r>
      <w:r w:rsidRPr="003D1836">
        <w:rPr>
          <w:rFonts w:eastAsia="Batang"/>
        </w:rPr>
        <w:t xml:space="preserve"> </w:t>
      </w:r>
      <w:r w:rsidR="00860716" w:rsidRPr="003D1836">
        <w:t>1</w:t>
      </w:r>
      <w:r w:rsidRPr="003D1836">
        <w:t>,</w:t>
      </w:r>
      <w:r w:rsidR="0084250E" w:rsidRPr="003D1836">
        <w:t>6</w:t>
      </w:r>
      <w:r w:rsidRPr="003D1836">
        <w:t>-</w:t>
      </w:r>
      <w:r w:rsidR="0084250E" w:rsidRPr="003D1836">
        <w:t>3</w:t>
      </w:r>
      <w:r w:rsidRPr="003D1836">
        <w:t>,</w:t>
      </w:r>
      <w:r w:rsidR="0084250E" w:rsidRPr="003D1836">
        <w:t>6</w:t>
      </w:r>
      <w:r w:rsidRPr="003D1836">
        <w:rPr>
          <w:rFonts w:eastAsia="Batang"/>
        </w:rPr>
        <w:t xml:space="preserve"> млрд. лв. или </w:t>
      </w:r>
      <w:r w:rsidR="00860716" w:rsidRPr="003D1836">
        <w:t>0,</w:t>
      </w:r>
      <w:r w:rsidR="0084250E" w:rsidRPr="003D1836">
        <w:t>8</w:t>
      </w:r>
      <w:r w:rsidR="00860716" w:rsidRPr="003D1836">
        <w:t>-1,</w:t>
      </w:r>
      <w:r w:rsidR="0084250E" w:rsidRPr="003D1836">
        <w:t>6</w:t>
      </w:r>
      <w:r w:rsidR="00860716" w:rsidRPr="003D1836">
        <w:t>%</w:t>
      </w:r>
      <w:r w:rsidR="00860716" w:rsidRPr="003D1836">
        <w:rPr>
          <w:rFonts w:eastAsia="Batang"/>
        </w:rPr>
        <w:t xml:space="preserve"> </w:t>
      </w:r>
      <w:r w:rsidRPr="003D1836">
        <w:rPr>
          <w:rFonts w:eastAsia="Batang"/>
        </w:rPr>
        <w:t>от БВП.</w:t>
      </w:r>
    </w:p>
    <w:p w:rsidR="00A74AB4" w:rsidRDefault="00566333" w:rsidP="00EB7204">
      <w:pPr>
        <w:pStyle w:val="Caption"/>
        <w:spacing w:before="240"/>
        <w:ind w:left="0" w:firstLine="0"/>
        <w:rPr>
          <w:color w:val="000000"/>
        </w:rPr>
      </w:pPr>
      <w:bookmarkStart w:id="205" w:name="_Toc150443417"/>
      <w:r w:rsidRPr="003E2F6D">
        <w:t xml:space="preserve">Табл. </w:t>
      </w:r>
      <w:fldSimple w:instr=" STYLEREF 1 \s ">
        <w:r w:rsidR="005A69ED">
          <w:rPr>
            <w:noProof/>
          </w:rPr>
          <w:t>II</w:t>
        </w:r>
      </w:fldSimple>
      <w:r w:rsidRPr="003E2F6D">
        <w:noBreakHyphen/>
      </w:r>
      <w:fldSimple w:instr=" SEQ Табл. \* ARABIC \s 1 ">
        <w:r w:rsidR="005A69ED">
          <w:rPr>
            <w:noProof/>
          </w:rPr>
          <w:t>3</w:t>
        </w:r>
      </w:fldSimple>
      <w:r w:rsidRPr="003E2F6D">
        <w:t>:</w:t>
      </w:r>
      <w:r w:rsidRPr="003E2F6D">
        <w:tab/>
      </w:r>
      <w:r w:rsidRPr="003E2F6D">
        <w:rPr>
          <w:color w:val="000000"/>
        </w:rPr>
        <w:t>КФП – Национален бюджет (</w:t>
      </w:r>
      <w:r w:rsidR="00886C3C">
        <w:rPr>
          <w:color w:val="000000"/>
        </w:rPr>
        <w:t>2023-2026</w:t>
      </w:r>
      <w:r w:rsidRPr="003E2F6D">
        <w:rPr>
          <w:color w:val="000000"/>
        </w:rPr>
        <w:t> г.)</w:t>
      </w:r>
      <w:bookmarkEnd w:id="205"/>
    </w:p>
    <w:tbl>
      <w:tblPr>
        <w:tblW w:w="9642" w:type="dxa"/>
        <w:tblCellMar>
          <w:left w:w="70" w:type="dxa"/>
          <w:right w:w="70" w:type="dxa"/>
        </w:tblCellMar>
        <w:tblLook w:val="04A0" w:firstRow="1" w:lastRow="0" w:firstColumn="1" w:lastColumn="0" w:noHBand="0" w:noVBand="1"/>
      </w:tblPr>
      <w:tblGrid>
        <w:gridCol w:w="4536"/>
        <w:gridCol w:w="1046"/>
        <w:gridCol w:w="1020"/>
        <w:gridCol w:w="1020"/>
        <w:gridCol w:w="1020"/>
        <w:gridCol w:w="1000"/>
      </w:tblGrid>
      <w:tr w:rsidR="00F271BD" w:rsidRPr="00F271BD" w:rsidTr="00F271BD">
        <w:trPr>
          <w:trHeight w:val="230"/>
          <w:tblHeader/>
        </w:trPr>
        <w:tc>
          <w:tcPr>
            <w:tcW w:w="4536" w:type="dxa"/>
            <w:vMerge w:val="restart"/>
            <w:tcBorders>
              <w:top w:val="single" w:sz="4" w:space="0" w:color="595959"/>
              <w:left w:val="nil"/>
              <w:bottom w:val="single" w:sz="4" w:space="0" w:color="000000"/>
              <w:right w:val="nil"/>
            </w:tcBorders>
            <w:shd w:val="clear" w:color="auto" w:fill="auto"/>
            <w:vAlign w:val="center"/>
            <w:hideMark/>
          </w:tcPr>
          <w:p w:rsidR="00F271BD" w:rsidRPr="00F271BD" w:rsidRDefault="00F271BD" w:rsidP="00F271BD">
            <w:pPr>
              <w:spacing w:after="0"/>
              <w:jc w:val="center"/>
              <w:rPr>
                <w:rFonts w:eastAsia="Times New Roman" w:cs="Times New Roman"/>
                <w:b/>
                <w:bCs/>
                <w:sz w:val="20"/>
                <w:szCs w:val="20"/>
              </w:rPr>
            </w:pPr>
            <w:r w:rsidRPr="00F271BD">
              <w:rPr>
                <w:rFonts w:eastAsia="Times New Roman" w:cs="Times New Roman"/>
                <w:b/>
                <w:bCs/>
                <w:sz w:val="20"/>
                <w:szCs w:val="20"/>
              </w:rPr>
              <w:t>КФП                                                          НАЦИОНАЛЕН БЮДЖЕТ</w:t>
            </w:r>
            <w:r w:rsidRPr="00F271BD">
              <w:rPr>
                <w:rFonts w:eastAsia="Times New Roman" w:cs="Times New Roman"/>
                <w:b/>
                <w:bCs/>
                <w:sz w:val="20"/>
                <w:szCs w:val="20"/>
              </w:rPr>
              <w:br/>
              <w:t>млн. лв.</w:t>
            </w:r>
          </w:p>
        </w:tc>
        <w:tc>
          <w:tcPr>
            <w:tcW w:w="1046" w:type="dxa"/>
            <w:vMerge w:val="restart"/>
            <w:tcBorders>
              <w:top w:val="single" w:sz="4" w:space="0" w:color="595959"/>
              <w:left w:val="nil"/>
              <w:bottom w:val="single" w:sz="4" w:space="0" w:color="000000"/>
              <w:right w:val="nil"/>
            </w:tcBorders>
            <w:shd w:val="clear" w:color="auto" w:fill="auto"/>
            <w:hideMark/>
          </w:tcPr>
          <w:p w:rsidR="00F271BD" w:rsidRPr="00F271BD" w:rsidRDefault="00F271BD" w:rsidP="00F271BD">
            <w:pPr>
              <w:spacing w:after="0"/>
              <w:jc w:val="center"/>
              <w:rPr>
                <w:rFonts w:eastAsia="Times New Roman" w:cs="Times New Roman"/>
                <w:b/>
                <w:bCs/>
                <w:sz w:val="20"/>
                <w:szCs w:val="20"/>
              </w:rPr>
            </w:pPr>
            <w:r w:rsidRPr="00F271BD">
              <w:rPr>
                <w:rFonts w:eastAsia="Times New Roman" w:cs="Times New Roman"/>
                <w:b/>
                <w:bCs/>
                <w:sz w:val="20"/>
                <w:szCs w:val="20"/>
              </w:rPr>
              <w:t>2023</w:t>
            </w:r>
            <w:r w:rsidRPr="00F271BD">
              <w:rPr>
                <w:rFonts w:eastAsia="Times New Roman" w:cs="Times New Roman"/>
                <w:b/>
                <w:bCs/>
                <w:sz w:val="20"/>
                <w:szCs w:val="20"/>
              </w:rPr>
              <w:br/>
              <w:t>Програма</w:t>
            </w:r>
          </w:p>
        </w:tc>
        <w:tc>
          <w:tcPr>
            <w:tcW w:w="1020" w:type="dxa"/>
            <w:vMerge w:val="restart"/>
            <w:tcBorders>
              <w:top w:val="single" w:sz="4" w:space="0" w:color="595959"/>
              <w:left w:val="nil"/>
              <w:bottom w:val="single" w:sz="4" w:space="0" w:color="000000"/>
              <w:right w:val="nil"/>
            </w:tcBorders>
            <w:shd w:val="clear" w:color="auto" w:fill="auto"/>
            <w:hideMark/>
          </w:tcPr>
          <w:p w:rsidR="00F271BD" w:rsidRPr="00F271BD" w:rsidRDefault="00F271BD" w:rsidP="00F271BD">
            <w:pPr>
              <w:spacing w:after="0"/>
              <w:jc w:val="center"/>
              <w:rPr>
                <w:rFonts w:eastAsia="Times New Roman" w:cs="Times New Roman"/>
                <w:b/>
                <w:bCs/>
                <w:sz w:val="20"/>
                <w:szCs w:val="20"/>
              </w:rPr>
            </w:pPr>
            <w:r w:rsidRPr="00F271BD">
              <w:rPr>
                <w:rFonts w:eastAsia="Times New Roman" w:cs="Times New Roman"/>
                <w:b/>
                <w:bCs/>
                <w:sz w:val="20"/>
                <w:szCs w:val="20"/>
              </w:rPr>
              <w:t>2023</w:t>
            </w:r>
            <w:r w:rsidRPr="00F271BD">
              <w:rPr>
                <w:rFonts w:eastAsia="Times New Roman" w:cs="Times New Roman"/>
                <w:b/>
                <w:bCs/>
                <w:sz w:val="20"/>
                <w:szCs w:val="20"/>
              </w:rPr>
              <w:br/>
              <w:t>Очакв.</w:t>
            </w:r>
          </w:p>
        </w:tc>
        <w:tc>
          <w:tcPr>
            <w:tcW w:w="1020" w:type="dxa"/>
            <w:vMerge w:val="restart"/>
            <w:tcBorders>
              <w:top w:val="single" w:sz="4" w:space="0" w:color="595959"/>
              <w:left w:val="nil"/>
              <w:bottom w:val="single" w:sz="4" w:space="0" w:color="000000"/>
              <w:right w:val="nil"/>
            </w:tcBorders>
            <w:shd w:val="clear" w:color="auto" w:fill="auto"/>
            <w:hideMark/>
          </w:tcPr>
          <w:p w:rsidR="00F271BD" w:rsidRPr="00F271BD" w:rsidRDefault="00F271BD" w:rsidP="00F271BD">
            <w:pPr>
              <w:spacing w:after="0"/>
              <w:jc w:val="center"/>
              <w:rPr>
                <w:rFonts w:eastAsia="Times New Roman" w:cs="Times New Roman"/>
                <w:b/>
                <w:bCs/>
                <w:sz w:val="20"/>
                <w:szCs w:val="20"/>
              </w:rPr>
            </w:pPr>
            <w:r w:rsidRPr="00F271BD">
              <w:rPr>
                <w:rFonts w:eastAsia="Times New Roman" w:cs="Times New Roman"/>
                <w:b/>
                <w:bCs/>
                <w:sz w:val="20"/>
                <w:szCs w:val="20"/>
              </w:rPr>
              <w:t>2024</w:t>
            </w:r>
            <w:r w:rsidRPr="00F271BD">
              <w:rPr>
                <w:rFonts w:eastAsia="Times New Roman" w:cs="Times New Roman"/>
                <w:b/>
                <w:bCs/>
                <w:sz w:val="20"/>
                <w:szCs w:val="20"/>
              </w:rPr>
              <w:br/>
              <w:t>Проект</w:t>
            </w:r>
          </w:p>
        </w:tc>
        <w:tc>
          <w:tcPr>
            <w:tcW w:w="1020" w:type="dxa"/>
            <w:vMerge w:val="restart"/>
            <w:tcBorders>
              <w:top w:val="single" w:sz="4" w:space="0" w:color="595959"/>
              <w:left w:val="nil"/>
              <w:bottom w:val="single" w:sz="4" w:space="0" w:color="000000"/>
              <w:right w:val="nil"/>
            </w:tcBorders>
            <w:shd w:val="clear" w:color="auto" w:fill="auto"/>
            <w:hideMark/>
          </w:tcPr>
          <w:p w:rsidR="00F271BD" w:rsidRPr="00F271BD" w:rsidRDefault="00F271BD" w:rsidP="00F271BD">
            <w:pPr>
              <w:spacing w:after="0"/>
              <w:jc w:val="center"/>
              <w:rPr>
                <w:rFonts w:eastAsia="Times New Roman" w:cs="Times New Roman"/>
                <w:b/>
                <w:bCs/>
                <w:sz w:val="20"/>
                <w:szCs w:val="20"/>
              </w:rPr>
            </w:pPr>
            <w:r w:rsidRPr="00F271BD">
              <w:rPr>
                <w:rFonts w:eastAsia="Times New Roman" w:cs="Times New Roman"/>
                <w:b/>
                <w:bCs/>
                <w:sz w:val="20"/>
                <w:szCs w:val="20"/>
              </w:rPr>
              <w:t>2025</w:t>
            </w:r>
            <w:r w:rsidRPr="00F271BD">
              <w:rPr>
                <w:rFonts w:eastAsia="Times New Roman" w:cs="Times New Roman"/>
                <w:b/>
                <w:bCs/>
                <w:sz w:val="20"/>
                <w:szCs w:val="20"/>
              </w:rPr>
              <w:br/>
              <w:t>Прогноза</w:t>
            </w:r>
          </w:p>
        </w:tc>
        <w:tc>
          <w:tcPr>
            <w:tcW w:w="1000" w:type="dxa"/>
            <w:vMerge w:val="restart"/>
            <w:tcBorders>
              <w:top w:val="single" w:sz="4" w:space="0" w:color="595959"/>
              <w:left w:val="nil"/>
              <w:bottom w:val="single" w:sz="4" w:space="0" w:color="000000"/>
              <w:right w:val="nil"/>
            </w:tcBorders>
            <w:shd w:val="clear" w:color="auto" w:fill="auto"/>
            <w:hideMark/>
          </w:tcPr>
          <w:p w:rsidR="00F271BD" w:rsidRPr="00F271BD" w:rsidRDefault="00F271BD" w:rsidP="00F271BD">
            <w:pPr>
              <w:spacing w:after="0"/>
              <w:jc w:val="center"/>
              <w:rPr>
                <w:rFonts w:eastAsia="Times New Roman" w:cs="Times New Roman"/>
                <w:b/>
                <w:bCs/>
                <w:sz w:val="20"/>
                <w:szCs w:val="20"/>
              </w:rPr>
            </w:pPr>
            <w:r w:rsidRPr="00F271BD">
              <w:rPr>
                <w:rFonts w:eastAsia="Times New Roman" w:cs="Times New Roman"/>
                <w:b/>
                <w:bCs/>
                <w:sz w:val="20"/>
                <w:szCs w:val="20"/>
              </w:rPr>
              <w:t>2026</w:t>
            </w:r>
            <w:r w:rsidRPr="00F271BD">
              <w:rPr>
                <w:rFonts w:eastAsia="Times New Roman" w:cs="Times New Roman"/>
                <w:b/>
                <w:bCs/>
                <w:sz w:val="20"/>
                <w:szCs w:val="20"/>
              </w:rPr>
              <w:br/>
              <w:t>Прогноза</w:t>
            </w:r>
          </w:p>
        </w:tc>
      </w:tr>
      <w:tr w:rsidR="00F271BD" w:rsidRPr="00F271BD" w:rsidTr="00F271BD">
        <w:trPr>
          <w:trHeight w:val="517"/>
        </w:trPr>
        <w:tc>
          <w:tcPr>
            <w:tcW w:w="4536" w:type="dxa"/>
            <w:vMerge/>
            <w:tcBorders>
              <w:top w:val="single" w:sz="4" w:space="0" w:color="595959"/>
              <w:left w:val="nil"/>
              <w:bottom w:val="single" w:sz="4" w:space="0" w:color="000000"/>
              <w:right w:val="nil"/>
            </w:tcBorders>
            <w:vAlign w:val="center"/>
            <w:hideMark/>
          </w:tcPr>
          <w:p w:rsidR="00F271BD" w:rsidRPr="00F271BD" w:rsidRDefault="00F271BD" w:rsidP="00F271BD">
            <w:pPr>
              <w:spacing w:after="0"/>
              <w:jc w:val="left"/>
              <w:rPr>
                <w:rFonts w:eastAsia="Times New Roman" w:cs="Times New Roman"/>
                <w:b/>
                <w:bCs/>
                <w:sz w:val="20"/>
                <w:szCs w:val="20"/>
              </w:rPr>
            </w:pPr>
          </w:p>
        </w:tc>
        <w:tc>
          <w:tcPr>
            <w:tcW w:w="1046" w:type="dxa"/>
            <w:vMerge/>
            <w:tcBorders>
              <w:top w:val="single" w:sz="4" w:space="0" w:color="595959"/>
              <w:left w:val="nil"/>
              <w:bottom w:val="single" w:sz="4" w:space="0" w:color="000000"/>
              <w:right w:val="nil"/>
            </w:tcBorders>
            <w:vAlign w:val="center"/>
            <w:hideMark/>
          </w:tcPr>
          <w:p w:rsidR="00F271BD" w:rsidRPr="00F271BD" w:rsidRDefault="00F271BD" w:rsidP="00F271BD">
            <w:pPr>
              <w:spacing w:after="0"/>
              <w:jc w:val="left"/>
              <w:rPr>
                <w:rFonts w:eastAsia="Times New Roman" w:cs="Times New Roman"/>
                <w:b/>
                <w:bCs/>
                <w:sz w:val="20"/>
                <w:szCs w:val="20"/>
              </w:rPr>
            </w:pPr>
          </w:p>
        </w:tc>
        <w:tc>
          <w:tcPr>
            <w:tcW w:w="1020" w:type="dxa"/>
            <w:vMerge/>
            <w:tcBorders>
              <w:top w:val="single" w:sz="4" w:space="0" w:color="595959"/>
              <w:left w:val="nil"/>
              <w:bottom w:val="single" w:sz="4" w:space="0" w:color="000000"/>
              <w:right w:val="nil"/>
            </w:tcBorders>
            <w:vAlign w:val="center"/>
            <w:hideMark/>
          </w:tcPr>
          <w:p w:rsidR="00F271BD" w:rsidRPr="00F271BD" w:rsidRDefault="00F271BD" w:rsidP="00F271BD">
            <w:pPr>
              <w:spacing w:after="0"/>
              <w:jc w:val="left"/>
              <w:rPr>
                <w:rFonts w:eastAsia="Times New Roman" w:cs="Times New Roman"/>
                <w:b/>
                <w:bCs/>
                <w:sz w:val="20"/>
                <w:szCs w:val="20"/>
              </w:rPr>
            </w:pPr>
          </w:p>
        </w:tc>
        <w:tc>
          <w:tcPr>
            <w:tcW w:w="1020" w:type="dxa"/>
            <w:vMerge/>
            <w:tcBorders>
              <w:top w:val="single" w:sz="4" w:space="0" w:color="595959"/>
              <w:left w:val="nil"/>
              <w:bottom w:val="single" w:sz="4" w:space="0" w:color="000000"/>
              <w:right w:val="nil"/>
            </w:tcBorders>
            <w:vAlign w:val="center"/>
            <w:hideMark/>
          </w:tcPr>
          <w:p w:rsidR="00F271BD" w:rsidRPr="00F271BD" w:rsidRDefault="00F271BD" w:rsidP="00F271BD">
            <w:pPr>
              <w:spacing w:after="0"/>
              <w:jc w:val="left"/>
              <w:rPr>
                <w:rFonts w:eastAsia="Times New Roman" w:cs="Times New Roman"/>
                <w:b/>
                <w:bCs/>
                <w:sz w:val="20"/>
                <w:szCs w:val="20"/>
              </w:rPr>
            </w:pPr>
          </w:p>
        </w:tc>
        <w:tc>
          <w:tcPr>
            <w:tcW w:w="1020" w:type="dxa"/>
            <w:vMerge/>
            <w:tcBorders>
              <w:top w:val="single" w:sz="4" w:space="0" w:color="595959"/>
              <w:left w:val="nil"/>
              <w:bottom w:val="single" w:sz="4" w:space="0" w:color="000000"/>
              <w:right w:val="nil"/>
            </w:tcBorders>
            <w:vAlign w:val="center"/>
            <w:hideMark/>
          </w:tcPr>
          <w:p w:rsidR="00F271BD" w:rsidRPr="00F271BD" w:rsidRDefault="00F271BD" w:rsidP="00F271BD">
            <w:pPr>
              <w:spacing w:after="0"/>
              <w:jc w:val="left"/>
              <w:rPr>
                <w:rFonts w:eastAsia="Times New Roman" w:cs="Times New Roman"/>
                <w:b/>
                <w:bCs/>
                <w:sz w:val="20"/>
                <w:szCs w:val="20"/>
              </w:rPr>
            </w:pPr>
          </w:p>
        </w:tc>
        <w:tc>
          <w:tcPr>
            <w:tcW w:w="1000" w:type="dxa"/>
            <w:vMerge/>
            <w:tcBorders>
              <w:top w:val="single" w:sz="4" w:space="0" w:color="595959"/>
              <w:left w:val="nil"/>
              <w:bottom w:val="single" w:sz="4" w:space="0" w:color="000000"/>
              <w:right w:val="nil"/>
            </w:tcBorders>
            <w:vAlign w:val="center"/>
            <w:hideMark/>
          </w:tcPr>
          <w:p w:rsidR="00F271BD" w:rsidRPr="00F271BD" w:rsidRDefault="00F271BD" w:rsidP="00F271BD">
            <w:pPr>
              <w:spacing w:after="0"/>
              <w:jc w:val="left"/>
              <w:rPr>
                <w:rFonts w:eastAsia="Times New Roman" w:cs="Times New Roman"/>
                <w:b/>
                <w:bCs/>
                <w:sz w:val="20"/>
                <w:szCs w:val="20"/>
              </w:rPr>
            </w:pPr>
          </w:p>
        </w:tc>
      </w:tr>
      <w:tr w:rsidR="00F271BD" w:rsidRPr="00F271BD" w:rsidTr="00F271BD">
        <w:trPr>
          <w:trHeight w:val="517"/>
        </w:trPr>
        <w:tc>
          <w:tcPr>
            <w:tcW w:w="4536" w:type="dxa"/>
            <w:vMerge/>
            <w:tcBorders>
              <w:top w:val="single" w:sz="4" w:space="0" w:color="595959"/>
              <w:left w:val="nil"/>
              <w:bottom w:val="single" w:sz="4" w:space="0" w:color="000000"/>
              <w:right w:val="nil"/>
            </w:tcBorders>
            <w:vAlign w:val="center"/>
            <w:hideMark/>
          </w:tcPr>
          <w:p w:rsidR="00F271BD" w:rsidRPr="00F271BD" w:rsidRDefault="00F271BD" w:rsidP="00F271BD">
            <w:pPr>
              <w:spacing w:after="0"/>
              <w:jc w:val="left"/>
              <w:rPr>
                <w:rFonts w:eastAsia="Times New Roman" w:cs="Times New Roman"/>
                <w:b/>
                <w:bCs/>
                <w:sz w:val="20"/>
                <w:szCs w:val="20"/>
              </w:rPr>
            </w:pPr>
          </w:p>
        </w:tc>
        <w:tc>
          <w:tcPr>
            <w:tcW w:w="1046" w:type="dxa"/>
            <w:vMerge/>
            <w:tcBorders>
              <w:top w:val="single" w:sz="4" w:space="0" w:color="595959"/>
              <w:left w:val="nil"/>
              <w:bottom w:val="single" w:sz="4" w:space="0" w:color="000000"/>
              <w:right w:val="nil"/>
            </w:tcBorders>
            <w:vAlign w:val="center"/>
            <w:hideMark/>
          </w:tcPr>
          <w:p w:rsidR="00F271BD" w:rsidRPr="00F271BD" w:rsidRDefault="00F271BD" w:rsidP="00F271BD">
            <w:pPr>
              <w:spacing w:after="0"/>
              <w:jc w:val="left"/>
              <w:rPr>
                <w:rFonts w:eastAsia="Times New Roman" w:cs="Times New Roman"/>
                <w:b/>
                <w:bCs/>
                <w:sz w:val="20"/>
                <w:szCs w:val="20"/>
              </w:rPr>
            </w:pPr>
          </w:p>
        </w:tc>
        <w:tc>
          <w:tcPr>
            <w:tcW w:w="1020" w:type="dxa"/>
            <w:vMerge/>
            <w:tcBorders>
              <w:top w:val="single" w:sz="4" w:space="0" w:color="595959"/>
              <w:left w:val="nil"/>
              <w:bottom w:val="single" w:sz="4" w:space="0" w:color="000000"/>
              <w:right w:val="nil"/>
            </w:tcBorders>
            <w:vAlign w:val="center"/>
            <w:hideMark/>
          </w:tcPr>
          <w:p w:rsidR="00F271BD" w:rsidRPr="00F271BD" w:rsidRDefault="00F271BD" w:rsidP="00F271BD">
            <w:pPr>
              <w:spacing w:after="0"/>
              <w:jc w:val="left"/>
              <w:rPr>
                <w:rFonts w:eastAsia="Times New Roman" w:cs="Times New Roman"/>
                <w:b/>
                <w:bCs/>
                <w:sz w:val="20"/>
                <w:szCs w:val="20"/>
              </w:rPr>
            </w:pPr>
          </w:p>
        </w:tc>
        <w:tc>
          <w:tcPr>
            <w:tcW w:w="1020" w:type="dxa"/>
            <w:vMerge/>
            <w:tcBorders>
              <w:top w:val="single" w:sz="4" w:space="0" w:color="595959"/>
              <w:left w:val="nil"/>
              <w:bottom w:val="single" w:sz="4" w:space="0" w:color="000000"/>
              <w:right w:val="nil"/>
            </w:tcBorders>
            <w:vAlign w:val="center"/>
            <w:hideMark/>
          </w:tcPr>
          <w:p w:rsidR="00F271BD" w:rsidRPr="00F271BD" w:rsidRDefault="00F271BD" w:rsidP="00F271BD">
            <w:pPr>
              <w:spacing w:after="0"/>
              <w:jc w:val="left"/>
              <w:rPr>
                <w:rFonts w:eastAsia="Times New Roman" w:cs="Times New Roman"/>
                <w:b/>
                <w:bCs/>
                <w:sz w:val="20"/>
                <w:szCs w:val="20"/>
              </w:rPr>
            </w:pPr>
          </w:p>
        </w:tc>
        <w:tc>
          <w:tcPr>
            <w:tcW w:w="1020" w:type="dxa"/>
            <w:vMerge/>
            <w:tcBorders>
              <w:top w:val="single" w:sz="4" w:space="0" w:color="595959"/>
              <w:left w:val="nil"/>
              <w:bottom w:val="single" w:sz="4" w:space="0" w:color="000000"/>
              <w:right w:val="nil"/>
            </w:tcBorders>
            <w:vAlign w:val="center"/>
            <w:hideMark/>
          </w:tcPr>
          <w:p w:rsidR="00F271BD" w:rsidRPr="00F271BD" w:rsidRDefault="00F271BD" w:rsidP="00F271BD">
            <w:pPr>
              <w:spacing w:after="0"/>
              <w:jc w:val="left"/>
              <w:rPr>
                <w:rFonts w:eastAsia="Times New Roman" w:cs="Times New Roman"/>
                <w:b/>
                <w:bCs/>
                <w:sz w:val="20"/>
                <w:szCs w:val="20"/>
              </w:rPr>
            </w:pPr>
          </w:p>
        </w:tc>
        <w:tc>
          <w:tcPr>
            <w:tcW w:w="1000" w:type="dxa"/>
            <w:vMerge/>
            <w:tcBorders>
              <w:top w:val="single" w:sz="4" w:space="0" w:color="595959"/>
              <w:left w:val="nil"/>
              <w:bottom w:val="single" w:sz="4" w:space="0" w:color="000000"/>
              <w:right w:val="nil"/>
            </w:tcBorders>
            <w:vAlign w:val="center"/>
            <w:hideMark/>
          </w:tcPr>
          <w:p w:rsidR="00F271BD" w:rsidRPr="00F271BD" w:rsidRDefault="00F271BD" w:rsidP="00F271BD">
            <w:pPr>
              <w:spacing w:after="0"/>
              <w:jc w:val="left"/>
              <w:rPr>
                <w:rFonts w:eastAsia="Times New Roman" w:cs="Times New Roman"/>
                <w:b/>
                <w:bCs/>
                <w:sz w:val="20"/>
                <w:szCs w:val="20"/>
              </w:rPr>
            </w:pPr>
          </w:p>
        </w:tc>
      </w:tr>
      <w:tr w:rsidR="00F271BD" w:rsidRPr="00F271BD" w:rsidTr="00F271BD">
        <w:trPr>
          <w:trHeight w:val="270"/>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jc w:val="left"/>
              <w:rPr>
                <w:rFonts w:eastAsia="Times New Roman" w:cs="Times New Roman"/>
                <w:b/>
                <w:bCs/>
                <w:color w:val="000000"/>
                <w:sz w:val="18"/>
                <w:szCs w:val="18"/>
              </w:rPr>
            </w:pPr>
            <w:r w:rsidRPr="00F271BD">
              <w:rPr>
                <w:rFonts w:eastAsia="Times New Roman" w:cs="Times New Roman"/>
                <w:b/>
                <w:bCs/>
                <w:color w:val="000000"/>
                <w:sz w:val="18"/>
                <w:szCs w:val="18"/>
              </w:rPr>
              <w:t>ПРИХОДИ, ПОМОЩИ И ДАРЕНИЯ</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64 348,5</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63 661,0</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68 114,0</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73 912,8</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79 816,5</w:t>
            </w:r>
          </w:p>
        </w:tc>
      </w:tr>
      <w:tr w:rsidR="00F271BD" w:rsidRPr="00F271BD" w:rsidTr="00F271BD">
        <w:trPr>
          <w:trHeight w:val="240"/>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 от БВП</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33,7%</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33,3%</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33,1%</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33,9%</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34,5%</w:t>
            </w:r>
          </w:p>
        </w:tc>
      </w:tr>
      <w:tr w:rsidR="00F271BD" w:rsidRPr="00F271BD" w:rsidTr="00F271BD">
        <w:trPr>
          <w:trHeight w:val="240"/>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ind w:firstLineChars="100" w:firstLine="180"/>
              <w:jc w:val="left"/>
              <w:rPr>
                <w:rFonts w:eastAsia="Times New Roman" w:cs="Times New Roman"/>
                <w:color w:val="000000"/>
                <w:sz w:val="18"/>
                <w:szCs w:val="18"/>
              </w:rPr>
            </w:pPr>
            <w:r w:rsidRPr="00F271BD">
              <w:rPr>
                <w:rFonts w:eastAsia="Times New Roman" w:cs="Times New Roman"/>
                <w:color w:val="000000"/>
                <w:sz w:val="18"/>
                <w:szCs w:val="18"/>
              </w:rPr>
              <w:t>Данъчно-осигурителни приходи</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53 166,0</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52 874,9</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57 824,7</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62 343,3</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67 330,6</w:t>
            </w:r>
          </w:p>
        </w:tc>
      </w:tr>
      <w:tr w:rsidR="00F271BD" w:rsidRPr="00F271BD" w:rsidTr="00F271BD">
        <w:trPr>
          <w:trHeight w:val="225"/>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ind w:firstLineChars="100" w:firstLine="180"/>
              <w:jc w:val="left"/>
              <w:rPr>
                <w:rFonts w:eastAsia="Times New Roman" w:cs="Times New Roman"/>
                <w:color w:val="000000"/>
                <w:sz w:val="18"/>
                <w:szCs w:val="18"/>
              </w:rPr>
            </w:pPr>
            <w:r w:rsidRPr="00F271BD">
              <w:rPr>
                <w:rFonts w:eastAsia="Times New Roman" w:cs="Times New Roman"/>
                <w:color w:val="000000"/>
                <w:sz w:val="18"/>
                <w:szCs w:val="18"/>
              </w:rPr>
              <w:t>Неданъчни приходи</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11 152,2</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10 734,1</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10 258,2</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11 538,2</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12 455,4</w:t>
            </w:r>
          </w:p>
        </w:tc>
      </w:tr>
      <w:tr w:rsidR="00F271BD" w:rsidRPr="00F271BD" w:rsidTr="00F271BD">
        <w:trPr>
          <w:trHeight w:val="240"/>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ind w:firstLineChars="100" w:firstLine="180"/>
              <w:jc w:val="left"/>
              <w:rPr>
                <w:rFonts w:eastAsia="Times New Roman" w:cs="Times New Roman"/>
                <w:color w:val="000000"/>
                <w:sz w:val="18"/>
                <w:szCs w:val="18"/>
              </w:rPr>
            </w:pPr>
            <w:r w:rsidRPr="00F271BD">
              <w:rPr>
                <w:rFonts w:eastAsia="Times New Roman" w:cs="Times New Roman"/>
                <w:color w:val="000000"/>
                <w:sz w:val="18"/>
                <w:szCs w:val="18"/>
              </w:rPr>
              <w:t>Помощи и дарения</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30,3</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52,1</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31,1</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31,3</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30,6</w:t>
            </w:r>
          </w:p>
        </w:tc>
      </w:tr>
      <w:tr w:rsidR="00F271BD" w:rsidRPr="00F271BD" w:rsidTr="00F271BD">
        <w:trPr>
          <w:trHeight w:val="180"/>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jc w:val="right"/>
              <w:rPr>
                <w:rFonts w:eastAsia="Times New Roman" w:cs="Times New Roman"/>
                <w:color w:val="000000"/>
                <w:sz w:val="18"/>
                <w:szCs w:val="18"/>
              </w:rPr>
            </w:pP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lef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r>
      <w:tr w:rsidR="00F271BD" w:rsidRPr="00F271BD" w:rsidTr="00F271BD">
        <w:trPr>
          <w:trHeight w:val="465"/>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jc w:val="left"/>
              <w:rPr>
                <w:rFonts w:eastAsia="Times New Roman" w:cs="Times New Roman"/>
                <w:b/>
                <w:bCs/>
                <w:color w:val="000000"/>
                <w:sz w:val="18"/>
                <w:szCs w:val="18"/>
              </w:rPr>
            </w:pPr>
            <w:r w:rsidRPr="00F271BD">
              <w:rPr>
                <w:rFonts w:eastAsia="Times New Roman" w:cs="Times New Roman"/>
                <w:b/>
                <w:bCs/>
                <w:color w:val="000000"/>
                <w:sz w:val="18"/>
                <w:szCs w:val="18"/>
              </w:rPr>
              <w:t xml:space="preserve">ОБЩО РАЗХОДИ И ВНОСКА В БЮДЖЕТА НА ЕС  </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68 566,8</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67 480,1</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72 892,7</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76 724,5</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82 076,3</w:t>
            </w:r>
          </w:p>
        </w:tc>
      </w:tr>
      <w:tr w:rsidR="00F271BD" w:rsidRPr="00F271BD" w:rsidTr="00F271BD">
        <w:trPr>
          <w:trHeight w:val="225"/>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 от БВП</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35,9%</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35,3%</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35,4%</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35,2%</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35,5%</w:t>
            </w:r>
          </w:p>
        </w:tc>
      </w:tr>
      <w:tr w:rsidR="00F271BD" w:rsidRPr="00F271BD" w:rsidTr="00F271BD">
        <w:trPr>
          <w:trHeight w:val="240"/>
        </w:trPr>
        <w:tc>
          <w:tcPr>
            <w:tcW w:w="4536" w:type="dxa"/>
            <w:tcBorders>
              <w:top w:val="nil"/>
              <w:left w:val="nil"/>
              <w:bottom w:val="nil"/>
              <w:right w:val="nil"/>
            </w:tcBorders>
            <w:shd w:val="clear" w:color="auto" w:fill="auto"/>
            <w:noWrap/>
            <w:vAlign w:val="center"/>
            <w:hideMark/>
          </w:tcPr>
          <w:p w:rsidR="00F271BD" w:rsidRPr="00F271BD" w:rsidRDefault="00F271BD" w:rsidP="00F271BD">
            <w:pPr>
              <w:spacing w:after="0"/>
              <w:ind w:firstLineChars="100" w:firstLine="180"/>
              <w:jc w:val="left"/>
              <w:rPr>
                <w:rFonts w:eastAsia="Times New Roman" w:cs="Times New Roman"/>
                <w:color w:val="000000"/>
                <w:sz w:val="18"/>
                <w:szCs w:val="18"/>
              </w:rPr>
            </w:pPr>
            <w:r w:rsidRPr="00F271BD">
              <w:rPr>
                <w:rFonts w:eastAsia="Times New Roman" w:cs="Times New Roman"/>
                <w:color w:val="000000"/>
                <w:sz w:val="18"/>
                <w:szCs w:val="18"/>
              </w:rPr>
              <w:t xml:space="preserve">Разходи </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66 524,4</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65 437,7</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70 621,6</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74 584,9</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79 822,0</w:t>
            </w:r>
          </w:p>
        </w:tc>
      </w:tr>
      <w:tr w:rsidR="00F271BD" w:rsidRPr="00F271BD" w:rsidTr="00F271BD">
        <w:trPr>
          <w:trHeight w:val="240"/>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ind w:firstLineChars="200" w:firstLine="360"/>
              <w:jc w:val="left"/>
              <w:rPr>
                <w:rFonts w:eastAsia="Times New Roman" w:cs="Times New Roman"/>
                <w:color w:val="000000"/>
                <w:sz w:val="18"/>
                <w:szCs w:val="18"/>
              </w:rPr>
            </w:pPr>
            <w:r w:rsidRPr="00F271BD">
              <w:rPr>
                <w:rFonts w:eastAsia="Times New Roman" w:cs="Times New Roman"/>
                <w:color w:val="000000"/>
                <w:sz w:val="18"/>
                <w:szCs w:val="18"/>
              </w:rPr>
              <w:t>Нелихвени разходи</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65 700,6</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64 611,1</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69 611,0</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73 052,6</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77 570,9</w:t>
            </w:r>
          </w:p>
        </w:tc>
      </w:tr>
      <w:tr w:rsidR="00F271BD" w:rsidRPr="00F271BD" w:rsidTr="00F271BD">
        <w:trPr>
          <w:trHeight w:val="240"/>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ind w:firstLineChars="200" w:firstLine="360"/>
              <w:jc w:val="left"/>
              <w:rPr>
                <w:rFonts w:eastAsia="Times New Roman" w:cs="Times New Roman"/>
                <w:color w:val="000000"/>
                <w:sz w:val="18"/>
                <w:szCs w:val="18"/>
              </w:rPr>
            </w:pPr>
            <w:r w:rsidRPr="00F271BD">
              <w:rPr>
                <w:rFonts w:eastAsia="Times New Roman" w:cs="Times New Roman"/>
                <w:color w:val="000000"/>
                <w:sz w:val="18"/>
                <w:szCs w:val="18"/>
              </w:rPr>
              <w:t>Лихви</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823,8</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826,6</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1 010,6</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1 532,3</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2 251,1</w:t>
            </w:r>
          </w:p>
        </w:tc>
      </w:tr>
      <w:tr w:rsidR="00F271BD" w:rsidRPr="00F271BD" w:rsidTr="00F271BD">
        <w:trPr>
          <w:trHeight w:val="240"/>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ind w:firstLineChars="100" w:firstLine="180"/>
              <w:jc w:val="left"/>
              <w:rPr>
                <w:rFonts w:eastAsia="Times New Roman" w:cs="Times New Roman"/>
                <w:color w:val="000000"/>
                <w:sz w:val="18"/>
                <w:szCs w:val="18"/>
              </w:rPr>
            </w:pPr>
            <w:r w:rsidRPr="00F271BD">
              <w:rPr>
                <w:rFonts w:eastAsia="Times New Roman" w:cs="Times New Roman"/>
                <w:color w:val="000000"/>
                <w:sz w:val="18"/>
                <w:szCs w:val="18"/>
              </w:rPr>
              <w:t>Вноска в общия бюджет на ЕС</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2 042,4</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2 042,4</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2 271,1</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2 139,6</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color w:val="000000"/>
                <w:sz w:val="18"/>
                <w:szCs w:val="18"/>
              </w:rPr>
            </w:pPr>
            <w:r w:rsidRPr="00F271BD">
              <w:rPr>
                <w:rFonts w:eastAsia="Times New Roman" w:cs="Times New Roman"/>
                <w:color w:val="000000"/>
                <w:sz w:val="18"/>
                <w:szCs w:val="18"/>
              </w:rPr>
              <w:t>2 254,3</w:t>
            </w:r>
          </w:p>
        </w:tc>
      </w:tr>
      <w:tr w:rsidR="00F271BD" w:rsidRPr="00F271BD" w:rsidTr="00F271BD">
        <w:trPr>
          <w:trHeight w:val="240"/>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jc w:val="right"/>
              <w:rPr>
                <w:rFonts w:eastAsia="Times New Roman" w:cs="Times New Roman"/>
                <w:color w:val="000000"/>
                <w:sz w:val="18"/>
                <w:szCs w:val="18"/>
              </w:rPr>
            </w:pP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ind w:firstLineChars="100" w:firstLine="200"/>
              <w:jc w:val="lef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r>
      <w:tr w:rsidR="00F271BD" w:rsidRPr="00F271BD" w:rsidTr="00F271BD">
        <w:trPr>
          <w:trHeight w:val="525"/>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jc w:val="left"/>
              <w:rPr>
                <w:rFonts w:eastAsia="Times New Roman" w:cs="Times New Roman"/>
                <w:b/>
                <w:bCs/>
                <w:color w:val="000000"/>
                <w:sz w:val="18"/>
                <w:szCs w:val="18"/>
              </w:rPr>
            </w:pPr>
            <w:r w:rsidRPr="00F271BD">
              <w:rPr>
                <w:rFonts w:eastAsia="Times New Roman" w:cs="Times New Roman"/>
                <w:b/>
                <w:bCs/>
                <w:color w:val="000000"/>
                <w:sz w:val="18"/>
                <w:szCs w:val="18"/>
              </w:rPr>
              <w:t>ТРАНСФЕР ЗА СМЕТКИ ЗА СРЕДСТВА ОТ ЕС (НЕТО)</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-1 009,6</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-1 198,1</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-1 608,6</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-2 266,9</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-3 606,3</w:t>
            </w:r>
          </w:p>
        </w:tc>
      </w:tr>
      <w:tr w:rsidR="00F271BD" w:rsidRPr="00F271BD" w:rsidTr="00F271BD">
        <w:trPr>
          <w:trHeight w:val="225"/>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 от БВП</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-0,5%</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-0,6%</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-0,8%</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-1,0%</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-1,6%</w:t>
            </w:r>
          </w:p>
        </w:tc>
      </w:tr>
      <w:tr w:rsidR="00F271BD" w:rsidRPr="00F271BD" w:rsidTr="00F271BD">
        <w:trPr>
          <w:trHeight w:val="195"/>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jc w:val="right"/>
              <w:rPr>
                <w:rFonts w:eastAsia="Times New Roman" w:cs="Times New Roman"/>
                <w:i/>
                <w:iCs/>
                <w:color w:val="000000"/>
                <w:sz w:val="18"/>
                <w:szCs w:val="18"/>
              </w:rPr>
            </w:pP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lef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r>
      <w:tr w:rsidR="00F271BD" w:rsidRPr="00F271BD" w:rsidTr="00F271BD">
        <w:trPr>
          <w:trHeight w:val="240"/>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jc w:val="left"/>
              <w:rPr>
                <w:rFonts w:eastAsia="Times New Roman" w:cs="Times New Roman"/>
                <w:b/>
                <w:bCs/>
                <w:color w:val="000000"/>
                <w:sz w:val="18"/>
                <w:szCs w:val="18"/>
              </w:rPr>
            </w:pPr>
            <w:r w:rsidRPr="00F271BD">
              <w:rPr>
                <w:rFonts w:eastAsia="Times New Roman" w:cs="Times New Roman"/>
                <w:b/>
                <w:bCs/>
                <w:color w:val="000000"/>
                <w:sz w:val="18"/>
                <w:szCs w:val="18"/>
              </w:rPr>
              <w:t>БЮДЖЕТНО САЛДО (+/-)</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-5 227,9</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-5 017,2</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-6 387,3</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-5 078,5</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-5 866,1</w:t>
            </w:r>
          </w:p>
        </w:tc>
      </w:tr>
      <w:tr w:rsidR="00F271BD" w:rsidRPr="00F271BD" w:rsidTr="00F271BD">
        <w:trPr>
          <w:trHeight w:val="240"/>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 от БВП</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-2,7%</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-2,6%</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-3,1%</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-2,3%</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-2,5%</w:t>
            </w:r>
          </w:p>
        </w:tc>
      </w:tr>
      <w:tr w:rsidR="00F271BD" w:rsidRPr="00F271BD" w:rsidTr="00F271BD">
        <w:trPr>
          <w:trHeight w:val="195"/>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jc w:val="right"/>
              <w:rPr>
                <w:rFonts w:eastAsia="Times New Roman" w:cs="Times New Roman"/>
                <w:i/>
                <w:iCs/>
                <w:color w:val="000000"/>
                <w:sz w:val="18"/>
                <w:szCs w:val="18"/>
              </w:rPr>
            </w:pP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lef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sz w:val="20"/>
                <w:szCs w:val="20"/>
              </w:rPr>
            </w:pPr>
          </w:p>
        </w:tc>
      </w:tr>
      <w:tr w:rsidR="00F271BD" w:rsidRPr="00F271BD" w:rsidTr="00F271BD">
        <w:trPr>
          <w:trHeight w:val="345"/>
        </w:trPr>
        <w:tc>
          <w:tcPr>
            <w:tcW w:w="4536" w:type="dxa"/>
            <w:tcBorders>
              <w:top w:val="nil"/>
              <w:left w:val="nil"/>
              <w:bottom w:val="nil"/>
              <w:right w:val="nil"/>
            </w:tcBorders>
            <w:shd w:val="clear" w:color="auto" w:fill="auto"/>
            <w:vAlign w:val="center"/>
            <w:hideMark/>
          </w:tcPr>
          <w:p w:rsidR="00F271BD" w:rsidRPr="00F271BD" w:rsidRDefault="00F271BD" w:rsidP="00F271BD">
            <w:pPr>
              <w:spacing w:after="0"/>
              <w:jc w:val="left"/>
              <w:rPr>
                <w:rFonts w:eastAsia="Times New Roman" w:cs="Times New Roman"/>
                <w:b/>
                <w:bCs/>
                <w:color w:val="000000"/>
                <w:sz w:val="18"/>
                <w:szCs w:val="18"/>
              </w:rPr>
            </w:pPr>
            <w:r w:rsidRPr="00F271BD">
              <w:rPr>
                <w:rFonts w:eastAsia="Times New Roman" w:cs="Times New Roman"/>
                <w:b/>
                <w:bCs/>
                <w:color w:val="000000"/>
                <w:sz w:val="18"/>
                <w:szCs w:val="18"/>
              </w:rPr>
              <w:t>ФИНАНСИРАНЕ (+/-)</w:t>
            </w:r>
          </w:p>
        </w:tc>
        <w:tc>
          <w:tcPr>
            <w:tcW w:w="1046"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5 227,9</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5 017,2</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6 387,3</w:t>
            </w:r>
          </w:p>
        </w:tc>
        <w:tc>
          <w:tcPr>
            <w:tcW w:w="102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5 078,5</w:t>
            </w:r>
          </w:p>
        </w:tc>
        <w:tc>
          <w:tcPr>
            <w:tcW w:w="1000" w:type="dxa"/>
            <w:tcBorders>
              <w:top w:val="nil"/>
              <w:left w:val="nil"/>
              <w:bottom w:val="nil"/>
              <w:right w:val="nil"/>
            </w:tcBorders>
            <w:shd w:val="clear" w:color="auto" w:fill="auto"/>
            <w:noWrap/>
            <w:vAlign w:val="center"/>
            <w:hideMark/>
          </w:tcPr>
          <w:p w:rsidR="00F271BD" w:rsidRPr="00F271BD" w:rsidRDefault="00F271BD" w:rsidP="00F271BD">
            <w:pPr>
              <w:spacing w:after="0"/>
              <w:jc w:val="right"/>
              <w:rPr>
                <w:rFonts w:eastAsia="Times New Roman" w:cs="Times New Roman"/>
                <w:b/>
                <w:bCs/>
                <w:color w:val="000000"/>
                <w:sz w:val="18"/>
                <w:szCs w:val="18"/>
              </w:rPr>
            </w:pPr>
            <w:r w:rsidRPr="00F271BD">
              <w:rPr>
                <w:rFonts w:eastAsia="Times New Roman" w:cs="Times New Roman"/>
                <w:b/>
                <w:bCs/>
                <w:color w:val="000000"/>
                <w:sz w:val="18"/>
                <w:szCs w:val="18"/>
              </w:rPr>
              <w:t>5 866,1</w:t>
            </w:r>
          </w:p>
        </w:tc>
      </w:tr>
      <w:tr w:rsidR="00F271BD" w:rsidRPr="00F271BD" w:rsidTr="00F271BD">
        <w:trPr>
          <w:trHeight w:val="240"/>
        </w:trPr>
        <w:tc>
          <w:tcPr>
            <w:tcW w:w="4536" w:type="dxa"/>
            <w:tcBorders>
              <w:top w:val="nil"/>
              <w:left w:val="nil"/>
              <w:bottom w:val="single" w:sz="4" w:space="0" w:color="auto"/>
              <w:right w:val="nil"/>
            </w:tcBorders>
            <w:shd w:val="clear" w:color="auto" w:fill="auto"/>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 от БВП</w:t>
            </w:r>
          </w:p>
        </w:tc>
        <w:tc>
          <w:tcPr>
            <w:tcW w:w="1046" w:type="dxa"/>
            <w:tcBorders>
              <w:top w:val="nil"/>
              <w:left w:val="nil"/>
              <w:bottom w:val="single" w:sz="4" w:space="0" w:color="auto"/>
              <w:right w:val="nil"/>
            </w:tcBorders>
            <w:shd w:val="clear" w:color="auto" w:fill="auto"/>
            <w:noWrap/>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2,7%</w:t>
            </w:r>
          </w:p>
        </w:tc>
        <w:tc>
          <w:tcPr>
            <w:tcW w:w="1020" w:type="dxa"/>
            <w:tcBorders>
              <w:top w:val="nil"/>
              <w:left w:val="nil"/>
              <w:bottom w:val="single" w:sz="4" w:space="0" w:color="auto"/>
              <w:right w:val="nil"/>
            </w:tcBorders>
            <w:shd w:val="clear" w:color="auto" w:fill="auto"/>
            <w:noWrap/>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2,6%</w:t>
            </w:r>
          </w:p>
        </w:tc>
        <w:tc>
          <w:tcPr>
            <w:tcW w:w="1020" w:type="dxa"/>
            <w:tcBorders>
              <w:top w:val="nil"/>
              <w:left w:val="nil"/>
              <w:bottom w:val="single" w:sz="4" w:space="0" w:color="auto"/>
              <w:right w:val="nil"/>
            </w:tcBorders>
            <w:shd w:val="clear" w:color="auto" w:fill="auto"/>
            <w:noWrap/>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3,1%</w:t>
            </w:r>
          </w:p>
        </w:tc>
        <w:tc>
          <w:tcPr>
            <w:tcW w:w="1020" w:type="dxa"/>
            <w:tcBorders>
              <w:top w:val="nil"/>
              <w:left w:val="nil"/>
              <w:bottom w:val="single" w:sz="4" w:space="0" w:color="auto"/>
              <w:right w:val="nil"/>
            </w:tcBorders>
            <w:shd w:val="clear" w:color="auto" w:fill="auto"/>
            <w:noWrap/>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2,3%</w:t>
            </w:r>
          </w:p>
        </w:tc>
        <w:tc>
          <w:tcPr>
            <w:tcW w:w="1000" w:type="dxa"/>
            <w:tcBorders>
              <w:top w:val="nil"/>
              <w:left w:val="nil"/>
              <w:bottom w:val="single" w:sz="4" w:space="0" w:color="auto"/>
              <w:right w:val="nil"/>
            </w:tcBorders>
            <w:shd w:val="clear" w:color="auto" w:fill="auto"/>
            <w:noWrap/>
            <w:vAlign w:val="center"/>
            <w:hideMark/>
          </w:tcPr>
          <w:p w:rsidR="00F271BD" w:rsidRPr="00F271BD" w:rsidRDefault="00F271BD" w:rsidP="00F271BD">
            <w:pPr>
              <w:spacing w:after="0"/>
              <w:jc w:val="right"/>
              <w:rPr>
                <w:rFonts w:eastAsia="Times New Roman" w:cs="Times New Roman"/>
                <w:i/>
                <w:iCs/>
                <w:color w:val="000000"/>
                <w:sz w:val="18"/>
                <w:szCs w:val="18"/>
              </w:rPr>
            </w:pPr>
            <w:r w:rsidRPr="00F271BD">
              <w:rPr>
                <w:rFonts w:eastAsia="Times New Roman" w:cs="Times New Roman"/>
                <w:i/>
                <w:iCs/>
                <w:color w:val="000000"/>
                <w:sz w:val="18"/>
                <w:szCs w:val="18"/>
              </w:rPr>
              <w:t>2,5%</w:t>
            </w:r>
          </w:p>
        </w:tc>
      </w:tr>
    </w:tbl>
    <w:p w:rsidR="006140A3" w:rsidRPr="002F4780" w:rsidRDefault="006140A3" w:rsidP="006140A3">
      <w:pPr>
        <w:jc w:val="right"/>
        <w:rPr>
          <w:rFonts w:eastAsia="Batang" w:cs="Times New Roman"/>
          <w:sz w:val="18"/>
          <w:szCs w:val="18"/>
        </w:rPr>
      </w:pPr>
      <w:r w:rsidRPr="002F4780">
        <w:rPr>
          <w:rFonts w:eastAsia="Batang" w:cs="Times New Roman"/>
          <w:sz w:val="18"/>
          <w:szCs w:val="18"/>
        </w:rPr>
        <w:t>Източник: МФ</w:t>
      </w:r>
    </w:p>
    <w:p w:rsidR="00566333" w:rsidRPr="00EA73D7" w:rsidRDefault="00566333" w:rsidP="00566333">
      <w:pPr>
        <w:spacing w:before="120" w:after="120"/>
      </w:pPr>
      <w:r w:rsidRPr="00EA73D7">
        <w:t xml:space="preserve">И през следващия тригодишен период приоритет за страната ни остава успешното усвояване на средствата от европейските фондове и програми на ЕС, </w:t>
      </w:r>
      <w:r w:rsidR="00B612F7" w:rsidRPr="00EA73D7">
        <w:t>вкл. Плана за възстановяване и устойчивост</w:t>
      </w:r>
      <w:r w:rsidRPr="00EA73D7">
        <w:t>.</w:t>
      </w:r>
    </w:p>
    <w:p w:rsidR="00566333" w:rsidRDefault="00566333" w:rsidP="00566333">
      <w:pPr>
        <w:spacing w:after="120"/>
      </w:pPr>
      <w:r w:rsidRPr="00EA73D7">
        <w:t>Въздействието върху бюджета за периода 202</w:t>
      </w:r>
      <w:r w:rsidR="00EA73D7" w:rsidRPr="00EA73D7">
        <w:t>3</w:t>
      </w:r>
      <w:r w:rsidRPr="00EA73D7">
        <w:t>-202</w:t>
      </w:r>
      <w:r w:rsidR="00EA73D7" w:rsidRPr="00EA73D7">
        <w:t>6</w:t>
      </w:r>
      <w:r w:rsidRPr="00EA73D7">
        <w:t> г. от финансовите взаимоотношения с ЕС е представено в Табл. II-</w:t>
      </w:r>
      <w:r w:rsidR="0087089C">
        <w:rPr>
          <w:lang w:val="en-US"/>
        </w:rPr>
        <w:t>4</w:t>
      </w:r>
      <w:r w:rsidRPr="00EA73D7">
        <w:t>.</w:t>
      </w:r>
    </w:p>
    <w:p w:rsidR="00566333" w:rsidRDefault="00566333" w:rsidP="00816EA5">
      <w:pPr>
        <w:pStyle w:val="Caption"/>
        <w:spacing w:before="240"/>
        <w:ind w:left="0" w:firstLine="0"/>
        <w:rPr>
          <w:vertAlign w:val="superscript"/>
        </w:rPr>
      </w:pPr>
      <w:bookmarkStart w:id="206" w:name="_Toc150443418"/>
      <w:r w:rsidRPr="003E2F6D">
        <w:t xml:space="preserve">Табл. </w:t>
      </w:r>
      <w:fldSimple w:instr=" STYLEREF 1 \s ">
        <w:r w:rsidR="005A69ED">
          <w:rPr>
            <w:noProof/>
          </w:rPr>
          <w:t>II</w:t>
        </w:r>
      </w:fldSimple>
      <w:r w:rsidRPr="003E2F6D">
        <w:noBreakHyphen/>
      </w:r>
      <w:fldSimple w:instr=" SEQ Табл. \* ARABIC \s 1 ">
        <w:r w:rsidR="005A69ED">
          <w:rPr>
            <w:noProof/>
          </w:rPr>
          <w:t>4</w:t>
        </w:r>
      </w:fldSimple>
      <w:r w:rsidRPr="003E2F6D">
        <w:t>:</w:t>
      </w:r>
      <w:r w:rsidRPr="003E2F6D">
        <w:tab/>
      </w:r>
      <w:r w:rsidRPr="003E2F6D">
        <w:rPr>
          <w:color w:val="000000"/>
        </w:rPr>
        <w:t>КФП – Сметки за средства от ЕС (</w:t>
      </w:r>
      <w:r w:rsidR="00886C3C">
        <w:rPr>
          <w:color w:val="000000"/>
        </w:rPr>
        <w:t>2023</w:t>
      </w:r>
      <w:r w:rsidRPr="003E2F6D">
        <w:rPr>
          <w:color w:val="000000"/>
        </w:rPr>
        <w:t>-20</w:t>
      </w:r>
      <w:r w:rsidR="00886C3C">
        <w:rPr>
          <w:color w:val="000000"/>
        </w:rPr>
        <w:t>26</w:t>
      </w:r>
      <w:r w:rsidRPr="003E2F6D">
        <w:rPr>
          <w:color w:val="000000"/>
        </w:rPr>
        <w:t> г.)</w:t>
      </w:r>
      <w:r w:rsidR="00F11F17" w:rsidRPr="003E2F6D">
        <w:rPr>
          <w:vertAlign w:val="superscript"/>
        </w:rPr>
        <w:t xml:space="preserve"> </w:t>
      </w:r>
      <w:r w:rsidRPr="003E2F6D">
        <w:rPr>
          <w:vertAlign w:val="superscript"/>
        </w:rPr>
        <w:footnoteReference w:id="10"/>
      </w:r>
      <w:bookmarkEnd w:id="206"/>
    </w:p>
    <w:tbl>
      <w:tblPr>
        <w:tblW w:w="9500" w:type="dxa"/>
        <w:tblCellMar>
          <w:left w:w="70" w:type="dxa"/>
          <w:right w:w="70" w:type="dxa"/>
        </w:tblCellMar>
        <w:tblLook w:val="04A0" w:firstRow="1" w:lastRow="0" w:firstColumn="1" w:lastColumn="0" w:noHBand="0" w:noVBand="1"/>
      </w:tblPr>
      <w:tblGrid>
        <w:gridCol w:w="4394"/>
        <w:gridCol w:w="1046"/>
        <w:gridCol w:w="1020"/>
        <w:gridCol w:w="1020"/>
        <w:gridCol w:w="1020"/>
        <w:gridCol w:w="1000"/>
      </w:tblGrid>
      <w:tr w:rsidR="00F00587" w:rsidRPr="00F00587" w:rsidTr="00F00587">
        <w:trPr>
          <w:trHeight w:val="270"/>
        </w:trPr>
        <w:tc>
          <w:tcPr>
            <w:tcW w:w="4420" w:type="dxa"/>
            <w:vMerge w:val="restart"/>
            <w:tcBorders>
              <w:top w:val="single" w:sz="4" w:space="0" w:color="595959"/>
              <w:left w:val="nil"/>
              <w:bottom w:val="single" w:sz="4" w:space="0" w:color="000000"/>
              <w:right w:val="nil"/>
            </w:tcBorders>
            <w:shd w:val="clear" w:color="auto" w:fill="auto"/>
            <w:vAlign w:val="center"/>
            <w:hideMark/>
          </w:tcPr>
          <w:p w:rsidR="00F00587" w:rsidRPr="00F00587" w:rsidRDefault="00F00587" w:rsidP="00F00587">
            <w:pPr>
              <w:spacing w:after="0"/>
              <w:jc w:val="center"/>
              <w:rPr>
                <w:rFonts w:eastAsia="Times New Roman" w:cs="Times New Roman"/>
                <w:b/>
                <w:bCs/>
                <w:sz w:val="20"/>
                <w:szCs w:val="20"/>
              </w:rPr>
            </w:pPr>
            <w:r w:rsidRPr="00F00587">
              <w:rPr>
                <w:rFonts w:eastAsia="Times New Roman" w:cs="Times New Roman"/>
                <w:b/>
                <w:bCs/>
                <w:sz w:val="20"/>
                <w:szCs w:val="20"/>
              </w:rPr>
              <w:t>КФП                                                                             СМЕТКИ ЗА СРЕДСТВА ОТ ЕС</w:t>
            </w:r>
            <w:r w:rsidRPr="00F00587">
              <w:rPr>
                <w:rFonts w:eastAsia="Times New Roman" w:cs="Times New Roman"/>
                <w:b/>
                <w:bCs/>
                <w:sz w:val="20"/>
                <w:szCs w:val="20"/>
              </w:rPr>
              <w:br/>
              <w:t>млн. лв.</w:t>
            </w:r>
          </w:p>
        </w:tc>
        <w:tc>
          <w:tcPr>
            <w:tcW w:w="1020" w:type="dxa"/>
            <w:vMerge w:val="restart"/>
            <w:tcBorders>
              <w:top w:val="single" w:sz="4" w:space="0" w:color="595959"/>
              <w:left w:val="nil"/>
              <w:bottom w:val="single" w:sz="4" w:space="0" w:color="000000"/>
              <w:right w:val="nil"/>
            </w:tcBorders>
            <w:shd w:val="clear" w:color="auto" w:fill="auto"/>
            <w:hideMark/>
          </w:tcPr>
          <w:p w:rsidR="00F00587" w:rsidRPr="00F00587" w:rsidRDefault="00F00587" w:rsidP="00F00587">
            <w:pPr>
              <w:spacing w:after="0"/>
              <w:jc w:val="center"/>
              <w:rPr>
                <w:rFonts w:eastAsia="Times New Roman" w:cs="Times New Roman"/>
                <w:b/>
                <w:bCs/>
                <w:sz w:val="20"/>
                <w:szCs w:val="20"/>
              </w:rPr>
            </w:pPr>
            <w:r w:rsidRPr="00F00587">
              <w:rPr>
                <w:rFonts w:eastAsia="Times New Roman" w:cs="Times New Roman"/>
                <w:b/>
                <w:bCs/>
                <w:sz w:val="20"/>
                <w:szCs w:val="20"/>
              </w:rPr>
              <w:t>2023</w:t>
            </w:r>
            <w:r w:rsidRPr="00F00587">
              <w:rPr>
                <w:rFonts w:eastAsia="Times New Roman" w:cs="Times New Roman"/>
                <w:b/>
                <w:bCs/>
                <w:sz w:val="20"/>
                <w:szCs w:val="20"/>
              </w:rPr>
              <w:br/>
              <w:t>Програма</w:t>
            </w:r>
          </w:p>
        </w:tc>
        <w:tc>
          <w:tcPr>
            <w:tcW w:w="1020" w:type="dxa"/>
            <w:vMerge w:val="restart"/>
            <w:tcBorders>
              <w:top w:val="single" w:sz="4" w:space="0" w:color="595959"/>
              <w:left w:val="nil"/>
              <w:bottom w:val="single" w:sz="4" w:space="0" w:color="000000"/>
              <w:right w:val="nil"/>
            </w:tcBorders>
            <w:shd w:val="clear" w:color="auto" w:fill="auto"/>
            <w:hideMark/>
          </w:tcPr>
          <w:p w:rsidR="00F00587" w:rsidRPr="00F00587" w:rsidRDefault="00F00587" w:rsidP="00F00587">
            <w:pPr>
              <w:spacing w:after="0"/>
              <w:jc w:val="center"/>
              <w:rPr>
                <w:rFonts w:eastAsia="Times New Roman" w:cs="Times New Roman"/>
                <w:b/>
                <w:bCs/>
                <w:sz w:val="20"/>
                <w:szCs w:val="20"/>
              </w:rPr>
            </w:pPr>
            <w:r w:rsidRPr="00F00587">
              <w:rPr>
                <w:rFonts w:eastAsia="Times New Roman" w:cs="Times New Roman"/>
                <w:b/>
                <w:bCs/>
                <w:sz w:val="20"/>
                <w:szCs w:val="20"/>
              </w:rPr>
              <w:t>2023</w:t>
            </w:r>
            <w:r w:rsidRPr="00F00587">
              <w:rPr>
                <w:rFonts w:eastAsia="Times New Roman" w:cs="Times New Roman"/>
                <w:b/>
                <w:bCs/>
                <w:sz w:val="20"/>
                <w:szCs w:val="20"/>
              </w:rPr>
              <w:br/>
              <w:t>Очакв.</w:t>
            </w:r>
          </w:p>
        </w:tc>
        <w:tc>
          <w:tcPr>
            <w:tcW w:w="1020" w:type="dxa"/>
            <w:vMerge w:val="restart"/>
            <w:tcBorders>
              <w:top w:val="single" w:sz="4" w:space="0" w:color="595959"/>
              <w:left w:val="nil"/>
              <w:bottom w:val="single" w:sz="4" w:space="0" w:color="000000"/>
              <w:right w:val="nil"/>
            </w:tcBorders>
            <w:shd w:val="clear" w:color="auto" w:fill="auto"/>
            <w:hideMark/>
          </w:tcPr>
          <w:p w:rsidR="00F00587" w:rsidRPr="00F00587" w:rsidRDefault="00F00587" w:rsidP="00F00587">
            <w:pPr>
              <w:spacing w:after="0"/>
              <w:jc w:val="center"/>
              <w:rPr>
                <w:rFonts w:eastAsia="Times New Roman" w:cs="Times New Roman"/>
                <w:b/>
                <w:bCs/>
                <w:sz w:val="20"/>
                <w:szCs w:val="20"/>
              </w:rPr>
            </w:pPr>
            <w:r w:rsidRPr="00F00587">
              <w:rPr>
                <w:rFonts w:eastAsia="Times New Roman" w:cs="Times New Roman"/>
                <w:b/>
                <w:bCs/>
                <w:sz w:val="20"/>
                <w:szCs w:val="20"/>
              </w:rPr>
              <w:t>2024</w:t>
            </w:r>
            <w:r w:rsidRPr="00F00587">
              <w:rPr>
                <w:rFonts w:eastAsia="Times New Roman" w:cs="Times New Roman"/>
                <w:b/>
                <w:bCs/>
                <w:sz w:val="20"/>
                <w:szCs w:val="20"/>
              </w:rPr>
              <w:br/>
              <w:t>Проект</w:t>
            </w:r>
          </w:p>
        </w:tc>
        <w:tc>
          <w:tcPr>
            <w:tcW w:w="1020" w:type="dxa"/>
            <w:vMerge w:val="restart"/>
            <w:tcBorders>
              <w:top w:val="single" w:sz="4" w:space="0" w:color="595959"/>
              <w:left w:val="nil"/>
              <w:bottom w:val="single" w:sz="4" w:space="0" w:color="000000"/>
              <w:right w:val="nil"/>
            </w:tcBorders>
            <w:shd w:val="clear" w:color="auto" w:fill="auto"/>
            <w:hideMark/>
          </w:tcPr>
          <w:p w:rsidR="00F00587" w:rsidRPr="00F00587" w:rsidRDefault="00F00587" w:rsidP="00F00587">
            <w:pPr>
              <w:spacing w:after="0"/>
              <w:jc w:val="center"/>
              <w:rPr>
                <w:rFonts w:eastAsia="Times New Roman" w:cs="Times New Roman"/>
                <w:b/>
                <w:bCs/>
                <w:sz w:val="20"/>
                <w:szCs w:val="20"/>
              </w:rPr>
            </w:pPr>
            <w:r w:rsidRPr="00F00587">
              <w:rPr>
                <w:rFonts w:eastAsia="Times New Roman" w:cs="Times New Roman"/>
                <w:b/>
                <w:bCs/>
                <w:sz w:val="20"/>
                <w:szCs w:val="20"/>
              </w:rPr>
              <w:t>2025</w:t>
            </w:r>
            <w:r w:rsidRPr="00F00587">
              <w:rPr>
                <w:rFonts w:eastAsia="Times New Roman" w:cs="Times New Roman"/>
                <w:b/>
                <w:bCs/>
                <w:sz w:val="20"/>
                <w:szCs w:val="20"/>
              </w:rPr>
              <w:br/>
              <w:t>Прогноза</w:t>
            </w:r>
          </w:p>
        </w:tc>
        <w:tc>
          <w:tcPr>
            <w:tcW w:w="1000" w:type="dxa"/>
            <w:vMerge w:val="restart"/>
            <w:tcBorders>
              <w:top w:val="single" w:sz="4" w:space="0" w:color="595959"/>
              <w:left w:val="nil"/>
              <w:bottom w:val="single" w:sz="4" w:space="0" w:color="000000"/>
              <w:right w:val="nil"/>
            </w:tcBorders>
            <w:shd w:val="clear" w:color="auto" w:fill="auto"/>
            <w:hideMark/>
          </w:tcPr>
          <w:p w:rsidR="00F00587" w:rsidRPr="00F00587" w:rsidRDefault="00F00587" w:rsidP="00F00587">
            <w:pPr>
              <w:spacing w:after="0"/>
              <w:jc w:val="center"/>
              <w:rPr>
                <w:rFonts w:eastAsia="Times New Roman" w:cs="Times New Roman"/>
                <w:b/>
                <w:bCs/>
                <w:sz w:val="20"/>
                <w:szCs w:val="20"/>
              </w:rPr>
            </w:pPr>
            <w:r w:rsidRPr="00F00587">
              <w:rPr>
                <w:rFonts w:eastAsia="Times New Roman" w:cs="Times New Roman"/>
                <w:b/>
                <w:bCs/>
                <w:sz w:val="20"/>
                <w:szCs w:val="20"/>
              </w:rPr>
              <w:t>2026</w:t>
            </w:r>
            <w:r w:rsidRPr="00F00587">
              <w:rPr>
                <w:rFonts w:eastAsia="Times New Roman" w:cs="Times New Roman"/>
                <w:b/>
                <w:bCs/>
                <w:sz w:val="20"/>
                <w:szCs w:val="20"/>
              </w:rPr>
              <w:br/>
              <w:t>Прогноза</w:t>
            </w:r>
          </w:p>
        </w:tc>
      </w:tr>
      <w:tr w:rsidR="00F00587" w:rsidRPr="00F00587" w:rsidTr="00F00587">
        <w:trPr>
          <w:trHeight w:val="517"/>
        </w:trPr>
        <w:tc>
          <w:tcPr>
            <w:tcW w:w="4420" w:type="dxa"/>
            <w:vMerge/>
            <w:tcBorders>
              <w:top w:val="single" w:sz="4" w:space="0" w:color="595959"/>
              <w:left w:val="nil"/>
              <w:bottom w:val="single" w:sz="4" w:space="0" w:color="000000"/>
              <w:right w:val="nil"/>
            </w:tcBorders>
            <w:vAlign w:val="center"/>
            <w:hideMark/>
          </w:tcPr>
          <w:p w:rsidR="00F00587" w:rsidRPr="00F00587" w:rsidRDefault="00F00587" w:rsidP="00F00587">
            <w:pPr>
              <w:spacing w:after="0"/>
              <w:jc w:val="left"/>
              <w:rPr>
                <w:rFonts w:eastAsia="Times New Roman" w:cs="Times New Roman"/>
                <w:b/>
                <w:bCs/>
                <w:sz w:val="20"/>
                <w:szCs w:val="20"/>
              </w:rPr>
            </w:pPr>
          </w:p>
        </w:tc>
        <w:tc>
          <w:tcPr>
            <w:tcW w:w="1020" w:type="dxa"/>
            <w:vMerge/>
            <w:tcBorders>
              <w:top w:val="single" w:sz="4" w:space="0" w:color="595959"/>
              <w:left w:val="nil"/>
              <w:bottom w:val="single" w:sz="4" w:space="0" w:color="000000"/>
              <w:right w:val="nil"/>
            </w:tcBorders>
            <w:vAlign w:val="center"/>
            <w:hideMark/>
          </w:tcPr>
          <w:p w:rsidR="00F00587" w:rsidRPr="00F00587" w:rsidRDefault="00F00587" w:rsidP="00F00587">
            <w:pPr>
              <w:spacing w:after="0"/>
              <w:jc w:val="left"/>
              <w:rPr>
                <w:rFonts w:eastAsia="Times New Roman" w:cs="Times New Roman"/>
                <w:b/>
                <w:bCs/>
                <w:sz w:val="20"/>
                <w:szCs w:val="20"/>
              </w:rPr>
            </w:pPr>
          </w:p>
        </w:tc>
        <w:tc>
          <w:tcPr>
            <w:tcW w:w="1020" w:type="dxa"/>
            <w:vMerge/>
            <w:tcBorders>
              <w:top w:val="single" w:sz="4" w:space="0" w:color="595959"/>
              <w:left w:val="nil"/>
              <w:bottom w:val="single" w:sz="4" w:space="0" w:color="000000"/>
              <w:right w:val="nil"/>
            </w:tcBorders>
            <w:vAlign w:val="center"/>
            <w:hideMark/>
          </w:tcPr>
          <w:p w:rsidR="00F00587" w:rsidRPr="00F00587" w:rsidRDefault="00F00587" w:rsidP="00F00587">
            <w:pPr>
              <w:spacing w:after="0"/>
              <w:jc w:val="left"/>
              <w:rPr>
                <w:rFonts w:eastAsia="Times New Roman" w:cs="Times New Roman"/>
                <w:b/>
                <w:bCs/>
                <w:sz w:val="20"/>
                <w:szCs w:val="20"/>
              </w:rPr>
            </w:pPr>
          </w:p>
        </w:tc>
        <w:tc>
          <w:tcPr>
            <w:tcW w:w="1020" w:type="dxa"/>
            <w:vMerge/>
            <w:tcBorders>
              <w:top w:val="single" w:sz="4" w:space="0" w:color="595959"/>
              <w:left w:val="nil"/>
              <w:bottom w:val="single" w:sz="4" w:space="0" w:color="000000"/>
              <w:right w:val="nil"/>
            </w:tcBorders>
            <w:vAlign w:val="center"/>
            <w:hideMark/>
          </w:tcPr>
          <w:p w:rsidR="00F00587" w:rsidRPr="00F00587" w:rsidRDefault="00F00587" w:rsidP="00F00587">
            <w:pPr>
              <w:spacing w:after="0"/>
              <w:jc w:val="left"/>
              <w:rPr>
                <w:rFonts w:eastAsia="Times New Roman" w:cs="Times New Roman"/>
                <w:b/>
                <w:bCs/>
                <w:sz w:val="20"/>
                <w:szCs w:val="20"/>
              </w:rPr>
            </w:pPr>
          </w:p>
        </w:tc>
        <w:tc>
          <w:tcPr>
            <w:tcW w:w="1020" w:type="dxa"/>
            <w:vMerge/>
            <w:tcBorders>
              <w:top w:val="single" w:sz="4" w:space="0" w:color="595959"/>
              <w:left w:val="nil"/>
              <w:bottom w:val="single" w:sz="4" w:space="0" w:color="000000"/>
              <w:right w:val="nil"/>
            </w:tcBorders>
            <w:vAlign w:val="center"/>
            <w:hideMark/>
          </w:tcPr>
          <w:p w:rsidR="00F00587" w:rsidRPr="00F00587" w:rsidRDefault="00F00587" w:rsidP="00F00587">
            <w:pPr>
              <w:spacing w:after="0"/>
              <w:jc w:val="left"/>
              <w:rPr>
                <w:rFonts w:eastAsia="Times New Roman" w:cs="Times New Roman"/>
                <w:b/>
                <w:bCs/>
                <w:sz w:val="20"/>
                <w:szCs w:val="20"/>
              </w:rPr>
            </w:pPr>
          </w:p>
        </w:tc>
        <w:tc>
          <w:tcPr>
            <w:tcW w:w="1000" w:type="dxa"/>
            <w:vMerge/>
            <w:tcBorders>
              <w:top w:val="single" w:sz="4" w:space="0" w:color="595959"/>
              <w:left w:val="nil"/>
              <w:bottom w:val="single" w:sz="4" w:space="0" w:color="000000"/>
              <w:right w:val="nil"/>
            </w:tcBorders>
            <w:vAlign w:val="center"/>
            <w:hideMark/>
          </w:tcPr>
          <w:p w:rsidR="00F00587" w:rsidRPr="00F00587" w:rsidRDefault="00F00587" w:rsidP="00F00587">
            <w:pPr>
              <w:spacing w:after="0"/>
              <w:jc w:val="left"/>
              <w:rPr>
                <w:rFonts w:eastAsia="Times New Roman" w:cs="Times New Roman"/>
                <w:b/>
                <w:bCs/>
                <w:sz w:val="20"/>
                <w:szCs w:val="20"/>
              </w:rPr>
            </w:pPr>
          </w:p>
        </w:tc>
      </w:tr>
      <w:tr w:rsidR="00F00587" w:rsidRPr="00F00587" w:rsidTr="00F00587">
        <w:trPr>
          <w:trHeight w:val="517"/>
        </w:trPr>
        <w:tc>
          <w:tcPr>
            <w:tcW w:w="4420" w:type="dxa"/>
            <w:vMerge/>
            <w:tcBorders>
              <w:top w:val="single" w:sz="4" w:space="0" w:color="595959"/>
              <w:left w:val="nil"/>
              <w:bottom w:val="single" w:sz="4" w:space="0" w:color="000000"/>
              <w:right w:val="nil"/>
            </w:tcBorders>
            <w:vAlign w:val="center"/>
            <w:hideMark/>
          </w:tcPr>
          <w:p w:rsidR="00F00587" w:rsidRPr="00F00587" w:rsidRDefault="00F00587" w:rsidP="00F00587">
            <w:pPr>
              <w:spacing w:after="0"/>
              <w:jc w:val="left"/>
              <w:rPr>
                <w:rFonts w:eastAsia="Times New Roman" w:cs="Times New Roman"/>
                <w:b/>
                <w:bCs/>
                <w:sz w:val="20"/>
                <w:szCs w:val="20"/>
              </w:rPr>
            </w:pPr>
          </w:p>
        </w:tc>
        <w:tc>
          <w:tcPr>
            <w:tcW w:w="1020" w:type="dxa"/>
            <w:vMerge/>
            <w:tcBorders>
              <w:top w:val="single" w:sz="4" w:space="0" w:color="595959"/>
              <w:left w:val="nil"/>
              <w:bottom w:val="single" w:sz="4" w:space="0" w:color="000000"/>
              <w:right w:val="nil"/>
            </w:tcBorders>
            <w:vAlign w:val="center"/>
            <w:hideMark/>
          </w:tcPr>
          <w:p w:rsidR="00F00587" w:rsidRPr="00F00587" w:rsidRDefault="00F00587" w:rsidP="00F00587">
            <w:pPr>
              <w:spacing w:after="0"/>
              <w:jc w:val="left"/>
              <w:rPr>
                <w:rFonts w:eastAsia="Times New Roman" w:cs="Times New Roman"/>
                <w:b/>
                <w:bCs/>
                <w:sz w:val="20"/>
                <w:szCs w:val="20"/>
              </w:rPr>
            </w:pPr>
          </w:p>
        </w:tc>
        <w:tc>
          <w:tcPr>
            <w:tcW w:w="1020" w:type="dxa"/>
            <w:vMerge/>
            <w:tcBorders>
              <w:top w:val="single" w:sz="4" w:space="0" w:color="595959"/>
              <w:left w:val="nil"/>
              <w:bottom w:val="single" w:sz="4" w:space="0" w:color="000000"/>
              <w:right w:val="nil"/>
            </w:tcBorders>
            <w:vAlign w:val="center"/>
            <w:hideMark/>
          </w:tcPr>
          <w:p w:rsidR="00F00587" w:rsidRPr="00F00587" w:rsidRDefault="00F00587" w:rsidP="00F00587">
            <w:pPr>
              <w:spacing w:after="0"/>
              <w:jc w:val="left"/>
              <w:rPr>
                <w:rFonts w:eastAsia="Times New Roman" w:cs="Times New Roman"/>
                <w:b/>
                <w:bCs/>
                <w:sz w:val="20"/>
                <w:szCs w:val="20"/>
              </w:rPr>
            </w:pPr>
          </w:p>
        </w:tc>
        <w:tc>
          <w:tcPr>
            <w:tcW w:w="1020" w:type="dxa"/>
            <w:vMerge/>
            <w:tcBorders>
              <w:top w:val="single" w:sz="4" w:space="0" w:color="595959"/>
              <w:left w:val="nil"/>
              <w:bottom w:val="single" w:sz="4" w:space="0" w:color="000000"/>
              <w:right w:val="nil"/>
            </w:tcBorders>
            <w:vAlign w:val="center"/>
            <w:hideMark/>
          </w:tcPr>
          <w:p w:rsidR="00F00587" w:rsidRPr="00F00587" w:rsidRDefault="00F00587" w:rsidP="00F00587">
            <w:pPr>
              <w:spacing w:after="0"/>
              <w:jc w:val="left"/>
              <w:rPr>
                <w:rFonts w:eastAsia="Times New Roman" w:cs="Times New Roman"/>
                <w:b/>
                <w:bCs/>
                <w:sz w:val="20"/>
                <w:szCs w:val="20"/>
              </w:rPr>
            </w:pPr>
          </w:p>
        </w:tc>
        <w:tc>
          <w:tcPr>
            <w:tcW w:w="1020" w:type="dxa"/>
            <w:vMerge/>
            <w:tcBorders>
              <w:top w:val="single" w:sz="4" w:space="0" w:color="595959"/>
              <w:left w:val="nil"/>
              <w:bottom w:val="single" w:sz="4" w:space="0" w:color="000000"/>
              <w:right w:val="nil"/>
            </w:tcBorders>
            <w:vAlign w:val="center"/>
            <w:hideMark/>
          </w:tcPr>
          <w:p w:rsidR="00F00587" w:rsidRPr="00F00587" w:rsidRDefault="00F00587" w:rsidP="00F00587">
            <w:pPr>
              <w:spacing w:after="0"/>
              <w:jc w:val="left"/>
              <w:rPr>
                <w:rFonts w:eastAsia="Times New Roman" w:cs="Times New Roman"/>
                <w:b/>
                <w:bCs/>
                <w:sz w:val="20"/>
                <w:szCs w:val="20"/>
              </w:rPr>
            </w:pPr>
          </w:p>
        </w:tc>
        <w:tc>
          <w:tcPr>
            <w:tcW w:w="1000" w:type="dxa"/>
            <w:vMerge/>
            <w:tcBorders>
              <w:top w:val="single" w:sz="4" w:space="0" w:color="595959"/>
              <w:left w:val="nil"/>
              <w:bottom w:val="single" w:sz="4" w:space="0" w:color="000000"/>
              <w:right w:val="nil"/>
            </w:tcBorders>
            <w:vAlign w:val="center"/>
            <w:hideMark/>
          </w:tcPr>
          <w:p w:rsidR="00F00587" w:rsidRPr="00F00587" w:rsidRDefault="00F00587" w:rsidP="00F00587">
            <w:pPr>
              <w:spacing w:after="0"/>
              <w:jc w:val="left"/>
              <w:rPr>
                <w:rFonts w:eastAsia="Times New Roman" w:cs="Times New Roman"/>
                <w:b/>
                <w:bCs/>
                <w:sz w:val="20"/>
                <w:szCs w:val="20"/>
              </w:rPr>
            </w:pPr>
          </w:p>
        </w:tc>
      </w:tr>
      <w:tr w:rsidR="00F00587" w:rsidRPr="00F00587" w:rsidTr="00F00587">
        <w:trPr>
          <w:trHeight w:val="240"/>
        </w:trPr>
        <w:tc>
          <w:tcPr>
            <w:tcW w:w="4420" w:type="dxa"/>
            <w:tcBorders>
              <w:top w:val="nil"/>
              <w:left w:val="nil"/>
              <w:bottom w:val="nil"/>
              <w:right w:val="nil"/>
            </w:tcBorders>
            <w:shd w:val="clear" w:color="auto" w:fill="auto"/>
            <w:vAlign w:val="center"/>
            <w:hideMark/>
          </w:tcPr>
          <w:p w:rsidR="00F00587" w:rsidRPr="00F00587" w:rsidRDefault="00F00587" w:rsidP="00F00587">
            <w:pPr>
              <w:spacing w:after="0"/>
              <w:jc w:val="left"/>
              <w:rPr>
                <w:rFonts w:eastAsia="Times New Roman" w:cs="Times New Roman"/>
                <w:b/>
                <w:bCs/>
                <w:color w:val="000000"/>
                <w:sz w:val="18"/>
                <w:szCs w:val="18"/>
              </w:rPr>
            </w:pPr>
            <w:r w:rsidRPr="00F00587">
              <w:rPr>
                <w:rFonts w:eastAsia="Times New Roman" w:cs="Times New Roman"/>
                <w:b/>
                <w:bCs/>
                <w:color w:val="000000"/>
                <w:sz w:val="18"/>
                <w:szCs w:val="18"/>
              </w:rPr>
              <w:t>ПРИХОДИ, ПОМОЩИ И ДАРЕНИЯ</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b/>
                <w:bCs/>
                <w:sz w:val="18"/>
                <w:szCs w:val="18"/>
              </w:rPr>
            </w:pPr>
            <w:r w:rsidRPr="00F00587">
              <w:rPr>
                <w:rFonts w:eastAsia="Times New Roman" w:cs="Times New Roman"/>
                <w:b/>
                <w:bCs/>
                <w:sz w:val="18"/>
                <w:szCs w:val="18"/>
              </w:rPr>
              <w:t>5 123,3</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b/>
                <w:bCs/>
                <w:sz w:val="18"/>
                <w:szCs w:val="18"/>
              </w:rPr>
            </w:pPr>
            <w:r w:rsidRPr="00F00587">
              <w:rPr>
                <w:rFonts w:eastAsia="Times New Roman" w:cs="Times New Roman"/>
                <w:b/>
                <w:bCs/>
                <w:sz w:val="18"/>
                <w:szCs w:val="18"/>
              </w:rPr>
              <w:t>3 531,9</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b/>
                <w:bCs/>
                <w:color w:val="000000"/>
                <w:sz w:val="18"/>
                <w:szCs w:val="18"/>
              </w:rPr>
            </w:pPr>
            <w:r w:rsidRPr="00F00587">
              <w:rPr>
                <w:rFonts w:eastAsia="Times New Roman" w:cs="Times New Roman"/>
                <w:b/>
                <w:bCs/>
                <w:color w:val="000000"/>
                <w:sz w:val="18"/>
                <w:szCs w:val="18"/>
              </w:rPr>
              <w:t>7 049,6</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b/>
                <w:bCs/>
                <w:color w:val="000000"/>
                <w:sz w:val="18"/>
                <w:szCs w:val="18"/>
              </w:rPr>
            </w:pPr>
            <w:r w:rsidRPr="00F00587">
              <w:rPr>
                <w:rFonts w:eastAsia="Times New Roman" w:cs="Times New Roman"/>
                <w:b/>
                <w:bCs/>
                <w:color w:val="000000"/>
                <w:sz w:val="18"/>
                <w:szCs w:val="18"/>
              </w:rPr>
              <w:t>6 665,1</w:t>
            </w:r>
          </w:p>
        </w:tc>
        <w:tc>
          <w:tcPr>
            <w:tcW w:w="100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b/>
                <w:bCs/>
                <w:color w:val="000000"/>
                <w:sz w:val="18"/>
                <w:szCs w:val="18"/>
              </w:rPr>
            </w:pPr>
            <w:r w:rsidRPr="00F00587">
              <w:rPr>
                <w:rFonts w:eastAsia="Times New Roman" w:cs="Times New Roman"/>
                <w:b/>
                <w:bCs/>
                <w:color w:val="000000"/>
                <w:sz w:val="18"/>
                <w:szCs w:val="18"/>
              </w:rPr>
              <w:t>5 544,0</w:t>
            </w:r>
          </w:p>
        </w:tc>
      </w:tr>
      <w:tr w:rsidR="00F00587" w:rsidRPr="00F00587" w:rsidTr="00F00587">
        <w:trPr>
          <w:trHeight w:val="240"/>
        </w:trPr>
        <w:tc>
          <w:tcPr>
            <w:tcW w:w="4420" w:type="dxa"/>
            <w:tcBorders>
              <w:top w:val="nil"/>
              <w:left w:val="nil"/>
              <w:bottom w:val="nil"/>
              <w:right w:val="nil"/>
            </w:tcBorders>
            <w:shd w:val="clear" w:color="auto" w:fill="auto"/>
            <w:vAlign w:val="center"/>
            <w:hideMark/>
          </w:tcPr>
          <w:p w:rsidR="00F00587" w:rsidRPr="00F00587" w:rsidRDefault="00F00587" w:rsidP="00F00587">
            <w:pPr>
              <w:spacing w:after="0"/>
              <w:jc w:val="right"/>
              <w:rPr>
                <w:rFonts w:eastAsia="Times New Roman" w:cs="Times New Roman"/>
                <w:i/>
                <w:iCs/>
                <w:color w:val="000000"/>
                <w:sz w:val="18"/>
                <w:szCs w:val="18"/>
              </w:rPr>
            </w:pPr>
            <w:r w:rsidRPr="00F00587">
              <w:rPr>
                <w:rFonts w:eastAsia="Times New Roman" w:cs="Times New Roman"/>
                <w:i/>
                <w:iCs/>
                <w:color w:val="000000"/>
                <w:sz w:val="18"/>
                <w:szCs w:val="18"/>
              </w:rPr>
              <w:t>% от БВП</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i/>
                <w:iCs/>
                <w:sz w:val="18"/>
                <w:szCs w:val="18"/>
              </w:rPr>
            </w:pPr>
            <w:r w:rsidRPr="00F00587">
              <w:rPr>
                <w:rFonts w:eastAsia="Times New Roman" w:cs="Times New Roman"/>
                <w:i/>
                <w:iCs/>
                <w:sz w:val="18"/>
                <w:szCs w:val="18"/>
              </w:rPr>
              <w:t>2,7%</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i/>
                <w:iCs/>
                <w:sz w:val="18"/>
                <w:szCs w:val="18"/>
              </w:rPr>
            </w:pPr>
            <w:r w:rsidRPr="00F00587">
              <w:rPr>
                <w:rFonts w:eastAsia="Times New Roman" w:cs="Times New Roman"/>
                <w:i/>
                <w:iCs/>
                <w:sz w:val="18"/>
                <w:szCs w:val="18"/>
              </w:rPr>
              <w:t>1,8%</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i/>
                <w:iCs/>
                <w:color w:val="000000"/>
                <w:sz w:val="18"/>
                <w:szCs w:val="18"/>
              </w:rPr>
            </w:pPr>
            <w:r w:rsidRPr="00F00587">
              <w:rPr>
                <w:rFonts w:eastAsia="Times New Roman" w:cs="Times New Roman"/>
                <w:i/>
                <w:iCs/>
                <w:color w:val="000000"/>
                <w:sz w:val="18"/>
                <w:szCs w:val="18"/>
              </w:rPr>
              <w:t>3,4%</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i/>
                <w:iCs/>
                <w:color w:val="000000"/>
                <w:sz w:val="18"/>
                <w:szCs w:val="18"/>
              </w:rPr>
            </w:pPr>
            <w:r w:rsidRPr="00F00587">
              <w:rPr>
                <w:rFonts w:eastAsia="Times New Roman" w:cs="Times New Roman"/>
                <w:i/>
                <w:iCs/>
                <w:color w:val="000000"/>
                <w:sz w:val="18"/>
                <w:szCs w:val="18"/>
              </w:rPr>
              <w:t>3,1%</w:t>
            </w:r>
          </w:p>
        </w:tc>
        <w:tc>
          <w:tcPr>
            <w:tcW w:w="100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i/>
                <w:iCs/>
                <w:color w:val="000000"/>
                <w:sz w:val="18"/>
                <w:szCs w:val="18"/>
              </w:rPr>
            </w:pPr>
            <w:r w:rsidRPr="00F00587">
              <w:rPr>
                <w:rFonts w:eastAsia="Times New Roman" w:cs="Times New Roman"/>
                <w:i/>
                <w:iCs/>
                <w:color w:val="000000"/>
                <w:sz w:val="18"/>
                <w:szCs w:val="18"/>
              </w:rPr>
              <w:t>2,4%</w:t>
            </w:r>
          </w:p>
        </w:tc>
      </w:tr>
      <w:tr w:rsidR="00F00587" w:rsidRPr="00F00587" w:rsidTr="00F00587">
        <w:trPr>
          <w:trHeight w:val="210"/>
        </w:trPr>
        <w:tc>
          <w:tcPr>
            <w:tcW w:w="4420" w:type="dxa"/>
            <w:tcBorders>
              <w:top w:val="nil"/>
              <w:left w:val="nil"/>
              <w:bottom w:val="nil"/>
              <w:right w:val="nil"/>
            </w:tcBorders>
            <w:shd w:val="clear" w:color="auto" w:fill="auto"/>
            <w:vAlign w:val="center"/>
            <w:hideMark/>
          </w:tcPr>
          <w:p w:rsidR="00F00587" w:rsidRPr="00F00587" w:rsidRDefault="00F00587" w:rsidP="00F00587">
            <w:pPr>
              <w:spacing w:after="0"/>
              <w:jc w:val="right"/>
              <w:rPr>
                <w:rFonts w:eastAsia="Times New Roman" w:cs="Times New Roman"/>
                <w:i/>
                <w:iCs/>
                <w:color w:val="000000"/>
                <w:sz w:val="18"/>
                <w:szCs w:val="18"/>
              </w:rPr>
            </w:pP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lef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sz w:val="20"/>
                <w:szCs w:val="20"/>
              </w:rPr>
            </w:pPr>
          </w:p>
        </w:tc>
        <w:tc>
          <w:tcPr>
            <w:tcW w:w="100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sz w:val="20"/>
                <w:szCs w:val="20"/>
              </w:rPr>
            </w:pPr>
          </w:p>
        </w:tc>
      </w:tr>
      <w:tr w:rsidR="00F00587" w:rsidRPr="00F00587" w:rsidTr="00F00587">
        <w:trPr>
          <w:trHeight w:val="285"/>
        </w:trPr>
        <w:tc>
          <w:tcPr>
            <w:tcW w:w="4420" w:type="dxa"/>
            <w:tcBorders>
              <w:top w:val="nil"/>
              <w:left w:val="nil"/>
              <w:bottom w:val="nil"/>
              <w:right w:val="nil"/>
            </w:tcBorders>
            <w:shd w:val="clear" w:color="auto" w:fill="auto"/>
            <w:vAlign w:val="center"/>
            <w:hideMark/>
          </w:tcPr>
          <w:p w:rsidR="00F00587" w:rsidRPr="00F00587" w:rsidRDefault="00F00587" w:rsidP="00F00587">
            <w:pPr>
              <w:spacing w:after="0"/>
              <w:jc w:val="left"/>
              <w:rPr>
                <w:rFonts w:eastAsia="Times New Roman" w:cs="Times New Roman"/>
                <w:b/>
                <w:bCs/>
                <w:color w:val="000000"/>
                <w:sz w:val="18"/>
                <w:szCs w:val="18"/>
              </w:rPr>
            </w:pPr>
            <w:r w:rsidRPr="00F00587">
              <w:rPr>
                <w:rFonts w:eastAsia="Times New Roman" w:cs="Times New Roman"/>
                <w:b/>
                <w:bCs/>
                <w:color w:val="000000"/>
                <w:sz w:val="18"/>
                <w:szCs w:val="18"/>
              </w:rPr>
              <w:t xml:space="preserve">ОБЩО РАЗХОДИ </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b/>
                <w:bCs/>
                <w:sz w:val="18"/>
                <w:szCs w:val="18"/>
              </w:rPr>
            </w:pPr>
            <w:r w:rsidRPr="00F00587">
              <w:rPr>
                <w:rFonts w:eastAsia="Times New Roman" w:cs="Times New Roman"/>
                <w:b/>
                <w:bCs/>
                <w:sz w:val="18"/>
                <w:szCs w:val="18"/>
              </w:rPr>
              <w:t>5 485,1</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b/>
                <w:bCs/>
                <w:sz w:val="18"/>
                <w:szCs w:val="18"/>
              </w:rPr>
            </w:pPr>
            <w:r w:rsidRPr="00F00587">
              <w:rPr>
                <w:rFonts w:eastAsia="Times New Roman" w:cs="Times New Roman"/>
                <w:b/>
                <w:bCs/>
                <w:sz w:val="18"/>
                <w:szCs w:val="18"/>
              </w:rPr>
              <w:t>5 532,8</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b/>
                <w:bCs/>
                <w:color w:val="000000"/>
                <w:sz w:val="18"/>
                <w:szCs w:val="18"/>
              </w:rPr>
            </w:pPr>
            <w:r w:rsidRPr="00F00587">
              <w:rPr>
                <w:rFonts w:eastAsia="Times New Roman" w:cs="Times New Roman"/>
                <w:b/>
                <w:bCs/>
                <w:color w:val="000000"/>
                <w:sz w:val="18"/>
                <w:szCs w:val="18"/>
              </w:rPr>
              <w:t>8 490,2</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b/>
                <w:bCs/>
                <w:color w:val="000000"/>
                <w:sz w:val="18"/>
                <w:szCs w:val="18"/>
              </w:rPr>
            </w:pPr>
            <w:r w:rsidRPr="00F00587">
              <w:rPr>
                <w:rFonts w:eastAsia="Times New Roman" w:cs="Times New Roman"/>
                <w:b/>
                <w:bCs/>
                <w:color w:val="000000"/>
                <w:sz w:val="18"/>
                <w:szCs w:val="18"/>
              </w:rPr>
              <w:t>10 299,8</w:t>
            </w:r>
          </w:p>
        </w:tc>
        <w:tc>
          <w:tcPr>
            <w:tcW w:w="100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b/>
                <w:bCs/>
                <w:color w:val="000000"/>
                <w:sz w:val="18"/>
                <w:szCs w:val="18"/>
              </w:rPr>
            </w:pPr>
            <w:r w:rsidRPr="00F00587">
              <w:rPr>
                <w:rFonts w:eastAsia="Times New Roman" w:cs="Times New Roman"/>
                <w:b/>
                <w:bCs/>
                <w:color w:val="000000"/>
                <w:sz w:val="18"/>
                <w:szCs w:val="18"/>
              </w:rPr>
              <w:t>10 251,6</w:t>
            </w:r>
          </w:p>
        </w:tc>
      </w:tr>
      <w:tr w:rsidR="00F00587" w:rsidRPr="00F00587" w:rsidTr="00F00587">
        <w:trPr>
          <w:trHeight w:val="240"/>
        </w:trPr>
        <w:tc>
          <w:tcPr>
            <w:tcW w:w="4420" w:type="dxa"/>
            <w:tcBorders>
              <w:top w:val="nil"/>
              <w:left w:val="nil"/>
              <w:bottom w:val="nil"/>
              <w:right w:val="nil"/>
            </w:tcBorders>
            <w:shd w:val="clear" w:color="auto" w:fill="auto"/>
            <w:vAlign w:val="center"/>
            <w:hideMark/>
          </w:tcPr>
          <w:p w:rsidR="00F00587" w:rsidRPr="00F00587" w:rsidRDefault="00F00587" w:rsidP="00F00587">
            <w:pPr>
              <w:spacing w:after="0"/>
              <w:jc w:val="right"/>
              <w:rPr>
                <w:rFonts w:eastAsia="Times New Roman" w:cs="Times New Roman"/>
                <w:i/>
                <w:iCs/>
                <w:color w:val="000000"/>
                <w:sz w:val="18"/>
                <w:szCs w:val="18"/>
              </w:rPr>
            </w:pPr>
            <w:r w:rsidRPr="00F00587">
              <w:rPr>
                <w:rFonts w:eastAsia="Times New Roman" w:cs="Times New Roman"/>
                <w:i/>
                <w:iCs/>
                <w:color w:val="000000"/>
                <w:sz w:val="18"/>
                <w:szCs w:val="18"/>
              </w:rPr>
              <w:t>% от БВП</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i/>
                <w:iCs/>
                <w:sz w:val="18"/>
                <w:szCs w:val="18"/>
              </w:rPr>
            </w:pPr>
            <w:r w:rsidRPr="00F00587">
              <w:rPr>
                <w:rFonts w:eastAsia="Times New Roman" w:cs="Times New Roman"/>
                <w:i/>
                <w:iCs/>
                <w:sz w:val="18"/>
                <w:szCs w:val="18"/>
              </w:rPr>
              <w:t>2,9%</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i/>
                <w:iCs/>
                <w:sz w:val="18"/>
                <w:szCs w:val="18"/>
              </w:rPr>
            </w:pPr>
            <w:r w:rsidRPr="00F00587">
              <w:rPr>
                <w:rFonts w:eastAsia="Times New Roman" w:cs="Times New Roman"/>
                <w:i/>
                <w:iCs/>
                <w:sz w:val="18"/>
                <w:szCs w:val="18"/>
              </w:rPr>
              <w:t>2,9%</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i/>
                <w:iCs/>
                <w:color w:val="000000"/>
                <w:sz w:val="18"/>
                <w:szCs w:val="18"/>
              </w:rPr>
            </w:pPr>
            <w:r w:rsidRPr="00F00587">
              <w:rPr>
                <w:rFonts w:eastAsia="Times New Roman" w:cs="Times New Roman"/>
                <w:i/>
                <w:iCs/>
                <w:color w:val="000000"/>
                <w:sz w:val="18"/>
                <w:szCs w:val="18"/>
              </w:rPr>
              <w:t>4,1%</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i/>
                <w:iCs/>
                <w:color w:val="000000"/>
                <w:sz w:val="18"/>
                <w:szCs w:val="18"/>
              </w:rPr>
            </w:pPr>
            <w:r w:rsidRPr="00F00587">
              <w:rPr>
                <w:rFonts w:eastAsia="Times New Roman" w:cs="Times New Roman"/>
                <w:i/>
                <w:iCs/>
                <w:color w:val="000000"/>
                <w:sz w:val="18"/>
                <w:szCs w:val="18"/>
              </w:rPr>
              <w:t>4,7%</w:t>
            </w:r>
          </w:p>
        </w:tc>
        <w:tc>
          <w:tcPr>
            <w:tcW w:w="100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i/>
                <w:iCs/>
                <w:color w:val="000000"/>
                <w:sz w:val="18"/>
                <w:szCs w:val="18"/>
              </w:rPr>
            </w:pPr>
            <w:r w:rsidRPr="00F00587">
              <w:rPr>
                <w:rFonts w:eastAsia="Times New Roman" w:cs="Times New Roman"/>
                <w:i/>
                <w:iCs/>
                <w:color w:val="000000"/>
                <w:sz w:val="18"/>
                <w:szCs w:val="18"/>
              </w:rPr>
              <w:t>4,4%</w:t>
            </w:r>
          </w:p>
        </w:tc>
      </w:tr>
      <w:tr w:rsidR="00F00587" w:rsidRPr="00F00587" w:rsidTr="00F00587">
        <w:trPr>
          <w:trHeight w:val="240"/>
        </w:trPr>
        <w:tc>
          <w:tcPr>
            <w:tcW w:w="4420" w:type="dxa"/>
            <w:tcBorders>
              <w:top w:val="nil"/>
              <w:left w:val="nil"/>
              <w:bottom w:val="nil"/>
              <w:right w:val="nil"/>
            </w:tcBorders>
            <w:shd w:val="clear" w:color="auto" w:fill="auto"/>
            <w:vAlign w:val="center"/>
            <w:hideMark/>
          </w:tcPr>
          <w:p w:rsidR="00F00587" w:rsidRPr="00F00587" w:rsidRDefault="00F00587" w:rsidP="00F00587">
            <w:pPr>
              <w:spacing w:after="0"/>
              <w:jc w:val="right"/>
              <w:rPr>
                <w:rFonts w:eastAsia="Times New Roman" w:cs="Times New Roman"/>
                <w:i/>
                <w:iCs/>
                <w:color w:val="000000"/>
                <w:sz w:val="18"/>
                <w:szCs w:val="18"/>
              </w:rPr>
            </w:pP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lef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sz w:val="20"/>
                <w:szCs w:val="20"/>
              </w:rPr>
            </w:pPr>
          </w:p>
        </w:tc>
        <w:tc>
          <w:tcPr>
            <w:tcW w:w="100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sz w:val="20"/>
                <w:szCs w:val="20"/>
              </w:rPr>
            </w:pPr>
          </w:p>
        </w:tc>
      </w:tr>
      <w:tr w:rsidR="00F00587" w:rsidRPr="00F00587" w:rsidTr="00F00587">
        <w:trPr>
          <w:trHeight w:val="480"/>
        </w:trPr>
        <w:tc>
          <w:tcPr>
            <w:tcW w:w="4420" w:type="dxa"/>
            <w:tcBorders>
              <w:top w:val="nil"/>
              <w:left w:val="nil"/>
              <w:bottom w:val="nil"/>
              <w:right w:val="nil"/>
            </w:tcBorders>
            <w:shd w:val="clear" w:color="auto" w:fill="auto"/>
            <w:vAlign w:val="center"/>
            <w:hideMark/>
          </w:tcPr>
          <w:p w:rsidR="00F00587" w:rsidRPr="00F00587" w:rsidRDefault="00F00587" w:rsidP="00F00587">
            <w:pPr>
              <w:spacing w:after="0"/>
              <w:jc w:val="left"/>
              <w:rPr>
                <w:rFonts w:eastAsia="Times New Roman" w:cs="Times New Roman"/>
                <w:b/>
                <w:bCs/>
                <w:color w:val="000000"/>
                <w:sz w:val="18"/>
                <w:szCs w:val="18"/>
              </w:rPr>
            </w:pPr>
            <w:r w:rsidRPr="00F00587">
              <w:rPr>
                <w:rFonts w:eastAsia="Times New Roman" w:cs="Times New Roman"/>
                <w:b/>
                <w:bCs/>
                <w:color w:val="000000"/>
                <w:sz w:val="18"/>
                <w:szCs w:val="18"/>
              </w:rPr>
              <w:t>ТРАНСФЕР ОТ/ЗА ДЪРЖАВНИЯ БЮДЖЕТ (НЕТО)</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b/>
                <w:bCs/>
                <w:sz w:val="18"/>
                <w:szCs w:val="18"/>
              </w:rPr>
            </w:pPr>
            <w:r w:rsidRPr="00F00587">
              <w:rPr>
                <w:rFonts w:eastAsia="Times New Roman" w:cs="Times New Roman"/>
                <w:b/>
                <w:bCs/>
                <w:sz w:val="18"/>
                <w:szCs w:val="18"/>
              </w:rPr>
              <w:t>1 009,6</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b/>
                <w:bCs/>
                <w:sz w:val="18"/>
                <w:szCs w:val="18"/>
              </w:rPr>
            </w:pPr>
            <w:r w:rsidRPr="00F00587">
              <w:rPr>
                <w:rFonts w:eastAsia="Times New Roman" w:cs="Times New Roman"/>
                <w:b/>
                <w:bCs/>
                <w:sz w:val="18"/>
                <w:szCs w:val="18"/>
              </w:rPr>
              <w:t>1 198,1</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b/>
                <w:bCs/>
                <w:color w:val="000000"/>
                <w:sz w:val="18"/>
                <w:szCs w:val="18"/>
              </w:rPr>
            </w:pPr>
            <w:r w:rsidRPr="00F00587">
              <w:rPr>
                <w:rFonts w:eastAsia="Times New Roman" w:cs="Times New Roman"/>
                <w:b/>
                <w:bCs/>
                <w:color w:val="000000"/>
                <w:sz w:val="18"/>
                <w:szCs w:val="18"/>
              </w:rPr>
              <w:t>1 608,6</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b/>
                <w:bCs/>
                <w:color w:val="000000"/>
                <w:sz w:val="18"/>
                <w:szCs w:val="18"/>
              </w:rPr>
            </w:pPr>
            <w:r w:rsidRPr="00F00587">
              <w:rPr>
                <w:rFonts w:eastAsia="Times New Roman" w:cs="Times New Roman"/>
                <w:b/>
                <w:bCs/>
                <w:color w:val="000000"/>
                <w:sz w:val="18"/>
                <w:szCs w:val="18"/>
              </w:rPr>
              <w:t>2 266,9</w:t>
            </w:r>
          </w:p>
        </w:tc>
        <w:tc>
          <w:tcPr>
            <w:tcW w:w="100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b/>
                <w:bCs/>
                <w:color w:val="000000"/>
                <w:sz w:val="18"/>
                <w:szCs w:val="18"/>
              </w:rPr>
            </w:pPr>
            <w:r w:rsidRPr="00F00587">
              <w:rPr>
                <w:rFonts w:eastAsia="Times New Roman" w:cs="Times New Roman"/>
                <w:b/>
                <w:bCs/>
                <w:color w:val="000000"/>
                <w:sz w:val="18"/>
                <w:szCs w:val="18"/>
              </w:rPr>
              <w:t>3 606,3</w:t>
            </w:r>
          </w:p>
        </w:tc>
      </w:tr>
      <w:tr w:rsidR="00F00587" w:rsidRPr="00F00587" w:rsidTr="00F00587">
        <w:trPr>
          <w:trHeight w:val="240"/>
        </w:trPr>
        <w:tc>
          <w:tcPr>
            <w:tcW w:w="4420" w:type="dxa"/>
            <w:tcBorders>
              <w:top w:val="nil"/>
              <w:left w:val="nil"/>
              <w:bottom w:val="nil"/>
              <w:right w:val="nil"/>
            </w:tcBorders>
            <w:shd w:val="clear" w:color="auto" w:fill="auto"/>
            <w:vAlign w:val="center"/>
            <w:hideMark/>
          </w:tcPr>
          <w:p w:rsidR="00F00587" w:rsidRPr="00F00587" w:rsidRDefault="00F00587" w:rsidP="00F00587">
            <w:pPr>
              <w:spacing w:after="0"/>
              <w:jc w:val="right"/>
              <w:rPr>
                <w:rFonts w:eastAsia="Times New Roman" w:cs="Times New Roman"/>
                <w:i/>
                <w:iCs/>
                <w:color w:val="000000"/>
                <w:sz w:val="18"/>
                <w:szCs w:val="18"/>
              </w:rPr>
            </w:pPr>
            <w:r w:rsidRPr="00F00587">
              <w:rPr>
                <w:rFonts w:eastAsia="Times New Roman" w:cs="Times New Roman"/>
                <w:i/>
                <w:iCs/>
                <w:color w:val="000000"/>
                <w:sz w:val="18"/>
                <w:szCs w:val="18"/>
              </w:rPr>
              <w:t>% от БВП</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i/>
                <w:iCs/>
                <w:sz w:val="18"/>
                <w:szCs w:val="18"/>
              </w:rPr>
            </w:pPr>
            <w:r w:rsidRPr="00F00587">
              <w:rPr>
                <w:rFonts w:eastAsia="Times New Roman" w:cs="Times New Roman"/>
                <w:i/>
                <w:iCs/>
                <w:sz w:val="18"/>
                <w:szCs w:val="18"/>
              </w:rPr>
              <w:t>0,5%</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i/>
                <w:iCs/>
                <w:sz w:val="18"/>
                <w:szCs w:val="18"/>
              </w:rPr>
            </w:pPr>
            <w:r w:rsidRPr="00F00587">
              <w:rPr>
                <w:rFonts w:eastAsia="Times New Roman" w:cs="Times New Roman"/>
                <w:i/>
                <w:iCs/>
                <w:sz w:val="18"/>
                <w:szCs w:val="18"/>
              </w:rPr>
              <w:t>0,6%</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i/>
                <w:iCs/>
                <w:color w:val="000000"/>
                <w:sz w:val="18"/>
                <w:szCs w:val="18"/>
              </w:rPr>
            </w:pPr>
            <w:r w:rsidRPr="00F00587">
              <w:rPr>
                <w:rFonts w:eastAsia="Times New Roman" w:cs="Times New Roman"/>
                <w:i/>
                <w:iCs/>
                <w:color w:val="000000"/>
                <w:sz w:val="18"/>
                <w:szCs w:val="18"/>
              </w:rPr>
              <w:t>0,8%</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i/>
                <w:iCs/>
                <w:color w:val="000000"/>
                <w:sz w:val="18"/>
                <w:szCs w:val="18"/>
              </w:rPr>
            </w:pPr>
            <w:r w:rsidRPr="00F00587">
              <w:rPr>
                <w:rFonts w:eastAsia="Times New Roman" w:cs="Times New Roman"/>
                <w:i/>
                <w:iCs/>
                <w:color w:val="000000"/>
                <w:sz w:val="18"/>
                <w:szCs w:val="18"/>
              </w:rPr>
              <w:t>1,0%</w:t>
            </w:r>
          </w:p>
        </w:tc>
        <w:tc>
          <w:tcPr>
            <w:tcW w:w="100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i/>
                <w:iCs/>
                <w:color w:val="000000"/>
                <w:sz w:val="18"/>
                <w:szCs w:val="18"/>
              </w:rPr>
            </w:pPr>
            <w:r w:rsidRPr="00F00587">
              <w:rPr>
                <w:rFonts w:eastAsia="Times New Roman" w:cs="Times New Roman"/>
                <w:i/>
                <w:iCs/>
                <w:color w:val="000000"/>
                <w:sz w:val="18"/>
                <w:szCs w:val="18"/>
              </w:rPr>
              <w:t>1,6%</w:t>
            </w:r>
          </w:p>
        </w:tc>
      </w:tr>
      <w:tr w:rsidR="00F00587" w:rsidRPr="00F00587" w:rsidTr="00F00587">
        <w:trPr>
          <w:trHeight w:val="240"/>
        </w:trPr>
        <w:tc>
          <w:tcPr>
            <w:tcW w:w="4420" w:type="dxa"/>
            <w:tcBorders>
              <w:top w:val="nil"/>
              <w:left w:val="nil"/>
              <w:bottom w:val="nil"/>
              <w:right w:val="nil"/>
            </w:tcBorders>
            <w:shd w:val="clear" w:color="auto" w:fill="auto"/>
            <w:vAlign w:val="center"/>
            <w:hideMark/>
          </w:tcPr>
          <w:p w:rsidR="00F00587" w:rsidRPr="00F00587" w:rsidRDefault="00F00587" w:rsidP="00F00587">
            <w:pPr>
              <w:spacing w:after="0"/>
              <w:jc w:val="right"/>
              <w:rPr>
                <w:rFonts w:eastAsia="Times New Roman" w:cs="Times New Roman"/>
                <w:i/>
                <w:iCs/>
                <w:color w:val="000000"/>
                <w:sz w:val="18"/>
                <w:szCs w:val="18"/>
              </w:rPr>
            </w:pP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lef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sz w:val="20"/>
                <w:szCs w:val="20"/>
              </w:rPr>
            </w:pPr>
          </w:p>
        </w:tc>
        <w:tc>
          <w:tcPr>
            <w:tcW w:w="100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sz w:val="20"/>
                <w:szCs w:val="20"/>
              </w:rPr>
            </w:pPr>
          </w:p>
        </w:tc>
      </w:tr>
      <w:tr w:rsidR="00F00587" w:rsidRPr="00F00587" w:rsidTr="00F00587">
        <w:trPr>
          <w:trHeight w:val="240"/>
        </w:trPr>
        <w:tc>
          <w:tcPr>
            <w:tcW w:w="4420" w:type="dxa"/>
            <w:tcBorders>
              <w:top w:val="nil"/>
              <w:left w:val="nil"/>
              <w:bottom w:val="nil"/>
              <w:right w:val="nil"/>
            </w:tcBorders>
            <w:shd w:val="clear" w:color="auto" w:fill="auto"/>
            <w:vAlign w:val="center"/>
            <w:hideMark/>
          </w:tcPr>
          <w:p w:rsidR="00F00587" w:rsidRPr="00F00587" w:rsidRDefault="00F00587" w:rsidP="00F00587">
            <w:pPr>
              <w:spacing w:after="0"/>
              <w:jc w:val="left"/>
              <w:rPr>
                <w:rFonts w:eastAsia="Times New Roman" w:cs="Times New Roman"/>
                <w:b/>
                <w:bCs/>
                <w:color w:val="000000"/>
                <w:sz w:val="18"/>
                <w:szCs w:val="18"/>
              </w:rPr>
            </w:pPr>
            <w:r w:rsidRPr="00F00587">
              <w:rPr>
                <w:rFonts w:eastAsia="Times New Roman" w:cs="Times New Roman"/>
                <w:b/>
                <w:bCs/>
                <w:color w:val="000000"/>
                <w:sz w:val="18"/>
                <w:szCs w:val="18"/>
              </w:rPr>
              <w:t>БЮДЖЕТНО САЛДО (+/-)</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b/>
                <w:bCs/>
                <w:sz w:val="18"/>
                <w:szCs w:val="18"/>
              </w:rPr>
            </w:pPr>
            <w:r w:rsidRPr="00F00587">
              <w:rPr>
                <w:rFonts w:eastAsia="Times New Roman" w:cs="Times New Roman"/>
                <w:b/>
                <w:bCs/>
                <w:sz w:val="18"/>
                <w:szCs w:val="18"/>
              </w:rPr>
              <w:t>647,8</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b/>
                <w:bCs/>
                <w:sz w:val="18"/>
                <w:szCs w:val="18"/>
              </w:rPr>
            </w:pPr>
            <w:r w:rsidRPr="00F00587">
              <w:rPr>
                <w:rFonts w:eastAsia="Times New Roman" w:cs="Times New Roman"/>
                <w:b/>
                <w:bCs/>
                <w:sz w:val="18"/>
                <w:szCs w:val="18"/>
              </w:rPr>
              <w:t>-802,9</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b/>
                <w:bCs/>
                <w:color w:val="000000"/>
                <w:sz w:val="18"/>
                <w:szCs w:val="18"/>
              </w:rPr>
            </w:pPr>
            <w:r w:rsidRPr="00F00587">
              <w:rPr>
                <w:rFonts w:eastAsia="Times New Roman" w:cs="Times New Roman"/>
                <w:b/>
                <w:bCs/>
                <w:color w:val="000000"/>
                <w:sz w:val="18"/>
                <w:szCs w:val="18"/>
              </w:rPr>
              <w:t>168,0</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b/>
                <w:bCs/>
                <w:color w:val="000000"/>
                <w:sz w:val="18"/>
                <w:szCs w:val="18"/>
              </w:rPr>
            </w:pPr>
            <w:r w:rsidRPr="00F00587">
              <w:rPr>
                <w:rFonts w:eastAsia="Times New Roman" w:cs="Times New Roman"/>
                <w:b/>
                <w:bCs/>
                <w:color w:val="000000"/>
                <w:sz w:val="18"/>
                <w:szCs w:val="18"/>
              </w:rPr>
              <w:t>-1 367,9</w:t>
            </w:r>
          </w:p>
        </w:tc>
        <w:tc>
          <w:tcPr>
            <w:tcW w:w="100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b/>
                <w:bCs/>
                <w:color w:val="000000"/>
                <w:sz w:val="18"/>
                <w:szCs w:val="18"/>
              </w:rPr>
            </w:pPr>
            <w:r w:rsidRPr="00F00587">
              <w:rPr>
                <w:rFonts w:eastAsia="Times New Roman" w:cs="Times New Roman"/>
                <w:b/>
                <w:bCs/>
                <w:color w:val="000000"/>
                <w:sz w:val="18"/>
                <w:szCs w:val="18"/>
              </w:rPr>
              <w:t>-1 101,3</w:t>
            </w:r>
          </w:p>
        </w:tc>
      </w:tr>
      <w:tr w:rsidR="00F00587" w:rsidRPr="00F00587" w:rsidTr="00F00587">
        <w:trPr>
          <w:trHeight w:val="240"/>
        </w:trPr>
        <w:tc>
          <w:tcPr>
            <w:tcW w:w="4420" w:type="dxa"/>
            <w:tcBorders>
              <w:top w:val="nil"/>
              <w:left w:val="nil"/>
              <w:bottom w:val="nil"/>
              <w:right w:val="nil"/>
            </w:tcBorders>
            <w:shd w:val="clear" w:color="auto" w:fill="auto"/>
            <w:vAlign w:val="center"/>
            <w:hideMark/>
          </w:tcPr>
          <w:p w:rsidR="00F00587" w:rsidRPr="00F00587" w:rsidRDefault="00F00587" w:rsidP="00F00587">
            <w:pPr>
              <w:spacing w:after="0"/>
              <w:jc w:val="right"/>
              <w:rPr>
                <w:rFonts w:eastAsia="Times New Roman" w:cs="Times New Roman"/>
                <w:i/>
                <w:iCs/>
                <w:color w:val="000000"/>
                <w:sz w:val="18"/>
                <w:szCs w:val="18"/>
              </w:rPr>
            </w:pPr>
            <w:r w:rsidRPr="00F00587">
              <w:rPr>
                <w:rFonts w:eastAsia="Times New Roman" w:cs="Times New Roman"/>
                <w:i/>
                <w:iCs/>
                <w:color w:val="000000"/>
                <w:sz w:val="18"/>
                <w:szCs w:val="18"/>
              </w:rPr>
              <w:t>% от БВП</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i/>
                <w:iCs/>
                <w:sz w:val="18"/>
                <w:szCs w:val="18"/>
              </w:rPr>
            </w:pPr>
            <w:r w:rsidRPr="00F00587">
              <w:rPr>
                <w:rFonts w:eastAsia="Times New Roman" w:cs="Times New Roman"/>
                <w:i/>
                <w:iCs/>
                <w:sz w:val="18"/>
                <w:szCs w:val="18"/>
              </w:rPr>
              <w:t>0,3%</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i/>
                <w:iCs/>
                <w:sz w:val="18"/>
                <w:szCs w:val="18"/>
              </w:rPr>
            </w:pPr>
            <w:r w:rsidRPr="00F00587">
              <w:rPr>
                <w:rFonts w:eastAsia="Times New Roman" w:cs="Times New Roman"/>
                <w:i/>
                <w:iCs/>
                <w:sz w:val="18"/>
                <w:szCs w:val="18"/>
              </w:rPr>
              <w:t>-0,4%</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i/>
                <w:iCs/>
                <w:color w:val="000000"/>
                <w:sz w:val="18"/>
                <w:szCs w:val="18"/>
              </w:rPr>
            </w:pPr>
            <w:r w:rsidRPr="00F00587">
              <w:rPr>
                <w:rFonts w:eastAsia="Times New Roman" w:cs="Times New Roman"/>
                <w:i/>
                <w:iCs/>
                <w:color w:val="000000"/>
                <w:sz w:val="18"/>
                <w:szCs w:val="18"/>
              </w:rPr>
              <w:t>0,1%</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i/>
                <w:iCs/>
                <w:color w:val="000000"/>
                <w:sz w:val="18"/>
                <w:szCs w:val="18"/>
              </w:rPr>
            </w:pPr>
            <w:r w:rsidRPr="00F00587">
              <w:rPr>
                <w:rFonts w:eastAsia="Times New Roman" w:cs="Times New Roman"/>
                <w:i/>
                <w:iCs/>
                <w:color w:val="000000"/>
                <w:sz w:val="18"/>
                <w:szCs w:val="18"/>
              </w:rPr>
              <w:t>-0,6%</w:t>
            </w:r>
          </w:p>
        </w:tc>
        <w:tc>
          <w:tcPr>
            <w:tcW w:w="100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i/>
                <w:iCs/>
                <w:color w:val="000000"/>
                <w:sz w:val="18"/>
                <w:szCs w:val="18"/>
              </w:rPr>
            </w:pPr>
            <w:r w:rsidRPr="00F00587">
              <w:rPr>
                <w:rFonts w:eastAsia="Times New Roman" w:cs="Times New Roman"/>
                <w:i/>
                <w:iCs/>
                <w:color w:val="000000"/>
                <w:sz w:val="18"/>
                <w:szCs w:val="18"/>
              </w:rPr>
              <w:t>-0,5%</w:t>
            </w:r>
          </w:p>
        </w:tc>
      </w:tr>
      <w:tr w:rsidR="00F00587" w:rsidRPr="00F00587" w:rsidTr="00F00587">
        <w:trPr>
          <w:trHeight w:val="240"/>
        </w:trPr>
        <w:tc>
          <w:tcPr>
            <w:tcW w:w="4420" w:type="dxa"/>
            <w:tcBorders>
              <w:top w:val="nil"/>
              <w:left w:val="nil"/>
              <w:bottom w:val="nil"/>
              <w:right w:val="nil"/>
            </w:tcBorders>
            <w:shd w:val="clear" w:color="auto" w:fill="auto"/>
            <w:vAlign w:val="center"/>
            <w:hideMark/>
          </w:tcPr>
          <w:p w:rsidR="00F00587" w:rsidRPr="00F00587" w:rsidRDefault="00F00587" w:rsidP="00F00587">
            <w:pPr>
              <w:spacing w:after="0"/>
              <w:jc w:val="right"/>
              <w:rPr>
                <w:rFonts w:eastAsia="Times New Roman" w:cs="Times New Roman"/>
                <w:i/>
                <w:iCs/>
                <w:color w:val="000000"/>
                <w:sz w:val="18"/>
                <w:szCs w:val="18"/>
              </w:rPr>
            </w:pP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lef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sz w:val="20"/>
                <w:szCs w:val="20"/>
              </w:rPr>
            </w:pP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sz w:val="20"/>
                <w:szCs w:val="20"/>
              </w:rPr>
            </w:pPr>
          </w:p>
        </w:tc>
        <w:tc>
          <w:tcPr>
            <w:tcW w:w="100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sz w:val="20"/>
                <w:szCs w:val="20"/>
              </w:rPr>
            </w:pPr>
          </w:p>
        </w:tc>
      </w:tr>
      <w:tr w:rsidR="00F00587" w:rsidRPr="00F00587" w:rsidTr="00F00587">
        <w:trPr>
          <w:trHeight w:val="315"/>
        </w:trPr>
        <w:tc>
          <w:tcPr>
            <w:tcW w:w="4420" w:type="dxa"/>
            <w:tcBorders>
              <w:top w:val="nil"/>
              <w:left w:val="nil"/>
              <w:bottom w:val="nil"/>
              <w:right w:val="nil"/>
            </w:tcBorders>
            <w:shd w:val="clear" w:color="auto" w:fill="auto"/>
            <w:vAlign w:val="center"/>
            <w:hideMark/>
          </w:tcPr>
          <w:p w:rsidR="00F00587" w:rsidRPr="00F00587" w:rsidRDefault="00F00587" w:rsidP="00F00587">
            <w:pPr>
              <w:spacing w:after="0"/>
              <w:jc w:val="left"/>
              <w:rPr>
                <w:rFonts w:eastAsia="Times New Roman" w:cs="Times New Roman"/>
                <w:b/>
                <w:bCs/>
                <w:color w:val="000000"/>
                <w:sz w:val="18"/>
                <w:szCs w:val="18"/>
              </w:rPr>
            </w:pPr>
            <w:r w:rsidRPr="00F00587">
              <w:rPr>
                <w:rFonts w:eastAsia="Times New Roman" w:cs="Times New Roman"/>
                <w:b/>
                <w:bCs/>
                <w:color w:val="000000"/>
                <w:sz w:val="18"/>
                <w:szCs w:val="18"/>
              </w:rPr>
              <w:t>ФИНАНСИРАНЕ (+/-)</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b/>
                <w:bCs/>
                <w:sz w:val="18"/>
                <w:szCs w:val="18"/>
              </w:rPr>
            </w:pPr>
            <w:r w:rsidRPr="00F00587">
              <w:rPr>
                <w:rFonts w:eastAsia="Times New Roman" w:cs="Times New Roman"/>
                <w:b/>
                <w:bCs/>
                <w:sz w:val="18"/>
                <w:szCs w:val="18"/>
              </w:rPr>
              <w:t>-647,8</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b/>
                <w:bCs/>
                <w:sz w:val="18"/>
                <w:szCs w:val="18"/>
              </w:rPr>
            </w:pPr>
            <w:r w:rsidRPr="00F00587">
              <w:rPr>
                <w:rFonts w:eastAsia="Times New Roman" w:cs="Times New Roman"/>
                <w:b/>
                <w:bCs/>
                <w:sz w:val="18"/>
                <w:szCs w:val="18"/>
              </w:rPr>
              <w:t>802,9</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b/>
                <w:bCs/>
                <w:color w:val="000000"/>
                <w:sz w:val="18"/>
                <w:szCs w:val="18"/>
              </w:rPr>
            </w:pPr>
            <w:r w:rsidRPr="00F00587">
              <w:rPr>
                <w:rFonts w:eastAsia="Times New Roman" w:cs="Times New Roman"/>
                <w:b/>
                <w:bCs/>
                <w:color w:val="000000"/>
                <w:sz w:val="18"/>
                <w:szCs w:val="18"/>
              </w:rPr>
              <w:t>-168,0</w:t>
            </w:r>
          </w:p>
        </w:tc>
        <w:tc>
          <w:tcPr>
            <w:tcW w:w="102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b/>
                <w:bCs/>
                <w:color w:val="000000"/>
                <w:sz w:val="18"/>
                <w:szCs w:val="18"/>
              </w:rPr>
            </w:pPr>
            <w:r w:rsidRPr="00F00587">
              <w:rPr>
                <w:rFonts w:eastAsia="Times New Roman" w:cs="Times New Roman"/>
                <w:b/>
                <w:bCs/>
                <w:color w:val="000000"/>
                <w:sz w:val="18"/>
                <w:szCs w:val="18"/>
              </w:rPr>
              <w:t>1 367,9</w:t>
            </w:r>
          </w:p>
        </w:tc>
        <w:tc>
          <w:tcPr>
            <w:tcW w:w="1000" w:type="dxa"/>
            <w:tcBorders>
              <w:top w:val="nil"/>
              <w:left w:val="nil"/>
              <w:bottom w:val="nil"/>
              <w:right w:val="nil"/>
            </w:tcBorders>
            <w:shd w:val="clear" w:color="auto" w:fill="auto"/>
            <w:noWrap/>
            <w:vAlign w:val="center"/>
            <w:hideMark/>
          </w:tcPr>
          <w:p w:rsidR="00F00587" w:rsidRPr="00F00587" w:rsidRDefault="00F00587" w:rsidP="00F00587">
            <w:pPr>
              <w:spacing w:after="0"/>
              <w:jc w:val="right"/>
              <w:rPr>
                <w:rFonts w:eastAsia="Times New Roman" w:cs="Times New Roman"/>
                <w:b/>
                <w:bCs/>
                <w:color w:val="000000"/>
                <w:sz w:val="18"/>
                <w:szCs w:val="18"/>
              </w:rPr>
            </w:pPr>
            <w:r w:rsidRPr="00F00587">
              <w:rPr>
                <w:rFonts w:eastAsia="Times New Roman" w:cs="Times New Roman"/>
                <w:b/>
                <w:bCs/>
                <w:color w:val="000000"/>
                <w:sz w:val="18"/>
                <w:szCs w:val="18"/>
              </w:rPr>
              <w:t>1 101,3</w:t>
            </w:r>
          </w:p>
        </w:tc>
      </w:tr>
      <w:tr w:rsidR="00F00587" w:rsidRPr="00F00587" w:rsidTr="00F00587">
        <w:trPr>
          <w:trHeight w:val="240"/>
        </w:trPr>
        <w:tc>
          <w:tcPr>
            <w:tcW w:w="4420" w:type="dxa"/>
            <w:tcBorders>
              <w:top w:val="nil"/>
              <w:left w:val="nil"/>
              <w:bottom w:val="single" w:sz="4" w:space="0" w:color="auto"/>
              <w:right w:val="nil"/>
            </w:tcBorders>
            <w:shd w:val="clear" w:color="auto" w:fill="auto"/>
            <w:vAlign w:val="center"/>
            <w:hideMark/>
          </w:tcPr>
          <w:p w:rsidR="00F00587" w:rsidRPr="00F00587" w:rsidRDefault="00F00587" w:rsidP="00F00587">
            <w:pPr>
              <w:spacing w:after="0"/>
              <w:jc w:val="right"/>
              <w:rPr>
                <w:rFonts w:eastAsia="Times New Roman" w:cs="Times New Roman"/>
                <w:i/>
                <w:iCs/>
                <w:color w:val="000000"/>
                <w:sz w:val="18"/>
                <w:szCs w:val="18"/>
              </w:rPr>
            </w:pPr>
            <w:r w:rsidRPr="00F00587">
              <w:rPr>
                <w:rFonts w:eastAsia="Times New Roman" w:cs="Times New Roman"/>
                <w:i/>
                <w:iCs/>
                <w:color w:val="000000"/>
                <w:sz w:val="18"/>
                <w:szCs w:val="18"/>
              </w:rPr>
              <w:t>% от БВП</w:t>
            </w:r>
          </w:p>
        </w:tc>
        <w:tc>
          <w:tcPr>
            <w:tcW w:w="1020" w:type="dxa"/>
            <w:tcBorders>
              <w:top w:val="nil"/>
              <w:left w:val="nil"/>
              <w:bottom w:val="single" w:sz="4" w:space="0" w:color="auto"/>
              <w:right w:val="nil"/>
            </w:tcBorders>
            <w:shd w:val="clear" w:color="auto" w:fill="auto"/>
            <w:noWrap/>
            <w:vAlign w:val="center"/>
            <w:hideMark/>
          </w:tcPr>
          <w:p w:rsidR="00F00587" w:rsidRPr="00F00587" w:rsidRDefault="00F00587" w:rsidP="00F00587">
            <w:pPr>
              <w:spacing w:after="0"/>
              <w:jc w:val="right"/>
              <w:rPr>
                <w:rFonts w:eastAsia="Times New Roman" w:cs="Times New Roman"/>
                <w:i/>
                <w:iCs/>
                <w:sz w:val="18"/>
                <w:szCs w:val="18"/>
              </w:rPr>
            </w:pPr>
            <w:r w:rsidRPr="00F00587">
              <w:rPr>
                <w:rFonts w:eastAsia="Times New Roman" w:cs="Times New Roman"/>
                <w:i/>
                <w:iCs/>
                <w:sz w:val="18"/>
                <w:szCs w:val="18"/>
              </w:rPr>
              <w:t>-0,3%</w:t>
            </w:r>
          </w:p>
        </w:tc>
        <w:tc>
          <w:tcPr>
            <w:tcW w:w="1020" w:type="dxa"/>
            <w:tcBorders>
              <w:top w:val="nil"/>
              <w:left w:val="nil"/>
              <w:bottom w:val="single" w:sz="4" w:space="0" w:color="auto"/>
              <w:right w:val="nil"/>
            </w:tcBorders>
            <w:shd w:val="clear" w:color="auto" w:fill="auto"/>
            <w:noWrap/>
            <w:vAlign w:val="center"/>
            <w:hideMark/>
          </w:tcPr>
          <w:p w:rsidR="00F00587" w:rsidRPr="00F00587" w:rsidRDefault="00F00587" w:rsidP="00F00587">
            <w:pPr>
              <w:spacing w:after="0"/>
              <w:jc w:val="right"/>
              <w:rPr>
                <w:rFonts w:eastAsia="Times New Roman" w:cs="Times New Roman"/>
                <w:i/>
                <w:iCs/>
                <w:sz w:val="18"/>
                <w:szCs w:val="18"/>
              </w:rPr>
            </w:pPr>
            <w:r w:rsidRPr="00F00587">
              <w:rPr>
                <w:rFonts w:eastAsia="Times New Roman" w:cs="Times New Roman"/>
                <w:i/>
                <w:iCs/>
                <w:sz w:val="18"/>
                <w:szCs w:val="18"/>
              </w:rPr>
              <w:t>0,4%</w:t>
            </w:r>
          </w:p>
        </w:tc>
        <w:tc>
          <w:tcPr>
            <w:tcW w:w="1020" w:type="dxa"/>
            <w:tcBorders>
              <w:top w:val="nil"/>
              <w:left w:val="nil"/>
              <w:bottom w:val="single" w:sz="4" w:space="0" w:color="auto"/>
              <w:right w:val="nil"/>
            </w:tcBorders>
            <w:shd w:val="clear" w:color="auto" w:fill="auto"/>
            <w:noWrap/>
            <w:vAlign w:val="center"/>
            <w:hideMark/>
          </w:tcPr>
          <w:p w:rsidR="00F00587" w:rsidRPr="00F00587" w:rsidRDefault="00F00587" w:rsidP="00F00587">
            <w:pPr>
              <w:spacing w:after="0"/>
              <w:jc w:val="right"/>
              <w:rPr>
                <w:rFonts w:eastAsia="Times New Roman" w:cs="Times New Roman"/>
                <w:i/>
                <w:iCs/>
                <w:color w:val="000000"/>
                <w:sz w:val="18"/>
                <w:szCs w:val="18"/>
              </w:rPr>
            </w:pPr>
            <w:r w:rsidRPr="00F00587">
              <w:rPr>
                <w:rFonts w:eastAsia="Times New Roman" w:cs="Times New Roman"/>
                <w:i/>
                <w:iCs/>
                <w:color w:val="000000"/>
                <w:sz w:val="18"/>
                <w:szCs w:val="18"/>
              </w:rPr>
              <w:t>-0,1%</w:t>
            </w:r>
          </w:p>
        </w:tc>
        <w:tc>
          <w:tcPr>
            <w:tcW w:w="1020" w:type="dxa"/>
            <w:tcBorders>
              <w:top w:val="nil"/>
              <w:left w:val="nil"/>
              <w:bottom w:val="single" w:sz="4" w:space="0" w:color="auto"/>
              <w:right w:val="nil"/>
            </w:tcBorders>
            <w:shd w:val="clear" w:color="auto" w:fill="auto"/>
            <w:noWrap/>
            <w:vAlign w:val="center"/>
            <w:hideMark/>
          </w:tcPr>
          <w:p w:rsidR="00F00587" w:rsidRPr="00F00587" w:rsidRDefault="00F00587" w:rsidP="00F00587">
            <w:pPr>
              <w:spacing w:after="0"/>
              <w:jc w:val="right"/>
              <w:rPr>
                <w:rFonts w:eastAsia="Times New Roman" w:cs="Times New Roman"/>
                <w:i/>
                <w:iCs/>
                <w:color w:val="000000"/>
                <w:sz w:val="18"/>
                <w:szCs w:val="18"/>
              </w:rPr>
            </w:pPr>
            <w:r w:rsidRPr="00F00587">
              <w:rPr>
                <w:rFonts w:eastAsia="Times New Roman" w:cs="Times New Roman"/>
                <w:i/>
                <w:iCs/>
                <w:color w:val="000000"/>
                <w:sz w:val="18"/>
                <w:szCs w:val="18"/>
              </w:rPr>
              <w:t>0,6%</w:t>
            </w:r>
          </w:p>
        </w:tc>
        <w:tc>
          <w:tcPr>
            <w:tcW w:w="1000" w:type="dxa"/>
            <w:tcBorders>
              <w:top w:val="nil"/>
              <w:left w:val="nil"/>
              <w:bottom w:val="single" w:sz="4" w:space="0" w:color="auto"/>
              <w:right w:val="nil"/>
            </w:tcBorders>
            <w:shd w:val="clear" w:color="auto" w:fill="auto"/>
            <w:noWrap/>
            <w:vAlign w:val="center"/>
            <w:hideMark/>
          </w:tcPr>
          <w:p w:rsidR="00F00587" w:rsidRPr="00F00587" w:rsidRDefault="00F00587" w:rsidP="00F00587">
            <w:pPr>
              <w:spacing w:after="0"/>
              <w:jc w:val="right"/>
              <w:rPr>
                <w:rFonts w:eastAsia="Times New Roman" w:cs="Times New Roman"/>
                <w:i/>
                <w:iCs/>
                <w:color w:val="000000"/>
                <w:sz w:val="18"/>
                <w:szCs w:val="18"/>
              </w:rPr>
            </w:pPr>
            <w:r w:rsidRPr="00F00587">
              <w:rPr>
                <w:rFonts w:eastAsia="Times New Roman" w:cs="Times New Roman"/>
                <w:i/>
                <w:iCs/>
                <w:color w:val="000000"/>
                <w:sz w:val="18"/>
                <w:szCs w:val="18"/>
              </w:rPr>
              <w:t>0,5%</w:t>
            </w:r>
          </w:p>
        </w:tc>
      </w:tr>
    </w:tbl>
    <w:p w:rsidR="005471D8" w:rsidRPr="00967DD0" w:rsidRDefault="00967DD0" w:rsidP="00967DD0">
      <w:pPr>
        <w:jc w:val="right"/>
        <w:rPr>
          <w:rFonts w:eastAsia="Batang" w:cs="Times New Roman"/>
          <w:sz w:val="18"/>
          <w:szCs w:val="18"/>
        </w:rPr>
      </w:pPr>
      <w:r>
        <w:rPr>
          <w:rFonts w:eastAsia="Batang" w:cs="Times New Roman"/>
          <w:sz w:val="18"/>
          <w:szCs w:val="18"/>
        </w:rPr>
        <w:t>Източник: МФ</w:t>
      </w:r>
    </w:p>
    <w:p w:rsidR="00531E97" w:rsidRPr="00531E97" w:rsidRDefault="00531E97" w:rsidP="00DE2BDB">
      <w:pPr>
        <w:pStyle w:val="Heading2"/>
        <w:rPr>
          <w:color w:val="852010" w:themeColor="accent3" w:themeShade="BF"/>
        </w:rPr>
      </w:pPr>
      <w:bookmarkStart w:id="207" w:name="_Toc151557298"/>
      <w:bookmarkStart w:id="208" w:name="_Toc464224780"/>
      <w:bookmarkStart w:id="209" w:name="_Toc464225430"/>
      <w:bookmarkStart w:id="210" w:name="_Toc464458977"/>
      <w:bookmarkStart w:id="211" w:name="_Toc464459723"/>
      <w:bookmarkStart w:id="212" w:name="_Toc464460678"/>
      <w:bookmarkStart w:id="213" w:name="_Toc464463077"/>
      <w:bookmarkStart w:id="214" w:name="_Toc464464904"/>
      <w:bookmarkStart w:id="215" w:name="_Toc464465410"/>
      <w:bookmarkStart w:id="216" w:name="_Toc464465598"/>
      <w:bookmarkStart w:id="217" w:name="_Toc464466423"/>
      <w:bookmarkStart w:id="218" w:name="_Toc464466667"/>
      <w:bookmarkStart w:id="219" w:name="_Toc464644979"/>
      <w:bookmarkStart w:id="220" w:name="_Toc465205508"/>
      <w:bookmarkEnd w:id="201"/>
      <w:bookmarkEnd w:id="202"/>
      <w:bookmarkEnd w:id="203"/>
      <w:r>
        <w:t>ПРОГНОЗА ЗА СЕКТОР „ДЪРЖ</w:t>
      </w:r>
      <w:r w:rsidR="00886C3C">
        <w:t>АВНО УПРАВЛЕНИЕ“ ЗА ПЕРИОДА 2024-2026</w:t>
      </w:r>
      <w:r>
        <w:t xml:space="preserve"> Г.</w:t>
      </w:r>
      <w:bookmarkEnd w:id="207"/>
    </w:p>
    <w:bookmarkEnd w:id="208"/>
    <w:bookmarkEnd w:id="209"/>
    <w:bookmarkEnd w:id="210"/>
    <w:bookmarkEnd w:id="211"/>
    <w:bookmarkEnd w:id="212"/>
    <w:bookmarkEnd w:id="213"/>
    <w:bookmarkEnd w:id="214"/>
    <w:bookmarkEnd w:id="215"/>
    <w:bookmarkEnd w:id="216"/>
    <w:bookmarkEnd w:id="217"/>
    <w:bookmarkEnd w:id="218"/>
    <w:bookmarkEnd w:id="219"/>
    <w:bookmarkEnd w:id="220"/>
    <w:p w:rsidR="00322AE8" w:rsidRDefault="00322AE8" w:rsidP="00322AE8">
      <w:r>
        <w:t xml:space="preserve">За целите на международните сравнения бюджетната рамка се представя както по национална методология (по показатели на КФП на касова основа), така и на базата на европейската методология ЕСС 2010 за показателите за сектор „Държавно управление“, като следва да се отбележи, че фискалните параметри отразяват по еднакъв начин фискалната политика. Представената прогноза е разработена на базата на последната макроикономическа прогноза на МФ, на предприетите мерки и политики, които оказват фискално въздействие през прогнозния период. </w:t>
      </w:r>
    </w:p>
    <w:p w:rsidR="00322AE8" w:rsidRDefault="00322AE8" w:rsidP="00322AE8">
      <w:r>
        <w:t>По предварителни оценки на МФ бюджетното салдо за 2023 г. е отрицателно в размер на 2,9% от БВП. В средносрочен план се очаква дефицит в размер съответно на 2,9% от БВП за 2024 г., 3,0% за 2025 г. и 2,5% от БВП за 2026 г. Това показва, че през разглеждания период ще бъде изпълнен критерият за фискална устойчивост за присъединяване към еврозоната.</w:t>
      </w:r>
    </w:p>
    <w:p w:rsidR="00322AE8" w:rsidRDefault="00322AE8" w:rsidP="00322AE8">
      <w:r>
        <w:t>Част от дефицита на сектор „Държавно управление“, който се отчита на начислена основа, се дължи на времевото изместване при отчитането на разходите за доставки на военна техника, които са платени през предходни години на касова основа. Съгласно методологията ЕСС 2010, държавните разходи за военно оборудване се отчитат през годината на доставката им. Поради това, инвестиционните разходи по първия етап на плана за придобиване на нов тип боен самолет, направени през 2019 г. и 2020 г. в размер на 2 197,7 млн. лв., имат влияние върху разходите в периода 2024-2026 г., като заедно с изместеното отчитане и на други разходи за доставки на военна техника влошават дефицита с 0,6% от БВП през 2025 г.</w:t>
      </w:r>
      <w:r w:rsidR="005501BC">
        <w:t>,</w:t>
      </w:r>
      <w:r>
        <w:t xml:space="preserve"> когато се очаква най-голямата доставка на военна техника. Това влияние е временно и не води до трайно влошаване на бюджетната позиция и до нарушаване на фискалната устойчивост в дългосрочен план. Ако се изключи това еднократно влошаване, дефицитът за 2025 г. е 2,4% от БВП.</w:t>
      </w:r>
    </w:p>
    <w:p w:rsidR="00400F85" w:rsidRPr="00400F85" w:rsidRDefault="00400F85" w:rsidP="00400F85">
      <w:r w:rsidRPr="00400F85">
        <w:t>Планираният размер на бюджетното салдо за периода 2024-2026 г. ще се реализира при увеличаване на приходите от 3</w:t>
      </w:r>
      <w:r w:rsidRPr="00400F85">
        <w:rPr>
          <w:lang w:val="en-US"/>
        </w:rPr>
        <w:t>5</w:t>
      </w:r>
      <w:r w:rsidRPr="00400F85">
        <w:t>,</w:t>
      </w:r>
      <w:r w:rsidRPr="00400F85">
        <w:rPr>
          <w:lang w:val="en-US"/>
        </w:rPr>
        <w:t>5</w:t>
      </w:r>
      <w:r w:rsidRPr="00400F85">
        <w:t>% от БВП през 2024 г. до 3</w:t>
      </w:r>
      <w:r w:rsidRPr="00400F85">
        <w:rPr>
          <w:lang w:val="en-US"/>
        </w:rPr>
        <w:t>6</w:t>
      </w:r>
      <w:r w:rsidRPr="00400F85">
        <w:t xml:space="preserve">,4% от БВП в края на периода. </w:t>
      </w:r>
    </w:p>
    <w:p w:rsidR="00400F85" w:rsidRPr="00400F85" w:rsidRDefault="00400F85" w:rsidP="00400F85">
      <w:r w:rsidRPr="00400F85">
        <w:t>Разходите като дял от БВП достигат 3</w:t>
      </w:r>
      <w:r w:rsidRPr="00400F85">
        <w:rPr>
          <w:lang w:val="en-US"/>
        </w:rPr>
        <w:t>8</w:t>
      </w:r>
      <w:r w:rsidRPr="00400F85">
        <w:t>,</w:t>
      </w:r>
      <w:r w:rsidRPr="00400F85">
        <w:rPr>
          <w:lang w:val="en-US"/>
        </w:rPr>
        <w:t>4</w:t>
      </w:r>
      <w:r w:rsidRPr="00400F85">
        <w:t xml:space="preserve">% през 2024 г., след това се увеличават слабо до </w:t>
      </w:r>
      <w:r w:rsidRPr="00400F85">
        <w:rPr>
          <w:lang w:val="en-US"/>
        </w:rPr>
        <w:t>39</w:t>
      </w:r>
      <w:r w:rsidRPr="00400F85">
        <w:t>,</w:t>
      </w:r>
      <w:r w:rsidRPr="00400F85">
        <w:rPr>
          <w:lang w:val="en-US"/>
        </w:rPr>
        <w:t>1</w:t>
      </w:r>
      <w:r w:rsidRPr="00400F85">
        <w:t xml:space="preserve">% през 2025 г. и </w:t>
      </w:r>
      <w:r w:rsidRPr="00400F85">
        <w:rPr>
          <w:lang w:val="en-US"/>
        </w:rPr>
        <w:t>38</w:t>
      </w:r>
      <w:r w:rsidRPr="00400F85">
        <w:t>,</w:t>
      </w:r>
      <w:r w:rsidRPr="00400F85">
        <w:rPr>
          <w:lang w:val="en-US"/>
        </w:rPr>
        <w:t>9</w:t>
      </w:r>
      <w:r w:rsidRPr="00400F85">
        <w:t>% от БВП съответно за 2026 г.</w:t>
      </w:r>
    </w:p>
    <w:p w:rsidR="00400F85" w:rsidRPr="00400F85" w:rsidRDefault="00400F85" w:rsidP="00400F85">
      <w:r w:rsidRPr="00400F85">
        <w:t xml:space="preserve">Нарастване има по всички приходни елементи, като при данъците върху производството и вноса (косвените данъци) растежът е средно 5,2% за периода на годишна база. Значение за увеличението на тези приходи има отпадането от средата на 2023 г. на намалената ставка на ДДС за централно отопление и природен газ и освобождаването от акциз на електрическата енергия, природния газ и втечнения нефтен газ, както и прилагането на пакета от мерки за повишаване на събираемостта на приходите, в т.ч. в областта на фискалния контрол на стоки с висок фискален риск. </w:t>
      </w:r>
    </w:p>
    <w:p w:rsidR="00322AE8" w:rsidRDefault="00322AE8" w:rsidP="00322AE8">
      <w:r>
        <w:t>Увеличението на данъците върху дохода и богатството (преките данъци) на годишна база възлиза на 10,5%, 8,2% и 7,9% съответно за 2024 г., 2025 г. и 2026 г. При текущите данъци върху доходите на домакинствата нарастването е свързано с ефектите от увеличението в компенсации на наетите лица, заложено в макроикономическата прогноза; увеличението на заплатите на педагогическия персонал и на МРЗ. При данъците, платени от фирмите, растежът се дължи главно на заложеното нарастване в макроикономическата прогноза на данъчната база за облагане на печалбите; въвеждането на национален допълнителен данък (domestic top-up tax) за осигуряване на глобално минимално ниво на данъчно облагане за групите на мултинационалните предприятия</w:t>
      </w:r>
      <w:r w:rsidR="007D0B83">
        <w:t>, както</w:t>
      </w:r>
      <w:r>
        <w:t xml:space="preserve"> и на очаквания положителен ефект за бюджета от приходите по ЗКПО по пакета от мерки за повишаване на събираемостта.</w:t>
      </w:r>
    </w:p>
    <w:p w:rsidR="00322AE8" w:rsidRDefault="00322AE8" w:rsidP="00322AE8">
      <w:r>
        <w:t>Нарастването на социалноосигурителните вноски на годишна база – съответно с 14,0% през 2024 г., 8,4% през 2025 г. и 9,0% през 2026 г., се дължи на увеличението на компенсациите на наетите лица, на заплатите на педагогическия персонал и на МРЗ, както и на предвиденото нарастване на максималния и на минималния осигурителен доход</w:t>
      </w:r>
      <w:r w:rsidR="007D0B83" w:rsidRPr="007D0B83">
        <w:t xml:space="preserve"> на годишна база</w:t>
      </w:r>
      <w:r>
        <w:t>.</w:t>
      </w:r>
    </w:p>
    <w:p w:rsidR="00322AE8" w:rsidRDefault="00322AE8" w:rsidP="00322AE8">
      <w:r>
        <w:t xml:space="preserve">При неданъчните приходи растежът през 2024 г. се дължи на значително увеличение на постъпленията от капиталови трансфери от ЕС, поради ускоряването на инвестициите, финансирани по европейските програми за програмния период 2021-2027 г. и по проектите на ПВУ, както и на нарастването на приходите от продажби и другите текущи приходи. За 2024 г. общите текущи приходи на годишна база нарастват с </w:t>
      </w:r>
      <w:r w:rsidR="00400F85">
        <w:t>8</w:t>
      </w:r>
      <w:r>
        <w:t>,7%, като към края на периода растежът им се забавя до 7,</w:t>
      </w:r>
      <w:r w:rsidR="00400F85">
        <w:t>6</w:t>
      </w:r>
      <w:r>
        <w:t xml:space="preserve">%. </w:t>
      </w:r>
    </w:p>
    <w:p w:rsidR="00322AE8" w:rsidRDefault="00322AE8" w:rsidP="00322AE8">
      <w:r>
        <w:t xml:space="preserve">При разходите на сектор „Държавно управление“ висок номинален ръст в средносрочен план се наблюдава при капиталовите разходи за брутообразуване на основен капитал. Те нарастват съответно с </w:t>
      </w:r>
      <w:r w:rsidR="00400F85">
        <w:t>23,5</w:t>
      </w:r>
      <w:r>
        <w:t>% през 2024 г. и 1</w:t>
      </w:r>
      <w:r w:rsidR="00400F85">
        <w:t>8</w:t>
      </w:r>
      <w:r>
        <w:t>,</w:t>
      </w:r>
      <w:r w:rsidR="000B2FE6">
        <w:t>3</w:t>
      </w:r>
      <w:r>
        <w:t>% през 2025 г., и спадат с</w:t>
      </w:r>
      <w:r w:rsidR="00400F85">
        <w:t>ъс</w:t>
      </w:r>
      <w:r>
        <w:t xml:space="preserve"> </w:t>
      </w:r>
      <w:r w:rsidR="00400F85">
        <w:t>7,</w:t>
      </w:r>
      <w:r w:rsidR="000B2FE6">
        <w:t>6</w:t>
      </w:r>
      <w:r>
        <w:t>% през 2026 г. Изменението в показателя е свързано основно с нарастване на разходите по Националния план за възстановяване и устойчивост, националните разходи за изграждане на инфраструктура, доставките на бойни самолети F-16 Block 70 и основна техника за изграждане на батальонни бойни групи от състава на механизирана бригада, както и с напредването на проектите, финансирани по програми на ЕС в рамките на новия програмен период.</w:t>
      </w:r>
    </w:p>
    <w:p w:rsidR="00322AE8" w:rsidRDefault="00322AE8" w:rsidP="00322AE8">
      <w:r>
        <w:t>При социалните трансфери в натура, които обхващат основно разходите за здравеопазване, се наблюдава растеж на годишна база съответно от 22,9% през 2024 г., 13,4% през 2025 г. и 9,2% през 2026 г., поради нарастване на здравноосигурителните плащания, основно за болнична медицинска помощ по НРД</w:t>
      </w:r>
      <w:r w:rsidR="00034D77">
        <w:rPr>
          <w:rStyle w:val="FootnoteReference"/>
        </w:rPr>
        <w:footnoteReference w:id="11"/>
      </w:r>
      <w:r>
        <w:t>; за лекарствени продукти за лечение на злокачествени заболявания и др., включени в пакета по бюджета на НЗОК, прилагани в болничната помощ, както и за финансиране на първичната и специализираната извънболнична помощ.</w:t>
      </w:r>
    </w:p>
    <w:p w:rsidR="00322AE8" w:rsidRDefault="00322AE8" w:rsidP="00322AE8">
      <w:r>
        <w:t>Растеж през 2024 г. от 15,1% се очаква и при разходите за социални трансфери, без тези в натура, най-вече поради нарастване на разходите за пенсии и увеличаването на размерите на обезщетенията и помощите за домакинствата. При пенсиите нарастването се дължи основно на ежегодната индексация от 1 юли на съответната година по швейцарското правило</w:t>
      </w:r>
      <w:r w:rsidR="007D0B83" w:rsidRPr="007D0B83">
        <w:t xml:space="preserve"> </w:t>
      </w:r>
      <w:r w:rsidR="007D0B83" w:rsidRPr="007D0B83">
        <w:rPr>
          <w:lang w:val="en-US"/>
        </w:rPr>
        <w:t>(</w:t>
      </w:r>
      <w:r w:rsidR="007D0B83" w:rsidRPr="007D0B83">
        <w:t>с 12% за 2023 г.</w:t>
      </w:r>
      <w:r w:rsidR="007D0B83" w:rsidRPr="007D0B83">
        <w:rPr>
          <w:lang w:val="en-US"/>
        </w:rPr>
        <w:t>)</w:t>
      </w:r>
      <w:r>
        <w:t>, както и на предприетите промени през 2022 г.</w:t>
      </w:r>
      <w:r w:rsidR="007D0B83">
        <w:t>,</w:t>
      </w:r>
      <w:r w:rsidR="007D0B83" w:rsidRPr="007D0B83">
        <w:t xml:space="preserve"> вкл. включването на </w:t>
      </w:r>
      <w:r w:rsidR="007D0B83" w:rsidRPr="007D0B83">
        <w:rPr>
          <w:lang w:val="en-US"/>
        </w:rPr>
        <w:t xml:space="preserve">COVID </w:t>
      </w:r>
      <w:r w:rsidR="007D0B83" w:rsidRPr="007D0B83">
        <w:t>добавките в основния размер на пенсиите</w:t>
      </w:r>
      <w:r>
        <w:t>, които оказват влияние на разходите през 2024 г. и следващите години. При обезщетенията и помощите за домакинствата влияние оказва основно нарастването на социалните помощи по ЗСП и по ЗХУ, поради нарастването на линията на бедност, както и предвиденото нарастване на МРЗ, което съответно води до увеличение на часовата ставка за положен труд за изчисляване на възнагражденията на личните асистенти по Закона за личната помощ и на възнагражденията на приемните семейства по Закона за закрила на детето. През периода 2025-2026 г. нарастването на тези разходи се забавя съответно до 9,</w:t>
      </w:r>
      <w:r w:rsidR="003D6528">
        <w:t>1</w:t>
      </w:r>
      <w:r>
        <w:t>% и 6,</w:t>
      </w:r>
      <w:r w:rsidR="00A06D13">
        <w:t>1</w:t>
      </w:r>
      <w:r>
        <w:t>% на годишна база. Положително въздействие за ограничаване нарастването на тези постоянни разходи, като дял от БВП, оказва продължаващото действие на пенсионната реформа, свързана с повишаване на възрастта и осигурителния стаж за пенсиониране за всички категории осигурени лица.</w:t>
      </w:r>
    </w:p>
    <w:p w:rsidR="00322AE8" w:rsidRDefault="00322AE8" w:rsidP="00322AE8">
      <w:r>
        <w:t>При компенсацията на наетите се наблюдава нарастване от 10,</w:t>
      </w:r>
      <w:r w:rsidR="003D6528">
        <w:t>6</w:t>
      </w:r>
      <w:r>
        <w:t>% за 2024 г. на годишна база, основно поради увеличението на възнагражденията на педагогическия персонал,  на приетото увеличение на минималната работна заплата и на максималния осигурителен доход, както и на предвидените допълнителни средства за преодоляване на диспропорции във възнагражденията на персонала в бюджетните организации, в</w:t>
      </w:r>
      <w:r w:rsidR="00032AFC">
        <w:t>к</w:t>
      </w:r>
      <w:r>
        <w:t xml:space="preserve">лючително и за увеличаване на възнагражденията на персонала за 2024 г. </w:t>
      </w:r>
    </w:p>
    <w:p w:rsidR="00322AE8" w:rsidRDefault="00322AE8" w:rsidP="00322AE8">
      <w:r>
        <w:t>Общият ефект от предприятията и болниците, включени в сектор „Държавно управление“, върху баланса на сектора е отрицателен за 2024 г. и положителен за 2025 г. и 2026 г. – съответно: -308,5 млн. лв. за 2024 г., 285,7 млн. лв. за 2025 г. и 183,4 млн. лв. за 2026 г. Най-голямо е влиянието на Държавната консолидационна компания и Националната компания „Железопътна инфраструктура“.</w:t>
      </w:r>
    </w:p>
    <w:p w:rsidR="009F7B41" w:rsidRDefault="009F7B41" w:rsidP="00322AE8"/>
    <w:p w:rsidR="00003A56" w:rsidRDefault="00D23EE8" w:rsidP="00003A56">
      <w:pPr>
        <w:pStyle w:val="Caption"/>
        <w:spacing w:before="240"/>
      </w:pPr>
      <w:bookmarkStart w:id="221" w:name="_Toc150443419"/>
      <w:r w:rsidRPr="003D1B27">
        <w:t xml:space="preserve">Табл. </w:t>
      </w:r>
      <w:fldSimple w:instr=" STYLEREF 1 \s ">
        <w:r w:rsidR="005A69ED">
          <w:rPr>
            <w:noProof/>
          </w:rPr>
          <w:t>II</w:t>
        </w:r>
      </w:fldSimple>
      <w:r w:rsidRPr="003D1B27">
        <w:noBreakHyphen/>
      </w:r>
      <w:fldSimple w:instr=" SEQ Табл. \* ARABIC \s 1 ">
        <w:r w:rsidR="005A69ED">
          <w:rPr>
            <w:noProof/>
          </w:rPr>
          <w:t>5</w:t>
        </w:r>
      </w:fldSimple>
      <w:r w:rsidRPr="003D1B27">
        <w:t>:</w:t>
      </w:r>
      <w:r w:rsidRPr="003D1B27">
        <w:tab/>
      </w:r>
      <w:r w:rsidR="00531E97" w:rsidRPr="003D1B27">
        <w:t>Изменение на показателите на сектор „Държ</w:t>
      </w:r>
      <w:r w:rsidR="00886C3C">
        <w:t>авно управление“ за периода 2024-2026</w:t>
      </w:r>
      <w:r w:rsidR="005A2C13">
        <w:t> </w:t>
      </w:r>
      <w:r w:rsidR="00531E97" w:rsidRPr="003D1B27">
        <w:t>г.</w:t>
      </w:r>
      <w:r w:rsidRPr="003D1B27">
        <w:rPr>
          <w:vertAlign w:val="superscript"/>
        </w:rPr>
        <w:footnoteReference w:id="12"/>
      </w:r>
      <w:bookmarkEnd w:id="221"/>
    </w:p>
    <w:tbl>
      <w:tblPr>
        <w:tblW w:w="5000" w:type="pct"/>
        <w:tblCellMar>
          <w:left w:w="70" w:type="dxa"/>
          <w:right w:w="70" w:type="dxa"/>
        </w:tblCellMar>
        <w:tblLook w:val="04A0" w:firstRow="1" w:lastRow="0" w:firstColumn="1" w:lastColumn="0" w:noHBand="0" w:noVBand="1"/>
      </w:tblPr>
      <w:tblGrid>
        <w:gridCol w:w="2588"/>
        <w:gridCol w:w="811"/>
        <w:gridCol w:w="1165"/>
        <w:gridCol w:w="1165"/>
        <w:gridCol w:w="1125"/>
        <w:gridCol w:w="1090"/>
        <w:gridCol w:w="1126"/>
      </w:tblGrid>
      <w:tr w:rsidR="008B253F" w:rsidRPr="00164D2F" w:rsidTr="004F30D0">
        <w:trPr>
          <w:trHeight w:val="300"/>
          <w:tblHeader/>
        </w:trPr>
        <w:tc>
          <w:tcPr>
            <w:tcW w:w="1427" w:type="pct"/>
            <w:vMerge w:val="restart"/>
            <w:tcBorders>
              <w:top w:val="single" w:sz="4" w:space="0" w:color="595959"/>
              <w:left w:val="nil"/>
              <w:bottom w:val="single" w:sz="4" w:space="0" w:color="595959"/>
              <w:right w:val="nil"/>
            </w:tcBorders>
            <w:vAlign w:val="center"/>
            <w:hideMark/>
          </w:tcPr>
          <w:p w:rsidR="008B253F" w:rsidRPr="00164D2F" w:rsidRDefault="008B253F" w:rsidP="004F30D0">
            <w:pPr>
              <w:spacing w:after="0" w:line="276" w:lineRule="auto"/>
              <w:jc w:val="center"/>
              <w:rPr>
                <w:b/>
                <w:bCs/>
                <w:sz w:val="20"/>
                <w:szCs w:val="20"/>
              </w:rPr>
            </w:pPr>
            <w:r w:rsidRPr="00164D2F">
              <w:rPr>
                <w:b/>
                <w:bCs/>
                <w:sz w:val="20"/>
                <w:szCs w:val="20"/>
              </w:rPr>
              <w:t xml:space="preserve">Показатели </w:t>
            </w:r>
            <w:r w:rsidRPr="00164D2F">
              <w:rPr>
                <w:b/>
                <w:bCs/>
                <w:sz w:val="20"/>
                <w:szCs w:val="20"/>
              </w:rPr>
              <w:br/>
              <w:t>(млн. лв.)</w:t>
            </w:r>
          </w:p>
        </w:tc>
        <w:tc>
          <w:tcPr>
            <w:tcW w:w="1089" w:type="pct"/>
            <w:gridSpan w:val="2"/>
            <w:tcBorders>
              <w:top w:val="single" w:sz="4" w:space="0" w:color="595959"/>
              <w:left w:val="nil"/>
              <w:bottom w:val="single" w:sz="4" w:space="0" w:color="595959"/>
              <w:right w:val="nil"/>
            </w:tcBorders>
            <w:noWrap/>
            <w:vAlign w:val="bottom"/>
            <w:hideMark/>
          </w:tcPr>
          <w:p w:rsidR="008B253F" w:rsidRPr="00164D2F" w:rsidRDefault="008B253F" w:rsidP="004F30D0">
            <w:pPr>
              <w:spacing w:after="0" w:line="276" w:lineRule="auto"/>
              <w:jc w:val="center"/>
              <w:rPr>
                <w:b/>
                <w:bCs/>
                <w:sz w:val="20"/>
                <w:szCs w:val="20"/>
                <w:lang w:val="en-US"/>
              </w:rPr>
            </w:pPr>
            <w:r w:rsidRPr="00164D2F">
              <w:rPr>
                <w:b/>
                <w:bCs/>
                <w:sz w:val="20"/>
                <w:szCs w:val="20"/>
              </w:rPr>
              <w:t>202</w:t>
            </w:r>
            <w:r>
              <w:rPr>
                <w:b/>
                <w:bCs/>
                <w:sz w:val="20"/>
                <w:szCs w:val="20"/>
              </w:rPr>
              <w:t>4</w:t>
            </w:r>
          </w:p>
        </w:tc>
        <w:tc>
          <w:tcPr>
            <w:tcW w:w="1262" w:type="pct"/>
            <w:gridSpan w:val="2"/>
            <w:tcBorders>
              <w:top w:val="single" w:sz="4" w:space="0" w:color="595959"/>
              <w:left w:val="nil"/>
              <w:bottom w:val="single" w:sz="4" w:space="0" w:color="595959"/>
              <w:right w:val="nil"/>
            </w:tcBorders>
            <w:noWrap/>
            <w:vAlign w:val="bottom"/>
            <w:hideMark/>
          </w:tcPr>
          <w:p w:rsidR="008B253F" w:rsidRPr="00164D2F" w:rsidRDefault="008B253F" w:rsidP="004F30D0">
            <w:pPr>
              <w:spacing w:after="0" w:line="276" w:lineRule="auto"/>
              <w:jc w:val="center"/>
              <w:rPr>
                <w:b/>
                <w:bCs/>
                <w:sz w:val="20"/>
                <w:szCs w:val="20"/>
              </w:rPr>
            </w:pPr>
            <w:r w:rsidRPr="00164D2F">
              <w:rPr>
                <w:b/>
                <w:bCs/>
                <w:sz w:val="20"/>
                <w:szCs w:val="20"/>
              </w:rPr>
              <w:t>202</w:t>
            </w:r>
            <w:r>
              <w:rPr>
                <w:b/>
                <w:bCs/>
                <w:sz w:val="20"/>
                <w:szCs w:val="20"/>
              </w:rPr>
              <w:t>5</w:t>
            </w:r>
          </w:p>
        </w:tc>
        <w:tc>
          <w:tcPr>
            <w:tcW w:w="1222" w:type="pct"/>
            <w:gridSpan w:val="2"/>
            <w:tcBorders>
              <w:top w:val="single" w:sz="4" w:space="0" w:color="595959"/>
              <w:left w:val="nil"/>
              <w:bottom w:val="single" w:sz="4" w:space="0" w:color="595959"/>
              <w:right w:val="nil"/>
            </w:tcBorders>
            <w:noWrap/>
            <w:vAlign w:val="bottom"/>
            <w:hideMark/>
          </w:tcPr>
          <w:p w:rsidR="008B253F" w:rsidRPr="00164D2F" w:rsidRDefault="008B253F" w:rsidP="004F30D0">
            <w:pPr>
              <w:spacing w:after="0" w:line="276" w:lineRule="auto"/>
              <w:jc w:val="center"/>
              <w:rPr>
                <w:b/>
                <w:bCs/>
                <w:sz w:val="20"/>
                <w:szCs w:val="20"/>
              </w:rPr>
            </w:pPr>
            <w:r w:rsidRPr="00164D2F">
              <w:rPr>
                <w:b/>
                <w:bCs/>
                <w:sz w:val="20"/>
                <w:szCs w:val="20"/>
              </w:rPr>
              <w:t>202</w:t>
            </w:r>
            <w:r>
              <w:rPr>
                <w:b/>
                <w:bCs/>
                <w:sz w:val="20"/>
                <w:szCs w:val="20"/>
              </w:rPr>
              <w:t>6</w:t>
            </w:r>
          </w:p>
        </w:tc>
      </w:tr>
      <w:tr w:rsidR="008B253F" w:rsidRPr="00164D2F" w:rsidTr="004F30D0">
        <w:trPr>
          <w:trHeight w:val="510"/>
          <w:tblHeader/>
        </w:trPr>
        <w:tc>
          <w:tcPr>
            <w:tcW w:w="1427" w:type="pct"/>
            <w:vMerge/>
            <w:tcBorders>
              <w:top w:val="single" w:sz="4" w:space="0" w:color="595959"/>
              <w:left w:val="nil"/>
              <w:bottom w:val="single" w:sz="4" w:space="0" w:color="595959"/>
              <w:right w:val="nil"/>
            </w:tcBorders>
            <w:vAlign w:val="center"/>
            <w:hideMark/>
          </w:tcPr>
          <w:p w:rsidR="008B253F" w:rsidRPr="00164D2F" w:rsidRDefault="008B253F" w:rsidP="004F30D0">
            <w:pPr>
              <w:spacing w:after="0" w:line="276" w:lineRule="auto"/>
              <w:jc w:val="left"/>
              <w:rPr>
                <w:b/>
                <w:bCs/>
                <w:sz w:val="20"/>
                <w:szCs w:val="20"/>
              </w:rPr>
            </w:pPr>
          </w:p>
        </w:tc>
        <w:tc>
          <w:tcPr>
            <w:tcW w:w="447" w:type="pct"/>
            <w:tcBorders>
              <w:top w:val="nil"/>
              <w:left w:val="nil"/>
              <w:bottom w:val="single" w:sz="4" w:space="0" w:color="595959"/>
              <w:right w:val="nil"/>
            </w:tcBorders>
            <w:hideMark/>
          </w:tcPr>
          <w:p w:rsidR="008B253F" w:rsidRPr="00164D2F" w:rsidRDefault="008B253F" w:rsidP="004F30D0">
            <w:pPr>
              <w:spacing w:after="0" w:line="276" w:lineRule="auto"/>
              <w:jc w:val="center"/>
              <w:rPr>
                <w:b/>
                <w:bCs/>
                <w:sz w:val="20"/>
                <w:szCs w:val="20"/>
              </w:rPr>
            </w:pPr>
            <w:r w:rsidRPr="00164D2F">
              <w:rPr>
                <w:b/>
                <w:bCs/>
                <w:sz w:val="20"/>
                <w:szCs w:val="20"/>
              </w:rPr>
              <w:t>Проект</w:t>
            </w:r>
          </w:p>
        </w:tc>
        <w:tc>
          <w:tcPr>
            <w:tcW w:w="642" w:type="pct"/>
            <w:tcBorders>
              <w:top w:val="nil"/>
              <w:left w:val="nil"/>
              <w:bottom w:val="single" w:sz="4" w:space="0" w:color="595959"/>
              <w:right w:val="nil"/>
            </w:tcBorders>
            <w:vAlign w:val="center"/>
            <w:hideMark/>
          </w:tcPr>
          <w:p w:rsidR="008B253F" w:rsidRPr="00164D2F" w:rsidRDefault="008B253F" w:rsidP="004F30D0">
            <w:pPr>
              <w:spacing w:after="0" w:line="276" w:lineRule="auto"/>
              <w:jc w:val="center"/>
              <w:rPr>
                <w:b/>
                <w:bCs/>
                <w:sz w:val="20"/>
                <w:szCs w:val="20"/>
              </w:rPr>
            </w:pPr>
            <w:r w:rsidRPr="00164D2F">
              <w:rPr>
                <w:b/>
                <w:bCs/>
                <w:sz w:val="20"/>
                <w:szCs w:val="20"/>
              </w:rPr>
              <w:t>Изменение</w:t>
            </w:r>
            <w:r w:rsidRPr="00164D2F">
              <w:rPr>
                <w:b/>
                <w:bCs/>
                <w:sz w:val="20"/>
                <w:szCs w:val="20"/>
              </w:rPr>
              <w:br/>
              <w:t>%</w:t>
            </w:r>
          </w:p>
        </w:tc>
        <w:tc>
          <w:tcPr>
            <w:tcW w:w="642" w:type="pct"/>
            <w:tcBorders>
              <w:top w:val="nil"/>
              <w:left w:val="nil"/>
              <w:bottom w:val="single" w:sz="4" w:space="0" w:color="595959"/>
              <w:right w:val="nil"/>
            </w:tcBorders>
            <w:hideMark/>
          </w:tcPr>
          <w:p w:rsidR="008B253F" w:rsidRPr="00164D2F" w:rsidRDefault="008B253F" w:rsidP="004F30D0">
            <w:pPr>
              <w:spacing w:after="0" w:line="276" w:lineRule="auto"/>
              <w:jc w:val="center"/>
              <w:rPr>
                <w:b/>
                <w:bCs/>
                <w:sz w:val="20"/>
                <w:szCs w:val="20"/>
              </w:rPr>
            </w:pPr>
            <w:r w:rsidRPr="00164D2F">
              <w:rPr>
                <w:b/>
                <w:bCs/>
                <w:sz w:val="20"/>
                <w:szCs w:val="20"/>
              </w:rPr>
              <w:t>Прогноза</w:t>
            </w:r>
          </w:p>
        </w:tc>
        <w:tc>
          <w:tcPr>
            <w:tcW w:w="620" w:type="pct"/>
            <w:tcBorders>
              <w:top w:val="nil"/>
              <w:left w:val="nil"/>
              <w:bottom w:val="single" w:sz="4" w:space="0" w:color="595959"/>
              <w:right w:val="nil"/>
            </w:tcBorders>
            <w:vAlign w:val="center"/>
            <w:hideMark/>
          </w:tcPr>
          <w:p w:rsidR="008B253F" w:rsidRPr="00164D2F" w:rsidRDefault="008B253F" w:rsidP="004F30D0">
            <w:pPr>
              <w:spacing w:after="0" w:line="276" w:lineRule="auto"/>
              <w:jc w:val="center"/>
              <w:rPr>
                <w:b/>
                <w:bCs/>
                <w:sz w:val="20"/>
                <w:szCs w:val="20"/>
              </w:rPr>
            </w:pPr>
            <w:r w:rsidRPr="00164D2F">
              <w:rPr>
                <w:b/>
                <w:bCs/>
                <w:sz w:val="20"/>
                <w:szCs w:val="20"/>
              </w:rPr>
              <w:t>Изменение</w:t>
            </w:r>
            <w:r w:rsidRPr="00164D2F">
              <w:rPr>
                <w:b/>
                <w:bCs/>
                <w:sz w:val="20"/>
                <w:szCs w:val="20"/>
              </w:rPr>
              <w:br/>
              <w:t>%</w:t>
            </w:r>
          </w:p>
        </w:tc>
        <w:tc>
          <w:tcPr>
            <w:tcW w:w="601" w:type="pct"/>
            <w:tcBorders>
              <w:top w:val="nil"/>
              <w:left w:val="nil"/>
              <w:bottom w:val="single" w:sz="4" w:space="0" w:color="595959"/>
              <w:right w:val="nil"/>
            </w:tcBorders>
            <w:hideMark/>
          </w:tcPr>
          <w:p w:rsidR="008B253F" w:rsidRPr="00164D2F" w:rsidRDefault="008B253F" w:rsidP="004F30D0">
            <w:pPr>
              <w:spacing w:after="0" w:line="276" w:lineRule="auto"/>
              <w:jc w:val="center"/>
              <w:rPr>
                <w:b/>
                <w:bCs/>
                <w:sz w:val="20"/>
                <w:szCs w:val="20"/>
              </w:rPr>
            </w:pPr>
            <w:r w:rsidRPr="00164D2F">
              <w:rPr>
                <w:b/>
                <w:bCs/>
                <w:sz w:val="20"/>
                <w:szCs w:val="20"/>
              </w:rPr>
              <w:t>Прогноза</w:t>
            </w:r>
          </w:p>
        </w:tc>
        <w:tc>
          <w:tcPr>
            <w:tcW w:w="621" w:type="pct"/>
            <w:tcBorders>
              <w:top w:val="nil"/>
              <w:left w:val="nil"/>
              <w:bottom w:val="single" w:sz="4" w:space="0" w:color="595959"/>
              <w:right w:val="nil"/>
            </w:tcBorders>
            <w:vAlign w:val="center"/>
            <w:hideMark/>
          </w:tcPr>
          <w:p w:rsidR="008B253F" w:rsidRPr="00164D2F" w:rsidRDefault="008B253F" w:rsidP="004F30D0">
            <w:pPr>
              <w:spacing w:after="0" w:line="276" w:lineRule="auto"/>
              <w:jc w:val="center"/>
              <w:rPr>
                <w:b/>
                <w:bCs/>
                <w:sz w:val="20"/>
                <w:szCs w:val="20"/>
              </w:rPr>
            </w:pPr>
            <w:r w:rsidRPr="00164D2F">
              <w:rPr>
                <w:b/>
                <w:bCs/>
                <w:sz w:val="20"/>
                <w:szCs w:val="20"/>
              </w:rPr>
              <w:t>Изменение</w:t>
            </w:r>
            <w:r w:rsidRPr="00164D2F">
              <w:rPr>
                <w:b/>
                <w:bCs/>
                <w:sz w:val="20"/>
                <w:szCs w:val="20"/>
              </w:rPr>
              <w:br/>
              <w:t>%</w:t>
            </w:r>
          </w:p>
        </w:tc>
      </w:tr>
      <w:tr w:rsidR="008B253F" w:rsidRPr="00FA6150" w:rsidTr="004F30D0">
        <w:trPr>
          <w:trHeight w:val="525"/>
        </w:trPr>
        <w:tc>
          <w:tcPr>
            <w:tcW w:w="1427" w:type="pct"/>
            <w:vAlign w:val="bottom"/>
            <w:hideMark/>
          </w:tcPr>
          <w:p w:rsidR="008B253F" w:rsidRPr="00164D2F" w:rsidRDefault="008B253F" w:rsidP="004F30D0">
            <w:pPr>
              <w:spacing w:after="0" w:line="276" w:lineRule="auto"/>
              <w:jc w:val="left"/>
              <w:rPr>
                <w:sz w:val="20"/>
                <w:szCs w:val="20"/>
              </w:rPr>
            </w:pPr>
            <w:r w:rsidRPr="00164D2F">
              <w:rPr>
                <w:sz w:val="20"/>
                <w:szCs w:val="20"/>
              </w:rPr>
              <w:t>1. Данъци върху производството и вноса</w:t>
            </w:r>
          </w:p>
        </w:tc>
        <w:tc>
          <w:tcPr>
            <w:tcW w:w="447" w:type="pct"/>
            <w:noWrap/>
            <w:vAlign w:val="bottom"/>
            <w:hideMark/>
          </w:tcPr>
          <w:p w:rsidR="008B253F" w:rsidRDefault="008B253F" w:rsidP="004F30D0">
            <w:pPr>
              <w:jc w:val="right"/>
              <w:rPr>
                <w:sz w:val="18"/>
                <w:szCs w:val="18"/>
              </w:rPr>
            </w:pPr>
            <w:r>
              <w:rPr>
                <w:sz w:val="18"/>
                <w:szCs w:val="18"/>
              </w:rPr>
              <w:t>28 781,1</w:t>
            </w:r>
          </w:p>
        </w:tc>
        <w:tc>
          <w:tcPr>
            <w:tcW w:w="642" w:type="pct"/>
            <w:noWrap/>
            <w:vAlign w:val="bottom"/>
            <w:hideMark/>
          </w:tcPr>
          <w:p w:rsidR="008B253F" w:rsidRDefault="008B253F" w:rsidP="004F30D0">
            <w:pPr>
              <w:jc w:val="right"/>
              <w:rPr>
                <w:sz w:val="18"/>
                <w:szCs w:val="18"/>
              </w:rPr>
            </w:pPr>
            <w:r>
              <w:rPr>
                <w:sz w:val="18"/>
                <w:szCs w:val="18"/>
              </w:rPr>
              <w:t>3,5%</w:t>
            </w:r>
          </w:p>
        </w:tc>
        <w:tc>
          <w:tcPr>
            <w:tcW w:w="642" w:type="pct"/>
            <w:noWrap/>
            <w:vAlign w:val="bottom"/>
            <w:hideMark/>
          </w:tcPr>
          <w:p w:rsidR="008B253F" w:rsidRDefault="008B253F" w:rsidP="004F30D0">
            <w:pPr>
              <w:jc w:val="right"/>
              <w:rPr>
                <w:sz w:val="18"/>
                <w:szCs w:val="18"/>
              </w:rPr>
            </w:pPr>
            <w:r>
              <w:rPr>
                <w:sz w:val="18"/>
                <w:szCs w:val="18"/>
              </w:rPr>
              <w:t>30 250,6</w:t>
            </w:r>
          </w:p>
        </w:tc>
        <w:tc>
          <w:tcPr>
            <w:tcW w:w="620" w:type="pct"/>
            <w:noWrap/>
            <w:vAlign w:val="bottom"/>
            <w:hideMark/>
          </w:tcPr>
          <w:p w:rsidR="008B253F" w:rsidRDefault="008B253F" w:rsidP="004F30D0">
            <w:pPr>
              <w:jc w:val="right"/>
              <w:rPr>
                <w:sz w:val="18"/>
                <w:szCs w:val="18"/>
              </w:rPr>
            </w:pPr>
            <w:r>
              <w:rPr>
                <w:sz w:val="18"/>
                <w:szCs w:val="18"/>
              </w:rPr>
              <w:t>5,1%</w:t>
            </w:r>
          </w:p>
        </w:tc>
        <w:tc>
          <w:tcPr>
            <w:tcW w:w="601" w:type="pct"/>
            <w:noWrap/>
            <w:vAlign w:val="bottom"/>
            <w:hideMark/>
          </w:tcPr>
          <w:p w:rsidR="008B253F" w:rsidRDefault="008B253F" w:rsidP="004F30D0">
            <w:pPr>
              <w:jc w:val="right"/>
              <w:rPr>
                <w:sz w:val="18"/>
                <w:szCs w:val="18"/>
              </w:rPr>
            </w:pPr>
            <w:r>
              <w:rPr>
                <w:sz w:val="18"/>
                <w:szCs w:val="18"/>
              </w:rPr>
              <w:t>32 354,0</w:t>
            </w:r>
          </w:p>
        </w:tc>
        <w:tc>
          <w:tcPr>
            <w:tcW w:w="621" w:type="pct"/>
            <w:noWrap/>
            <w:vAlign w:val="bottom"/>
            <w:hideMark/>
          </w:tcPr>
          <w:p w:rsidR="008B253F" w:rsidRDefault="008B253F" w:rsidP="004F30D0">
            <w:pPr>
              <w:jc w:val="right"/>
              <w:rPr>
                <w:sz w:val="18"/>
                <w:szCs w:val="18"/>
              </w:rPr>
            </w:pPr>
            <w:r>
              <w:rPr>
                <w:sz w:val="18"/>
                <w:szCs w:val="18"/>
              </w:rPr>
              <w:t>7,0%</w:t>
            </w:r>
          </w:p>
        </w:tc>
      </w:tr>
      <w:tr w:rsidR="008B253F" w:rsidRPr="00FA6150" w:rsidTr="004F30D0">
        <w:trPr>
          <w:trHeight w:val="525"/>
        </w:trPr>
        <w:tc>
          <w:tcPr>
            <w:tcW w:w="1427" w:type="pct"/>
            <w:vAlign w:val="bottom"/>
            <w:hideMark/>
          </w:tcPr>
          <w:p w:rsidR="008B253F" w:rsidRPr="00164D2F" w:rsidRDefault="008B253F" w:rsidP="004F30D0">
            <w:pPr>
              <w:spacing w:after="0" w:line="276" w:lineRule="auto"/>
              <w:jc w:val="left"/>
              <w:rPr>
                <w:sz w:val="20"/>
                <w:szCs w:val="20"/>
              </w:rPr>
            </w:pPr>
            <w:r w:rsidRPr="00164D2F">
              <w:rPr>
                <w:sz w:val="20"/>
                <w:szCs w:val="20"/>
              </w:rPr>
              <w:t>2. Текущи данъци върху доходите, богатството и др.</w:t>
            </w:r>
          </w:p>
        </w:tc>
        <w:tc>
          <w:tcPr>
            <w:tcW w:w="447" w:type="pct"/>
            <w:noWrap/>
            <w:vAlign w:val="bottom"/>
            <w:hideMark/>
          </w:tcPr>
          <w:p w:rsidR="008B253F" w:rsidRDefault="008B253F" w:rsidP="004F30D0">
            <w:pPr>
              <w:jc w:val="right"/>
              <w:rPr>
                <w:sz w:val="18"/>
                <w:szCs w:val="18"/>
              </w:rPr>
            </w:pPr>
            <w:r>
              <w:rPr>
                <w:sz w:val="18"/>
                <w:szCs w:val="18"/>
              </w:rPr>
              <w:t>13 333,1</w:t>
            </w:r>
          </w:p>
        </w:tc>
        <w:tc>
          <w:tcPr>
            <w:tcW w:w="642" w:type="pct"/>
            <w:noWrap/>
            <w:vAlign w:val="bottom"/>
            <w:hideMark/>
          </w:tcPr>
          <w:p w:rsidR="008B253F" w:rsidRDefault="008B253F" w:rsidP="004F30D0">
            <w:pPr>
              <w:jc w:val="right"/>
              <w:rPr>
                <w:sz w:val="18"/>
                <w:szCs w:val="18"/>
              </w:rPr>
            </w:pPr>
            <w:r>
              <w:rPr>
                <w:sz w:val="18"/>
                <w:szCs w:val="18"/>
              </w:rPr>
              <w:t>10,5%</w:t>
            </w:r>
          </w:p>
        </w:tc>
        <w:tc>
          <w:tcPr>
            <w:tcW w:w="642" w:type="pct"/>
            <w:noWrap/>
            <w:vAlign w:val="bottom"/>
            <w:hideMark/>
          </w:tcPr>
          <w:p w:rsidR="008B253F" w:rsidRDefault="008B253F" w:rsidP="004F30D0">
            <w:pPr>
              <w:jc w:val="right"/>
              <w:rPr>
                <w:sz w:val="18"/>
                <w:szCs w:val="18"/>
              </w:rPr>
            </w:pPr>
            <w:r>
              <w:rPr>
                <w:sz w:val="18"/>
                <w:szCs w:val="18"/>
              </w:rPr>
              <w:t>14 432,0</w:t>
            </w:r>
          </w:p>
        </w:tc>
        <w:tc>
          <w:tcPr>
            <w:tcW w:w="620" w:type="pct"/>
            <w:noWrap/>
            <w:vAlign w:val="bottom"/>
            <w:hideMark/>
          </w:tcPr>
          <w:p w:rsidR="008B253F" w:rsidRDefault="008B253F" w:rsidP="004F30D0">
            <w:pPr>
              <w:jc w:val="right"/>
              <w:rPr>
                <w:sz w:val="18"/>
                <w:szCs w:val="18"/>
              </w:rPr>
            </w:pPr>
            <w:r>
              <w:rPr>
                <w:sz w:val="18"/>
                <w:szCs w:val="18"/>
              </w:rPr>
              <w:t>8,2%</w:t>
            </w:r>
          </w:p>
        </w:tc>
        <w:tc>
          <w:tcPr>
            <w:tcW w:w="601" w:type="pct"/>
            <w:noWrap/>
            <w:vAlign w:val="bottom"/>
            <w:hideMark/>
          </w:tcPr>
          <w:p w:rsidR="008B253F" w:rsidRDefault="008B253F" w:rsidP="004F30D0">
            <w:pPr>
              <w:jc w:val="right"/>
              <w:rPr>
                <w:sz w:val="18"/>
                <w:szCs w:val="18"/>
              </w:rPr>
            </w:pPr>
            <w:r>
              <w:rPr>
                <w:sz w:val="18"/>
                <w:szCs w:val="18"/>
              </w:rPr>
              <w:t>15 566,2</w:t>
            </w:r>
          </w:p>
        </w:tc>
        <w:tc>
          <w:tcPr>
            <w:tcW w:w="621" w:type="pct"/>
            <w:noWrap/>
            <w:vAlign w:val="bottom"/>
            <w:hideMark/>
          </w:tcPr>
          <w:p w:rsidR="008B253F" w:rsidRDefault="008B253F" w:rsidP="004F30D0">
            <w:pPr>
              <w:jc w:val="right"/>
              <w:rPr>
                <w:sz w:val="18"/>
                <w:szCs w:val="18"/>
              </w:rPr>
            </w:pPr>
            <w:r>
              <w:rPr>
                <w:sz w:val="18"/>
                <w:szCs w:val="18"/>
              </w:rPr>
              <w:t>7,9%</w:t>
            </w:r>
          </w:p>
        </w:tc>
      </w:tr>
      <w:tr w:rsidR="008B253F" w:rsidRPr="00FA6150" w:rsidTr="004F30D0">
        <w:trPr>
          <w:trHeight w:val="525"/>
        </w:trPr>
        <w:tc>
          <w:tcPr>
            <w:tcW w:w="1427" w:type="pct"/>
            <w:vAlign w:val="bottom"/>
            <w:hideMark/>
          </w:tcPr>
          <w:p w:rsidR="008B253F" w:rsidRPr="00164D2F" w:rsidRDefault="008B253F" w:rsidP="004F30D0">
            <w:pPr>
              <w:spacing w:after="0" w:line="276" w:lineRule="auto"/>
              <w:jc w:val="left"/>
              <w:rPr>
                <w:i/>
                <w:iCs/>
                <w:sz w:val="20"/>
                <w:szCs w:val="20"/>
              </w:rPr>
            </w:pPr>
            <w:r w:rsidRPr="00164D2F">
              <w:rPr>
                <w:i/>
                <w:iCs/>
                <w:sz w:val="20"/>
                <w:szCs w:val="20"/>
              </w:rPr>
              <w:t xml:space="preserve"> 2a. - в т.ч. платени от домакинствата</w:t>
            </w:r>
          </w:p>
        </w:tc>
        <w:tc>
          <w:tcPr>
            <w:tcW w:w="447" w:type="pct"/>
            <w:noWrap/>
            <w:vAlign w:val="bottom"/>
            <w:hideMark/>
          </w:tcPr>
          <w:p w:rsidR="008B253F" w:rsidRDefault="008B253F" w:rsidP="004F30D0">
            <w:pPr>
              <w:jc w:val="right"/>
              <w:rPr>
                <w:i/>
                <w:iCs/>
                <w:sz w:val="18"/>
                <w:szCs w:val="18"/>
              </w:rPr>
            </w:pPr>
            <w:r>
              <w:rPr>
                <w:i/>
                <w:iCs/>
                <w:sz w:val="18"/>
                <w:szCs w:val="18"/>
              </w:rPr>
              <w:t>7 262,3</w:t>
            </w:r>
          </w:p>
        </w:tc>
        <w:tc>
          <w:tcPr>
            <w:tcW w:w="642" w:type="pct"/>
            <w:noWrap/>
            <w:vAlign w:val="bottom"/>
            <w:hideMark/>
          </w:tcPr>
          <w:p w:rsidR="008B253F" w:rsidRDefault="008B253F" w:rsidP="004F30D0">
            <w:pPr>
              <w:jc w:val="right"/>
              <w:rPr>
                <w:sz w:val="18"/>
                <w:szCs w:val="18"/>
              </w:rPr>
            </w:pPr>
            <w:r>
              <w:rPr>
                <w:sz w:val="18"/>
                <w:szCs w:val="18"/>
              </w:rPr>
              <w:t>11,7%</w:t>
            </w:r>
          </w:p>
        </w:tc>
        <w:tc>
          <w:tcPr>
            <w:tcW w:w="642" w:type="pct"/>
            <w:noWrap/>
            <w:vAlign w:val="bottom"/>
            <w:hideMark/>
          </w:tcPr>
          <w:p w:rsidR="008B253F" w:rsidRDefault="008B253F" w:rsidP="004F30D0">
            <w:pPr>
              <w:jc w:val="right"/>
              <w:rPr>
                <w:i/>
                <w:iCs/>
                <w:sz w:val="18"/>
                <w:szCs w:val="18"/>
              </w:rPr>
            </w:pPr>
            <w:r>
              <w:rPr>
                <w:i/>
                <w:iCs/>
                <w:sz w:val="18"/>
                <w:szCs w:val="18"/>
              </w:rPr>
              <w:t>7 864,3</w:t>
            </w:r>
          </w:p>
        </w:tc>
        <w:tc>
          <w:tcPr>
            <w:tcW w:w="620" w:type="pct"/>
            <w:noWrap/>
            <w:vAlign w:val="bottom"/>
            <w:hideMark/>
          </w:tcPr>
          <w:p w:rsidR="008B253F" w:rsidRDefault="008B253F" w:rsidP="004F30D0">
            <w:pPr>
              <w:jc w:val="right"/>
              <w:rPr>
                <w:sz w:val="18"/>
                <w:szCs w:val="18"/>
              </w:rPr>
            </w:pPr>
            <w:r>
              <w:rPr>
                <w:sz w:val="18"/>
                <w:szCs w:val="18"/>
              </w:rPr>
              <w:t>8,3%</w:t>
            </w:r>
          </w:p>
        </w:tc>
        <w:tc>
          <w:tcPr>
            <w:tcW w:w="601" w:type="pct"/>
            <w:noWrap/>
            <w:vAlign w:val="bottom"/>
            <w:hideMark/>
          </w:tcPr>
          <w:p w:rsidR="008B253F" w:rsidRDefault="008B253F" w:rsidP="004F30D0">
            <w:pPr>
              <w:jc w:val="right"/>
              <w:rPr>
                <w:i/>
                <w:iCs/>
                <w:sz w:val="18"/>
                <w:szCs w:val="18"/>
              </w:rPr>
            </w:pPr>
            <w:r>
              <w:rPr>
                <w:i/>
                <w:iCs/>
                <w:sz w:val="18"/>
                <w:szCs w:val="18"/>
              </w:rPr>
              <w:t>8 398,5</w:t>
            </w:r>
          </w:p>
        </w:tc>
        <w:tc>
          <w:tcPr>
            <w:tcW w:w="621" w:type="pct"/>
            <w:noWrap/>
            <w:vAlign w:val="bottom"/>
            <w:hideMark/>
          </w:tcPr>
          <w:p w:rsidR="008B253F" w:rsidRDefault="008B253F" w:rsidP="004F30D0">
            <w:pPr>
              <w:jc w:val="right"/>
              <w:rPr>
                <w:sz w:val="18"/>
                <w:szCs w:val="18"/>
              </w:rPr>
            </w:pPr>
            <w:r>
              <w:rPr>
                <w:sz w:val="18"/>
                <w:szCs w:val="18"/>
              </w:rPr>
              <w:t>6,8%</w:t>
            </w:r>
          </w:p>
        </w:tc>
      </w:tr>
      <w:tr w:rsidR="008B253F" w:rsidRPr="00FA6150" w:rsidTr="004F30D0">
        <w:trPr>
          <w:trHeight w:val="300"/>
        </w:trPr>
        <w:tc>
          <w:tcPr>
            <w:tcW w:w="1427" w:type="pct"/>
            <w:vAlign w:val="bottom"/>
            <w:hideMark/>
          </w:tcPr>
          <w:p w:rsidR="008B253F" w:rsidRPr="00164D2F" w:rsidRDefault="008B253F" w:rsidP="004F30D0">
            <w:pPr>
              <w:spacing w:after="0" w:line="276" w:lineRule="auto"/>
              <w:jc w:val="left"/>
              <w:rPr>
                <w:i/>
                <w:iCs/>
                <w:sz w:val="20"/>
                <w:szCs w:val="20"/>
              </w:rPr>
            </w:pPr>
            <w:r w:rsidRPr="00164D2F">
              <w:rPr>
                <w:i/>
                <w:iCs/>
                <w:sz w:val="20"/>
                <w:szCs w:val="20"/>
              </w:rPr>
              <w:t xml:space="preserve"> 2b. - в т.ч. платени от фирмите</w:t>
            </w:r>
          </w:p>
        </w:tc>
        <w:tc>
          <w:tcPr>
            <w:tcW w:w="447" w:type="pct"/>
            <w:noWrap/>
            <w:vAlign w:val="bottom"/>
            <w:hideMark/>
          </w:tcPr>
          <w:p w:rsidR="008B253F" w:rsidRDefault="008B253F" w:rsidP="004F30D0">
            <w:pPr>
              <w:jc w:val="right"/>
              <w:rPr>
                <w:i/>
                <w:iCs/>
                <w:sz w:val="18"/>
                <w:szCs w:val="18"/>
              </w:rPr>
            </w:pPr>
            <w:r>
              <w:rPr>
                <w:i/>
                <w:iCs/>
                <w:sz w:val="18"/>
                <w:szCs w:val="18"/>
              </w:rPr>
              <w:t>6 070,8</w:t>
            </w:r>
          </w:p>
        </w:tc>
        <w:tc>
          <w:tcPr>
            <w:tcW w:w="642" w:type="pct"/>
            <w:noWrap/>
            <w:vAlign w:val="bottom"/>
            <w:hideMark/>
          </w:tcPr>
          <w:p w:rsidR="008B253F" w:rsidRDefault="008B253F" w:rsidP="004F30D0">
            <w:pPr>
              <w:jc w:val="right"/>
              <w:rPr>
                <w:sz w:val="18"/>
                <w:szCs w:val="18"/>
              </w:rPr>
            </w:pPr>
            <w:r>
              <w:rPr>
                <w:sz w:val="18"/>
                <w:szCs w:val="18"/>
              </w:rPr>
              <w:t>9,1%</w:t>
            </w:r>
          </w:p>
        </w:tc>
        <w:tc>
          <w:tcPr>
            <w:tcW w:w="642" w:type="pct"/>
            <w:noWrap/>
            <w:vAlign w:val="bottom"/>
            <w:hideMark/>
          </w:tcPr>
          <w:p w:rsidR="008B253F" w:rsidRDefault="008B253F" w:rsidP="004F30D0">
            <w:pPr>
              <w:jc w:val="right"/>
              <w:rPr>
                <w:i/>
                <w:iCs/>
                <w:sz w:val="18"/>
                <w:szCs w:val="18"/>
              </w:rPr>
            </w:pPr>
            <w:r>
              <w:rPr>
                <w:i/>
                <w:iCs/>
                <w:sz w:val="18"/>
                <w:szCs w:val="18"/>
              </w:rPr>
              <w:t>6 567,7</w:t>
            </w:r>
          </w:p>
        </w:tc>
        <w:tc>
          <w:tcPr>
            <w:tcW w:w="620" w:type="pct"/>
            <w:noWrap/>
            <w:vAlign w:val="bottom"/>
            <w:hideMark/>
          </w:tcPr>
          <w:p w:rsidR="008B253F" w:rsidRDefault="008B253F" w:rsidP="004F30D0">
            <w:pPr>
              <w:jc w:val="right"/>
              <w:rPr>
                <w:sz w:val="18"/>
                <w:szCs w:val="18"/>
              </w:rPr>
            </w:pPr>
            <w:r>
              <w:rPr>
                <w:sz w:val="18"/>
                <w:szCs w:val="18"/>
              </w:rPr>
              <w:t>8,2%</w:t>
            </w:r>
          </w:p>
        </w:tc>
        <w:tc>
          <w:tcPr>
            <w:tcW w:w="601" w:type="pct"/>
            <w:noWrap/>
            <w:vAlign w:val="bottom"/>
            <w:hideMark/>
          </w:tcPr>
          <w:p w:rsidR="008B253F" w:rsidRDefault="008B253F" w:rsidP="004F30D0">
            <w:pPr>
              <w:jc w:val="right"/>
              <w:rPr>
                <w:i/>
                <w:iCs/>
                <w:sz w:val="18"/>
                <w:szCs w:val="18"/>
              </w:rPr>
            </w:pPr>
            <w:r>
              <w:rPr>
                <w:i/>
                <w:iCs/>
                <w:sz w:val="18"/>
                <w:szCs w:val="18"/>
              </w:rPr>
              <w:t>7 167,7</w:t>
            </w:r>
          </w:p>
        </w:tc>
        <w:tc>
          <w:tcPr>
            <w:tcW w:w="621" w:type="pct"/>
            <w:noWrap/>
            <w:vAlign w:val="bottom"/>
            <w:hideMark/>
          </w:tcPr>
          <w:p w:rsidR="008B253F" w:rsidRDefault="008B253F" w:rsidP="004F30D0">
            <w:pPr>
              <w:jc w:val="right"/>
              <w:rPr>
                <w:sz w:val="18"/>
                <w:szCs w:val="18"/>
              </w:rPr>
            </w:pPr>
            <w:r>
              <w:rPr>
                <w:sz w:val="18"/>
                <w:szCs w:val="18"/>
              </w:rPr>
              <w:t>9,1%</w:t>
            </w:r>
          </w:p>
        </w:tc>
      </w:tr>
      <w:tr w:rsidR="008B253F" w:rsidRPr="00FA6150" w:rsidTr="004F30D0">
        <w:trPr>
          <w:trHeight w:val="300"/>
        </w:trPr>
        <w:tc>
          <w:tcPr>
            <w:tcW w:w="1427" w:type="pct"/>
            <w:vAlign w:val="bottom"/>
            <w:hideMark/>
          </w:tcPr>
          <w:p w:rsidR="008B253F" w:rsidRPr="00164D2F" w:rsidRDefault="008B253F" w:rsidP="004F30D0">
            <w:pPr>
              <w:spacing w:after="0" w:line="276" w:lineRule="auto"/>
              <w:jc w:val="left"/>
              <w:rPr>
                <w:sz w:val="20"/>
                <w:szCs w:val="20"/>
              </w:rPr>
            </w:pPr>
            <w:r w:rsidRPr="00164D2F">
              <w:rPr>
                <w:sz w:val="20"/>
                <w:szCs w:val="20"/>
              </w:rPr>
              <w:t>3. Социално-осигурителни вноски</w:t>
            </w:r>
          </w:p>
        </w:tc>
        <w:tc>
          <w:tcPr>
            <w:tcW w:w="447" w:type="pct"/>
            <w:noWrap/>
            <w:vAlign w:val="bottom"/>
            <w:hideMark/>
          </w:tcPr>
          <w:p w:rsidR="008B253F" w:rsidRDefault="008B253F" w:rsidP="004F30D0">
            <w:pPr>
              <w:jc w:val="right"/>
              <w:rPr>
                <w:sz w:val="18"/>
                <w:szCs w:val="18"/>
              </w:rPr>
            </w:pPr>
            <w:r>
              <w:rPr>
                <w:sz w:val="18"/>
                <w:szCs w:val="18"/>
              </w:rPr>
              <w:t>17 856,3</w:t>
            </w:r>
          </w:p>
        </w:tc>
        <w:tc>
          <w:tcPr>
            <w:tcW w:w="642" w:type="pct"/>
            <w:noWrap/>
            <w:vAlign w:val="bottom"/>
            <w:hideMark/>
          </w:tcPr>
          <w:p w:rsidR="008B253F" w:rsidRDefault="008B253F" w:rsidP="004F30D0">
            <w:pPr>
              <w:jc w:val="right"/>
              <w:rPr>
                <w:sz w:val="18"/>
                <w:szCs w:val="18"/>
              </w:rPr>
            </w:pPr>
            <w:r>
              <w:rPr>
                <w:sz w:val="18"/>
                <w:szCs w:val="18"/>
              </w:rPr>
              <w:t>14,0%</w:t>
            </w:r>
          </w:p>
        </w:tc>
        <w:tc>
          <w:tcPr>
            <w:tcW w:w="642" w:type="pct"/>
            <w:noWrap/>
            <w:vAlign w:val="bottom"/>
            <w:hideMark/>
          </w:tcPr>
          <w:p w:rsidR="008B253F" w:rsidRDefault="008B253F" w:rsidP="004F30D0">
            <w:pPr>
              <w:jc w:val="right"/>
              <w:rPr>
                <w:sz w:val="18"/>
                <w:szCs w:val="18"/>
              </w:rPr>
            </w:pPr>
            <w:r>
              <w:rPr>
                <w:sz w:val="18"/>
                <w:szCs w:val="18"/>
              </w:rPr>
              <w:t>19 356,8</w:t>
            </w:r>
          </w:p>
        </w:tc>
        <w:tc>
          <w:tcPr>
            <w:tcW w:w="620" w:type="pct"/>
            <w:noWrap/>
            <w:vAlign w:val="bottom"/>
            <w:hideMark/>
          </w:tcPr>
          <w:p w:rsidR="008B253F" w:rsidRDefault="008B253F" w:rsidP="004F30D0">
            <w:pPr>
              <w:jc w:val="right"/>
              <w:rPr>
                <w:sz w:val="18"/>
                <w:szCs w:val="18"/>
              </w:rPr>
            </w:pPr>
            <w:r>
              <w:rPr>
                <w:sz w:val="18"/>
                <w:szCs w:val="18"/>
              </w:rPr>
              <w:t>8,4%</w:t>
            </w:r>
          </w:p>
        </w:tc>
        <w:tc>
          <w:tcPr>
            <w:tcW w:w="601" w:type="pct"/>
            <w:noWrap/>
            <w:vAlign w:val="bottom"/>
            <w:hideMark/>
          </w:tcPr>
          <w:p w:rsidR="008B253F" w:rsidRDefault="008B253F" w:rsidP="004F30D0">
            <w:pPr>
              <w:jc w:val="right"/>
              <w:rPr>
                <w:sz w:val="18"/>
                <w:szCs w:val="18"/>
              </w:rPr>
            </w:pPr>
            <w:r>
              <w:rPr>
                <w:sz w:val="18"/>
                <w:szCs w:val="18"/>
              </w:rPr>
              <w:t>21 098,5</w:t>
            </w:r>
          </w:p>
        </w:tc>
        <w:tc>
          <w:tcPr>
            <w:tcW w:w="621" w:type="pct"/>
            <w:noWrap/>
            <w:vAlign w:val="bottom"/>
            <w:hideMark/>
          </w:tcPr>
          <w:p w:rsidR="008B253F" w:rsidRDefault="008B253F" w:rsidP="004F30D0">
            <w:pPr>
              <w:jc w:val="right"/>
              <w:rPr>
                <w:sz w:val="18"/>
                <w:szCs w:val="18"/>
              </w:rPr>
            </w:pPr>
            <w:r>
              <w:rPr>
                <w:sz w:val="18"/>
                <w:szCs w:val="18"/>
              </w:rPr>
              <w:t>9,0%</w:t>
            </w:r>
          </w:p>
        </w:tc>
      </w:tr>
      <w:tr w:rsidR="008B253F" w:rsidRPr="00FA6150" w:rsidTr="004F30D0">
        <w:trPr>
          <w:trHeight w:val="525"/>
        </w:trPr>
        <w:tc>
          <w:tcPr>
            <w:tcW w:w="1427" w:type="pct"/>
            <w:vAlign w:val="bottom"/>
            <w:hideMark/>
          </w:tcPr>
          <w:p w:rsidR="008B253F" w:rsidRPr="00164D2F" w:rsidRDefault="008B253F" w:rsidP="004F30D0">
            <w:pPr>
              <w:spacing w:after="0" w:line="276" w:lineRule="auto"/>
              <w:jc w:val="left"/>
              <w:rPr>
                <w:i/>
                <w:iCs/>
                <w:sz w:val="20"/>
                <w:szCs w:val="20"/>
              </w:rPr>
            </w:pPr>
            <w:r w:rsidRPr="00164D2F">
              <w:rPr>
                <w:i/>
                <w:iCs/>
                <w:sz w:val="20"/>
                <w:szCs w:val="20"/>
              </w:rPr>
              <w:t xml:space="preserve"> 3a. - в т.ч. действително платени вноски</w:t>
            </w:r>
          </w:p>
        </w:tc>
        <w:tc>
          <w:tcPr>
            <w:tcW w:w="447" w:type="pct"/>
            <w:noWrap/>
            <w:vAlign w:val="bottom"/>
            <w:hideMark/>
          </w:tcPr>
          <w:p w:rsidR="008B253F" w:rsidRDefault="008B253F" w:rsidP="004F30D0">
            <w:pPr>
              <w:jc w:val="right"/>
              <w:rPr>
                <w:i/>
                <w:iCs/>
                <w:sz w:val="18"/>
                <w:szCs w:val="18"/>
              </w:rPr>
            </w:pPr>
            <w:r>
              <w:rPr>
                <w:i/>
                <w:iCs/>
                <w:sz w:val="18"/>
                <w:szCs w:val="18"/>
              </w:rPr>
              <w:t>17 856,3</w:t>
            </w:r>
          </w:p>
        </w:tc>
        <w:tc>
          <w:tcPr>
            <w:tcW w:w="642" w:type="pct"/>
            <w:noWrap/>
            <w:vAlign w:val="bottom"/>
            <w:hideMark/>
          </w:tcPr>
          <w:p w:rsidR="008B253F" w:rsidRDefault="008B253F" w:rsidP="004F30D0">
            <w:pPr>
              <w:jc w:val="right"/>
              <w:rPr>
                <w:sz w:val="18"/>
                <w:szCs w:val="18"/>
              </w:rPr>
            </w:pPr>
            <w:r>
              <w:rPr>
                <w:sz w:val="18"/>
                <w:szCs w:val="18"/>
              </w:rPr>
              <w:t>14,0%</w:t>
            </w:r>
          </w:p>
        </w:tc>
        <w:tc>
          <w:tcPr>
            <w:tcW w:w="642" w:type="pct"/>
            <w:noWrap/>
            <w:vAlign w:val="bottom"/>
            <w:hideMark/>
          </w:tcPr>
          <w:p w:rsidR="008B253F" w:rsidRDefault="008B253F" w:rsidP="004F30D0">
            <w:pPr>
              <w:jc w:val="right"/>
              <w:rPr>
                <w:i/>
                <w:iCs/>
                <w:sz w:val="18"/>
                <w:szCs w:val="18"/>
              </w:rPr>
            </w:pPr>
            <w:r>
              <w:rPr>
                <w:i/>
                <w:iCs/>
                <w:sz w:val="18"/>
                <w:szCs w:val="18"/>
              </w:rPr>
              <w:t>19 356,8</w:t>
            </w:r>
          </w:p>
        </w:tc>
        <w:tc>
          <w:tcPr>
            <w:tcW w:w="620" w:type="pct"/>
            <w:noWrap/>
            <w:vAlign w:val="bottom"/>
            <w:hideMark/>
          </w:tcPr>
          <w:p w:rsidR="008B253F" w:rsidRDefault="008B253F" w:rsidP="004F30D0">
            <w:pPr>
              <w:jc w:val="right"/>
              <w:rPr>
                <w:sz w:val="18"/>
                <w:szCs w:val="18"/>
              </w:rPr>
            </w:pPr>
            <w:r>
              <w:rPr>
                <w:sz w:val="18"/>
                <w:szCs w:val="18"/>
              </w:rPr>
              <w:t>8,4%</w:t>
            </w:r>
          </w:p>
        </w:tc>
        <w:tc>
          <w:tcPr>
            <w:tcW w:w="601" w:type="pct"/>
            <w:noWrap/>
            <w:vAlign w:val="bottom"/>
            <w:hideMark/>
          </w:tcPr>
          <w:p w:rsidR="008B253F" w:rsidRDefault="008B253F" w:rsidP="004F30D0">
            <w:pPr>
              <w:jc w:val="right"/>
              <w:rPr>
                <w:i/>
                <w:iCs/>
                <w:sz w:val="18"/>
                <w:szCs w:val="18"/>
              </w:rPr>
            </w:pPr>
            <w:r>
              <w:rPr>
                <w:i/>
                <w:iCs/>
                <w:sz w:val="18"/>
                <w:szCs w:val="18"/>
              </w:rPr>
              <w:t>21 098,5</w:t>
            </w:r>
          </w:p>
        </w:tc>
        <w:tc>
          <w:tcPr>
            <w:tcW w:w="621" w:type="pct"/>
            <w:noWrap/>
            <w:vAlign w:val="bottom"/>
            <w:hideMark/>
          </w:tcPr>
          <w:p w:rsidR="008B253F" w:rsidRDefault="008B253F" w:rsidP="004F30D0">
            <w:pPr>
              <w:jc w:val="right"/>
              <w:rPr>
                <w:sz w:val="18"/>
                <w:szCs w:val="18"/>
              </w:rPr>
            </w:pPr>
            <w:r>
              <w:rPr>
                <w:sz w:val="18"/>
                <w:szCs w:val="18"/>
              </w:rPr>
              <w:t>9,0%</w:t>
            </w:r>
          </w:p>
        </w:tc>
      </w:tr>
      <w:tr w:rsidR="008B253F" w:rsidRPr="00FA6150" w:rsidTr="004F30D0">
        <w:trPr>
          <w:trHeight w:val="525"/>
        </w:trPr>
        <w:tc>
          <w:tcPr>
            <w:tcW w:w="1427" w:type="pct"/>
            <w:vAlign w:val="bottom"/>
            <w:hideMark/>
          </w:tcPr>
          <w:p w:rsidR="008B253F" w:rsidRPr="00164D2F" w:rsidRDefault="008B253F" w:rsidP="004F30D0">
            <w:pPr>
              <w:spacing w:after="0" w:line="276" w:lineRule="auto"/>
              <w:jc w:val="left"/>
              <w:rPr>
                <w:sz w:val="20"/>
                <w:szCs w:val="20"/>
              </w:rPr>
            </w:pPr>
            <w:r w:rsidRPr="00164D2F">
              <w:rPr>
                <w:sz w:val="20"/>
                <w:szCs w:val="20"/>
              </w:rPr>
              <w:t>4. Други приходи, вкл. приходи от продажби</w:t>
            </w:r>
          </w:p>
        </w:tc>
        <w:tc>
          <w:tcPr>
            <w:tcW w:w="447" w:type="pct"/>
            <w:noWrap/>
            <w:vAlign w:val="bottom"/>
            <w:hideMark/>
          </w:tcPr>
          <w:p w:rsidR="008B253F" w:rsidRDefault="008B253F" w:rsidP="004F30D0">
            <w:pPr>
              <w:jc w:val="right"/>
              <w:rPr>
                <w:sz w:val="18"/>
                <w:szCs w:val="18"/>
              </w:rPr>
            </w:pPr>
            <w:r>
              <w:rPr>
                <w:sz w:val="18"/>
                <w:szCs w:val="18"/>
              </w:rPr>
              <w:t>9 901,4</w:t>
            </w:r>
          </w:p>
        </w:tc>
        <w:tc>
          <w:tcPr>
            <w:tcW w:w="642" w:type="pct"/>
            <w:noWrap/>
            <w:vAlign w:val="bottom"/>
            <w:hideMark/>
          </w:tcPr>
          <w:p w:rsidR="008B253F" w:rsidRDefault="008B253F" w:rsidP="004F30D0">
            <w:pPr>
              <w:jc w:val="right"/>
              <w:rPr>
                <w:sz w:val="18"/>
                <w:szCs w:val="18"/>
              </w:rPr>
            </w:pPr>
            <w:r>
              <w:rPr>
                <w:sz w:val="18"/>
                <w:szCs w:val="18"/>
              </w:rPr>
              <w:t>13,3%</w:t>
            </w:r>
          </w:p>
        </w:tc>
        <w:tc>
          <w:tcPr>
            <w:tcW w:w="642" w:type="pct"/>
            <w:noWrap/>
            <w:vAlign w:val="bottom"/>
            <w:hideMark/>
          </w:tcPr>
          <w:p w:rsidR="008B253F" w:rsidRDefault="008B253F" w:rsidP="004F30D0">
            <w:pPr>
              <w:jc w:val="right"/>
              <w:rPr>
                <w:sz w:val="18"/>
                <w:szCs w:val="18"/>
              </w:rPr>
            </w:pPr>
            <w:r>
              <w:rPr>
                <w:sz w:val="18"/>
                <w:szCs w:val="18"/>
              </w:rPr>
              <w:t>11 035,3</w:t>
            </w:r>
          </w:p>
        </w:tc>
        <w:tc>
          <w:tcPr>
            <w:tcW w:w="620" w:type="pct"/>
            <w:noWrap/>
            <w:vAlign w:val="bottom"/>
            <w:hideMark/>
          </w:tcPr>
          <w:p w:rsidR="008B253F" w:rsidRDefault="008B253F" w:rsidP="004F30D0">
            <w:pPr>
              <w:jc w:val="right"/>
              <w:rPr>
                <w:sz w:val="18"/>
                <w:szCs w:val="18"/>
              </w:rPr>
            </w:pPr>
            <w:r>
              <w:rPr>
                <w:sz w:val="18"/>
                <w:szCs w:val="18"/>
              </w:rPr>
              <w:t>11,5%</w:t>
            </w:r>
          </w:p>
        </w:tc>
        <w:tc>
          <w:tcPr>
            <w:tcW w:w="601" w:type="pct"/>
            <w:noWrap/>
            <w:vAlign w:val="bottom"/>
            <w:hideMark/>
          </w:tcPr>
          <w:p w:rsidR="008B253F" w:rsidRDefault="008B253F" w:rsidP="004F30D0">
            <w:pPr>
              <w:jc w:val="right"/>
              <w:rPr>
                <w:sz w:val="18"/>
                <w:szCs w:val="18"/>
              </w:rPr>
            </w:pPr>
            <w:r>
              <w:rPr>
                <w:sz w:val="18"/>
                <w:szCs w:val="18"/>
              </w:rPr>
              <w:t>11 750,8</w:t>
            </w:r>
          </w:p>
        </w:tc>
        <w:tc>
          <w:tcPr>
            <w:tcW w:w="621" w:type="pct"/>
            <w:noWrap/>
            <w:vAlign w:val="bottom"/>
            <w:hideMark/>
          </w:tcPr>
          <w:p w:rsidR="008B253F" w:rsidRDefault="008B253F" w:rsidP="004F30D0">
            <w:pPr>
              <w:jc w:val="right"/>
              <w:rPr>
                <w:sz w:val="18"/>
                <w:szCs w:val="18"/>
              </w:rPr>
            </w:pPr>
            <w:r>
              <w:rPr>
                <w:sz w:val="18"/>
                <w:szCs w:val="18"/>
              </w:rPr>
              <w:t>6,5%</w:t>
            </w:r>
          </w:p>
        </w:tc>
      </w:tr>
      <w:tr w:rsidR="008B253F" w:rsidRPr="00FA6150" w:rsidTr="004F30D0">
        <w:trPr>
          <w:trHeight w:val="300"/>
        </w:trPr>
        <w:tc>
          <w:tcPr>
            <w:tcW w:w="1427" w:type="pct"/>
            <w:hideMark/>
          </w:tcPr>
          <w:p w:rsidR="008B253F" w:rsidRPr="00164D2F" w:rsidRDefault="008B253F" w:rsidP="004F30D0">
            <w:pPr>
              <w:spacing w:after="0" w:line="276" w:lineRule="auto"/>
              <w:jc w:val="left"/>
              <w:rPr>
                <w:b/>
                <w:bCs/>
                <w:sz w:val="20"/>
                <w:szCs w:val="20"/>
              </w:rPr>
            </w:pPr>
            <w:r w:rsidRPr="00164D2F">
              <w:rPr>
                <w:b/>
                <w:bCs/>
                <w:sz w:val="20"/>
                <w:szCs w:val="20"/>
              </w:rPr>
              <w:t xml:space="preserve">5. Общо текущи приходи </w:t>
            </w:r>
          </w:p>
        </w:tc>
        <w:tc>
          <w:tcPr>
            <w:tcW w:w="447" w:type="pct"/>
            <w:noWrap/>
            <w:vAlign w:val="bottom"/>
            <w:hideMark/>
          </w:tcPr>
          <w:p w:rsidR="008B253F" w:rsidRDefault="008B253F" w:rsidP="004F30D0">
            <w:pPr>
              <w:jc w:val="right"/>
              <w:rPr>
                <w:b/>
                <w:bCs/>
                <w:sz w:val="18"/>
                <w:szCs w:val="18"/>
              </w:rPr>
            </w:pPr>
            <w:r>
              <w:rPr>
                <w:b/>
                <w:bCs/>
                <w:sz w:val="18"/>
                <w:szCs w:val="18"/>
              </w:rPr>
              <w:t>69 871,9</w:t>
            </w:r>
          </w:p>
        </w:tc>
        <w:tc>
          <w:tcPr>
            <w:tcW w:w="642" w:type="pct"/>
            <w:noWrap/>
            <w:vAlign w:val="bottom"/>
            <w:hideMark/>
          </w:tcPr>
          <w:p w:rsidR="008B253F" w:rsidRDefault="008B253F" w:rsidP="004F30D0">
            <w:pPr>
              <w:jc w:val="right"/>
              <w:rPr>
                <w:b/>
                <w:bCs/>
                <w:sz w:val="18"/>
                <w:szCs w:val="18"/>
              </w:rPr>
            </w:pPr>
            <w:r>
              <w:rPr>
                <w:b/>
                <w:bCs/>
                <w:sz w:val="18"/>
                <w:szCs w:val="18"/>
              </w:rPr>
              <w:t>8,7%</w:t>
            </w:r>
          </w:p>
        </w:tc>
        <w:tc>
          <w:tcPr>
            <w:tcW w:w="642" w:type="pct"/>
            <w:noWrap/>
            <w:vAlign w:val="bottom"/>
            <w:hideMark/>
          </w:tcPr>
          <w:p w:rsidR="008B253F" w:rsidRDefault="008B253F" w:rsidP="004F30D0">
            <w:pPr>
              <w:jc w:val="right"/>
              <w:rPr>
                <w:b/>
                <w:bCs/>
                <w:sz w:val="18"/>
                <w:szCs w:val="18"/>
              </w:rPr>
            </w:pPr>
            <w:r>
              <w:rPr>
                <w:b/>
                <w:bCs/>
                <w:sz w:val="18"/>
                <w:szCs w:val="18"/>
              </w:rPr>
              <w:t>75 074,8</w:t>
            </w:r>
          </w:p>
        </w:tc>
        <w:tc>
          <w:tcPr>
            <w:tcW w:w="620" w:type="pct"/>
            <w:noWrap/>
            <w:vAlign w:val="bottom"/>
            <w:hideMark/>
          </w:tcPr>
          <w:p w:rsidR="008B253F" w:rsidRDefault="008B253F" w:rsidP="004F30D0">
            <w:pPr>
              <w:jc w:val="right"/>
              <w:rPr>
                <w:b/>
                <w:bCs/>
                <w:sz w:val="18"/>
                <w:szCs w:val="18"/>
              </w:rPr>
            </w:pPr>
            <w:r>
              <w:rPr>
                <w:b/>
                <w:bCs/>
                <w:sz w:val="18"/>
                <w:szCs w:val="18"/>
              </w:rPr>
              <w:t>7,4%</w:t>
            </w:r>
          </w:p>
        </w:tc>
        <w:tc>
          <w:tcPr>
            <w:tcW w:w="601" w:type="pct"/>
            <w:noWrap/>
            <w:vAlign w:val="bottom"/>
            <w:hideMark/>
          </w:tcPr>
          <w:p w:rsidR="008B253F" w:rsidRDefault="008B253F" w:rsidP="004F30D0">
            <w:pPr>
              <w:jc w:val="right"/>
              <w:rPr>
                <w:b/>
                <w:bCs/>
                <w:sz w:val="18"/>
                <w:szCs w:val="18"/>
              </w:rPr>
            </w:pPr>
            <w:r>
              <w:rPr>
                <w:b/>
                <w:bCs/>
                <w:sz w:val="18"/>
                <w:szCs w:val="18"/>
              </w:rPr>
              <w:t>80 769,4</w:t>
            </w:r>
          </w:p>
        </w:tc>
        <w:tc>
          <w:tcPr>
            <w:tcW w:w="621" w:type="pct"/>
            <w:noWrap/>
            <w:vAlign w:val="bottom"/>
            <w:hideMark/>
          </w:tcPr>
          <w:p w:rsidR="008B253F" w:rsidRDefault="008B253F" w:rsidP="004F30D0">
            <w:pPr>
              <w:jc w:val="right"/>
              <w:rPr>
                <w:b/>
                <w:bCs/>
                <w:sz w:val="18"/>
                <w:szCs w:val="18"/>
              </w:rPr>
            </w:pPr>
            <w:r>
              <w:rPr>
                <w:b/>
                <w:bCs/>
                <w:sz w:val="18"/>
                <w:szCs w:val="18"/>
              </w:rPr>
              <w:t>7,6%</w:t>
            </w:r>
          </w:p>
        </w:tc>
      </w:tr>
      <w:tr w:rsidR="008B253F" w:rsidRPr="00FA6150" w:rsidTr="004F30D0">
        <w:trPr>
          <w:trHeight w:val="300"/>
        </w:trPr>
        <w:tc>
          <w:tcPr>
            <w:tcW w:w="1427" w:type="pct"/>
            <w:vAlign w:val="bottom"/>
            <w:hideMark/>
          </w:tcPr>
          <w:p w:rsidR="008B253F" w:rsidRPr="00164D2F" w:rsidRDefault="008B253F" w:rsidP="004F30D0">
            <w:pPr>
              <w:spacing w:after="0" w:line="276" w:lineRule="auto"/>
              <w:jc w:val="left"/>
              <w:rPr>
                <w:sz w:val="20"/>
                <w:szCs w:val="20"/>
              </w:rPr>
            </w:pPr>
            <w:r w:rsidRPr="00164D2F">
              <w:rPr>
                <w:sz w:val="20"/>
                <w:szCs w:val="20"/>
              </w:rPr>
              <w:t>6. Компенсация на наетите лица</w:t>
            </w:r>
          </w:p>
        </w:tc>
        <w:tc>
          <w:tcPr>
            <w:tcW w:w="447" w:type="pct"/>
            <w:noWrap/>
            <w:vAlign w:val="bottom"/>
            <w:hideMark/>
          </w:tcPr>
          <w:p w:rsidR="008B253F" w:rsidRDefault="008B253F" w:rsidP="004F30D0">
            <w:pPr>
              <w:jc w:val="right"/>
              <w:rPr>
                <w:sz w:val="18"/>
                <w:szCs w:val="18"/>
              </w:rPr>
            </w:pPr>
            <w:r>
              <w:rPr>
                <w:sz w:val="18"/>
                <w:szCs w:val="18"/>
              </w:rPr>
              <w:t>21 031,3</w:t>
            </w:r>
          </w:p>
        </w:tc>
        <w:tc>
          <w:tcPr>
            <w:tcW w:w="642" w:type="pct"/>
            <w:noWrap/>
            <w:vAlign w:val="bottom"/>
            <w:hideMark/>
          </w:tcPr>
          <w:p w:rsidR="008B253F" w:rsidRDefault="008B253F" w:rsidP="004F30D0">
            <w:pPr>
              <w:jc w:val="right"/>
              <w:rPr>
                <w:sz w:val="18"/>
                <w:szCs w:val="18"/>
              </w:rPr>
            </w:pPr>
            <w:r>
              <w:rPr>
                <w:sz w:val="18"/>
                <w:szCs w:val="18"/>
              </w:rPr>
              <w:t>10,6%</w:t>
            </w:r>
          </w:p>
        </w:tc>
        <w:tc>
          <w:tcPr>
            <w:tcW w:w="642" w:type="pct"/>
            <w:noWrap/>
            <w:vAlign w:val="bottom"/>
            <w:hideMark/>
          </w:tcPr>
          <w:p w:rsidR="008B253F" w:rsidRDefault="008B253F" w:rsidP="004F30D0">
            <w:pPr>
              <w:jc w:val="right"/>
              <w:rPr>
                <w:sz w:val="18"/>
                <w:szCs w:val="18"/>
              </w:rPr>
            </w:pPr>
            <w:r>
              <w:rPr>
                <w:sz w:val="18"/>
                <w:szCs w:val="18"/>
              </w:rPr>
              <w:t>22 048,8</w:t>
            </w:r>
          </w:p>
        </w:tc>
        <w:tc>
          <w:tcPr>
            <w:tcW w:w="620" w:type="pct"/>
            <w:noWrap/>
            <w:vAlign w:val="bottom"/>
            <w:hideMark/>
          </w:tcPr>
          <w:p w:rsidR="008B253F" w:rsidRDefault="008B253F" w:rsidP="004F30D0">
            <w:pPr>
              <w:jc w:val="right"/>
              <w:rPr>
                <w:sz w:val="18"/>
                <w:szCs w:val="18"/>
              </w:rPr>
            </w:pPr>
            <w:r>
              <w:rPr>
                <w:sz w:val="18"/>
                <w:szCs w:val="18"/>
              </w:rPr>
              <w:t>4,8%</w:t>
            </w:r>
          </w:p>
        </w:tc>
        <w:tc>
          <w:tcPr>
            <w:tcW w:w="601" w:type="pct"/>
            <w:noWrap/>
            <w:vAlign w:val="bottom"/>
            <w:hideMark/>
          </w:tcPr>
          <w:p w:rsidR="008B253F" w:rsidRDefault="008B253F" w:rsidP="004F30D0">
            <w:pPr>
              <w:jc w:val="right"/>
              <w:rPr>
                <w:sz w:val="18"/>
                <w:szCs w:val="18"/>
              </w:rPr>
            </w:pPr>
            <w:r>
              <w:rPr>
                <w:sz w:val="18"/>
                <w:szCs w:val="18"/>
              </w:rPr>
              <w:t>22 993,4</w:t>
            </w:r>
          </w:p>
        </w:tc>
        <w:tc>
          <w:tcPr>
            <w:tcW w:w="621" w:type="pct"/>
            <w:noWrap/>
            <w:vAlign w:val="bottom"/>
            <w:hideMark/>
          </w:tcPr>
          <w:p w:rsidR="008B253F" w:rsidRDefault="008B253F" w:rsidP="004F30D0">
            <w:pPr>
              <w:jc w:val="right"/>
              <w:rPr>
                <w:sz w:val="18"/>
                <w:szCs w:val="18"/>
              </w:rPr>
            </w:pPr>
            <w:r>
              <w:rPr>
                <w:sz w:val="18"/>
                <w:szCs w:val="18"/>
              </w:rPr>
              <w:t>4,3%</w:t>
            </w:r>
          </w:p>
        </w:tc>
      </w:tr>
      <w:tr w:rsidR="008B253F" w:rsidRPr="00FA6150" w:rsidTr="004F30D0">
        <w:trPr>
          <w:trHeight w:val="300"/>
        </w:trPr>
        <w:tc>
          <w:tcPr>
            <w:tcW w:w="1427" w:type="pct"/>
            <w:hideMark/>
          </w:tcPr>
          <w:p w:rsidR="008B253F" w:rsidRPr="00164D2F" w:rsidRDefault="008B253F" w:rsidP="004F30D0">
            <w:pPr>
              <w:spacing w:after="0" w:line="276" w:lineRule="auto"/>
              <w:jc w:val="left"/>
              <w:rPr>
                <w:sz w:val="20"/>
                <w:szCs w:val="20"/>
              </w:rPr>
            </w:pPr>
            <w:r w:rsidRPr="00164D2F">
              <w:rPr>
                <w:sz w:val="20"/>
                <w:szCs w:val="20"/>
              </w:rPr>
              <w:t>7. Междинно потребление</w:t>
            </w:r>
          </w:p>
        </w:tc>
        <w:tc>
          <w:tcPr>
            <w:tcW w:w="447" w:type="pct"/>
            <w:noWrap/>
            <w:vAlign w:val="bottom"/>
            <w:hideMark/>
          </w:tcPr>
          <w:p w:rsidR="008B253F" w:rsidRDefault="008B253F" w:rsidP="004F30D0">
            <w:pPr>
              <w:jc w:val="right"/>
              <w:rPr>
                <w:sz w:val="18"/>
                <w:szCs w:val="18"/>
              </w:rPr>
            </w:pPr>
            <w:r>
              <w:rPr>
                <w:sz w:val="18"/>
                <w:szCs w:val="18"/>
              </w:rPr>
              <w:t>9 2</w:t>
            </w:r>
            <w:r>
              <w:rPr>
                <w:sz w:val="18"/>
                <w:szCs w:val="18"/>
                <w:lang w:val="en-US"/>
              </w:rPr>
              <w:t>6</w:t>
            </w:r>
            <w:r>
              <w:rPr>
                <w:sz w:val="18"/>
                <w:szCs w:val="18"/>
              </w:rPr>
              <w:t>3,9</w:t>
            </w:r>
          </w:p>
        </w:tc>
        <w:tc>
          <w:tcPr>
            <w:tcW w:w="642" w:type="pct"/>
            <w:noWrap/>
            <w:vAlign w:val="bottom"/>
            <w:hideMark/>
          </w:tcPr>
          <w:p w:rsidR="008B253F" w:rsidRDefault="008B253F" w:rsidP="004F30D0">
            <w:pPr>
              <w:jc w:val="right"/>
              <w:rPr>
                <w:sz w:val="18"/>
                <w:szCs w:val="18"/>
              </w:rPr>
            </w:pPr>
            <w:r>
              <w:rPr>
                <w:sz w:val="18"/>
                <w:szCs w:val="18"/>
              </w:rPr>
              <w:t>-7,</w:t>
            </w:r>
            <w:r>
              <w:rPr>
                <w:sz w:val="18"/>
                <w:szCs w:val="18"/>
                <w:lang w:val="en-US"/>
              </w:rPr>
              <w:t>3</w:t>
            </w:r>
            <w:r>
              <w:rPr>
                <w:sz w:val="18"/>
                <w:szCs w:val="18"/>
              </w:rPr>
              <w:t>%</w:t>
            </w:r>
          </w:p>
        </w:tc>
        <w:tc>
          <w:tcPr>
            <w:tcW w:w="642" w:type="pct"/>
            <w:noWrap/>
            <w:vAlign w:val="bottom"/>
            <w:hideMark/>
          </w:tcPr>
          <w:p w:rsidR="008B253F" w:rsidRDefault="008B253F" w:rsidP="004F30D0">
            <w:pPr>
              <w:jc w:val="right"/>
              <w:rPr>
                <w:sz w:val="18"/>
                <w:szCs w:val="18"/>
              </w:rPr>
            </w:pPr>
            <w:r>
              <w:rPr>
                <w:sz w:val="18"/>
                <w:szCs w:val="18"/>
              </w:rPr>
              <w:t>8 9</w:t>
            </w:r>
            <w:r>
              <w:rPr>
                <w:sz w:val="18"/>
                <w:szCs w:val="18"/>
                <w:lang w:val="en-US"/>
              </w:rPr>
              <w:t>1</w:t>
            </w:r>
            <w:r>
              <w:rPr>
                <w:sz w:val="18"/>
                <w:szCs w:val="18"/>
              </w:rPr>
              <w:t>5,8</w:t>
            </w:r>
          </w:p>
        </w:tc>
        <w:tc>
          <w:tcPr>
            <w:tcW w:w="620" w:type="pct"/>
            <w:noWrap/>
            <w:vAlign w:val="bottom"/>
            <w:hideMark/>
          </w:tcPr>
          <w:p w:rsidR="008B253F" w:rsidRDefault="008B253F" w:rsidP="004F30D0">
            <w:pPr>
              <w:jc w:val="right"/>
              <w:rPr>
                <w:sz w:val="18"/>
                <w:szCs w:val="18"/>
              </w:rPr>
            </w:pPr>
            <w:r>
              <w:rPr>
                <w:sz w:val="18"/>
                <w:szCs w:val="18"/>
              </w:rPr>
              <w:t>-3,</w:t>
            </w:r>
            <w:r>
              <w:rPr>
                <w:sz w:val="18"/>
                <w:szCs w:val="18"/>
                <w:lang w:val="en-US"/>
              </w:rPr>
              <w:t>8</w:t>
            </w:r>
            <w:r>
              <w:rPr>
                <w:sz w:val="18"/>
                <w:szCs w:val="18"/>
              </w:rPr>
              <w:t>%</w:t>
            </w:r>
          </w:p>
        </w:tc>
        <w:tc>
          <w:tcPr>
            <w:tcW w:w="601" w:type="pct"/>
            <w:noWrap/>
            <w:vAlign w:val="bottom"/>
            <w:hideMark/>
          </w:tcPr>
          <w:p w:rsidR="008B253F" w:rsidRDefault="008B253F" w:rsidP="004F30D0">
            <w:pPr>
              <w:jc w:val="right"/>
              <w:rPr>
                <w:sz w:val="18"/>
                <w:szCs w:val="18"/>
              </w:rPr>
            </w:pPr>
            <w:r>
              <w:rPr>
                <w:sz w:val="18"/>
                <w:szCs w:val="18"/>
              </w:rPr>
              <w:t xml:space="preserve">9 </w:t>
            </w:r>
            <w:r>
              <w:rPr>
                <w:sz w:val="18"/>
                <w:szCs w:val="18"/>
                <w:lang w:val="en-US"/>
              </w:rPr>
              <w:t>17</w:t>
            </w:r>
            <w:r>
              <w:rPr>
                <w:sz w:val="18"/>
                <w:szCs w:val="18"/>
              </w:rPr>
              <w:t>5,9</w:t>
            </w:r>
          </w:p>
        </w:tc>
        <w:tc>
          <w:tcPr>
            <w:tcW w:w="621" w:type="pct"/>
            <w:noWrap/>
            <w:vAlign w:val="bottom"/>
            <w:hideMark/>
          </w:tcPr>
          <w:p w:rsidR="008B253F" w:rsidRDefault="008B253F" w:rsidP="004F30D0">
            <w:pPr>
              <w:jc w:val="right"/>
              <w:rPr>
                <w:sz w:val="18"/>
                <w:szCs w:val="18"/>
              </w:rPr>
            </w:pPr>
            <w:r>
              <w:rPr>
                <w:sz w:val="18"/>
                <w:szCs w:val="18"/>
              </w:rPr>
              <w:t>2,9%</w:t>
            </w:r>
          </w:p>
        </w:tc>
      </w:tr>
      <w:tr w:rsidR="008B253F" w:rsidRPr="00FA6150" w:rsidTr="004F30D0">
        <w:trPr>
          <w:trHeight w:val="300"/>
        </w:trPr>
        <w:tc>
          <w:tcPr>
            <w:tcW w:w="1427" w:type="pct"/>
            <w:vAlign w:val="bottom"/>
            <w:hideMark/>
          </w:tcPr>
          <w:p w:rsidR="008B253F" w:rsidRPr="00164D2F" w:rsidRDefault="008B253F" w:rsidP="004F30D0">
            <w:pPr>
              <w:spacing w:after="0" w:line="276" w:lineRule="auto"/>
              <w:jc w:val="left"/>
              <w:rPr>
                <w:sz w:val="20"/>
                <w:szCs w:val="20"/>
              </w:rPr>
            </w:pPr>
            <w:r w:rsidRPr="00164D2F">
              <w:rPr>
                <w:sz w:val="20"/>
                <w:szCs w:val="20"/>
              </w:rPr>
              <w:t>8. Социални трансфери в натура</w:t>
            </w:r>
          </w:p>
        </w:tc>
        <w:tc>
          <w:tcPr>
            <w:tcW w:w="447" w:type="pct"/>
            <w:noWrap/>
            <w:vAlign w:val="bottom"/>
            <w:hideMark/>
          </w:tcPr>
          <w:p w:rsidR="008B253F" w:rsidRDefault="008B253F" w:rsidP="004F30D0">
            <w:pPr>
              <w:jc w:val="right"/>
              <w:rPr>
                <w:sz w:val="18"/>
                <w:szCs w:val="18"/>
              </w:rPr>
            </w:pPr>
            <w:r>
              <w:rPr>
                <w:sz w:val="18"/>
                <w:szCs w:val="18"/>
              </w:rPr>
              <w:t>6 061,8</w:t>
            </w:r>
          </w:p>
        </w:tc>
        <w:tc>
          <w:tcPr>
            <w:tcW w:w="642" w:type="pct"/>
            <w:noWrap/>
            <w:vAlign w:val="bottom"/>
            <w:hideMark/>
          </w:tcPr>
          <w:p w:rsidR="008B253F" w:rsidRDefault="008B253F" w:rsidP="004F30D0">
            <w:pPr>
              <w:jc w:val="right"/>
              <w:rPr>
                <w:sz w:val="18"/>
                <w:szCs w:val="18"/>
              </w:rPr>
            </w:pPr>
            <w:r>
              <w:rPr>
                <w:sz w:val="18"/>
                <w:szCs w:val="18"/>
              </w:rPr>
              <w:t>22,9%</w:t>
            </w:r>
          </w:p>
        </w:tc>
        <w:tc>
          <w:tcPr>
            <w:tcW w:w="642" w:type="pct"/>
            <w:noWrap/>
            <w:vAlign w:val="bottom"/>
            <w:hideMark/>
          </w:tcPr>
          <w:p w:rsidR="008B253F" w:rsidRDefault="008B253F" w:rsidP="004F30D0">
            <w:pPr>
              <w:jc w:val="right"/>
              <w:rPr>
                <w:sz w:val="18"/>
                <w:szCs w:val="18"/>
              </w:rPr>
            </w:pPr>
            <w:r>
              <w:rPr>
                <w:sz w:val="18"/>
                <w:szCs w:val="18"/>
              </w:rPr>
              <w:t>6 874,8</w:t>
            </w:r>
          </w:p>
        </w:tc>
        <w:tc>
          <w:tcPr>
            <w:tcW w:w="620" w:type="pct"/>
            <w:noWrap/>
            <w:vAlign w:val="bottom"/>
            <w:hideMark/>
          </w:tcPr>
          <w:p w:rsidR="008B253F" w:rsidRDefault="008B253F" w:rsidP="004F30D0">
            <w:pPr>
              <w:jc w:val="right"/>
              <w:rPr>
                <w:sz w:val="18"/>
                <w:szCs w:val="18"/>
              </w:rPr>
            </w:pPr>
            <w:r>
              <w:rPr>
                <w:sz w:val="18"/>
                <w:szCs w:val="18"/>
              </w:rPr>
              <w:t>13,4%</w:t>
            </w:r>
          </w:p>
        </w:tc>
        <w:tc>
          <w:tcPr>
            <w:tcW w:w="601" w:type="pct"/>
            <w:noWrap/>
            <w:vAlign w:val="bottom"/>
            <w:hideMark/>
          </w:tcPr>
          <w:p w:rsidR="008B253F" w:rsidRDefault="008B253F" w:rsidP="004F30D0">
            <w:pPr>
              <w:jc w:val="right"/>
              <w:rPr>
                <w:sz w:val="18"/>
                <w:szCs w:val="18"/>
              </w:rPr>
            </w:pPr>
            <w:r>
              <w:rPr>
                <w:sz w:val="18"/>
                <w:szCs w:val="18"/>
              </w:rPr>
              <w:t>7 506,2</w:t>
            </w:r>
          </w:p>
        </w:tc>
        <w:tc>
          <w:tcPr>
            <w:tcW w:w="621" w:type="pct"/>
            <w:noWrap/>
            <w:vAlign w:val="bottom"/>
            <w:hideMark/>
          </w:tcPr>
          <w:p w:rsidR="008B253F" w:rsidRDefault="008B253F" w:rsidP="004F30D0">
            <w:pPr>
              <w:jc w:val="right"/>
              <w:rPr>
                <w:sz w:val="18"/>
                <w:szCs w:val="18"/>
              </w:rPr>
            </w:pPr>
            <w:r>
              <w:rPr>
                <w:sz w:val="18"/>
                <w:szCs w:val="18"/>
              </w:rPr>
              <w:t>9,2%</w:t>
            </w:r>
          </w:p>
        </w:tc>
      </w:tr>
      <w:tr w:rsidR="008B253F" w:rsidRPr="00FA6150" w:rsidTr="004F30D0">
        <w:trPr>
          <w:trHeight w:val="525"/>
        </w:trPr>
        <w:tc>
          <w:tcPr>
            <w:tcW w:w="1427" w:type="pct"/>
            <w:vAlign w:val="bottom"/>
            <w:hideMark/>
          </w:tcPr>
          <w:p w:rsidR="008B253F" w:rsidRPr="00164D2F" w:rsidRDefault="008B253F" w:rsidP="004F30D0">
            <w:pPr>
              <w:spacing w:after="0" w:line="276" w:lineRule="auto"/>
              <w:jc w:val="left"/>
              <w:rPr>
                <w:sz w:val="20"/>
                <w:szCs w:val="20"/>
              </w:rPr>
            </w:pPr>
            <w:r w:rsidRPr="00164D2F">
              <w:rPr>
                <w:sz w:val="20"/>
                <w:szCs w:val="20"/>
              </w:rPr>
              <w:t>9. Социални трансфери без тези в натура</w:t>
            </w:r>
          </w:p>
        </w:tc>
        <w:tc>
          <w:tcPr>
            <w:tcW w:w="447" w:type="pct"/>
            <w:noWrap/>
            <w:vAlign w:val="bottom"/>
            <w:hideMark/>
          </w:tcPr>
          <w:p w:rsidR="008B253F" w:rsidRDefault="008B253F" w:rsidP="004F30D0">
            <w:pPr>
              <w:jc w:val="right"/>
              <w:rPr>
                <w:sz w:val="18"/>
                <w:szCs w:val="18"/>
              </w:rPr>
            </w:pPr>
            <w:r>
              <w:rPr>
                <w:sz w:val="18"/>
                <w:szCs w:val="18"/>
              </w:rPr>
              <w:t>26 431,5</w:t>
            </w:r>
          </w:p>
        </w:tc>
        <w:tc>
          <w:tcPr>
            <w:tcW w:w="642" w:type="pct"/>
            <w:noWrap/>
            <w:vAlign w:val="bottom"/>
            <w:hideMark/>
          </w:tcPr>
          <w:p w:rsidR="008B253F" w:rsidRDefault="008B253F" w:rsidP="004F30D0">
            <w:pPr>
              <w:jc w:val="right"/>
              <w:rPr>
                <w:sz w:val="18"/>
                <w:szCs w:val="18"/>
              </w:rPr>
            </w:pPr>
            <w:r>
              <w:rPr>
                <w:sz w:val="18"/>
                <w:szCs w:val="18"/>
              </w:rPr>
              <w:t>15,1%</w:t>
            </w:r>
          </w:p>
        </w:tc>
        <w:tc>
          <w:tcPr>
            <w:tcW w:w="642" w:type="pct"/>
            <w:noWrap/>
            <w:vAlign w:val="bottom"/>
            <w:hideMark/>
          </w:tcPr>
          <w:p w:rsidR="008B253F" w:rsidRDefault="008B253F" w:rsidP="004F30D0">
            <w:pPr>
              <w:jc w:val="right"/>
              <w:rPr>
                <w:sz w:val="18"/>
                <w:szCs w:val="18"/>
              </w:rPr>
            </w:pPr>
            <w:r>
              <w:rPr>
                <w:sz w:val="18"/>
                <w:szCs w:val="18"/>
              </w:rPr>
              <w:t>28 837,0</w:t>
            </w:r>
          </w:p>
        </w:tc>
        <w:tc>
          <w:tcPr>
            <w:tcW w:w="620" w:type="pct"/>
            <w:noWrap/>
            <w:vAlign w:val="bottom"/>
            <w:hideMark/>
          </w:tcPr>
          <w:p w:rsidR="008B253F" w:rsidRDefault="008B253F" w:rsidP="004F30D0">
            <w:pPr>
              <w:jc w:val="right"/>
              <w:rPr>
                <w:sz w:val="18"/>
                <w:szCs w:val="18"/>
              </w:rPr>
            </w:pPr>
            <w:r>
              <w:rPr>
                <w:sz w:val="18"/>
                <w:szCs w:val="18"/>
              </w:rPr>
              <w:t>9,1%</w:t>
            </w:r>
          </w:p>
        </w:tc>
        <w:tc>
          <w:tcPr>
            <w:tcW w:w="601" w:type="pct"/>
            <w:noWrap/>
            <w:vAlign w:val="bottom"/>
            <w:hideMark/>
          </w:tcPr>
          <w:p w:rsidR="008B253F" w:rsidRDefault="008B253F" w:rsidP="004F30D0">
            <w:pPr>
              <w:jc w:val="right"/>
              <w:rPr>
                <w:sz w:val="18"/>
                <w:szCs w:val="18"/>
              </w:rPr>
            </w:pPr>
            <w:r>
              <w:rPr>
                <w:sz w:val="18"/>
                <w:szCs w:val="18"/>
              </w:rPr>
              <w:t>30 598,3</w:t>
            </w:r>
          </w:p>
        </w:tc>
        <w:tc>
          <w:tcPr>
            <w:tcW w:w="621" w:type="pct"/>
            <w:noWrap/>
            <w:vAlign w:val="bottom"/>
            <w:hideMark/>
          </w:tcPr>
          <w:p w:rsidR="008B253F" w:rsidRDefault="008B253F" w:rsidP="004F30D0">
            <w:pPr>
              <w:jc w:val="right"/>
              <w:rPr>
                <w:sz w:val="18"/>
                <w:szCs w:val="18"/>
              </w:rPr>
            </w:pPr>
            <w:r>
              <w:rPr>
                <w:sz w:val="18"/>
                <w:szCs w:val="18"/>
              </w:rPr>
              <w:t>6,1%</w:t>
            </w:r>
          </w:p>
        </w:tc>
      </w:tr>
      <w:tr w:rsidR="008B253F" w:rsidRPr="00FA6150" w:rsidTr="004F30D0">
        <w:trPr>
          <w:trHeight w:val="300"/>
        </w:trPr>
        <w:tc>
          <w:tcPr>
            <w:tcW w:w="1427" w:type="pct"/>
            <w:hideMark/>
          </w:tcPr>
          <w:p w:rsidR="008B253F" w:rsidRPr="00164D2F" w:rsidRDefault="008B253F" w:rsidP="004F30D0">
            <w:pPr>
              <w:spacing w:after="0" w:line="276" w:lineRule="auto"/>
              <w:jc w:val="left"/>
              <w:rPr>
                <w:sz w:val="20"/>
                <w:szCs w:val="20"/>
              </w:rPr>
            </w:pPr>
            <w:r w:rsidRPr="00164D2F">
              <w:rPr>
                <w:sz w:val="20"/>
                <w:szCs w:val="20"/>
              </w:rPr>
              <w:t>10. Лихвени разходи</w:t>
            </w:r>
          </w:p>
        </w:tc>
        <w:tc>
          <w:tcPr>
            <w:tcW w:w="447" w:type="pct"/>
            <w:noWrap/>
            <w:vAlign w:val="bottom"/>
            <w:hideMark/>
          </w:tcPr>
          <w:p w:rsidR="008B253F" w:rsidRDefault="008B253F" w:rsidP="004F30D0">
            <w:pPr>
              <w:jc w:val="right"/>
              <w:rPr>
                <w:sz w:val="18"/>
                <w:szCs w:val="18"/>
              </w:rPr>
            </w:pPr>
            <w:r>
              <w:rPr>
                <w:sz w:val="18"/>
                <w:szCs w:val="18"/>
              </w:rPr>
              <w:t>1 445,1</w:t>
            </w:r>
          </w:p>
        </w:tc>
        <w:tc>
          <w:tcPr>
            <w:tcW w:w="642" w:type="pct"/>
            <w:noWrap/>
            <w:vAlign w:val="bottom"/>
            <w:hideMark/>
          </w:tcPr>
          <w:p w:rsidR="008B253F" w:rsidRDefault="008B253F" w:rsidP="004F30D0">
            <w:pPr>
              <w:jc w:val="right"/>
              <w:rPr>
                <w:sz w:val="18"/>
                <w:szCs w:val="18"/>
              </w:rPr>
            </w:pPr>
            <w:r>
              <w:rPr>
                <w:sz w:val="18"/>
                <w:szCs w:val="18"/>
              </w:rPr>
              <w:t>44,4%</w:t>
            </w:r>
          </w:p>
        </w:tc>
        <w:tc>
          <w:tcPr>
            <w:tcW w:w="642" w:type="pct"/>
            <w:noWrap/>
            <w:vAlign w:val="bottom"/>
            <w:hideMark/>
          </w:tcPr>
          <w:p w:rsidR="008B253F" w:rsidRDefault="008B253F" w:rsidP="004F30D0">
            <w:pPr>
              <w:jc w:val="right"/>
              <w:rPr>
                <w:sz w:val="18"/>
                <w:szCs w:val="18"/>
              </w:rPr>
            </w:pPr>
            <w:r>
              <w:rPr>
                <w:sz w:val="18"/>
                <w:szCs w:val="18"/>
              </w:rPr>
              <w:t>2 029,4</w:t>
            </w:r>
          </w:p>
        </w:tc>
        <w:tc>
          <w:tcPr>
            <w:tcW w:w="620" w:type="pct"/>
            <w:noWrap/>
            <w:vAlign w:val="bottom"/>
            <w:hideMark/>
          </w:tcPr>
          <w:p w:rsidR="008B253F" w:rsidRDefault="008B253F" w:rsidP="004F30D0">
            <w:pPr>
              <w:jc w:val="right"/>
              <w:rPr>
                <w:sz w:val="18"/>
                <w:szCs w:val="18"/>
              </w:rPr>
            </w:pPr>
            <w:r>
              <w:rPr>
                <w:sz w:val="18"/>
                <w:szCs w:val="18"/>
              </w:rPr>
              <w:t>40,4%</w:t>
            </w:r>
          </w:p>
        </w:tc>
        <w:tc>
          <w:tcPr>
            <w:tcW w:w="601" w:type="pct"/>
            <w:noWrap/>
            <w:vAlign w:val="bottom"/>
            <w:hideMark/>
          </w:tcPr>
          <w:p w:rsidR="008B253F" w:rsidRDefault="008B253F" w:rsidP="004F30D0">
            <w:pPr>
              <w:jc w:val="right"/>
              <w:rPr>
                <w:sz w:val="18"/>
                <w:szCs w:val="18"/>
              </w:rPr>
            </w:pPr>
            <w:r>
              <w:rPr>
                <w:sz w:val="18"/>
                <w:szCs w:val="18"/>
              </w:rPr>
              <w:t>2 750,9</w:t>
            </w:r>
          </w:p>
        </w:tc>
        <w:tc>
          <w:tcPr>
            <w:tcW w:w="621" w:type="pct"/>
            <w:noWrap/>
            <w:vAlign w:val="bottom"/>
            <w:hideMark/>
          </w:tcPr>
          <w:p w:rsidR="008B253F" w:rsidRDefault="008B253F" w:rsidP="004F30D0">
            <w:pPr>
              <w:jc w:val="right"/>
              <w:rPr>
                <w:sz w:val="18"/>
                <w:szCs w:val="18"/>
              </w:rPr>
            </w:pPr>
            <w:r>
              <w:rPr>
                <w:sz w:val="18"/>
                <w:szCs w:val="18"/>
              </w:rPr>
              <w:t>35,5%</w:t>
            </w:r>
          </w:p>
        </w:tc>
      </w:tr>
      <w:tr w:rsidR="008B253F" w:rsidRPr="00FA6150" w:rsidTr="004F30D0">
        <w:trPr>
          <w:trHeight w:val="300"/>
        </w:trPr>
        <w:tc>
          <w:tcPr>
            <w:tcW w:w="1427" w:type="pct"/>
            <w:hideMark/>
          </w:tcPr>
          <w:p w:rsidR="008B253F" w:rsidRPr="00164D2F" w:rsidRDefault="008B253F" w:rsidP="004F30D0">
            <w:pPr>
              <w:spacing w:after="0" w:line="276" w:lineRule="auto"/>
              <w:jc w:val="left"/>
              <w:rPr>
                <w:sz w:val="20"/>
                <w:szCs w:val="20"/>
              </w:rPr>
            </w:pPr>
            <w:r w:rsidRPr="00164D2F">
              <w:rPr>
                <w:sz w:val="20"/>
                <w:szCs w:val="20"/>
              </w:rPr>
              <w:t>11. Субсидии</w:t>
            </w:r>
          </w:p>
        </w:tc>
        <w:tc>
          <w:tcPr>
            <w:tcW w:w="447" w:type="pct"/>
            <w:noWrap/>
            <w:vAlign w:val="bottom"/>
            <w:hideMark/>
          </w:tcPr>
          <w:p w:rsidR="008B253F" w:rsidRDefault="008B253F" w:rsidP="004F30D0">
            <w:pPr>
              <w:jc w:val="right"/>
              <w:rPr>
                <w:sz w:val="18"/>
                <w:szCs w:val="18"/>
              </w:rPr>
            </w:pPr>
            <w:r>
              <w:rPr>
                <w:sz w:val="18"/>
                <w:szCs w:val="18"/>
              </w:rPr>
              <w:t>4 0</w:t>
            </w:r>
            <w:r>
              <w:rPr>
                <w:sz w:val="18"/>
                <w:szCs w:val="18"/>
                <w:lang w:val="en-US"/>
              </w:rPr>
              <w:t>8</w:t>
            </w:r>
            <w:r>
              <w:rPr>
                <w:sz w:val="18"/>
                <w:szCs w:val="18"/>
              </w:rPr>
              <w:t>4,8</w:t>
            </w:r>
          </w:p>
        </w:tc>
        <w:tc>
          <w:tcPr>
            <w:tcW w:w="642" w:type="pct"/>
            <w:noWrap/>
            <w:vAlign w:val="bottom"/>
            <w:hideMark/>
          </w:tcPr>
          <w:p w:rsidR="008B253F" w:rsidRDefault="008B253F" w:rsidP="004F30D0">
            <w:pPr>
              <w:jc w:val="right"/>
              <w:rPr>
                <w:sz w:val="18"/>
                <w:szCs w:val="18"/>
              </w:rPr>
            </w:pPr>
            <w:r>
              <w:rPr>
                <w:sz w:val="18"/>
                <w:szCs w:val="18"/>
              </w:rPr>
              <w:t>-12,</w:t>
            </w:r>
            <w:r>
              <w:rPr>
                <w:sz w:val="18"/>
                <w:szCs w:val="18"/>
                <w:lang w:val="en-US"/>
              </w:rPr>
              <w:t>2</w:t>
            </w:r>
            <w:r>
              <w:rPr>
                <w:sz w:val="18"/>
                <w:szCs w:val="18"/>
              </w:rPr>
              <w:t>%</w:t>
            </w:r>
          </w:p>
        </w:tc>
        <w:tc>
          <w:tcPr>
            <w:tcW w:w="642" w:type="pct"/>
            <w:noWrap/>
            <w:vAlign w:val="bottom"/>
            <w:hideMark/>
          </w:tcPr>
          <w:p w:rsidR="008B253F" w:rsidRDefault="008B253F" w:rsidP="004F30D0">
            <w:pPr>
              <w:jc w:val="right"/>
              <w:rPr>
                <w:sz w:val="18"/>
                <w:szCs w:val="18"/>
              </w:rPr>
            </w:pPr>
            <w:r>
              <w:rPr>
                <w:sz w:val="18"/>
                <w:szCs w:val="18"/>
              </w:rPr>
              <w:t>4 2</w:t>
            </w:r>
            <w:r>
              <w:rPr>
                <w:sz w:val="18"/>
                <w:szCs w:val="18"/>
                <w:lang w:val="en-US"/>
              </w:rPr>
              <w:t>4</w:t>
            </w:r>
            <w:r>
              <w:rPr>
                <w:sz w:val="18"/>
                <w:szCs w:val="18"/>
              </w:rPr>
              <w:t>0,7</w:t>
            </w:r>
          </w:p>
        </w:tc>
        <w:tc>
          <w:tcPr>
            <w:tcW w:w="620" w:type="pct"/>
            <w:noWrap/>
            <w:vAlign w:val="bottom"/>
            <w:hideMark/>
          </w:tcPr>
          <w:p w:rsidR="008B253F" w:rsidRDefault="008B253F" w:rsidP="004F30D0">
            <w:pPr>
              <w:jc w:val="right"/>
              <w:rPr>
                <w:sz w:val="18"/>
                <w:szCs w:val="18"/>
              </w:rPr>
            </w:pPr>
            <w:r>
              <w:rPr>
                <w:sz w:val="18"/>
                <w:szCs w:val="18"/>
              </w:rPr>
              <w:t>3,8%</w:t>
            </w:r>
          </w:p>
        </w:tc>
        <w:tc>
          <w:tcPr>
            <w:tcW w:w="601" w:type="pct"/>
            <w:noWrap/>
            <w:vAlign w:val="bottom"/>
            <w:hideMark/>
          </w:tcPr>
          <w:p w:rsidR="008B253F" w:rsidRDefault="008B253F" w:rsidP="004F30D0">
            <w:pPr>
              <w:jc w:val="right"/>
              <w:rPr>
                <w:sz w:val="18"/>
                <w:szCs w:val="18"/>
              </w:rPr>
            </w:pPr>
            <w:r>
              <w:rPr>
                <w:sz w:val="18"/>
                <w:szCs w:val="18"/>
              </w:rPr>
              <w:t xml:space="preserve">5 </w:t>
            </w:r>
            <w:r>
              <w:rPr>
                <w:sz w:val="18"/>
                <w:szCs w:val="18"/>
                <w:lang w:val="en-US"/>
              </w:rPr>
              <w:t>10</w:t>
            </w:r>
            <w:r>
              <w:rPr>
                <w:sz w:val="18"/>
                <w:szCs w:val="18"/>
              </w:rPr>
              <w:t>6,3</w:t>
            </w:r>
          </w:p>
        </w:tc>
        <w:tc>
          <w:tcPr>
            <w:tcW w:w="621" w:type="pct"/>
            <w:noWrap/>
            <w:vAlign w:val="bottom"/>
            <w:hideMark/>
          </w:tcPr>
          <w:p w:rsidR="008B253F" w:rsidRDefault="008B253F" w:rsidP="004F30D0">
            <w:pPr>
              <w:jc w:val="right"/>
              <w:rPr>
                <w:sz w:val="18"/>
                <w:szCs w:val="18"/>
              </w:rPr>
            </w:pPr>
            <w:r>
              <w:rPr>
                <w:sz w:val="18"/>
                <w:szCs w:val="18"/>
              </w:rPr>
              <w:t>20,</w:t>
            </w:r>
            <w:r>
              <w:rPr>
                <w:sz w:val="18"/>
                <w:szCs w:val="18"/>
                <w:lang w:val="en-US"/>
              </w:rPr>
              <w:t>4</w:t>
            </w:r>
            <w:r>
              <w:rPr>
                <w:sz w:val="18"/>
                <w:szCs w:val="18"/>
              </w:rPr>
              <w:t>%</w:t>
            </w:r>
          </w:p>
        </w:tc>
      </w:tr>
      <w:tr w:rsidR="008B253F" w:rsidRPr="00FA6150" w:rsidTr="004F30D0">
        <w:trPr>
          <w:trHeight w:val="300"/>
        </w:trPr>
        <w:tc>
          <w:tcPr>
            <w:tcW w:w="1427" w:type="pct"/>
            <w:hideMark/>
          </w:tcPr>
          <w:p w:rsidR="008B253F" w:rsidRPr="00164D2F" w:rsidRDefault="008B253F" w:rsidP="004F30D0">
            <w:pPr>
              <w:spacing w:after="0" w:line="276" w:lineRule="auto"/>
              <w:jc w:val="left"/>
              <w:rPr>
                <w:sz w:val="20"/>
                <w:szCs w:val="20"/>
              </w:rPr>
            </w:pPr>
            <w:r w:rsidRPr="00164D2F">
              <w:rPr>
                <w:sz w:val="20"/>
                <w:szCs w:val="20"/>
              </w:rPr>
              <w:t>12. Други текущи плащания</w:t>
            </w:r>
          </w:p>
        </w:tc>
        <w:tc>
          <w:tcPr>
            <w:tcW w:w="447" w:type="pct"/>
            <w:noWrap/>
            <w:vAlign w:val="bottom"/>
            <w:hideMark/>
          </w:tcPr>
          <w:p w:rsidR="008B253F" w:rsidRDefault="008B253F" w:rsidP="004F30D0">
            <w:pPr>
              <w:jc w:val="right"/>
              <w:rPr>
                <w:sz w:val="18"/>
                <w:szCs w:val="18"/>
              </w:rPr>
            </w:pPr>
            <w:r>
              <w:rPr>
                <w:sz w:val="18"/>
                <w:szCs w:val="18"/>
              </w:rPr>
              <w:t>3 500,3</w:t>
            </w:r>
          </w:p>
        </w:tc>
        <w:tc>
          <w:tcPr>
            <w:tcW w:w="642" w:type="pct"/>
            <w:noWrap/>
            <w:vAlign w:val="bottom"/>
            <w:hideMark/>
          </w:tcPr>
          <w:p w:rsidR="008B253F" w:rsidRDefault="008B253F" w:rsidP="004F30D0">
            <w:pPr>
              <w:jc w:val="right"/>
              <w:rPr>
                <w:sz w:val="18"/>
                <w:szCs w:val="18"/>
              </w:rPr>
            </w:pPr>
            <w:r>
              <w:rPr>
                <w:sz w:val="18"/>
                <w:szCs w:val="18"/>
              </w:rPr>
              <w:t>55,3%</w:t>
            </w:r>
          </w:p>
        </w:tc>
        <w:tc>
          <w:tcPr>
            <w:tcW w:w="642" w:type="pct"/>
            <w:noWrap/>
            <w:vAlign w:val="bottom"/>
            <w:hideMark/>
          </w:tcPr>
          <w:p w:rsidR="008B253F" w:rsidRDefault="008B253F" w:rsidP="004F30D0">
            <w:pPr>
              <w:jc w:val="right"/>
              <w:rPr>
                <w:sz w:val="18"/>
                <w:szCs w:val="18"/>
              </w:rPr>
            </w:pPr>
            <w:r>
              <w:rPr>
                <w:sz w:val="18"/>
                <w:szCs w:val="18"/>
              </w:rPr>
              <w:t>3 458,9</w:t>
            </w:r>
          </w:p>
        </w:tc>
        <w:tc>
          <w:tcPr>
            <w:tcW w:w="620" w:type="pct"/>
            <w:noWrap/>
            <w:vAlign w:val="bottom"/>
            <w:hideMark/>
          </w:tcPr>
          <w:p w:rsidR="008B253F" w:rsidRDefault="008B253F" w:rsidP="004F30D0">
            <w:pPr>
              <w:jc w:val="right"/>
              <w:rPr>
                <w:sz w:val="18"/>
                <w:szCs w:val="18"/>
              </w:rPr>
            </w:pPr>
            <w:r>
              <w:rPr>
                <w:sz w:val="18"/>
                <w:szCs w:val="18"/>
              </w:rPr>
              <w:t>-1,2%</w:t>
            </w:r>
          </w:p>
        </w:tc>
        <w:tc>
          <w:tcPr>
            <w:tcW w:w="601" w:type="pct"/>
            <w:noWrap/>
            <w:vAlign w:val="bottom"/>
            <w:hideMark/>
          </w:tcPr>
          <w:p w:rsidR="008B253F" w:rsidRDefault="008B253F" w:rsidP="004F30D0">
            <w:pPr>
              <w:jc w:val="right"/>
              <w:rPr>
                <w:sz w:val="18"/>
                <w:szCs w:val="18"/>
              </w:rPr>
            </w:pPr>
            <w:r>
              <w:rPr>
                <w:sz w:val="18"/>
                <w:szCs w:val="18"/>
              </w:rPr>
              <w:t>3 677,3</w:t>
            </w:r>
          </w:p>
        </w:tc>
        <w:tc>
          <w:tcPr>
            <w:tcW w:w="621" w:type="pct"/>
            <w:noWrap/>
            <w:vAlign w:val="bottom"/>
            <w:hideMark/>
          </w:tcPr>
          <w:p w:rsidR="008B253F" w:rsidRDefault="008B253F" w:rsidP="004F30D0">
            <w:pPr>
              <w:jc w:val="right"/>
              <w:rPr>
                <w:sz w:val="18"/>
                <w:szCs w:val="18"/>
              </w:rPr>
            </w:pPr>
            <w:r>
              <w:rPr>
                <w:sz w:val="18"/>
                <w:szCs w:val="18"/>
              </w:rPr>
              <w:t>6,3%</w:t>
            </w:r>
          </w:p>
        </w:tc>
      </w:tr>
      <w:tr w:rsidR="008B253F" w:rsidRPr="00FA6150" w:rsidTr="004F30D0">
        <w:trPr>
          <w:trHeight w:val="300"/>
        </w:trPr>
        <w:tc>
          <w:tcPr>
            <w:tcW w:w="1427" w:type="pct"/>
            <w:hideMark/>
          </w:tcPr>
          <w:p w:rsidR="008B253F" w:rsidRPr="00164D2F" w:rsidRDefault="008B253F" w:rsidP="004F30D0">
            <w:pPr>
              <w:spacing w:after="0" w:line="276" w:lineRule="auto"/>
              <w:jc w:val="left"/>
              <w:rPr>
                <w:b/>
                <w:bCs/>
                <w:sz w:val="20"/>
                <w:szCs w:val="20"/>
              </w:rPr>
            </w:pPr>
            <w:r w:rsidRPr="00164D2F">
              <w:rPr>
                <w:b/>
                <w:bCs/>
                <w:sz w:val="20"/>
                <w:szCs w:val="20"/>
              </w:rPr>
              <w:t xml:space="preserve">13. Общо текущи разходи </w:t>
            </w:r>
          </w:p>
        </w:tc>
        <w:tc>
          <w:tcPr>
            <w:tcW w:w="447" w:type="pct"/>
            <w:noWrap/>
            <w:vAlign w:val="bottom"/>
            <w:hideMark/>
          </w:tcPr>
          <w:p w:rsidR="008B253F" w:rsidRDefault="008B253F" w:rsidP="004F30D0">
            <w:pPr>
              <w:jc w:val="right"/>
              <w:rPr>
                <w:b/>
                <w:bCs/>
                <w:sz w:val="18"/>
                <w:szCs w:val="18"/>
              </w:rPr>
            </w:pPr>
            <w:r>
              <w:rPr>
                <w:b/>
                <w:bCs/>
                <w:sz w:val="18"/>
                <w:szCs w:val="18"/>
              </w:rPr>
              <w:t>71 818,7</w:t>
            </w:r>
          </w:p>
        </w:tc>
        <w:tc>
          <w:tcPr>
            <w:tcW w:w="642" w:type="pct"/>
            <w:noWrap/>
            <w:vAlign w:val="bottom"/>
            <w:hideMark/>
          </w:tcPr>
          <w:p w:rsidR="008B253F" w:rsidRDefault="008B253F" w:rsidP="004F30D0">
            <w:pPr>
              <w:jc w:val="right"/>
              <w:rPr>
                <w:b/>
                <w:bCs/>
                <w:sz w:val="18"/>
                <w:szCs w:val="18"/>
              </w:rPr>
            </w:pPr>
            <w:r>
              <w:rPr>
                <w:b/>
                <w:bCs/>
                <w:sz w:val="18"/>
                <w:szCs w:val="18"/>
              </w:rPr>
              <w:t>10,8%</w:t>
            </w:r>
          </w:p>
        </w:tc>
        <w:tc>
          <w:tcPr>
            <w:tcW w:w="642" w:type="pct"/>
            <w:noWrap/>
            <w:vAlign w:val="bottom"/>
            <w:hideMark/>
          </w:tcPr>
          <w:p w:rsidR="008B253F" w:rsidRDefault="008B253F" w:rsidP="004F30D0">
            <w:pPr>
              <w:jc w:val="right"/>
              <w:rPr>
                <w:b/>
                <w:bCs/>
                <w:sz w:val="18"/>
                <w:szCs w:val="18"/>
              </w:rPr>
            </w:pPr>
            <w:r>
              <w:rPr>
                <w:b/>
                <w:bCs/>
                <w:sz w:val="18"/>
                <w:szCs w:val="18"/>
              </w:rPr>
              <w:t>76 405,4</w:t>
            </w:r>
          </w:p>
        </w:tc>
        <w:tc>
          <w:tcPr>
            <w:tcW w:w="620" w:type="pct"/>
            <w:noWrap/>
            <w:vAlign w:val="bottom"/>
            <w:hideMark/>
          </w:tcPr>
          <w:p w:rsidR="008B253F" w:rsidRDefault="008B253F" w:rsidP="004F30D0">
            <w:pPr>
              <w:jc w:val="right"/>
              <w:rPr>
                <w:b/>
                <w:bCs/>
                <w:sz w:val="18"/>
                <w:szCs w:val="18"/>
              </w:rPr>
            </w:pPr>
            <w:r>
              <w:rPr>
                <w:b/>
                <w:bCs/>
                <w:sz w:val="18"/>
                <w:szCs w:val="18"/>
              </w:rPr>
              <w:t>6,4%</w:t>
            </w:r>
          </w:p>
        </w:tc>
        <w:tc>
          <w:tcPr>
            <w:tcW w:w="601" w:type="pct"/>
            <w:noWrap/>
            <w:vAlign w:val="bottom"/>
            <w:hideMark/>
          </w:tcPr>
          <w:p w:rsidR="008B253F" w:rsidRDefault="008B253F" w:rsidP="004F30D0">
            <w:pPr>
              <w:jc w:val="right"/>
              <w:rPr>
                <w:b/>
                <w:bCs/>
                <w:sz w:val="18"/>
                <w:szCs w:val="18"/>
              </w:rPr>
            </w:pPr>
            <w:r>
              <w:rPr>
                <w:b/>
                <w:bCs/>
                <w:sz w:val="18"/>
                <w:szCs w:val="18"/>
              </w:rPr>
              <w:t>81 808,2</w:t>
            </w:r>
          </w:p>
        </w:tc>
        <w:tc>
          <w:tcPr>
            <w:tcW w:w="621" w:type="pct"/>
            <w:noWrap/>
            <w:vAlign w:val="bottom"/>
            <w:hideMark/>
          </w:tcPr>
          <w:p w:rsidR="008B253F" w:rsidRDefault="008B253F" w:rsidP="004F30D0">
            <w:pPr>
              <w:jc w:val="right"/>
              <w:rPr>
                <w:b/>
                <w:bCs/>
                <w:sz w:val="18"/>
                <w:szCs w:val="18"/>
              </w:rPr>
            </w:pPr>
            <w:r>
              <w:rPr>
                <w:b/>
                <w:bCs/>
                <w:sz w:val="18"/>
                <w:szCs w:val="18"/>
              </w:rPr>
              <w:t>7,1%</w:t>
            </w:r>
          </w:p>
        </w:tc>
      </w:tr>
      <w:tr w:rsidR="008B253F" w:rsidRPr="00FA6150" w:rsidTr="004F30D0">
        <w:trPr>
          <w:trHeight w:val="300"/>
        </w:trPr>
        <w:tc>
          <w:tcPr>
            <w:tcW w:w="1427" w:type="pct"/>
            <w:hideMark/>
          </w:tcPr>
          <w:p w:rsidR="008B253F" w:rsidRPr="00164D2F" w:rsidRDefault="008B253F" w:rsidP="004F30D0">
            <w:pPr>
              <w:spacing w:after="0" w:line="276" w:lineRule="auto"/>
              <w:jc w:val="left"/>
              <w:rPr>
                <w:sz w:val="20"/>
                <w:szCs w:val="20"/>
              </w:rPr>
            </w:pPr>
            <w:r w:rsidRPr="00164D2F">
              <w:rPr>
                <w:sz w:val="20"/>
                <w:szCs w:val="20"/>
              </w:rPr>
              <w:t>14. Брутни спестявания (5-13)</w:t>
            </w:r>
          </w:p>
        </w:tc>
        <w:tc>
          <w:tcPr>
            <w:tcW w:w="447" w:type="pct"/>
            <w:noWrap/>
            <w:vAlign w:val="bottom"/>
            <w:hideMark/>
          </w:tcPr>
          <w:p w:rsidR="008B253F" w:rsidRDefault="008B253F" w:rsidP="004F30D0">
            <w:pPr>
              <w:jc w:val="right"/>
              <w:rPr>
                <w:sz w:val="18"/>
                <w:szCs w:val="18"/>
              </w:rPr>
            </w:pPr>
            <w:r>
              <w:rPr>
                <w:sz w:val="18"/>
                <w:szCs w:val="18"/>
              </w:rPr>
              <w:t>-1 946,8</w:t>
            </w:r>
          </w:p>
        </w:tc>
        <w:tc>
          <w:tcPr>
            <w:tcW w:w="642" w:type="pct"/>
            <w:noWrap/>
            <w:vAlign w:val="bottom"/>
            <w:hideMark/>
          </w:tcPr>
          <w:p w:rsidR="008B253F" w:rsidRDefault="008B253F" w:rsidP="004F30D0">
            <w:pPr>
              <w:jc w:val="right"/>
              <w:rPr>
                <w:sz w:val="18"/>
                <w:szCs w:val="18"/>
              </w:rPr>
            </w:pPr>
            <w:r>
              <w:rPr>
                <w:sz w:val="18"/>
                <w:szCs w:val="18"/>
              </w:rPr>
              <w:t>270,3%</w:t>
            </w:r>
          </w:p>
        </w:tc>
        <w:tc>
          <w:tcPr>
            <w:tcW w:w="642" w:type="pct"/>
            <w:noWrap/>
            <w:vAlign w:val="bottom"/>
            <w:hideMark/>
          </w:tcPr>
          <w:p w:rsidR="008B253F" w:rsidRDefault="008B253F" w:rsidP="004F30D0">
            <w:pPr>
              <w:jc w:val="right"/>
              <w:rPr>
                <w:sz w:val="18"/>
                <w:szCs w:val="18"/>
              </w:rPr>
            </w:pPr>
            <w:r>
              <w:rPr>
                <w:sz w:val="18"/>
                <w:szCs w:val="18"/>
              </w:rPr>
              <w:t>-1 330,6</w:t>
            </w:r>
          </w:p>
        </w:tc>
        <w:tc>
          <w:tcPr>
            <w:tcW w:w="620" w:type="pct"/>
            <w:noWrap/>
            <w:vAlign w:val="bottom"/>
            <w:hideMark/>
          </w:tcPr>
          <w:p w:rsidR="008B253F" w:rsidRDefault="008B253F" w:rsidP="004F30D0">
            <w:pPr>
              <w:jc w:val="right"/>
              <w:rPr>
                <w:sz w:val="18"/>
                <w:szCs w:val="18"/>
              </w:rPr>
            </w:pPr>
            <w:r>
              <w:rPr>
                <w:sz w:val="18"/>
                <w:szCs w:val="18"/>
              </w:rPr>
              <w:t>-31,7%</w:t>
            </w:r>
          </w:p>
        </w:tc>
        <w:tc>
          <w:tcPr>
            <w:tcW w:w="601" w:type="pct"/>
            <w:noWrap/>
            <w:vAlign w:val="bottom"/>
            <w:hideMark/>
          </w:tcPr>
          <w:p w:rsidR="008B253F" w:rsidRDefault="008B253F" w:rsidP="004F30D0">
            <w:pPr>
              <w:jc w:val="right"/>
              <w:rPr>
                <w:sz w:val="18"/>
                <w:szCs w:val="18"/>
              </w:rPr>
            </w:pPr>
            <w:r>
              <w:rPr>
                <w:sz w:val="18"/>
                <w:szCs w:val="18"/>
              </w:rPr>
              <w:t>-1 038,8</w:t>
            </w:r>
          </w:p>
        </w:tc>
        <w:tc>
          <w:tcPr>
            <w:tcW w:w="621" w:type="pct"/>
            <w:noWrap/>
            <w:vAlign w:val="bottom"/>
            <w:hideMark/>
          </w:tcPr>
          <w:p w:rsidR="008B253F" w:rsidRDefault="008B253F" w:rsidP="004F30D0">
            <w:pPr>
              <w:jc w:val="right"/>
              <w:rPr>
                <w:sz w:val="18"/>
                <w:szCs w:val="18"/>
              </w:rPr>
            </w:pPr>
            <w:r>
              <w:rPr>
                <w:sz w:val="18"/>
                <w:szCs w:val="18"/>
              </w:rPr>
              <w:t>-21,9%</w:t>
            </w:r>
          </w:p>
        </w:tc>
      </w:tr>
      <w:tr w:rsidR="008B253F" w:rsidRPr="00FA6150" w:rsidTr="004F30D0">
        <w:trPr>
          <w:trHeight w:val="525"/>
        </w:trPr>
        <w:tc>
          <w:tcPr>
            <w:tcW w:w="1427" w:type="pct"/>
            <w:hideMark/>
          </w:tcPr>
          <w:p w:rsidR="008B253F" w:rsidRPr="00164D2F" w:rsidRDefault="008B253F" w:rsidP="004F30D0">
            <w:pPr>
              <w:spacing w:after="0" w:line="276" w:lineRule="auto"/>
              <w:jc w:val="left"/>
              <w:rPr>
                <w:b/>
                <w:bCs/>
                <w:sz w:val="20"/>
                <w:szCs w:val="20"/>
              </w:rPr>
            </w:pPr>
            <w:r w:rsidRPr="00164D2F">
              <w:rPr>
                <w:b/>
                <w:bCs/>
                <w:sz w:val="20"/>
                <w:szCs w:val="20"/>
              </w:rPr>
              <w:t>15. Капиталови трансфери, получени</w:t>
            </w:r>
          </w:p>
        </w:tc>
        <w:tc>
          <w:tcPr>
            <w:tcW w:w="447" w:type="pct"/>
            <w:noWrap/>
            <w:vAlign w:val="bottom"/>
            <w:hideMark/>
          </w:tcPr>
          <w:p w:rsidR="008B253F" w:rsidRDefault="008B253F" w:rsidP="004F30D0">
            <w:pPr>
              <w:jc w:val="right"/>
              <w:rPr>
                <w:b/>
                <w:bCs/>
                <w:sz w:val="18"/>
                <w:szCs w:val="18"/>
              </w:rPr>
            </w:pPr>
            <w:r>
              <w:rPr>
                <w:b/>
                <w:bCs/>
                <w:sz w:val="18"/>
                <w:szCs w:val="18"/>
              </w:rPr>
              <w:t>3 276,3</w:t>
            </w:r>
          </w:p>
        </w:tc>
        <w:tc>
          <w:tcPr>
            <w:tcW w:w="642" w:type="pct"/>
            <w:noWrap/>
            <w:vAlign w:val="bottom"/>
            <w:hideMark/>
          </w:tcPr>
          <w:p w:rsidR="008B253F" w:rsidRDefault="008B253F" w:rsidP="004F30D0">
            <w:pPr>
              <w:jc w:val="right"/>
              <w:rPr>
                <w:sz w:val="18"/>
                <w:szCs w:val="18"/>
              </w:rPr>
            </w:pPr>
            <w:r>
              <w:rPr>
                <w:sz w:val="18"/>
                <w:szCs w:val="18"/>
              </w:rPr>
              <w:t>210,0%</w:t>
            </w:r>
          </w:p>
        </w:tc>
        <w:tc>
          <w:tcPr>
            <w:tcW w:w="642" w:type="pct"/>
            <w:noWrap/>
            <w:vAlign w:val="bottom"/>
            <w:hideMark/>
          </w:tcPr>
          <w:p w:rsidR="008B253F" w:rsidRDefault="008B253F" w:rsidP="004F30D0">
            <w:pPr>
              <w:jc w:val="right"/>
              <w:rPr>
                <w:b/>
                <w:bCs/>
                <w:sz w:val="18"/>
                <w:szCs w:val="18"/>
              </w:rPr>
            </w:pPr>
            <w:r>
              <w:rPr>
                <w:b/>
                <w:bCs/>
                <w:sz w:val="18"/>
                <w:szCs w:val="18"/>
              </w:rPr>
              <w:t>3 549,0</w:t>
            </w:r>
          </w:p>
        </w:tc>
        <w:tc>
          <w:tcPr>
            <w:tcW w:w="620" w:type="pct"/>
            <w:noWrap/>
            <w:vAlign w:val="bottom"/>
            <w:hideMark/>
          </w:tcPr>
          <w:p w:rsidR="008B253F" w:rsidRDefault="008B253F" w:rsidP="004F30D0">
            <w:pPr>
              <w:jc w:val="right"/>
              <w:rPr>
                <w:sz w:val="18"/>
                <w:szCs w:val="18"/>
              </w:rPr>
            </w:pPr>
            <w:r>
              <w:rPr>
                <w:sz w:val="18"/>
                <w:szCs w:val="18"/>
              </w:rPr>
              <w:t>8,3%</w:t>
            </w:r>
          </w:p>
        </w:tc>
        <w:tc>
          <w:tcPr>
            <w:tcW w:w="601" w:type="pct"/>
            <w:noWrap/>
            <w:vAlign w:val="bottom"/>
            <w:hideMark/>
          </w:tcPr>
          <w:p w:rsidR="008B253F" w:rsidRDefault="008B253F" w:rsidP="004F30D0">
            <w:pPr>
              <w:jc w:val="right"/>
              <w:rPr>
                <w:b/>
                <w:bCs/>
                <w:sz w:val="18"/>
                <w:szCs w:val="18"/>
              </w:rPr>
            </w:pPr>
            <w:r>
              <w:rPr>
                <w:b/>
                <w:bCs/>
                <w:sz w:val="18"/>
                <w:szCs w:val="18"/>
              </w:rPr>
              <w:t>3 453,8</w:t>
            </w:r>
          </w:p>
        </w:tc>
        <w:tc>
          <w:tcPr>
            <w:tcW w:w="621" w:type="pct"/>
            <w:noWrap/>
            <w:vAlign w:val="bottom"/>
            <w:hideMark/>
          </w:tcPr>
          <w:p w:rsidR="008B253F" w:rsidRDefault="008B253F" w:rsidP="004F30D0">
            <w:pPr>
              <w:jc w:val="right"/>
              <w:rPr>
                <w:sz w:val="18"/>
                <w:szCs w:val="18"/>
              </w:rPr>
            </w:pPr>
            <w:r>
              <w:rPr>
                <w:sz w:val="18"/>
                <w:szCs w:val="18"/>
              </w:rPr>
              <w:t>-2,7%</w:t>
            </w:r>
          </w:p>
        </w:tc>
      </w:tr>
      <w:tr w:rsidR="008B253F" w:rsidRPr="00FA6150" w:rsidTr="004F30D0">
        <w:trPr>
          <w:trHeight w:val="525"/>
        </w:trPr>
        <w:tc>
          <w:tcPr>
            <w:tcW w:w="1427" w:type="pct"/>
            <w:hideMark/>
          </w:tcPr>
          <w:p w:rsidR="008B253F" w:rsidRPr="00164D2F" w:rsidRDefault="008B253F" w:rsidP="004F30D0">
            <w:pPr>
              <w:spacing w:after="0" w:line="276" w:lineRule="auto"/>
              <w:jc w:val="left"/>
              <w:rPr>
                <w:b/>
                <w:bCs/>
                <w:sz w:val="20"/>
                <w:szCs w:val="20"/>
              </w:rPr>
            </w:pPr>
            <w:r w:rsidRPr="00164D2F">
              <w:rPr>
                <w:b/>
                <w:bCs/>
                <w:sz w:val="20"/>
                <w:szCs w:val="20"/>
              </w:rPr>
              <w:t>16. Брутообразуване на основен капитал</w:t>
            </w:r>
          </w:p>
        </w:tc>
        <w:tc>
          <w:tcPr>
            <w:tcW w:w="447" w:type="pct"/>
            <w:noWrap/>
            <w:vAlign w:val="bottom"/>
            <w:hideMark/>
          </w:tcPr>
          <w:p w:rsidR="008B253F" w:rsidRDefault="008B253F" w:rsidP="004F30D0">
            <w:pPr>
              <w:jc w:val="right"/>
              <w:rPr>
                <w:b/>
                <w:bCs/>
                <w:sz w:val="18"/>
                <w:szCs w:val="18"/>
              </w:rPr>
            </w:pPr>
            <w:r>
              <w:rPr>
                <w:b/>
                <w:bCs/>
                <w:sz w:val="18"/>
                <w:szCs w:val="18"/>
              </w:rPr>
              <w:t>7 099,2</w:t>
            </w:r>
          </w:p>
        </w:tc>
        <w:tc>
          <w:tcPr>
            <w:tcW w:w="642" w:type="pct"/>
            <w:noWrap/>
            <w:vAlign w:val="bottom"/>
            <w:hideMark/>
          </w:tcPr>
          <w:p w:rsidR="008B253F" w:rsidRDefault="008B253F" w:rsidP="004F30D0">
            <w:pPr>
              <w:jc w:val="right"/>
              <w:rPr>
                <w:sz w:val="18"/>
                <w:szCs w:val="18"/>
              </w:rPr>
            </w:pPr>
            <w:r>
              <w:rPr>
                <w:sz w:val="18"/>
                <w:szCs w:val="18"/>
              </w:rPr>
              <w:t>23,5%</w:t>
            </w:r>
          </w:p>
        </w:tc>
        <w:tc>
          <w:tcPr>
            <w:tcW w:w="642" w:type="pct"/>
            <w:noWrap/>
            <w:vAlign w:val="bottom"/>
            <w:hideMark/>
          </w:tcPr>
          <w:p w:rsidR="008B253F" w:rsidRDefault="008B253F" w:rsidP="004F30D0">
            <w:pPr>
              <w:jc w:val="right"/>
              <w:rPr>
                <w:b/>
                <w:bCs/>
                <w:sz w:val="18"/>
                <w:szCs w:val="18"/>
              </w:rPr>
            </w:pPr>
            <w:r>
              <w:rPr>
                <w:b/>
                <w:bCs/>
                <w:sz w:val="18"/>
                <w:szCs w:val="18"/>
              </w:rPr>
              <w:t>8 400,3</w:t>
            </w:r>
          </w:p>
        </w:tc>
        <w:tc>
          <w:tcPr>
            <w:tcW w:w="620" w:type="pct"/>
            <w:noWrap/>
            <w:vAlign w:val="bottom"/>
            <w:hideMark/>
          </w:tcPr>
          <w:p w:rsidR="008B253F" w:rsidRDefault="008B253F" w:rsidP="004F30D0">
            <w:pPr>
              <w:jc w:val="right"/>
              <w:rPr>
                <w:sz w:val="18"/>
                <w:szCs w:val="18"/>
              </w:rPr>
            </w:pPr>
            <w:r>
              <w:rPr>
                <w:sz w:val="18"/>
                <w:szCs w:val="18"/>
              </w:rPr>
              <w:t>18,3%</w:t>
            </w:r>
          </w:p>
        </w:tc>
        <w:tc>
          <w:tcPr>
            <w:tcW w:w="601" w:type="pct"/>
            <w:noWrap/>
            <w:vAlign w:val="bottom"/>
            <w:hideMark/>
          </w:tcPr>
          <w:p w:rsidR="008B253F" w:rsidRDefault="008B253F" w:rsidP="004F30D0">
            <w:pPr>
              <w:jc w:val="right"/>
              <w:rPr>
                <w:b/>
                <w:bCs/>
                <w:sz w:val="18"/>
                <w:szCs w:val="18"/>
              </w:rPr>
            </w:pPr>
            <w:r>
              <w:rPr>
                <w:b/>
                <w:bCs/>
                <w:sz w:val="18"/>
                <w:szCs w:val="18"/>
              </w:rPr>
              <w:t>7 765,4</w:t>
            </w:r>
          </w:p>
        </w:tc>
        <w:tc>
          <w:tcPr>
            <w:tcW w:w="621" w:type="pct"/>
            <w:noWrap/>
            <w:vAlign w:val="bottom"/>
            <w:hideMark/>
          </w:tcPr>
          <w:p w:rsidR="008B253F" w:rsidRDefault="008B253F" w:rsidP="004F30D0">
            <w:pPr>
              <w:jc w:val="right"/>
              <w:rPr>
                <w:sz w:val="18"/>
                <w:szCs w:val="18"/>
              </w:rPr>
            </w:pPr>
            <w:r>
              <w:rPr>
                <w:sz w:val="18"/>
                <w:szCs w:val="18"/>
              </w:rPr>
              <w:t>-7,6%</w:t>
            </w:r>
          </w:p>
        </w:tc>
      </w:tr>
      <w:tr w:rsidR="008B253F" w:rsidRPr="00FA6150" w:rsidTr="004F30D0">
        <w:trPr>
          <w:trHeight w:val="300"/>
        </w:trPr>
        <w:tc>
          <w:tcPr>
            <w:tcW w:w="1427" w:type="pct"/>
            <w:hideMark/>
          </w:tcPr>
          <w:p w:rsidR="008B253F" w:rsidRPr="00164D2F" w:rsidRDefault="008B253F" w:rsidP="004F30D0">
            <w:pPr>
              <w:spacing w:after="0" w:line="276" w:lineRule="auto"/>
              <w:jc w:val="left"/>
              <w:rPr>
                <w:sz w:val="20"/>
                <w:szCs w:val="20"/>
              </w:rPr>
            </w:pPr>
            <w:r w:rsidRPr="00164D2F">
              <w:rPr>
                <w:sz w:val="20"/>
                <w:szCs w:val="20"/>
              </w:rPr>
              <w:t>17. Други капиталови разходи</w:t>
            </w:r>
          </w:p>
        </w:tc>
        <w:tc>
          <w:tcPr>
            <w:tcW w:w="447" w:type="pct"/>
            <w:noWrap/>
            <w:vAlign w:val="bottom"/>
            <w:hideMark/>
          </w:tcPr>
          <w:p w:rsidR="008B253F" w:rsidRDefault="008B253F" w:rsidP="004F30D0">
            <w:pPr>
              <w:jc w:val="right"/>
              <w:rPr>
                <w:b/>
                <w:bCs/>
                <w:sz w:val="18"/>
                <w:szCs w:val="18"/>
              </w:rPr>
            </w:pPr>
            <w:r>
              <w:rPr>
                <w:b/>
                <w:bCs/>
                <w:sz w:val="18"/>
                <w:szCs w:val="18"/>
              </w:rPr>
              <w:t>105,7</w:t>
            </w:r>
          </w:p>
        </w:tc>
        <w:tc>
          <w:tcPr>
            <w:tcW w:w="642" w:type="pct"/>
            <w:noWrap/>
            <w:vAlign w:val="bottom"/>
            <w:hideMark/>
          </w:tcPr>
          <w:p w:rsidR="008B253F" w:rsidRDefault="008B253F" w:rsidP="004F30D0">
            <w:pPr>
              <w:jc w:val="right"/>
              <w:rPr>
                <w:sz w:val="18"/>
                <w:szCs w:val="18"/>
              </w:rPr>
            </w:pPr>
            <w:r>
              <w:rPr>
                <w:sz w:val="18"/>
                <w:szCs w:val="18"/>
              </w:rPr>
              <w:t>-72,3%</w:t>
            </w:r>
          </w:p>
        </w:tc>
        <w:tc>
          <w:tcPr>
            <w:tcW w:w="642" w:type="pct"/>
            <w:noWrap/>
            <w:vAlign w:val="bottom"/>
            <w:hideMark/>
          </w:tcPr>
          <w:p w:rsidR="008B253F" w:rsidRDefault="008B253F" w:rsidP="004F30D0">
            <w:pPr>
              <w:jc w:val="right"/>
              <w:rPr>
                <w:b/>
                <w:bCs/>
                <w:sz w:val="18"/>
                <w:szCs w:val="18"/>
              </w:rPr>
            </w:pPr>
            <w:r>
              <w:rPr>
                <w:b/>
                <w:bCs/>
                <w:sz w:val="18"/>
                <w:szCs w:val="18"/>
              </w:rPr>
              <w:t>370,8</w:t>
            </w:r>
          </w:p>
        </w:tc>
        <w:tc>
          <w:tcPr>
            <w:tcW w:w="620" w:type="pct"/>
            <w:noWrap/>
            <w:vAlign w:val="bottom"/>
            <w:hideMark/>
          </w:tcPr>
          <w:p w:rsidR="008B253F" w:rsidRDefault="008B253F" w:rsidP="004F30D0">
            <w:pPr>
              <w:jc w:val="right"/>
              <w:rPr>
                <w:sz w:val="18"/>
                <w:szCs w:val="18"/>
              </w:rPr>
            </w:pPr>
            <w:r>
              <w:rPr>
                <w:sz w:val="18"/>
                <w:szCs w:val="18"/>
              </w:rPr>
              <w:t>250,6%</w:t>
            </w:r>
          </w:p>
        </w:tc>
        <w:tc>
          <w:tcPr>
            <w:tcW w:w="601" w:type="pct"/>
            <w:noWrap/>
            <w:vAlign w:val="bottom"/>
            <w:hideMark/>
          </w:tcPr>
          <w:p w:rsidR="008B253F" w:rsidRDefault="008B253F" w:rsidP="004F30D0">
            <w:pPr>
              <w:jc w:val="right"/>
              <w:rPr>
                <w:b/>
                <w:bCs/>
                <w:sz w:val="18"/>
                <w:szCs w:val="18"/>
              </w:rPr>
            </w:pPr>
            <w:r>
              <w:rPr>
                <w:b/>
                <w:bCs/>
                <w:sz w:val="18"/>
                <w:szCs w:val="18"/>
              </w:rPr>
              <w:t>508,9</w:t>
            </w:r>
          </w:p>
        </w:tc>
        <w:tc>
          <w:tcPr>
            <w:tcW w:w="621" w:type="pct"/>
            <w:noWrap/>
            <w:vAlign w:val="bottom"/>
            <w:hideMark/>
          </w:tcPr>
          <w:p w:rsidR="008B253F" w:rsidRDefault="008B253F" w:rsidP="004F30D0">
            <w:pPr>
              <w:jc w:val="right"/>
              <w:rPr>
                <w:sz w:val="18"/>
                <w:szCs w:val="18"/>
              </w:rPr>
            </w:pPr>
            <w:r>
              <w:rPr>
                <w:sz w:val="18"/>
                <w:szCs w:val="18"/>
              </w:rPr>
              <w:t>37,2%</w:t>
            </w:r>
          </w:p>
        </w:tc>
      </w:tr>
      <w:tr w:rsidR="008B253F" w:rsidRPr="00164D2F" w:rsidTr="004F30D0">
        <w:trPr>
          <w:trHeight w:val="300"/>
        </w:trPr>
        <w:tc>
          <w:tcPr>
            <w:tcW w:w="1427" w:type="pct"/>
            <w:vAlign w:val="bottom"/>
            <w:hideMark/>
          </w:tcPr>
          <w:p w:rsidR="008B253F" w:rsidRPr="00164D2F" w:rsidRDefault="008B253F" w:rsidP="004F30D0">
            <w:pPr>
              <w:rPr>
                <w:sz w:val="20"/>
                <w:szCs w:val="20"/>
              </w:rPr>
            </w:pPr>
          </w:p>
        </w:tc>
        <w:tc>
          <w:tcPr>
            <w:tcW w:w="447" w:type="pct"/>
            <w:tcBorders>
              <w:top w:val="nil"/>
              <w:left w:val="nil"/>
              <w:bottom w:val="single" w:sz="4" w:space="0" w:color="595959"/>
              <w:right w:val="nil"/>
            </w:tcBorders>
            <w:noWrap/>
            <w:vAlign w:val="bottom"/>
            <w:hideMark/>
          </w:tcPr>
          <w:p w:rsidR="008B253F" w:rsidRPr="00164D2F" w:rsidRDefault="008B253F" w:rsidP="004F30D0">
            <w:pPr>
              <w:jc w:val="left"/>
              <w:rPr>
                <w:rFonts w:ascii="Calibri" w:hAnsi="Calibri" w:cs="Calibri"/>
                <w:sz w:val="22"/>
              </w:rPr>
            </w:pPr>
            <w:r w:rsidRPr="00164D2F">
              <w:rPr>
                <w:rFonts w:ascii="Calibri" w:hAnsi="Calibri"/>
                <w:sz w:val="22"/>
              </w:rPr>
              <w:t> </w:t>
            </w:r>
          </w:p>
        </w:tc>
        <w:tc>
          <w:tcPr>
            <w:tcW w:w="642" w:type="pct"/>
            <w:tcBorders>
              <w:top w:val="nil"/>
              <w:left w:val="nil"/>
              <w:bottom w:val="single" w:sz="4" w:space="0" w:color="595959"/>
              <w:right w:val="nil"/>
            </w:tcBorders>
            <w:noWrap/>
            <w:vAlign w:val="bottom"/>
            <w:hideMark/>
          </w:tcPr>
          <w:p w:rsidR="008B253F" w:rsidRPr="00164D2F" w:rsidRDefault="008B253F" w:rsidP="004F30D0">
            <w:pPr>
              <w:jc w:val="center"/>
              <w:rPr>
                <w:b/>
                <w:bCs/>
                <w:i/>
                <w:iCs/>
                <w:sz w:val="20"/>
                <w:szCs w:val="20"/>
              </w:rPr>
            </w:pPr>
            <w:r w:rsidRPr="00164D2F">
              <w:rPr>
                <w:b/>
                <w:bCs/>
                <w:i/>
                <w:iCs/>
                <w:sz w:val="20"/>
                <w:szCs w:val="20"/>
              </w:rPr>
              <w:t>% от БВП</w:t>
            </w:r>
          </w:p>
        </w:tc>
        <w:tc>
          <w:tcPr>
            <w:tcW w:w="642" w:type="pct"/>
            <w:tcBorders>
              <w:top w:val="nil"/>
              <w:left w:val="nil"/>
              <w:bottom w:val="single" w:sz="4" w:space="0" w:color="595959"/>
              <w:right w:val="nil"/>
            </w:tcBorders>
            <w:noWrap/>
            <w:vAlign w:val="bottom"/>
            <w:hideMark/>
          </w:tcPr>
          <w:p w:rsidR="008B253F" w:rsidRPr="00164D2F" w:rsidRDefault="008B253F" w:rsidP="004F30D0">
            <w:pPr>
              <w:jc w:val="center"/>
              <w:rPr>
                <w:i/>
                <w:iCs/>
                <w:sz w:val="20"/>
                <w:szCs w:val="20"/>
              </w:rPr>
            </w:pPr>
            <w:r w:rsidRPr="00164D2F">
              <w:rPr>
                <w:i/>
                <w:iCs/>
                <w:sz w:val="20"/>
                <w:szCs w:val="20"/>
              </w:rPr>
              <w:t> </w:t>
            </w:r>
          </w:p>
        </w:tc>
        <w:tc>
          <w:tcPr>
            <w:tcW w:w="620" w:type="pct"/>
            <w:tcBorders>
              <w:top w:val="nil"/>
              <w:left w:val="nil"/>
              <w:bottom w:val="single" w:sz="4" w:space="0" w:color="595959"/>
              <w:right w:val="nil"/>
            </w:tcBorders>
            <w:noWrap/>
            <w:vAlign w:val="bottom"/>
            <w:hideMark/>
          </w:tcPr>
          <w:p w:rsidR="008B253F" w:rsidRPr="00164D2F" w:rsidRDefault="008B253F" w:rsidP="004F30D0">
            <w:pPr>
              <w:jc w:val="center"/>
              <w:rPr>
                <w:b/>
                <w:bCs/>
                <w:i/>
                <w:iCs/>
                <w:sz w:val="20"/>
                <w:szCs w:val="20"/>
              </w:rPr>
            </w:pPr>
            <w:r w:rsidRPr="00164D2F">
              <w:rPr>
                <w:b/>
                <w:bCs/>
                <w:i/>
                <w:iCs/>
                <w:sz w:val="20"/>
                <w:szCs w:val="20"/>
              </w:rPr>
              <w:t>% от БВП</w:t>
            </w:r>
          </w:p>
        </w:tc>
        <w:tc>
          <w:tcPr>
            <w:tcW w:w="601" w:type="pct"/>
            <w:tcBorders>
              <w:top w:val="nil"/>
              <w:left w:val="nil"/>
              <w:bottom w:val="single" w:sz="4" w:space="0" w:color="595959"/>
              <w:right w:val="nil"/>
            </w:tcBorders>
            <w:noWrap/>
            <w:vAlign w:val="bottom"/>
            <w:hideMark/>
          </w:tcPr>
          <w:p w:rsidR="008B253F" w:rsidRPr="00164D2F" w:rsidRDefault="008B253F" w:rsidP="004F30D0">
            <w:pPr>
              <w:jc w:val="center"/>
              <w:rPr>
                <w:i/>
                <w:iCs/>
                <w:sz w:val="20"/>
                <w:szCs w:val="20"/>
              </w:rPr>
            </w:pPr>
            <w:r w:rsidRPr="00164D2F">
              <w:rPr>
                <w:i/>
                <w:iCs/>
                <w:sz w:val="20"/>
                <w:szCs w:val="20"/>
              </w:rPr>
              <w:t> </w:t>
            </w:r>
          </w:p>
        </w:tc>
        <w:tc>
          <w:tcPr>
            <w:tcW w:w="621" w:type="pct"/>
            <w:tcBorders>
              <w:top w:val="nil"/>
              <w:left w:val="nil"/>
              <w:bottom w:val="single" w:sz="4" w:space="0" w:color="595959"/>
              <w:right w:val="nil"/>
            </w:tcBorders>
            <w:noWrap/>
            <w:vAlign w:val="bottom"/>
            <w:hideMark/>
          </w:tcPr>
          <w:p w:rsidR="008B253F" w:rsidRPr="00164D2F" w:rsidRDefault="008B253F" w:rsidP="004F30D0">
            <w:pPr>
              <w:jc w:val="center"/>
              <w:rPr>
                <w:b/>
                <w:bCs/>
                <w:i/>
                <w:iCs/>
                <w:sz w:val="20"/>
                <w:szCs w:val="20"/>
              </w:rPr>
            </w:pPr>
            <w:r w:rsidRPr="00164D2F">
              <w:rPr>
                <w:b/>
                <w:bCs/>
                <w:i/>
                <w:iCs/>
                <w:sz w:val="20"/>
                <w:szCs w:val="20"/>
              </w:rPr>
              <w:t>% от БВП</w:t>
            </w:r>
          </w:p>
        </w:tc>
      </w:tr>
      <w:tr w:rsidR="008B253F" w:rsidRPr="00164D2F" w:rsidTr="004F30D0">
        <w:trPr>
          <w:trHeight w:val="300"/>
        </w:trPr>
        <w:tc>
          <w:tcPr>
            <w:tcW w:w="1427" w:type="pct"/>
            <w:hideMark/>
          </w:tcPr>
          <w:p w:rsidR="008B253F" w:rsidRPr="00164D2F" w:rsidRDefault="008B253F" w:rsidP="004F30D0">
            <w:pPr>
              <w:spacing w:after="0" w:line="276" w:lineRule="auto"/>
              <w:jc w:val="left"/>
              <w:rPr>
                <w:b/>
                <w:bCs/>
                <w:sz w:val="20"/>
                <w:szCs w:val="20"/>
              </w:rPr>
            </w:pPr>
            <w:r w:rsidRPr="00164D2F">
              <w:rPr>
                <w:b/>
                <w:bCs/>
                <w:sz w:val="20"/>
                <w:szCs w:val="20"/>
              </w:rPr>
              <w:t>18. Общи правителствени приходи</w:t>
            </w:r>
          </w:p>
        </w:tc>
        <w:tc>
          <w:tcPr>
            <w:tcW w:w="447" w:type="pct"/>
            <w:noWrap/>
            <w:vAlign w:val="bottom"/>
            <w:hideMark/>
          </w:tcPr>
          <w:p w:rsidR="008B253F" w:rsidRDefault="008B253F" w:rsidP="004F30D0">
            <w:pPr>
              <w:jc w:val="right"/>
              <w:rPr>
                <w:b/>
                <w:bCs/>
                <w:sz w:val="18"/>
                <w:szCs w:val="18"/>
              </w:rPr>
            </w:pPr>
            <w:r>
              <w:rPr>
                <w:b/>
                <w:bCs/>
                <w:sz w:val="18"/>
                <w:szCs w:val="18"/>
              </w:rPr>
              <w:t>73 148,3</w:t>
            </w:r>
          </w:p>
        </w:tc>
        <w:tc>
          <w:tcPr>
            <w:tcW w:w="642" w:type="pct"/>
            <w:noWrap/>
            <w:vAlign w:val="bottom"/>
            <w:hideMark/>
          </w:tcPr>
          <w:p w:rsidR="008B253F" w:rsidRDefault="008B253F" w:rsidP="004F30D0">
            <w:pPr>
              <w:jc w:val="right"/>
              <w:rPr>
                <w:b/>
                <w:bCs/>
                <w:sz w:val="18"/>
                <w:szCs w:val="18"/>
              </w:rPr>
            </w:pPr>
            <w:r>
              <w:rPr>
                <w:b/>
                <w:bCs/>
                <w:sz w:val="18"/>
                <w:szCs w:val="18"/>
              </w:rPr>
              <w:t>35,5%</w:t>
            </w:r>
          </w:p>
        </w:tc>
        <w:tc>
          <w:tcPr>
            <w:tcW w:w="642" w:type="pct"/>
            <w:noWrap/>
            <w:vAlign w:val="bottom"/>
            <w:hideMark/>
          </w:tcPr>
          <w:p w:rsidR="008B253F" w:rsidRDefault="008B253F" w:rsidP="004F30D0">
            <w:pPr>
              <w:jc w:val="right"/>
              <w:rPr>
                <w:b/>
                <w:bCs/>
                <w:sz w:val="18"/>
                <w:szCs w:val="18"/>
              </w:rPr>
            </w:pPr>
            <w:r>
              <w:rPr>
                <w:b/>
                <w:bCs/>
                <w:sz w:val="18"/>
                <w:szCs w:val="18"/>
              </w:rPr>
              <w:t>78 623,9</w:t>
            </w:r>
          </w:p>
        </w:tc>
        <w:tc>
          <w:tcPr>
            <w:tcW w:w="620" w:type="pct"/>
            <w:noWrap/>
            <w:vAlign w:val="bottom"/>
            <w:hideMark/>
          </w:tcPr>
          <w:p w:rsidR="008B253F" w:rsidRDefault="008B253F" w:rsidP="004F30D0">
            <w:pPr>
              <w:jc w:val="right"/>
              <w:rPr>
                <w:b/>
                <w:bCs/>
                <w:sz w:val="18"/>
                <w:szCs w:val="18"/>
              </w:rPr>
            </w:pPr>
            <w:r>
              <w:rPr>
                <w:b/>
                <w:bCs/>
                <w:sz w:val="18"/>
                <w:szCs w:val="18"/>
              </w:rPr>
              <w:t>36,1%</w:t>
            </w:r>
          </w:p>
        </w:tc>
        <w:tc>
          <w:tcPr>
            <w:tcW w:w="601" w:type="pct"/>
            <w:noWrap/>
            <w:vAlign w:val="bottom"/>
            <w:hideMark/>
          </w:tcPr>
          <w:p w:rsidR="008B253F" w:rsidRDefault="008B253F" w:rsidP="004F30D0">
            <w:pPr>
              <w:jc w:val="right"/>
              <w:rPr>
                <w:b/>
                <w:bCs/>
                <w:sz w:val="18"/>
                <w:szCs w:val="18"/>
              </w:rPr>
            </w:pPr>
            <w:r>
              <w:rPr>
                <w:b/>
                <w:bCs/>
                <w:sz w:val="18"/>
                <w:szCs w:val="18"/>
              </w:rPr>
              <w:t>84 223,2</w:t>
            </w:r>
          </w:p>
        </w:tc>
        <w:tc>
          <w:tcPr>
            <w:tcW w:w="621" w:type="pct"/>
            <w:noWrap/>
            <w:vAlign w:val="bottom"/>
            <w:hideMark/>
          </w:tcPr>
          <w:p w:rsidR="008B253F" w:rsidRDefault="008B253F" w:rsidP="004F30D0">
            <w:pPr>
              <w:jc w:val="right"/>
              <w:rPr>
                <w:b/>
                <w:bCs/>
                <w:sz w:val="18"/>
                <w:szCs w:val="18"/>
              </w:rPr>
            </w:pPr>
            <w:r>
              <w:rPr>
                <w:b/>
                <w:bCs/>
                <w:sz w:val="18"/>
                <w:szCs w:val="18"/>
              </w:rPr>
              <w:t>36,4%</w:t>
            </w:r>
          </w:p>
        </w:tc>
      </w:tr>
      <w:tr w:rsidR="008B253F" w:rsidRPr="00164D2F" w:rsidTr="004F30D0">
        <w:trPr>
          <w:trHeight w:val="300"/>
        </w:trPr>
        <w:tc>
          <w:tcPr>
            <w:tcW w:w="1427" w:type="pct"/>
            <w:hideMark/>
          </w:tcPr>
          <w:p w:rsidR="008B253F" w:rsidRPr="00164D2F" w:rsidRDefault="008B253F" w:rsidP="004F30D0">
            <w:pPr>
              <w:spacing w:after="0" w:line="276" w:lineRule="auto"/>
              <w:jc w:val="left"/>
              <w:rPr>
                <w:b/>
                <w:bCs/>
                <w:sz w:val="20"/>
                <w:szCs w:val="20"/>
              </w:rPr>
            </w:pPr>
            <w:r w:rsidRPr="00164D2F">
              <w:rPr>
                <w:b/>
                <w:bCs/>
                <w:sz w:val="20"/>
                <w:szCs w:val="20"/>
              </w:rPr>
              <w:t>19. Общи правителствени разходи</w:t>
            </w:r>
          </w:p>
        </w:tc>
        <w:tc>
          <w:tcPr>
            <w:tcW w:w="447" w:type="pct"/>
            <w:noWrap/>
            <w:vAlign w:val="bottom"/>
            <w:hideMark/>
          </w:tcPr>
          <w:p w:rsidR="008B253F" w:rsidRDefault="008B253F" w:rsidP="004F30D0">
            <w:pPr>
              <w:jc w:val="right"/>
              <w:rPr>
                <w:b/>
                <w:bCs/>
                <w:sz w:val="18"/>
                <w:szCs w:val="18"/>
              </w:rPr>
            </w:pPr>
            <w:r>
              <w:rPr>
                <w:b/>
                <w:bCs/>
                <w:sz w:val="18"/>
                <w:szCs w:val="18"/>
              </w:rPr>
              <w:t>79 023,7</w:t>
            </w:r>
          </w:p>
        </w:tc>
        <w:tc>
          <w:tcPr>
            <w:tcW w:w="642" w:type="pct"/>
            <w:noWrap/>
            <w:vAlign w:val="bottom"/>
            <w:hideMark/>
          </w:tcPr>
          <w:p w:rsidR="008B253F" w:rsidRDefault="008B253F" w:rsidP="004F30D0">
            <w:pPr>
              <w:jc w:val="right"/>
              <w:rPr>
                <w:b/>
                <w:bCs/>
                <w:sz w:val="18"/>
                <w:szCs w:val="18"/>
              </w:rPr>
            </w:pPr>
            <w:r>
              <w:rPr>
                <w:b/>
                <w:bCs/>
                <w:sz w:val="18"/>
                <w:szCs w:val="18"/>
              </w:rPr>
              <w:t>38,4%</w:t>
            </w:r>
          </w:p>
        </w:tc>
        <w:tc>
          <w:tcPr>
            <w:tcW w:w="642" w:type="pct"/>
            <w:noWrap/>
            <w:vAlign w:val="bottom"/>
            <w:hideMark/>
          </w:tcPr>
          <w:p w:rsidR="008B253F" w:rsidRDefault="008B253F" w:rsidP="004F30D0">
            <w:pPr>
              <w:jc w:val="right"/>
              <w:rPr>
                <w:b/>
                <w:bCs/>
                <w:sz w:val="18"/>
                <w:szCs w:val="18"/>
              </w:rPr>
            </w:pPr>
            <w:r>
              <w:rPr>
                <w:b/>
                <w:bCs/>
                <w:sz w:val="18"/>
                <w:szCs w:val="18"/>
              </w:rPr>
              <w:t>85 176,4</w:t>
            </w:r>
          </w:p>
        </w:tc>
        <w:tc>
          <w:tcPr>
            <w:tcW w:w="620" w:type="pct"/>
            <w:noWrap/>
            <w:vAlign w:val="bottom"/>
            <w:hideMark/>
          </w:tcPr>
          <w:p w:rsidR="008B253F" w:rsidRDefault="008B253F" w:rsidP="004F30D0">
            <w:pPr>
              <w:jc w:val="right"/>
              <w:rPr>
                <w:b/>
                <w:bCs/>
                <w:sz w:val="18"/>
                <w:szCs w:val="18"/>
              </w:rPr>
            </w:pPr>
            <w:r>
              <w:rPr>
                <w:b/>
                <w:bCs/>
                <w:sz w:val="18"/>
                <w:szCs w:val="18"/>
              </w:rPr>
              <w:t>39,1%</w:t>
            </w:r>
          </w:p>
        </w:tc>
        <w:tc>
          <w:tcPr>
            <w:tcW w:w="601" w:type="pct"/>
            <w:noWrap/>
            <w:vAlign w:val="bottom"/>
            <w:hideMark/>
          </w:tcPr>
          <w:p w:rsidR="008B253F" w:rsidRDefault="008B253F" w:rsidP="004F30D0">
            <w:pPr>
              <w:jc w:val="right"/>
              <w:rPr>
                <w:b/>
                <w:bCs/>
                <w:sz w:val="18"/>
                <w:szCs w:val="18"/>
              </w:rPr>
            </w:pPr>
            <w:r>
              <w:rPr>
                <w:b/>
                <w:bCs/>
                <w:sz w:val="18"/>
                <w:szCs w:val="18"/>
              </w:rPr>
              <w:t>90 082,5</w:t>
            </w:r>
          </w:p>
        </w:tc>
        <w:tc>
          <w:tcPr>
            <w:tcW w:w="621" w:type="pct"/>
            <w:noWrap/>
            <w:vAlign w:val="bottom"/>
            <w:hideMark/>
          </w:tcPr>
          <w:p w:rsidR="008B253F" w:rsidRDefault="008B253F" w:rsidP="004F30D0">
            <w:pPr>
              <w:jc w:val="right"/>
              <w:rPr>
                <w:b/>
                <w:bCs/>
                <w:sz w:val="18"/>
                <w:szCs w:val="18"/>
              </w:rPr>
            </w:pPr>
            <w:r>
              <w:rPr>
                <w:b/>
                <w:bCs/>
                <w:sz w:val="18"/>
                <w:szCs w:val="18"/>
              </w:rPr>
              <w:t>38,9%</w:t>
            </w:r>
          </w:p>
        </w:tc>
      </w:tr>
      <w:tr w:rsidR="008B253F" w:rsidRPr="00164D2F" w:rsidTr="004F30D0">
        <w:trPr>
          <w:trHeight w:val="300"/>
        </w:trPr>
        <w:tc>
          <w:tcPr>
            <w:tcW w:w="1427" w:type="pct"/>
            <w:hideMark/>
          </w:tcPr>
          <w:p w:rsidR="008B253F" w:rsidRPr="00164D2F" w:rsidRDefault="008B253F" w:rsidP="004F30D0">
            <w:pPr>
              <w:spacing w:after="0" w:line="276" w:lineRule="auto"/>
              <w:jc w:val="left"/>
              <w:rPr>
                <w:b/>
                <w:bCs/>
                <w:sz w:val="20"/>
                <w:szCs w:val="20"/>
              </w:rPr>
            </w:pPr>
            <w:r w:rsidRPr="00164D2F">
              <w:rPr>
                <w:b/>
                <w:bCs/>
                <w:sz w:val="20"/>
                <w:szCs w:val="20"/>
              </w:rPr>
              <w:t xml:space="preserve">20. Баланс </w:t>
            </w:r>
          </w:p>
        </w:tc>
        <w:tc>
          <w:tcPr>
            <w:tcW w:w="447" w:type="pct"/>
            <w:noWrap/>
            <w:vAlign w:val="bottom"/>
            <w:hideMark/>
          </w:tcPr>
          <w:p w:rsidR="008B253F" w:rsidRDefault="008B253F" w:rsidP="004F30D0">
            <w:pPr>
              <w:jc w:val="right"/>
              <w:rPr>
                <w:b/>
                <w:bCs/>
                <w:sz w:val="18"/>
                <w:szCs w:val="18"/>
              </w:rPr>
            </w:pPr>
            <w:r>
              <w:rPr>
                <w:b/>
                <w:bCs/>
                <w:sz w:val="18"/>
                <w:szCs w:val="18"/>
              </w:rPr>
              <w:t>-5 875,4</w:t>
            </w:r>
          </w:p>
        </w:tc>
        <w:tc>
          <w:tcPr>
            <w:tcW w:w="642" w:type="pct"/>
            <w:noWrap/>
            <w:vAlign w:val="bottom"/>
            <w:hideMark/>
          </w:tcPr>
          <w:p w:rsidR="008B253F" w:rsidRDefault="008B253F" w:rsidP="004F30D0">
            <w:pPr>
              <w:jc w:val="right"/>
              <w:rPr>
                <w:b/>
                <w:bCs/>
                <w:sz w:val="18"/>
                <w:szCs w:val="18"/>
              </w:rPr>
            </w:pPr>
            <w:r>
              <w:rPr>
                <w:b/>
                <w:bCs/>
                <w:sz w:val="18"/>
                <w:szCs w:val="18"/>
              </w:rPr>
              <w:t>-2,9%</w:t>
            </w:r>
          </w:p>
        </w:tc>
        <w:tc>
          <w:tcPr>
            <w:tcW w:w="642" w:type="pct"/>
            <w:noWrap/>
            <w:vAlign w:val="bottom"/>
            <w:hideMark/>
          </w:tcPr>
          <w:p w:rsidR="008B253F" w:rsidRDefault="008B253F" w:rsidP="004F30D0">
            <w:pPr>
              <w:jc w:val="right"/>
              <w:rPr>
                <w:b/>
                <w:bCs/>
                <w:sz w:val="18"/>
                <w:szCs w:val="18"/>
              </w:rPr>
            </w:pPr>
            <w:r>
              <w:rPr>
                <w:b/>
                <w:bCs/>
                <w:sz w:val="18"/>
                <w:szCs w:val="18"/>
              </w:rPr>
              <w:t>-6 552,5</w:t>
            </w:r>
          </w:p>
        </w:tc>
        <w:tc>
          <w:tcPr>
            <w:tcW w:w="620" w:type="pct"/>
            <w:noWrap/>
            <w:vAlign w:val="bottom"/>
            <w:hideMark/>
          </w:tcPr>
          <w:p w:rsidR="008B253F" w:rsidRDefault="008B253F" w:rsidP="004F30D0">
            <w:pPr>
              <w:jc w:val="right"/>
              <w:rPr>
                <w:b/>
                <w:bCs/>
                <w:sz w:val="18"/>
                <w:szCs w:val="18"/>
              </w:rPr>
            </w:pPr>
            <w:r>
              <w:rPr>
                <w:b/>
                <w:bCs/>
                <w:sz w:val="18"/>
                <w:szCs w:val="18"/>
              </w:rPr>
              <w:t>-3,0%</w:t>
            </w:r>
          </w:p>
        </w:tc>
        <w:tc>
          <w:tcPr>
            <w:tcW w:w="601" w:type="pct"/>
            <w:noWrap/>
            <w:vAlign w:val="bottom"/>
            <w:hideMark/>
          </w:tcPr>
          <w:p w:rsidR="008B253F" w:rsidRDefault="008B253F" w:rsidP="004F30D0">
            <w:pPr>
              <w:jc w:val="right"/>
              <w:rPr>
                <w:b/>
                <w:bCs/>
                <w:sz w:val="18"/>
                <w:szCs w:val="18"/>
              </w:rPr>
            </w:pPr>
            <w:r>
              <w:rPr>
                <w:b/>
                <w:bCs/>
                <w:sz w:val="18"/>
                <w:szCs w:val="18"/>
              </w:rPr>
              <w:t>-5 859,3</w:t>
            </w:r>
          </w:p>
        </w:tc>
        <w:tc>
          <w:tcPr>
            <w:tcW w:w="621" w:type="pct"/>
            <w:noWrap/>
            <w:vAlign w:val="bottom"/>
            <w:hideMark/>
          </w:tcPr>
          <w:p w:rsidR="008B253F" w:rsidRDefault="008B253F" w:rsidP="004F30D0">
            <w:pPr>
              <w:jc w:val="right"/>
              <w:rPr>
                <w:b/>
                <w:bCs/>
                <w:sz w:val="18"/>
                <w:szCs w:val="18"/>
              </w:rPr>
            </w:pPr>
            <w:r>
              <w:rPr>
                <w:b/>
                <w:bCs/>
                <w:sz w:val="18"/>
                <w:szCs w:val="18"/>
              </w:rPr>
              <w:t>-2,5%</w:t>
            </w:r>
          </w:p>
        </w:tc>
      </w:tr>
      <w:tr w:rsidR="008B253F" w:rsidRPr="00164D2F" w:rsidTr="004F30D0">
        <w:trPr>
          <w:trHeight w:val="300"/>
        </w:trPr>
        <w:tc>
          <w:tcPr>
            <w:tcW w:w="1427" w:type="pct"/>
            <w:hideMark/>
          </w:tcPr>
          <w:p w:rsidR="008B253F" w:rsidRPr="00164D2F" w:rsidRDefault="008B253F" w:rsidP="004F30D0">
            <w:pPr>
              <w:spacing w:after="0" w:line="276" w:lineRule="auto"/>
              <w:jc w:val="left"/>
              <w:rPr>
                <w:i/>
                <w:iCs/>
                <w:sz w:val="20"/>
                <w:szCs w:val="20"/>
              </w:rPr>
            </w:pPr>
            <w:r w:rsidRPr="00164D2F">
              <w:rPr>
                <w:i/>
                <w:iCs/>
                <w:sz w:val="20"/>
                <w:szCs w:val="20"/>
              </w:rPr>
              <w:t>20a. - първичен баланс</w:t>
            </w:r>
          </w:p>
        </w:tc>
        <w:tc>
          <w:tcPr>
            <w:tcW w:w="447" w:type="pct"/>
            <w:noWrap/>
            <w:vAlign w:val="bottom"/>
            <w:hideMark/>
          </w:tcPr>
          <w:p w:rsidR="008B253F" w:rsidRDefault="008B253F" w:rsidP="004F30D0">
            <w:pPr>
              <w:jc w:val="right"/>
              <w:rPr>
                <w:i/>
                <w:iCs/>
                <w:sz w:val="18"/>
                <w:szCs w:val="18"/>
              </w:rPr>
            </w:pPr>
            <w:r>
              <w:rPr>
                <w:i/>
                <w:iCs/>
                <w:sz w:val="18"/>
                <w:szCs w:val="18"/>
              </w:rPr>
              <w:t>-4 430,4</w:t>
            </w:r>
          </w:p>
        </w:tc>
        <w:tc>
          <w:tcPr>
            <w:tcW w:w="642" w:type="pct"/>
            <w:noWrap/>
            <w:vAlign w:val="bottom"/>
            <w:hideMark/>
          </w:tcPr>
          <w:p w:rsidR="008B253F" w:rsidRDefault="008B253F" w:rsidP="004F30D0">
            <w:pPr>
              <w:jc w:val="right"/>
              <w:rPr>
                <w:sz w:val="18"/>
                <w:szCs w:val="18"/>
              </w:rPr>
            </w:pPr>
            <w:r>
              <w:rPr>
                <w:sz w:val="18"/>
                <w:szCs w:val="18"/>
              </w:rPr>
              <w:t>-2,2%</w:t>
            </w:r>
          </w:p>
        </w:tc>
        <w:tc>
          <w:tcPr>
            <w:tcW w:w="642" w:type="pct"/>
            <w:noWrap/>
            <w:vAlign w:val="bottom"/>
            <w:hideMark/>
          </w:tcPr>
          <w:p w:rsidR="008B253F" w:rsidRDefault="008B253F" w:rsidP="004F30D0">
            <w:pPr>
              <w:jc w:val="right"/>
              <w:rPr>
                <w:i/>
                <w:iCs/>
                <w:sz w:val="18"/>
                <w:szCs w:val="18"/>
              </w:rPr>
            </w:pPr>
            <w:r>
              <w:rPr>
                <w:i/>
                <w:iCs/>
                <w:sz w:val="18"/>
                <w:szCs w:val="18"/>
              </w:rPr>
              <w:t>-4 523,1</w:t>
            </w:r>
          </w:p>
        </w:tc>
        <w:tc>
          <w:tcPr>
            <w:tcW w:w="620" w:type="pct"/>
            <w:noWrap/>
            <w:vAlign w:val="bottom"/>
            <w:hideMark/>
          </w:tcPr>
          <w:p w:rsidR="008B253F" w:rsidRDefault="008B253F" w:rsidP="004F30D0">
            <w:pPr>
              <w:jc w:val="right"/>
              <w:rPr>
                <w:sz w:val="18"/>
                <w:szCs w:val="18"/>
              </w:rPr>
            </w:pPr>
            <w:r>
              <w:rPr>
                <w:sz w:val="18"/>
                <w:szCs w:val="18"/>
              </w:rPr>
              <w:t>-2,1%</w:t>
            </w:r>
          </w:p>
        </w:tc>
        <w:tc>
          <w:tcPr>
            <w:tcW w:w="601" w:type="pct"/>
            <w:noWrap/>
            <w:vAlign w:val="bottom"/>
            <w:hideMark/>
          </w:tcPr>
          <w:p w:rsidR="008B253F" w:rsidRDefault="008B253F" w:rsidP="004F30D0">
            <w:pPr>
              <w:jc w:val="right"/>
              <w:rPr>
                <w:i/>
                <w:iCs/>
                <w:sz w:val="18"/>
                <w:szCs w:val="18"/>
              </w:rPr>
            </w:pPr>
            <w:r>
              <w:rPr>
                <w:i/>
                <w:iCs/>
                <w:sz w:val="18"/>
                <w:szCs w:val="18"/>
              </w:rPr>
              <w:t>-3 108,4</w:t>
            </w:r>
          </w:p>
        </w:tc>
        <w:tc>
          <w:tcPr>
            <w:tcW w:w="621" w:type="pct"/>
            <w:noWrap/>
            <w:vAlign w:val="bottom"/>
            <w:hideMark/>
          </w:tcPr>
          <w:p w:rsidR="008B253F" w:rsidRDefault="008B253F" w:rsidP="004F30D0">
            <w:pPr>
              <w:jc w:val="right"/>
              <w:rPr>
                <w:sz w:val="18"/>
                <w:szCs w:val="18"/>
              </w:rPr>
            </w:pPr>
            <w:r>
              <w:rPr>
                <w:sz w:val="18"/>
                <w:szCs w:val="18"/>
              </w:rPr>
              <w:t>-1,3%</w:t>
            </w:r>
          </w:p>
        </w:tc>
      </w:tr>
      <w:tr w:rsidR="008B253F" w:rsidRPr="00A36136" w:rsidTr="004F30D0">
        <w:trPr>
          <w:trHeight w:val="525"/>
        </w:trPr>
        <w:tc>
          <w:tcPr>
            <w:tcW w:w="1427" w:type="pct"/>
            <w:tcBorders>
              <w:top w:val="nil"/>
              <w:left w:val="nil"/>
              <w:bottom w:val="single" w:sz="4" w:space="0" w:color="auto"/>
              <w:right w:val="nil"/>
            </w:tcBorders>
            <w:hideMark/>
          </w:tcPr>
          <w:p w:rsidR="008B253F" w:rsidRPr="00164D2F" w:rsidRDefault="008B253F" w:rsidP="004F30D0">
            <w:pPr>
              <w:spacing w:after="0" w:line="276" w:lineRule="auto"/>
              <w:jc w:val="left"/>
              <w:rPr>
                <w:b/>
                <w:bCs/>
                <w:sz w:val="20"/>
                <w:szCs w:val="20"/>
              </w:rPr>
            </w:pPr>
            <w:r w:rsidRPr="00164D2F">
              <w:rPr>
                <w:b/>
                <w:bCs/>
                <w:sz w:val="20"/>
                <w:szCs w:val="20"/>
              </w:rPr>
              <w:t xml:space="preserve">21. Консолидиран дълг на сектор „Държавно управление“ </w:t>
            </w:r>
          </w:p>
        </w:tc>
        <w:tc>
          <w:tcPr>
            <w:tcW w:w="447" w:type="pct"/>
            <w:tcBorders>
              <w:top w:val="nil"/>
              <w:left w:val="nil"/>
              <w:bottom w:val="single" w:sz="4" w:space="0" w:color="auto"/>
              <w:right w:val="nil"/>
            </w:tcBorders>
            <w:noWrap/>
            <w:vAlign w:val="bottom"/>
            <w:hideMark/>
          </w:tcPr>
          <w:p w:rsidR="008B253F" w:rsidRDefault="008B253F" w:rsidP="004F30D0">
            <w:pPr>
              <w:jc w:val="right"/>
              <w:rPr>
                <w:b/>
                <w:bCs/>
                <w:sz w:val="18"/>
                <w:szCs w:val="18"/>
              </w:rPr>
            </w:pPr>
            <w:r>
              <w:rPr>
                <w:b/>
                <w:bCs/>
                <w:sz w:val="18"/>
                <w:szCs w:val="18"/>
              </w:rPr>
              <w:t>49 912,7</w:t>
            </w:r>
          </w:p>
        </w:tc>
        <w:tc>
          <w:tcPr>
            <w:tcW w:w="642" w:type="pct"/>
            <w:tcBorders>
              <w:top w:val="nil"/>
              <w:left w:val="nil"/>
              <w:bottom w:val="single" w:sz="4" w:space="0" w:color="auto"/>
              <w:right w:val="nil"/>
            </w:tcBorders>
            <w:noWrap/>
            <w:vAlign w:val="bottom"/>
            <w:hideMark/>
          </w:tcPr>
          <w:p w:rsidR="008B253F" w:rsidRDefault="008B253F" w:rsidP="004F30D0">
            <w:pPr>
              <w:jc w:val="right"/>
              <w:rPr>
                <w:b/>
                <w:bCs/>
                <w:sz w:val="18"/>
                <w:szCs w:val="18"/>
              </w:rPr>
            </w:pPr>
            <w:r>
              <w:rPr>
                <w:b/>
                <w:bCs/>
                <w:sz w:val="18"/>
                <w:szCs w:val="18"/>
              </w:rPr>
              <w:t>24,2%</w:t>
            </w:r>
          </w:p>
        </w:tc>
        <w:tc>
          <w:tcPr>
            <w:tcW w:w="642" w:type="pct"/>
            <w:tcBorders>
              <w:top w:val="nil"/>
              <w:left w:val="nil"/>
              <w:bottom w:val="single" w:sz="4" w:space="0" w:color="auto"/>
              <w:right w:val="nil"/>
            </w:tcBorders>
            <w:noWrap/>
            <w:vAlign w:val="bottom"/>
            <w:hideMark/>
          </w:tcPr>
          <w:p w:rsidR="008B253F" w:rsidRDefault="008B253F" w:rsidP="004F30D0">
            <w:pPr>
              <w:jc w:val="right"/>
              <w:rPr>
                <w:b/>
                <w:bCs/>
                <w:sz w:val="18"/>
                <w:szCs w:val="18"/>
              </w:rPr>
            </w:pPr>
            <w:r>
              <w:rPr>
                <w:b/>
                <w:bCs/>
                <w:sz w:val="18"/>
                <w:szCs w:val="18"/>
              </w:rPr>
              <w:t>57 741,7</w:t>
            </w:r>
          </w:p>
        </w:tc>
        <w:tc>
          <w:tcPr>
            <w:tcW w:w="620" w:type="pct"/>
            <w:tcBorders>
              <w:top w:val="nil"/>
              <w:left w:val="nil"/>
              <w:bottom w:val="single" w:sz="4" w:space="0" w:color="auto"/>
              <w:right w:val="nil"/>
            </w:tcBorders>
            <w:noWrap/>
            <w:vAlign w:val="bottom"/>
            <w:hideMark/>
          </w:tcPr>
          <w:p w:rsidR="008B253F" w:rsidRDefault="008B253F" w:rsidP="004F30D0">
            <w:pPr>
              <w:jc w:val="right"/>
              <w:rPr>
                <w:b/>
                <w:bCs/>
                <w:sz w:val="18"/>
                <w:szCs w:val="18"/>
              </w:rPr>
            </w:pPr>
            <w:r>
              <w:rPr>
                <w:b/>
                <w:bCs/>
                <w:sz w:val="18"/>
                <w:szCs w:val="18"/>
              </w:rPr>
              <w:t>26,5%</w:t>
            </w:r>
          </w:p>
        </w:tc>
        <w:tc>
          <w:tcPr>
            <w:tcW w:w="601" w:type="pct"/>
            <w:tcBorders>
              <w:top w:val="nil"/>
              <w:left w:val="nil"/>
              <w:bottom w:val="single" w:sz="4" w:space="0" w:color="auto"/>
              <w:right w:val="nil"/>
            </w:tcBorders>
            <w:noWrap/>
            <w:vAlign w:val="bottom"/>
            <w:hideMark/>
          </w:tcPr>
          <w:p w:rsidR="008B253F" w:rsidRDefault="008B253F" w:rsidP="004F30D0">
            <w:pPr>
              <w:jc w:val="right"/>
              <w:rPr>
                <w:b/>
                <w:bCs/>
                <w:sz w:val="18"/>
                <w:szCs w:val="18"/>
              </w:rPr>
            </w:pPr>
            <w:r>
              <w:rPr>
                <w:b/>
                <w:bCs/>
                <w:sz w:val="18"/>
                <w:szCs w:val="18"/>
              </w:rPr>
              <w:t>66 799,0</w:t>
            </w:r>
          </w:p>
        </w:tc>
        <w:tc>
          <w:tcPr>
            <w:tcW w:w="621" w:type="pct"/>
            <w:tcBorders>
              <w:top w:val="nil"/>
              <w:left w:val="nil"/>
              <w:bottom w:val="single" w:sz="4" w:space="0" w:color="auto"/>
              <w:right w:val="nil"/>
            </w:tcBorders>
            <w:noWrap/>
            <w:vAlign w:val="bottom"/>
            <w:hideMark/>
          </w:tcPr>
          <w:p w:rsidR="008B253F" w:rsidRDefault="008B253F" w:rsidP="004F30D0">
            <w:pPr>
              <w:jc w:val="right"/>
              <w:rPr>
                <w:b/>
                <w:bCs/>
                <w:sz w:val="18"/>
                <w:szCs w:val="18"/>
              </w:rPr>
            </w:pPr>
            <w:r>
              <w:rPr>
                <w:b/>
                <w:bCs/>
                <w:sz w:val="18"/>
                <w:szCs w:val="18"/>
              </w:rPr>
              <w:t>28,9%</w:t>
            </w:r>
          </w:p>
        </w:tc>
      </w:tr>
    </w:tbl>
    <w:p w:rsidR="00FA1998" w:rsidRPr="00164D2F" w:rsidRDefault="00FA1998" w:rsidP="00B60042">
      <w:pPr>
        <w:spacing w:before="120"/>
        <w:jc w:val="right"/>
        <w:rPr>
          <w:rFonts w:eastAsia="Batang" w:cs="Times New Roman"/>
          <w:sz w:val="18"/>
          <w:szCs w:val="18"/>
        </w:rPr>
      </w:pPr>
      <w:r w:rsidRPr="00164D2F">
        <w:rPr>
          <w:rFonts w:eastAsia="Batang" w:cs="Times New Roman"/>
          <w:sz w:val="18"/>
          <w:szCs w:val="18"/>
        </w:rPr>
        <w:t>Източник: МФ</w:t>
      </w:r>
    </w:p>
    <w:p w:rsidR="00B810E5" w:rsidRPr="00164D2F" w:rsidRDefault="00B810E5" w:rsidP="00531E97">
      <w:pPr>
        <w:pStyle w:val="Heading3"/>
        <w:ind w:left="0"/>
        <w:rPr>
          <w:rStyle w:val="Strong"/>
          <w:b/>
          <w:bCs/>
        </w:rPr>
      </w:pPr>
      <w:r w:rsidRPr="00164D2F">
        <w:rPr>
          <w:rStyle w:val="Strong"/>
          <w:b/>
          <w:bCs/>
        </w:rPr>
        <w:t>Основни показатели на сектор „Държавно управление</w:t>
      </w:r>
      <w:r w:rsidR="00441F6C">
        <w:rPr>
          <w:rStyle w:val="Strong"/>
          <w:b/>
          <w:bCs/>
        </w:rPr>
        <w:t>“</w:t>
      </w:r>
      <w:r w:rsidRPr="00164D2F">
        <w:rPr>
          <w:rStyle w:val="Strong"/>
          <w:b/>
          <w:bCs/>
        </w:rPr>
        <w:t xml:space="preserve"> и прогноза при непроменени политики</w:t>
      </w:r>
    </w:p>
    <w:p w:rsidR="007344E0" w:rsidRPr="001F5E94" w:rsidRDefault="007344E0" w:rsidP="007344E0">
      <w:r w:rsidRPr="001F5E94">
        <w:t xml:space="preserve">Фискалната прогноза при непроменени политики е изготвена на база цикличните движения в икономическите показатели. Тя е обвързана с набор от предположения за политиките и основните икономически и финансови условия, включително валутните курсове, цените на суровините и развитието на международната икономика. В нея не се отчита въздействието на дискреционните изменения в приходите и в разходите. </w:t>
      </w:r>
    </w:p>
    <w:p w:rsidR="007344E0" w:rsidRPr="001F5E94" w:rsidRDefault="007344E0" w:rsidP="007344E0">
      <w:r w:rsidRPr="001F5E94">
        <w:t>Промените, които се наблюдават в бюджетния сценарий при непроменени политики (т.нар. базисен сценарий) между прогнозните години, са основно в резултат на промени в икономически и/или демографски показатели, които имат ефект върху фискалните параметри. Предприетите политики в приходната и разходната част на бюджета водят до промяна в бюджетната прогноза спрямо базисния сценарий.</w:t>
      </w:r>
    </w:p>
    <w:p w:rsidR="007344E0" w:rsidRDefault="007344E0" w:rsidP="007344E0">
      <w:r w:rsidRPr="001F5E94">
        <w:t xml:space="preserve">Таблицата по-долу представя прогнозата на сектор „Държавно управление“ при непроменени политики съпоставена спрямо основния сценарий, посочен в </w:t>
      </w:r>
      <w:r w:rsidRPr="00C20897">
        <w:t>актуализираната</w:t>
      </w:r>
      <w:r>
        <w:t xml:space="preserve"> средносрочна</w:t>
      </w:r>
      <w:r w:rsidRPr="001F5E94">
        <w:t xml:space="preserve"> б</w:t>
      </w:r>
      <w:r>
        <w:t>юджетна прогноза за периода 2024-2026</w:t>
      </w:r>
      <w:r w:rsidRPr="001F5E94">
        <w:t xml:space="preserve"> г. </w:t>
      </w:r>
    </w:p>
    <w:p w:rsidR="00DD0DC1" w:rsidRDefault="00DD0DC1" w:rsidP="007344E0"/>
    <w:p w:rsidR="00DD0DC1" w:rsidRDefault="00DD0DC1" w:rsidP="007344E0"/>
    <w:p w:rsidR="00DD0DC1" w:rsidRDefault="00DD0DC1" w:rsidP="007344E0"/>
    <w:p w:rsidR="00A06D13" w:rsidRPr="00A06D13" w:rsidRDefault="00531E97" w:rsidP="00A06D13">
      <w:pPr>
        <w:pStyle w:val="Caption"/>
        <w:spacing w:before="240"/>
      </w:pPr>
      <w:bookmarkStart w:id="222" w:name="_Toc150443420"/>
      <w:r w:rsidRPr="00164D2F">
        <w:t xml:space="preserve">Табл. </w:t>
      </w:r>
      <w:fldSimple w:instr=" STYLEREF 1 \s ">
        <w:r w:rsidR="005A69ED">
          <w:rPr>
            <w:noProof/>
          </w:rPr>
          <w:t>II</w:t>
        </w:r>
      </w:fldSimple>
      <w:r w:rsidRPr="00164D2F">
        <w:noBreakHyphen/>
      </w:r>
      <w:fldSimple w:instr=" SEQ Табл. \* ARABIC \s 1 ">
        <w:r w:rsidR="005A69ED">
          <w:rPr>
            <w:noProof/>
          </w:rPr>
          <w:t>6</w:t>
        </w:r>
      </w:fldSimple>
      <w:r w:rsidRPr="00164D2F">
        <w:t>:</w:t>
      </w:r>
      <w:r w:rsidRPr="00164D2F">
        <w:tab/>
        <w:t>Бюджетна прогноза на сектор „Държавно управление“ при непроменени поли</w:t>
      </w:r>
      <w:r w:rsidR="00886C3C">
        <w:t>тики за периода 2024-2026</w:t>
      </w:r>
      <w:r w:rsidRPr="00164D2F">
        <w:t xml:space="preserve"> г.</w:t>
      </w:r>
      <w:bookmarkEnd w:id="222"/>
    </w:p>
    <w:tbl>
      <w:tblPr>
        <w:tblW w:w="5090" w:type="pct"/>
        <w:tblLayout w:type="fixed"/>
        <w:tblCellMar>
          <w:left w:w="70" w:type="dxa"/>
          <w:right w:w="70" w:type="dxa"/>
        </w:tblCellMar>
        <w:tblLook w:val="04A0" w:firstRow="1" w:lastRow="0" w:firstColumn="1" w:lastColumn="0" w:noHBand="0" w:noVBand="1"/>
      </w:tblPr>
      <w:tblGrid>
        <w:gridCol w:w="3173"/>
        <w:gridCol w:w="948"/>
        <w:gridCol w:w="1076"/>
        <w:gridCol w:w="945"/>
        <w:gridCol w:w="1075"/>
        <w:gridCol w:w="945"/>
        <w:gridCol w:w="1071"/>
      </w:tblGrid>
      <w:tr w:rsidR="008B253F" w:rsidRPr="007344E0" w:rsidTr="008B253F">
        <w:trPr>
          <w:trHeight w:val="287"/>
          <w:tblHeader/>
        </w:trPr>
        <w:tc>
          <w:tcPr>
            <w:tcW w:w="1718" w:type="pct"/>
            <w:vMerge w:val="restart"/>
            <w:tcBorders>
              <w:top w:val="single" w:sz="4" w:space="0" w:color="auto"/>
            </w:tcBorders>
            <w:shd w:val="clear" w:color="auto" w:fill="auto"/>
            <w:vAlign w:val="center"/>
            <w:hideMark/>
          </w:tcPr>
          <w:p w:rsidR="008B253F" w:rsidRPr="007344E0" w:rsidRDefault="008B253F" w:rsidP="004F30D0">
            <w:pPr>
              <w:spacing w:after="0"/>
              <w:jc w:val="center"/>
              <w:rPr>
                <w:rFonts w:eastAsia="Times New Roman" w:cs="Times New Roman"/>
                <w:b/>
                <w:bCs/>
                <w:sz w:val="20"/>
                <w:szCs w:val="20"/>
              </w:rPr>
            </w:pPr>
            <w:r w:rsidRPr="007344E0">
              <w:rPr>
                <w:rFonts w:eastAsia="Times New Roman" w:cs="Times New Roman"/>
                <w:b/>
                <w:bCs/>
                <w:sz w:val="20"/>
                <w:szCs w:val="20"/>
              </w:rPr>
              <w:t xml:space="preserve">Показатели </w:t>
            </w:r>
            <w:r w:rsidRPr="007344E0">
              <w:rPr>
                <w:rFonts w:eastAsia="Times New Roman" w:cs="Times New Roman"/>
                <w:b/>
                <w:bCs/>
                <w:sz w:val="20"/>
                <w:szCs w:val="20"/>
              </w:rPr>
              <w:br/>
              <w:t>млн. лв.</w:t>
            </w:r>
          </w:p>
        </w:tc>
        <w:tc>
          <w:tcPr>
            <w:tcW w:w="1095" w:type="pct"/>
            <w:gridSpan w:val="2"/>
            <w:tcBorders>
              <w:top w:val="single" w:sz="4" w:space="0" w:color="auto"/>
              <w:bottom w:val="single" w:sz="4" w:space="0" w:color="auto"/>
            </w:tcBorders>
            <w:shd w:val="clear" w:color="auto" w:fill="auto"/>
            <w:noWrap/>
            <w:vAlign w:val="bottom"/>
            <w:hideMark/>
          </w:tcPr>
          <w:p w:rsidR="008B253F" w:rsidRPr="007344E0" w:rsidRDefault="008B253F" w:rsidP="004F30D0">
            <w:pPr>
              <w:spacing w:after="0"/>
              <w:jc w:val="center"/>
              <w:rPr>
                <w:rFonts w:eastAsia="Times New Roman" w:cs="Times New Roman"/>
                <w:b/>
                <w:bCs/>
                <w:sz w:val="20"/>
                <w:szCs w:val="20"/>
              </w:rPr>
            </w:pPr>
            <w:r w:rsidRPr="007344E0">
              <w:rPr>
                <w:rFonts w:eastAsia="Times New Roman" w:cs="Times New Roman"/>
                <w:b/>
                <w:bCs/>
                <w:sz w:val="20"/>
                <w:szCs w:val="20"/>
              </w:rPr>
              <w:t>2024</w:t>
            </w:r>
          </w:p>
        </w:tc>
        <w:tc>
          <w:tcPr>
            <w:tcW w:w="1094" w:type="pct"/>
            <w:gridSpan w:val="2"/>
            <w:tcBorders>
              <w:top w:val="single" w:sz="4" w:space="0" w:color="auto"/>
              <w:bottom w:val="single" w:sz="4" w:space="0" w:color="auto"/>
            </w:tcBorders>
            <w:shd w:val="clear" w:color="auto" w:fill="auto"/>
            <w:noWrap/>
            <w:vAlign w:val="bottom"/>
            <w:hideMark/>
          </w:tcPr>
          <w:p w:rsidR="008B253F" w:rsidRPr="007344E0" w:rsidRDefault="008B253F" w:rsidP="004F30D0">
            <w:pPr>
              <w:spacing w:after="0"/>
              <w:jc w:val="center"/>
              <w:rPr>
                <w:rFonts w:eastAsia="Times New Roman" w:cs="Times New Roman"/>
                <w:b/>
                <w:bCs/>
                <w:sz w:val="20"/>
                <w:szCs w:val="20"/>
              </w:rPr>
            </w:pPr>
            <w:r w:rsidRPr="007344E0">
              <w:rPr>
                <w:rFonts w:eastAsia="Times New Roman" w:cs="Times New Roman"/>
                <w:b/>
                <w:bCs/>
                <w:sz w:val="20"/>
                <w:szCs w:val="20"/>
              </w:rPr>
              <w:t>2025</w:t>
            </w:r>
          </w:p>
        </w:tc>
        <w:tc>
          <w:tcPr>
            <w:tcW w:w="1092" w:type="pct"/>
            <w:gridSpan w:val="2"/>
            <w:tcBorders>
              <w:top w:val="single" w:sz="4" w:space="0" w:color="auto"/>
              <w:bottom w:val="single" w:sz="4" w:space="0" w:color="auto"/>
            </w:tcBorders>
            <w:shd w:val="clear" w:color="auto" w:fill="auto"/>
            <w:noWrap/>
            <w:vAlign w:val="bottom"/>
            <w:hideMark/>
          </w:tcPr>
          <w:p w:rsidR="008B253F" w:rsidRPr="007344E0" w:rsidRDefault="008B253F" w:rsidP="004F30D0">
            <w:pPr>
              <w:spacing w:after="0"/>
              <w:jc w:val="center"/>
              <w:rPr>
                <w:rFonts w:eastAsia="Times New Roman" w:cs="Times New Roman"/>
                <w:b/>
                <w:bCs/>
                <w:sz w:val="20"/>
                <w:szCs w:val="20"/>
              </w:rPr>
            </w:pPr>
            <w:r w:rsidRPr="007344E0">
              <w:rPr>
                <w:rFonts w:eastAsia="Times New Roman" w:cs="Times New Roman"/>
                <w:b/>
                <w:bCs/>
                <w:sz w:val="20"/>
                <w:szCs w:val="20"/>
              </w:rPr>
              <w:t>2026</w:t>
            </w:r>
          </w:p>
        </w:tc>
      </w:tr>
      <w:tr w:rsidR="008B253F" w:rsidRPr="007344E0" w:rsidTr="008B253F">
        <w:trPr>
          <w:trHeight w:val="1269"/>
          <w:tblHeader/>
        </w:trPr>
        <w:tc>
          <w:tcPr>
            <w:tcW w:w="1718" w:type="pct"/>
            <w:vMerge/>
            <w:tcBorders>
              <w:bottom w:val="single" w:sz="4" w:space="0" w:color="auto"/>
            </w:tcBorders>
            <w:vAlign w:val="center"/>
            <w:hideMark/>
          </w:tcPr>
          <w:p w:rsidR="008B253F" w:rsidRPr="007344E0" w:rsidRDefault="008B253F" w:rsidP="004F30D0">
            <w:pPr>
              <w:spacing w:after="0"/>
              <w:jc w:val="left"/>
              <w:rPr>
                <w:rFonts w:eastAsia="Times New Roman" w:cs="Times New Roman"/>
                <w:b/>
                <w:bCs/>
                <w:sz w:val="20"/>
                <w:szCs w:val="20"/>
              </w:rPr>
            </w:pPr>
          </w:p>
        </w:tc>
        <w:tc>
          <w:tcPr>
            <w:tcW w:w="513" w:type="pct"/>
            <w:tcBorders>
              <w:top w:val="single" w:sz="4" w:space="0" w:color="auto"/>
              <w:bottom w:val="single" w:sz="4" w:space="0" w:color="auto"/>
            </w:tcBorders>
            <w:shd w:val="clear" w:color="auto" w:fill="auto"/>
            <w:hideMark/>
          </w:tcPr>
          <w:p w:rsidR="008B253F" w:rsidRPr="008B253F" w:rsidRDefault="008B253F" w:rsidP="004F30D0">
            <w:pPr>
              <w:spacing w:after="0"/>
              <w:jc w:val="center"/>
              <w:rPr>
                <w:rFonts w:eastAsia="Times New Roman" w:cs="Times New Roman"/>
                <w:b/>
                <w:bCs/>
                <w:sz w:val="18"/>
                <w:szCs w:val="18"/>
              </w:rPr>
            </w:pPr>
            <w:r w:rsidRPr="008B253F">
              <w:rPr>
                <w:rFonts w:eastAsia="Times New Roman" w:cs="Times New Roman"/>
                <w:b/>
                <w:bCs/>
                <w:sz w:val="18"/>
                <w:szCs w:val="18"/>
              </w:rPr>
              <w:t>Базисен сценарий</w:t>
            </w:r>
          </w:p>
        </w:tc>
        <w:tc>
          <w:tcPr>
            <w:tcW w:w="582" w:type="pct"/>
            <w:tcBorders>
              <w:top w:val="single" w:sz="4" w:space="0" w:color="auto"/>
              <w:bottom w:val="single" w:sz="4" w:space="0" w:color="auto"/>
            </w:tcBorders>
            <w:shd w:val="clear" w:color="auto" w:fill="auto"/>
            <w:hideMark/>
          </w:tcPr>
          <w:p w:rsidR="008B253F" w:rsidRPr="008B253F" w:rsidRDefault="008B253F" w:rsidP="004F30D0">
            <w:pPr>
              <w:spacing w:after="0"/>
              <w:jc w:val="center"/>
              <w:rPr>
                <w:rFonts w:eastAsia="Times New Roman" w:cs="Times New Roman"/>
                <w:b/>
                <w:bCs/>
                <w:sz w:val="18"/>
                <w:szCs w:val="18"/>
              </w:rPr>
            </w:pPr>
            <w:r w:rsidRPr="008B253F">
              <w:rPr>
                <w:rFonts w:eastAsia="Times New Roman" w:cs="Times New Roman"/>
                <w:b/>
                <w:bCs/>
                <w:sz w:val="18"/>
                <w:szCs w:val="18"/>
              </w:rPr>
              <w:t>Изменение спрямо основния сценарий,</w:t>
            </w:r>
            <w:r w:rsidRPr="008B253F">
              <w:rPr>
                <w:rFonts w:eastAsia="Times New Roman" w:cs="Times New Roman"/>
                <w:b/>
                <w:bCs/>
                <w:sz w:val="18"/>
                <w:szCs w:val="18"/>
              </w:rPr>
              <w:br/>
              <w:t>%</w:t>
            </w:r>
          </w:p>
        </w:tc>
        <w:tc>
          <w:tcPr>
            <w:tcW w:w="512" w:type="pct"/>
            <w:tcBorders>
              <w:top w:val="single" w:sz="4" w:space="0" w:color="auto"/>
              <w:bottom w:val="single" w:sz="4" w:space="0" w:color="auto"/>
            </w:tcBorders>
            <w:shd w:val="clear" w:color="auto" w:fill="auto"/>
            <w:hideMark/>
          </w:tcPr>
          <w:p w:rsidR="008B253F" w:rsidRPr="008B253F" w:rsidRDefault="008B253F" w:rsidP="004F30D0">
            <w:pPr>
              <w:spacing w:after="0"/>
              <w:jc w:val="center"/>
              <w:rPr>
                <w:rFonts w:eastAsia="Times New Roman" w:cs="Times New Roman"/>
                <w:b/>
                <w:bCs/>
                <w:sz w:val="18"/>
                <w:szCs w:val="18"/>
              </w:rPr>
            </w:pPr>
            <w:r w:rsidRPr="008B253F">
              <w:rPr>
                <w:rFonts w:eastAsia="Times New Roman" w:cs="Times New Roman"/>
                <w:b/>
                <w:bCs/>
                <w:sz w:val="18"/>
                <w:szCs w:val="18"/>
              </w:rPr>
              <w:t>Базисен сценарий</w:t>
            </w:r>
          </w:p>
        </w:tc>
        <w:tc>
          <w:tcPr>
            <w:tcW w:w="582" w:type="pct"/>
            <w:tcBorders>
              <w:top w:val="single" w:sz="4" w:space="0" w:color="auto"/>
              <w:bottom w:val="single" w:sz="4" w:space="0" w:color="auto"/>
            </w:tcBorders>
            <w:shd w:val="clear" w:color="auto" w:fill="auto"/>
            <w:hideMark/>
          </w:tcPr>
          <w:p w:rsidR="008B253F" w:rsidRPr="008B253F" w:rsidRDefault="008B253F" w:rsidP="004F30D0">
            <w:pPr>
              <w:spacing w:after="0"/>
              <w:jc w:val="center"/>
              <w:rPr>
                <w:rFonts w:eastAsia="Times New Roman" w:cs="Times New Roman"/>
                <w:b/>
                <w:bCs/>
                <w:sz w:val="18"/>
                <w:szCs w:val="18"/>
              </w:rPr>
            </w:pPr>
            <w:r w:rsidRPr="008B253F">
              <w:rPr>
                <w:rFonts w:eastAsia="Times New Roman" w:cs="Times New Roman"/>
                <w:b/>
                <w:bCs/>
                <w:sz w:val="18"/>
                <w:szCs w:val="18"/>
              </w:rPr>
              <w:t>Изменение спрямо основния сценарий,</w:t>
            </w:r>
            <w:r w:rsidRPr="008B253F">
              <w:rPr>
                <w:rFonts w:eastAsia="Times New Roman" w:cs="Times New Roman"/>
                <w:b/>
                <w:bCs/>
                <w:sz w:val="18"/>
                <w:szCs w:val="18"/>
              </w:rPr>
              <w:br/>
              <w:t>%</w:t>
            </w:r>
          </w:p>
        </w:tc>
        <w:tc>
          <w:tcPr>
            <w:tcW w:w="512" w:type="pct"/>
            <w:tcBorders>
              <w:top w:val="single" w:sz="4" w:space="0" w:color="auto"/>
              <w:bottom w:val="single" w:sz="4" w:space="0" w:color="auto"/>
            </w:tcBorders>
            <w:shd w:val="clear" w:color="auto" w:fill="auto"/>
            <w:hideMark/>
          </w:tcPr>
          <w:p w:rsidR="008B253F" w:rsidRPr="008B253F" w:rsidRDefault="008B253F" w:rsidP="004F30D0">
            <w:pPr>
              <w:spacing w:after="0"/>
              <w:jc w:val="center"/>
              <w:rPr>
                <w:rFonts w:eastAsia="Times New Roman" w:cs="Times New Roman"/>
                <w:b/>
                <w:bCs/>
                <w:sz w:val="18"/>
                <w:szCs w:val="18"/>
              </w:rPr>
            </w:pPr>
            <w:r w:rsidRPr="008B253F">
              <w:rPr>
                <w:rFonts w:eastAsia="Times New Roman" w:cs="Times New Roman"/>
                <w:b/>
                <w:bCs/>
                <w:sz w:val="18"/>
                <w:szCs w:val="18"/>
              </w:rPr>
              <w:t>Базисен сценарий</w:t>
            </w:r>
          </w:p>
        </w:tc>
        <w:tc>
          <w:tcPr>
            <w:tcW w:w="580" w:type="pct"/>
            <w:tcBorders>
              <w:top w:val="single" w:sz="4" w:space="0" w:color="auto"/>
              <w:bottom w:val="single" w:sz="4" w:space="0" w:color="auto"/>
            </w:tcBorders>
            <w:shd w:val="clear" w:color="auto" w:fill="auto"/>
            <w:hideMark/>
          </w:tcPr>
          <w:p w:rsidR="008B253F" w:rsidRPr="008B253F" w:rsidRDefault="008B253F" w:rsidP="004F30D0">
            <w:pPr>
              <w:spacing w:after="0"/>
              <w:jc w:val="center"/>
              <w:rPr>
                <w:rFonts w:eastAsia="Times New Roman" w:cs="Times New Roman"/>
                <w:b/>
                <w:bCs/>
                <w:sz w:val="18"/>
                <w:szCs w:val="18"/>
              </w:rPr>
            </w:pPr>
            <w:r w:rsidRPr="008B253F">
              <w:rPr>
                <w:rFonts w:eastAsia="Times New Roman" w:cs="Times New Roman"/>
                <w:b/>
                <w:bCs/>
                <w:sz w:val="18"/>
                <w:szCs w:val="18"/>
              </w:rPr>
              <w:t>Изменение спрямо основния сценарий,</w:t>
            </w:r>
            <w:r w:rsidRPr="008B253F">
              <w:rPr>
                <w:rFonts w:eastAsia="Times New Roman" w:cs="Times New Roman"/>
                <w:b/>
                <w:bCs/>
                <w:sz w:val="18"/>
                <w:szCs w:val="18"/>
              </w:rPr>
              <w:br/>
              <w:t>%</w:t>
            </w:r>
          </w:p>
        </w:tc>
      </w:tr>
      <w:tr w:rsidR="008B253F" w:rsidRPr="00307CDB" w:rsidTr="008B253F">
        <w:trPr>
          <w:trHeight w:val="503"/>
        </w:trPr>
        <w:tc>
          <w:tcPr>
            <w:tcW w:w="1718" w:type="pct"/>
            <w:tcBorders>
              <w:top w:val="single" w:sz="4" w:space="0" w:color="auto"/>
            </w:tcBorders>
            <w:shd w:val="clear" w:color="auto" w:fill="auto"/>
            <w:hideMark/>
          </w:tcPr>
          <w:p w:rsidR="008B253F" w:rsidRPr="007344E0" w:rsidRDefault="008B253F" w:rsidP="004F30D0">
            <w:pPr>
              <w:spacing w:after="0"/>
              <w:jc w:val="left"/>
              <w:rPr>
                <w:rFonts w:eastAsia="Times New Roman" w:cs="Times New Roman"/>
                <w:sz w:val="20"/>
                <w:szCs w:val="20"/>
              </w:rPr>
            </w:pPr>
            <w:r w:rsidRPr="007344E0">
              <w:rPr>
                <w:rFonts w:eastAsia="Times New Roman" w:cs="Times New Roman"/>
                <w:sz w:val="20"/>
                <w:szCs w:val="20"/>
              </w:rPr>
              <w:t>1. Данъци върху производството и вноса</w:t>
            </w:r>
          </w:p>
        </w:tc>
        <w:tc>
          <w:tcPr>
            <w:tcW w:w="513" w:type="pct"/>
            <w:tcBorders>
              <w:top w:val="single" w:sz="4" w:space="0" w:color="auto"/>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29 141,4</w:t>
            </w:r>
          </w:p>
        </w:tc>
        <w:tc>
          <w:tcPr>
            <w:tcW w:w="582" w:type="pct"/>
            <w:tcBorders>
              <w:top w:val="single" w:sz="4" w:space="0" w:color="auto"/>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4,8%</w:t>
            </w:r>
          </w:p>
        </w:tc>
        <w:tc>
          <w:tcPr>
            <w:tcW w:w="512" w:type="pct"/>
            <w:tcBorders>
              <w:top w:val="single" w:sz="4" w:space="0" w:color="auto"/>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29 965,3</w:t>
            </w:r>
          </w:p>
        </w:tc>
        <w:tc>
          <w:tcPr>
            <w:tcW w:w="582" w:type="pct"/>
            <w:tcBorders>
              <w:top w:val="single" w:sz="4" w:space="0" w:color="auto"/>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4,1%</w:t>
            </w:r>
          </w:p>
        </w:tc>
        <w:tc>
          <w:tcPr>
            <w:tcW w:w="512" w:type="pct"/>
            <w:tcBorders>
              <w:top w:val="single" w:sz="4" w:space="0" w:color="auto"/>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32 191,6</w:t>
            </w:r>
          </w:p>
        </w:tc>
        <w:tc>
          <w:tcPr>
            <w:tcW w:w="580" w:type="pct"/>
            <w:tcBorders>
              <w:top w:val="single" w:sz="4" w:space="0" w:color="auto"/>
              <w:left w:val="nil"/>
              <w:bottom w:val="nil"/>
            </w:tcBorders>
            <w:shd w:val="clear" w:color="auto" w:fill="auto"/>
            <w:noWrap/>
            <w:hideMark/>
          </w:tcPr>
          <w:p w:rsidR="008B253F" w:rsidRPr="00314927" w:rsidRDefault="008B253F" w:rsidP="008B253F">
            <w:pPr>
              <w:jc w:val="right"/>
              <w:rPr>
                <w:sz w:val="20"/>
                <w:szCs w:val="20"/>
              </w:rPr>
            </w:pPr>
            <w:r w:rsidRPr="00314927">
              <w:rPr>
                <w:sz w:val="20"/>
                <w:szCs w:val="20"/>
              </w:rPr>
              <w:t>6,4%</w:t>
            </w:r>
          </w:p>
        </w:tc>
      </w:tr>
      <w:tr w:rsidR="008B253F" w:rsidRPr="00307CDB" w:rsidTr="008B253F">
        <w:trPr>
          <w:trHeight w:val="503"/>
        </w:trPr>
        <w:tc>
          <w:tcPr>
            <w:tcW w:w="1718" w:type="pct"/>
            <w:shd w:val="clear" w:color="auto" w:fill="auto"/>
            <w:hideMark/>
          </w:tcPr>
          <w:p w:rsidR="008B253F" w:rsidRPr="007344E0" w:rsidRDefault="008B253F" w:rsidP="004F30D0">
            <w:pPr>
              <w:spacing w:after="0"/>
              <w:jc w:val="left"/>
              <w:rPr>
                <w:rFonts w:eastAsia="Times New Roman" w:cs="Times New Roman"/>
                <w:sz w:val="20"/>
                <w:szCs w:val="20"/>
              </w:rPr>
            </w:pPr>
            <w:r w:rsidRPr="007344E0">
              <w:rPr>
                <w:rFonts w:eastAsia="Times New Roman" w:cs="Times New Roman"/>
                <w:sz w:val="20"/>
                <w:szCs w:val="20"/>
              </w:rPr>
              <w:t>2. Текущи данъци върху доходите, богатството и др.</w:t>
            </w:r>
          </w:p>
        </w:tc>
        <w:tc>
          <w:tcPr>
            <w:tcW w:w="513"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12 849,6</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6,5%</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14 432,0</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8,2%</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15 566,2</w:t>
            </w:r>
          </w:p>
        </w:tc>
        <w:tc>
          <w:tcPr>
            <w:tcW w:w="580" w:type="pct"/>
            <w:tcBorders>
              <w:top w:val="nil"/>
              <w:left w:val="nil"/>
              <w:bottom w:val="nil"/>
            </w:tcBorders>
            <w:shd w:val="clear" w:color="auto" w:fill="auto"/>
            <w:noWrap/>
            <w:hideMark/>
          </w:tcPr>
          <w:p w:rsidR="008B253F" w:rsidRPr="00314927" w:rsidRDefault="008B253F" w:rsidP="008B253F">
            <w:pPr>
              <w:jc w:val="right"/>
              <w:rPr>
                <w:sz w:val="20"/>
                <w:szCs w:val="20"/>
              </w:rPr>
            </w:pPr>
            <w:r w:rsidRPr="00314927">
              <w:rPr>
                <w:sz w:val="20"/>
                <w:szCs w:val="20"/>
              </w:rPr>
              <w:t>7,9%</w:t>
            </w:r>
          </w:p>
        </w:tc>
      </w:tr>
      <w:tr w:rsidR="008B253F" w:rsidRPr="00307CDB" w:rsidTr="008B253F">
        <w:trPr>
          <w:trHeight w:val="503"/>
        </w:trPr>
        <w:tc>
          <w:tcPr>
            <w:tcW w:w="1718" w:type="pct"/>
            <w:shd w:val="clear" w:color="auto" w:fill="auto"/>
            <w:hideMark/>
          </w:tcPr>
          <w:p w:rsidR="008B253F" w:rsidRPr="007344E0" w:rsidRDefault="008B253F" w:rsidP="004F30D0">
            <w:pPr>
              <w:spacing w:after="0"/>
              <w:jc w:val="left"/>
              <w:rPr>
                <w:rFonts w:eastAsia="Times New Roman" w:cs="Times New Roman"/>
                <w:i/>
                <w:iCs/>
                <w:sz w:val="20"/>
                <w:szCs w:val="20"/>
              </w:rPr>
            </w:pPr>
            <w:r w:rsidRPr="007344E0">
              <w:rPr>
                <w:rFonts w:eastAsia="Times New Roman" w:cs="Times New Roman"/>
                <w:i/>
                <w:iCs/>
                <w:sz w:val="20"/>
                <w:szCs w:val="20"/>
              </w:rPr>
              <w:t xml:space="preserve"> 2a. - в т.ч. платени от домакинствата</w:t>
            </w:r>
          </w:p>
        </w:tc>
        <w:tc>
          <w:tcPr>
            <w:tcW w:w="513"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7 278,8</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11,9%</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7 864,3</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8,3%</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8 398,5</w:t>
            </w:r>
          </w:p>
        </w:tc>
        <w:tc>
          <w:tcPr>
            <w:tcW w:w="580" w:type="pct"/>
            <w:tcBorders>
              <w:top w:val="nil"/>
              <w:left w:val="nil"/>
              <w:bottom w:val="nil"/>
            </w:tcBorders>
            <w:shd w:val="clear" w:color="auto" w:fill="auto"/>
            <w:noWrap/>
            <w:hideMark/>
          </w:tcPr>
          <w:p w:rsidR="008B253F" w:rsidRPr="00314927" w:rsidRDefault="008B253F" w:rsidP="008B253F">
            <w:pPr>
              <w:jc w:val="right"/>
              <w:rPr>
                <w:sz w:val="20"/>
                <w:szCs w:val="20"/>
              </w:rPr>
            </w:pPr>
            <w:r w:rsidRPr="00314927">
              <w:rPr>
                <w:sz w:val="20"/>
                <w:szCs w:val="20"/>
              </w:rPr>
              <w:t>6,8%</w:t>
            </w:r>
          </w:p>
        </w:tc>
      </w:tr>
      <w:tr w:rsidR="008B253F" w:rsidRPr="00307CDB" w:rsidTr="008B253F">
        <w:trPr>
          <w:trHeight w:val="287"/>
        </w:trPr>
        <w:tc>
          <w:tcPr>
            <w:tcW w:w="1718" w:type="pct"/>
            <w:shd w:val="clear" w:color="auto" w:fill="auto"/>
            <w:hideMark/>
          </w:tcPr>
          <w:p w:rsidR="008B253F" w:rsidRPr="007344E0" w:rsidRDefault="008B253F" w:rsidP="004F30D0">
            <w:pPr>
              <w:spacing w:after="0"/>
              <w:jc w:val="left"/>
              <w:rPr>
                <w:rFonts w:eastAsia="Times New Roman" w:cs="Times New Roman"/>
                <w:i/>
                <w:iCs/>
                <w:sz w:val="20"/>
                <w:szCs w:val="20"/>
              </w:rPr>
            </w:pPr>
            <w:r w:rsidRPr="007344E0">
              <w:rPr>
                <w:rFonts w:eastAsia="Times New Roman" w:cs="Times New Roman"/>
                <w:i/>
                <w:iCs/>
                <w:sz w:val="20"/>
                <w:szCs w:val="20"/>
              </w:rPr>
              <w:t xml:space="preserve"> 2b. - в т.ч. платени от фирмите</w:t>
            </w:r>
          </w:p>
        </w:tc>
        <w:tc>
          <w:tcPr>
            <w:tcW w:w="513"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5 570,8</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0,1%</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6 567,7</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8,2%</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7 167,7</w:t>
            </w:r>
          </w:p>
        </w:tc>
        <w:tc>
          <w:tcPr>
            <w:tcW w:w="580" w:type="pct"/>
            <w:tcBorders>
              <w:top w:val="nil"/>
              <w:left w:val="nil"/>
              <w:bottom w:val="nil"/>
            </w:tcBorders>
            <w:shd w:val="clear" w:color="auto" w:fill="auto"/>
            <w:noWrap/>
            <w:hideMark/>
          </w:tcPr>
          <w:p w:rsidR="008B253F" w:rsidRPr="00314927" w:rsidRDefault="008B253F" w:rsidP="008B253F">
            <w:pPr>
              <w:jc w:val="right"/>
              <w:rPr>
                <w:sz w:val="20"/>
                <w:szCs w:val="20"/>
              </w:rPr>
            </w:pPr>
            <w:r w:rsidRPr="00314927">
              <w:rPr>
                <w:sz w:val="20"/>
                <w:szCs w:val="20"/>
              </w:rPr>
              <w:t>9,1%</w:t>
            </w:r>
          </w:p>
        </w:tc>
      </w:tr>
      <w:tr w:rsidR="008B253F" w:rsidRPr="00307CDB" w:rsidTr="008B253F">
        <w:trPr>
          <w:trHeight w:val="287"/>
        </w:trPr>
        <w:tc>
          <w:tcPr>
            <w:tcW w:w="1718" w:type="pct"/>
            <w:shd w:val="clear" w:color="auto" w:fill="auto"/>
            <w:hideMark/>
          </w:tcPr>
          <w:p w:rsidR="008B253F" w:rsidRPr="007344E0" w:rsidRDefault="008B253F" w:rsidP="004F30D0">
            <w:pPr>
              <w:spacing w:after="0"/>
              <w:jc w:val="left"/>
              <w:rPr>
                <w:rFonts w:eastAsia="Times New Roman" w:cs="Times New Roman"/>
                <w:sz w:val="20"/>
                <w:szCs w:val="20"/>
              </w:rPr>
            </w:pPr>
            <w:r w:rsidRPr="007344E0">
              <w:rPr>
                <w:rFonts w:eastAsia="Times New Roman" w:cs="Times New Roman"/>
                <w:sz w:val="20"/>
                <w:szCs w:val="20"/>
              </w:rPr>
              <w:t>3. Социално-осигурителни вноски</w:t>
            </w:r>
          </w:p>
        </w:tc>
        <w:tc>
          <w:tcPr>
            <w:tcW w:w="513"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17 568,8</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12,1%</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19 078,1</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6,8%</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20 905,6</w:t>
            </w:r>
          </w:p>
        </w:tc>
        <w:tc>
          <w:tcPr>
            <w:tcW w:w="580" w:type="pct"/>
            <w:tcBorders>
              <w:top w:val="nil"/>
              <w:left w:val="nil"/>
              <w:bottom w:val="nil"/>
            </w:tcBorders>
            <w:shd w:val="clear" w:color="auto" w:fill="auto"/>
            <w:noWrap/>
            <w:hideMark/>
          </w:tcPr>
          <w:p w:rsidR="008B253F" w:rsidRPr="00314927" w:rsidRDefault="008B253F" w:rsidP="008B253F">
            <w:pPr>
              <w:jc w:val="right"/>
              <w:rPr>
                <w:sz w:val="20"/>
                <w:szCs w:val="20"/>
              </w:rPr>
            </w:pPr>
            <w:r w:rsidRPr="00314927">
              <w:rPr>
                <w:sz w:val="20"/>
                <w:szCs w:val="20"/>
              </w:rPr>
              <w:t>8,0%</w:t>
            </w:r>
          </w:p>
        </w:tc>
      </w:tr>
      <w:tr w:rsidR="008B253F" w:rsidRPr="00307CDB" w:rsidTr="008B253F">
        <w:trPr>
          <w:trHeight w:val="503"/>
        </w:trPr>
        <w:tc>
          <w:tcPr>
            <w:tcW w:w="1718" w:type="pct"/>
            <w:shd w:val="clear" w:color="auto" w:fill="auto"/>
            <w:hideMark/>
          </w:tcPr>
          <w:p w:rsidR="008B253F" w:rsidRPr="007344E0" w:rsidRDefault="008B253F" w:rsidP="004F30D0">
            <w:pPr>
              <w:spacing w:after="0"/>
              <w:jc w:val="left"/>
              <w:rPr>
                <w:rFonts w:eastAsia="Times New Roman" w:cs="Times New Roman"/>
                <w:i/>
                <w:iCs/>
                <w:sz w:val="20"/>
                <w:szCs w:val="20"/>
              </w:rPr>
            </w:pPr>
            <w:r w:rsidRPr="007344E0">
              <w:rPr>
                <w:rFonts w:eastAsia="Times New Roman" w:cs="Times New Roman"/>
                <w:i/>
                <w:iCs/>
                <w:sz w:val="20"/>
                <w:szCs w:val="20"/>
              </w:rPr>
              <w:t xml:space="preserve"> 3a. - в т.ч. действително платени вноски</w:t>
            </w:r>
          </w:p>
        </w:tc>
        <w:tc>
          <w:tcPr>
            <w:tcW w:w="513"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17 568,8</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12,1%</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19 078,1</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6,8%</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20 905,6</w:t>
            </w:r>
          </w:p>
        </w:tc>
        <w:tc>
          <w:tcPr>
            <w:tcW w:w="580" w:type="pct"/>
            <w:tcBorders>
              <w:top w:val="nil"/>
              <w:left w:val="nil"/>
              <w:bottom w:val="nil"/>
            </w:tcBorders>
            <w:shd w:val="clear" w:color="auto" w:fill="auto"/>
            <w:noWrap/>
            <w:hideMark/>
          </w:tcPr>
          <w:p w:rsidR="008B253F" w:rsidRPr="00314927" w:rsidRDefault="008B253F" w:rsidP="008B253F">
            <w:pPr>
              <w:jc w:val="right"/>
              <w:rPr>
                <w:sz w:val="20"/>
                <w:szCs w:val="20"/>
              </w:rPr>
            </w:pPr>
            <w:r w:rsidRPr="00314927">
              <w:rPr>
                <w:sz w:val="20"/>
                <w:szCs w:val="20"/>
              </w:rPr>
              <w:t>8,0%</w:t>
            </w:r>
          </w:p>
        </w:tc>
      </w:tr>
      <w:tr w:rsidR="008B253F" w:rsidRPr="00307CDB" w:rsidTr="008B253F">
        <w:trPr>
          <w:trHeight w:val="503"/>
        </w:trPr>
        <w:tc>
          <w:tcPr>
            <w:tcW w:w="1718" w:type="pct"/>
            <w:shd w:val="clear" w:color="auto" w:fill="auto"/>
            <w:hideMark/>
          </w:tcPr>
          <w:p w:rsidR="008B253F" w:rsidRPr="007344E0" w:rsidRDefault="008B253F" w:rsidP="004F30D0">
            <w:pPr>
              <w:spacing w:after="0"/>
              <w:jc w:val="left"/>
              <w:rPr>
                <w:rFonts w:eastAsia="Times New Roman" w:cs="Times New Roman"/>
                <w:sz w:val="20"/>
                <w:szCs w:val="20"/>
              </w:rPr>
            </w:pPr>
            <w:r w:rsidRPr="007344E0">
              <w:rPr>
                <w:rFonts w:eastAsia="Times New Roman" w:cs="Times New Roman"/>
                <w:sz w:val="20"/>
                <w:szCs w:val="20"/>
              </w:rPr>
              <w:t>4. Други приходи, вкл. приходи от продажби</w:t>
            </w:r>
          </w:p>
        </w:tc>
        <w:tc>
          <w:tcPr>
            <w:tcW w:w="513"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10 360,7</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18,5%</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10 992,3</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11,0%</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11 750,8</w:t>
            </w:r>
          </w:p>
        </w:tc>
        <w:tc>
          <w:tcPr>
            <w:tcW w:w="580" w:type="pct"/>
            <w:tcBorders>
              <w:top w:val="nil"/>
              <w:left w:val="nil"/>
              <w:bottom w:val="nil"/>
            </w:tcBorders>
            <w:shd w:val="clear" w:color="auto" w:fill="auto"/>
            <w:noWrap/>
            <w:hideMark/>
          </w:tcPr>
          <w:p w:rsidR="008B253F" w:rsidRPr="00314927" w:rsidRDefault="008B253F" w:rsidP="008B253F">
            <w:pPr>
              <w:jc w:val="right"/>
              <w:rPr>
                <w:sz w:val="20"/>
                <w:szCs w:val="20"/>
              </w:rPr>
            </w:pPr>
            <w:r w:rsidRPr="00314927">
              <w:rPr>
                <w:sz w:val="20"/>
                <w:szCs w:val="20"/>
              </w:rPr>
              <w:t>6,5%</w:t>
            </w:r>
          </w:p>
        </w:tc>
      </w:tr>
      <w:tr w:rsidR="008B253F" w:rsidRPr="00307CDB" w:rsidTr="008B253F">
        <w:trPr>
          <w:trHeight w:val="287"/>
        </w:trPr>
        <w:tc>
          <w:tcPr>
            <w:tcW w:w="1718" w:type="pct"/>
            <w:shd w:val="clear" w:color="auto" w:fill="auto"/>
            <w:hideMark/>
          </w:tcPr>
          <w:p w:rsidR="008B253F" w:rsidRPr="007344E0" w:rsidRDefault="008B253F" w:rsidP="004F30D0">
            <w:pPr>
              <w:spacing w:after="0"/>
              <w:jc w:val="left"/>
              <w:rPr>
                <w:rFonts w:eastAsia="Times New Roman" w:cs="Times New Roman"/>
                <w:b/>
                <w:bCs/>
                <w:sz w:val="20"/>
                <w:szCs w:val="20"/>
              </w:rPr>
            </w:pPr>
            <w:r w:rsidRPr="007344E0">
              <w:rPr>
                <w:rFonts w:eastAsia="Times New Roman" w:cs="Times New Roman"/>
                <w:b/>
                <w:bCs/>
                <w:sz w:val="20"/>
                <w:szCs w:val="20"/>
              </w:rPr>
              <w:t xml:space="preserve">5. Общо текущи приходи </w:t>
            </w:r>
          </w:p>
        </w:tc>
        <w:tc>
          <w:tcPr>
            <w:tcW w:w="513" w:type="pct"/>
            <w:tcBorders>
              <w:top w:val="nil"/>
              <w:left w:val="nil"/>
              <w:bottom w:val="nil"/>
              <w:right w:val="nil"/>
            </w:tcBorders>
            <w:shd w:val="clear" w:color="auto" w:fill="auto"/>
            <w:noWrap/>
            <w:hideMark/>
          </w:tcPr>
          <w:p w:rsidR="008B253F" w:rsidRPr="00314927" w:rsidRDefault="008B253F" w:rsidP="008B253F">
            <w:pPr>
              <w:jc w:val="right"/>
              <w:rPr>
                <w:b/>
                <w:sz w:val="20"/>
                <w:szCs w:val="20"/>
              </w:rPr>
            </w:pPr>
            <w:r w:rsidRPr="00314927">
              <w:rPr>
                <w:b/>
                <w:sz w:val="20"/>
                <w:szCs w:val="20"/>
              </w:rPr>
              <w:t>69 920,6</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b/>
                <w:sz w:val="20"/>
                <w:szCs w:val="20"/>
              </w:rPr>
            </w:pPr>
            <w:r w:rsidRPr="00314927">
              <w:rPr>
                <w:b/>
                <w:sz w:val="20"/>
                <w:szCs w:val="20"/>
              </w:rPr>
              <w:t>8,8%</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b/>
                <w:sz w:val="20"/>
                <w:szCs w:val="20"/>
              </w:rPr>
            </w:pPr>
            <w:r w:rsidRPr="00314927">
              <w:rPr>
                <w:b/>
                <w:sz w:val="20"/>
                <w:szCs w:val="20"/>
              </w:rPr>
              <w:t>74 467,8</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b/>
                <w:sz w:val="20"/>
                <w:szCs w:val="20"/>
              </w:rPr>
            </w:pPr>
            <w:r w:rsidRPr="00314927">
              <w:rPr>
                <w:b/>
                <w:sz w:val="20"/>
                <w:szCs w:val="20"/>
              </w:rPr>
              <w:t>6,6%</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b/>
                <w:sz w:val="20"/>
                <w:szCs w:val="20"/>
              </w:rPr>
            </w:pPr>
            <w:r w:rsidRPr="00314927">
              <w:rPr>
                <w:b/>
                <w:sz w:val="20"/>
                <w:szCs w:val="20"/>
              </w:rPr>
              <w:t>80 414,2</w:t>
            </w:r>
          </w:p>
        </w:tc>
        <w:tc>
          <w:tcPr>
            <w:tcW w:w="580" w:type="pct"/>
            <w:tcBorders>
              <w:top w:val="nil"/>
              <w:left w:val="nil"/>
              <w:bottom w:val="nil"/>
            </w:tcBorders>
            <w:shd w:val="clear" w:color="auto" w:fill="auto"/>
            <w:noWrap/>
            <w:hideMark/>
          </w:tcPr>
          <w:p w:rsidR="008B253F" w:rsidRPr="00314927" w:rsidRDefault="008B253F" w:rsidP="008B253F">
            <w:pPr>
              <w:jc w:val="right"/>
              <w:rPr>
                <w:b/>
                <w:sz w:val="20"/>
                <w:szCs w:val="20"/>
              </w:rPr>
            </w:pPr>
            <w:r w:rsidRPr="00314927">
              <w:rPr>
                <w:b/>
                <w:sz w:val="20"/>
                <w:szCs w:val="20"/>
              </w:rPr>
              <w:t>7,1%</w:t>
            </w:r>
          </w:p>
        </w:tc>
      </w:tr>
      <w:tr w:rsidR="008B253F" w:rsidRPr="00307CDB" w:rsidTr="008B253F">
        <w:trPr>
          <w:trHeight w:val="287"/>
        </w:trPr>
        <w:tc>
          <w:tcPr>
            <w:tcW w:w="1718" w:type="pct"/>
            <w:shd w:val="clear" w:color="auto" w:fill="auto"/>
            <w:hideMark/>
          </w:tcPr>
          <w:p w:rsidR="008B253F" w:rsidRPr="007344E0" w:rsidRDefault="008B253F" w:rsidP="004F30D0">
            <w:pPr>
              <w:spacing w:after="0"/>
              <w:jc w:val="left"/>
              <w:rPr>
                <w:rFonts w:eastAsia="Times New Roman" w:cs="Times New Roman"/>
                <w:sz w:val="20"/>
                <w:szCs w:val="20"/>
              </w:rPr>
            </w:pPr>
            <w:r w:rsidRPr="007344E0">
              <w:rPr>
                <w:rFonts w:eastAsia="Times New Roman" w:cs="Times New Roman"/>
                <w:sz w:val="20"/>
                <w:szCs w:val="20"/>
              </w:rPr>
              <w:t>6. Компенсация на наетите лица</w:t>
            </w:r>
          </w:p>
        </w:tc>
        <w:tc>
          <w:tcPr>
            <w:tcW w:w="513"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20 995,4</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10,4%</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22 009,9</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4,7%</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22 962,7</w:t>
            </w:r>
          </w:p>
        </w:tc>
        <w:tc>
          <w:tcPr>
            <w:tcW w:w="580" w:type="pct"/>
            <w:tcBorders>
              <w:top w:val="nil"/>
              <w:left w:val="nil"/>
              <w:bottom w:val="nil"/>
            </w:tcBorders>
            <w:shd w:val="clear" w:color="auto" w:fill="auto"/>
            <w:noWrap/>
            <w:hideMark/>
          </w:tcPr>
          <w:p w:rsidR="008B253F" w:rsidRPr="00314927" w:rsidRDefault="008B253F" w:rsidP="008B253F">
            <w:pPr>
              <w:jc w:val="right"/>
              <w:rPr>
                <w:sz w:val="20"/>
                <w:szCs w:val="20"/>
              </w:rPr>
            </w:pPr>
            <w:r w:rsidRPr="00314927">
              <w:rPr>
                <w:sz w:val="20"/>
                <w:szCs w:val="20"/>
              </w:rPr>
              <w:t>4,1%</w:t>
            </w:r>
          </w:p>
        </w:tc>
      </w:tr>
      <w:tr w:rsidR="008B253F" w:rsidRPr="00307CDB" w:rsidTr="008B253F">
        <w:trPr>
          <w:trHeight w:val="287"/>
        </w:trPr>
        <w:tc>
          <w:tcPr>
            <w:tcW w:w="1718" w:type="pct"/>
            <w:shd w:val="clear" w:color="auto" w:fill="auto"/>
            <w:hideMark/>
          </w:tcPr>
          <w:p w:rsidR="008B253F" w:rsidRPr="007344E0" w:rsidRDefault="008B253F" w:rsidP="004F30D0">
            <w:pPr>
              <w:spacing w:after="0"/>
              <w:jc w:val="left"/>
              <w:rPr>
                <w:rFonts w:eastAsia="Times New Roman" w:cs="Times New Roman"/>
                <w:sz w:val="20"/>
                <w:szCs w:val="20"/>
              </w:rPr>
            </w:pPr>
            <w:r w:rsidRPr="007344E0">
              <w:rPr>
                <w:rFonts w:eastAsia="Times New Roman" w:cs="Times New Roman"/>
                <w:sz w:val="20"/>
                <w:szCs w:val="20"/>
              </w:rPr>
              <w:t>7. Междинно потребление</w:t>
            </w:r>
          </w:p>
        </w:tc>
        <w:tc>
          <w:tcPr>
            <w:tcW w:w="513"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9 396,8</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-6,0%</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8 692,1</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-6,2%</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8 934,6</w:t>
            </w:r>
          </w:p>
        </w:tc>
        <w:tc>
          <w:tcPr>
            <w:tcW w:w="580" w:type="pct"/>
            <w:tcBorders>
              <w:top w:val="nil"/>
              <w:left w:val="nil"/>
              <w:bottom w:val="nil"/>
            </w:tcBorders>
            <w:shd w:val="clear" w:color="auto" w:fill="auto"/>
            <w:noWrap/>
            <w:hideMark/>
          </w:tcPr>
          <w:p w:rsidR="008B253F" w:rsidRPr="00314927" w:rsidRDefault="008B253F" w:rsidP="008B253F">
            <w:pPr>
              <w:jc w:val="right"/>
              <w:rPr>
                <w:sz w:val="20"/>
                <w:szCs w:val="20"/>
              </w:rPr>
            </w:pPr>
            <w:r w:rsidRPr="00314927">
              <w:rPr>
                <w:sz w:val="20"/>
                <w:szCs w:val="20"/>
              </w:rPr>
              <w:t>0,2%</w:t>
            </w:r>
          </w:p>
        </w:tc>
      </w:tr>
      <w:tr w:rsidR="008B253F" w:rsidRPr="00307CDB" w:rsidTr="008B253F">
        <w:trPr>
          <w:trHeight w:val="287"/>
        </w:trPr>
        <w:tc>
          <w:tcPr>
            <w:tcW w:w="1718" w:type="pct"/>
            <w:shd w:val="clear" w:color="auto" w:fill="auto"/>
            <w:hideMark/>
          </w:tcPr>
          <w:p w:rsidR="008B253F" w:rsidRPr="007344E0" w:rsidRDefault="008B253F" w:rsidP="004F30D0">
            <w:pPr>
              <w:spacing w:after="0"/>
              <w:jc w:val="left"/>
              <w:rPr>
                <w:rFonts w:eastAsia="Times New Roman" w:cs="Times New Roman"/>
                <w:sz w:val="20"/>
                <w:szCs w:val="20"/>
              </w:rPr>
            </w:pPr>
            <w:r w:rsidRPr="007344E0">
              <w:rPr>
                <w:rFonts w:eastAsia="Times New Roman" w:cs="Times New Roman"/>
                <w:sz w:val="20"/>
                <w:szCs w:val="20"/>
              </w:rPr>
              <w:t>8. Социални трансфери в натура</w:t>
            </w:r>
          </w:p>
        </w:tc>
        <w:tc>
          <w:tcPr>
            <w:tcW w:w="513"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6 066,8</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23,0%</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6 878,8</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13,5%</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7 506,2</w:t>
            </w:r>
          </w:p>
        </w:tc>
        <w:tc>
          <w:tcPr>
            <w:tcW w:w="580" w:type="pct"/>
            <w:tcBorders>
              <w:top w:val="nil"/>
              <w:left w:val="nil"/>
              <w:bottom w:val="nil"/>
            </w:tcBorders>
            <w:shd w:val="clear" w:color="auto" w:fill="auto"/>
            <w:noWrap/>
            <w:hideMark/>
          </w:tcPr>
          <w:p w:rsidR="008B253F" w:rsidRPr="00314927" w:rsidRDefault="008B253F" w:rsidP="008B253F">
            <w:pPr>
              <w:jc w:val="right"/>
              <w:rPr>
                <w:sz w:val="20"/>
                <w:szCs w:val="20"/>
              </w:rPr>
            </w:pPr>
            <w:r w:rsidRPr="00314927">
              <w:rPr>
                <w:sz w:val="20"/>
                <w:szCs w:val="20"/>
              </w:rPr>
              <w:t>9,2%</w:t>
            </w:r>
          </w:p>
        </w:tc>
      </w:tr>
      <w:tr w:rsidR="008B253F" w:rsidRPr="00307CDB" w:rsidTr="008B253F">
        <w:trPr>
          <w:trHeight w:val="503"/>
        </w:trPr>
        <w:tc>
          <w:tcPr>
            <w:tcW w:w="1718" w:type="pct"/>
            <w:shd w:val="clear" w:color="auto" w:fill="auto"/>
            <w:hideMark/>
          </w:tcPr>
          <w:p w:rsidR="008B253F" w:rsidRPr="007344E0" w:rsidRDefault="008B253F" w:rsidP="004F30D0">
            <w:pPr>
              <w:spacing w:after="0"/>
              <w:jc w:val="left"/>
              <w:rPr>
                <w:rFonts w:eastAsia="Times New Roman" w:cs="Times New Roman"/>
                <w:sz w:val="20"/>
                <w:szCs w:val="20"/>
              </w:rPr>
            </w:pPr>
            <w:r w:rsidRPr="007344E0">
              <w:rPr>
                <w:rFonts w:eastAsia="Times New Roman" w:cs="Times New Roman"/>
                <w:sz w:val="20"/>
                <w:szCs w:val="20"/>
              </w:rPr>
              <w:t>9. Социални трансфери без тези в натура</w:t>
            </w:r>
          </w:p>
        </w:tc>
        <w:tc>
          <w:tcPr>
            <w:tcW w:w="513"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26 090,7</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13,6%</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28 732,2</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8,7%</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30 598,3</w:t>
            </w:r>
          </w:p>
        </w:tc>
        <w:tc>
          <w:tcPr>
            <w:tcW w:w="580" w:type="pct"/>
            <w:tcBorders>
              <w:top w:val="nil"/>
              <w:left w:val="nil"/>
              <w:bottom w:val="nil"/>
            </w:tcBorders>
            <w:shd w:val="clear" w:color="auto" w:fill="auto"/>
            <w:noWrap/>
            <w:hideMark/>
          </w:tcPr>
          <w:p w:rsidR="008B253F" w:rsidRPr="00314927" w:rsidRDefault="008B253F" w:rsidP="008B253F">
            <w:pPr>
              <w:jc w:val="right"/>
              <w:rPr>
                <w:sz w:val="20"/>
                <w:szCs w:val="20"/>
              </w:rPr>
            </w:pPr>
            <w:r w:rsidRPr="00314927">
              <w:rPr>
                <w:sz w:val="20"/>
                <w:szCs w:val="20"/>
              </w:rPr>
              <w:t>6,1%</w:t>
            </w:r>
          </w:p>
        </w:tc>
      </w:tr>
      <w:tr w:rsidR="008B253F" w:rsidRPr="00307CDB" w:rsidTr="008B253F">
        <w:trPr>
          <w:trHeight w:val="287"/>
        </w:trPr>
        <w:tc>
          <w:tcPr>
            <w:tcW w:w="1718" w:type="pct"/>
            <w:shd w:val="clear" w:color="auto" w:fill="auto"/>
            <w:hideMark/>
          </w:tcPr>
          <w:p w:rsidR="008B253F" w:rsidRPr="007344E0" w:rsidRDefault="008B253F" w:rsidP="004F30D0">
            <w:pPr>
              <w:spacing w:after="0"/>
              <w:jc w:val="left"/>
              <w:rPr>
                <w:rFonts w:eastAsia="Times New Roman" w:cs="Times New Roman"/>
                <w:sz w:val="20"/>
                <w:szCs w:val="20"/>
              </w:rPr>
            </w:pPr>
            <w:r w:rsidRPr="007344E0">
              <w:rPr>
                <w:rFonts w:eastAsia="Times New Roman" w:cs="Times New Roman"/>
                <w:sz w:val="20"/>
                <w:szCs w:val="20"/>
              </w:rPr>
              <w:t>10. Лихвени разходи</w:t>
            </w:r>
          </w:p>
        </w:tc>
        <w:tc>
          <w:tcPr>
            <w:tcW w:w="513"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1 445,1</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44,4%</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2 029,4</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40,4%</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2 750,9</w:t>
            </w:r>
          </w:p>
        </w:tc>
        <w:tc>
          <w:tcPr>
            <w:tcW w:w="580" w:type="pct"/>
            <w:tcBorders>
              <w:top w:val="nil"/>
              <w:left w:val="nil"/>
              <w:bottom w:val="nil"/>
            </w:tcBorders>
            <w:shd w:val="clear" w:color="auto" w:fill="auto"/>
            <w:noWrap/>
            <w:hideMark/>
          </w:tcPr>
          <w:p w:rsidR="008B253F" w:rsidRPr="00314927" w:rsidRDefault="008B253F" w:rsidP="008B253F">
            <w:pPr>
              <w:jc w:val="right"/>
              <w:rPr>
                <w:sz w:val="20"/>
                <w:szCs w:val="20"/>
              </w:rPr>
            </w:pPr>
            <w:r w:rsidRPr="00314927">
              <w:rPr>
                <w:sz w:val="20"/>
                <w:szCs w:val="20"/>
              </w:rPr>
              <w:t>35,5%</w:t>
            </w:r>
          </w:p>
        </w:tc>
      </w:tr>
      <w:tr w:rsidR="008B253F" w:rsidRPr="00307CDB" w:rsidTr="008B253F">
        <w:trPr>
          <w:trHeight w:val="287"/>
        </w:trPr>
        <w:tc>
          <w:tcPr>
            <w:tcW w:w="1718" w:type="pct"/>
            <w:shd w:val="clear" w:color="auto" w:fill="auto"/>
            <w:hideMark/>
          </w:tcPr>
          <w:p w:rsidR="008B253F" w:rsidRPr="007344E0" w:rsidRDefault="008B253F" w:rsidP="004F30D0">
            <w:pPr>
              <w:spacing w:after="0"/>
              <w:jc w:val="left"/>
              <w:rPr>
                <w:rFonts w:eastAsia="Times New Roman" w:cs="Times New Roman"/>
                <w:sz w:val="20"/>
                <w:szCs w:val="20"/>
              </w:rPr>
            </w:pPr>
            <w:r w:rsidRPr="007344E0">
              <w:rPr>
                <w:rFonts w:eastAsia="Times New Roman" w:cs="Times New Roman"/>
                <w:sz w:val="20"/>
                <w:szCs w:val="20"/>
              </w:rPr>
              <w:t>11. Субсидии</w:t>
            </w:r>
          </w:p>
        </w:tc>
        <w:tc>
          <w:tcPr>
            <w:tcW w:w="513"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5 067,6</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9,0%</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4 240,7</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3,8%</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5 106,3</w:t>
            </w:r>
          </w:p>
        </w:tc>
        <w:tc>
          <w:tcPr>
            <w:tcW w:w="580" w:type="pct"/>
            <w:tcBorders>
              <w:top w:val="nil"/>
              <w:left w:val="nil"/>
              <w:bottom w:val="nil"/>
            </w:tcBorders>
            <w:shd w:val="clear" w:color="auto" w:fill="auto"/>
            <w:noWrap/>
            <w:hideMark/>
          </w:tcPr>
          <w:p w:rsidR="008B253F" w:rsidRPr="00314927" w:rsidRDefault="008B253F" w:rsidP="008B253F">
            <w:pPr>
              <w:jc w:val="right"/>
              <w:rPr>
                <w:sz w:val="20"/>
                <w:szCs w:val="20"/>
              </w:rPr>
            </w:pPr>
            <w:r w:rsidRPr="00314927">
              <w:rPr>
                <w:sz w:val="20"/>
                <w:szCs w:val="20"/>
              </w:rPr>
              <w:t>20,4%</w:t>
            </w:r>
          </w:p>
        </w:tc>
      </w:tr>
      <w:tr w:rsidR="008B253F" w:rsidRPr="00307CDB" w:rsidTr="008B253F">
        <w:trPr>
          <w:trHeight w:val="287"/>
        </w:trPr>
        <w:tc>
          <w:tcPr>
            <w:tcW w:w="1718" w:type="pct"/>
            <w:shd w:val="clear" w:color="auto" w:fill="auto"/>
            <w:hideMark/>
          </w:tcPr>
          <w:p w:rsidR="008B253F" w:rsidRPr="007344E0" w:rsidRDefault="008B253F" w:rsidP="004F30D0">
            <w:pPr>
              <w:spacing w:after="0"/>
              <w:jc w:val="left"/>
              <w:rPr>
                <w:rFonts w:eastAsia="Times New Roman" w:cs="Times New Roman"/>
                <w:sz w:val="20"/>
                <w:szCs w:val="20"/>
              </w:rPr>
            </w:pPr>
            <w:r w:rsidRPr="007344E0">
              <w:rPr>
                <w:rFonts w:eastAsia="Times New Roman" w:cs="Times New Roman"/>
                <w:sz w:val="20"/>
                <w:szCs w:val="20"/>
              </w:rPr>
              <w:t>12. Други текущи плащания</w:t>
            </w:r>
          </w:p>
        </w:tc>
        <w:tc>
          <w:tcPr>
            <w:tcW w:w="513"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3 500,3</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55,3%</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3 458,9</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-1,2%</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3 677,3</w:t>
            </w:r>
          </w:p>
        </w:tc>
        <w:tc>
          <w:tcPr>
            <w:tcW w:w="580" w:type="pct"/>
            <w:tcBorders>
              <w:top w:val="nil"/>
              <w:left w:val="nil"/>
              <w:bottom w:val="nil"/>
            </w:tcBorders>
            <w:shd w:val="clear" w:color="auto" w:fill="auto"/>
            <w:noWrap/>
            <w:hideMark/>
          </w:tcPr>
          <w:p w:rsidR="008B253F" w:rsidRPr="00314927" w:rsidRDefault="008B253F" w:rsidP="008B253F">
            <w:pPr>
              <w:jc w:val="right"/>
              <w:rPr>
                <w:sz w:val="20"/>
                <w:szCs w:val="20"/>
              </w:rPr>
            </w:pPr>
            <w:r w:rsidRPr="00314927">
              <w:rPr>
                <w:sz w:val="20"/>
                <w:szCs w:val="20"/>
              </w:rPr>
              <w:t>6,3%</w:t>
            </w:r>
          </w:p>
        </w:tc>
      </w:tr>
      <w:tr w:rsidR="008B253F" w:rsidRPr="00307CDB" w:rsidTr="008B253F">
        <w:trPr>
          <w:trHeight w:val="287"/>
        </w:trPr>
        <w:tc>
          <w:tcPr>
            <w:tcW w:w="1718" w:type="pct"/>
            <w:shd w:val="clear" w:color="auto" w:fill="auto"/>
            <w:hideMark/>
          </w:tcPr>
          <w:p w:rsidR="008B253F" w:rsidRPr="007344E0" w:rsidRDefault="008B253F" w:rsidP="004F30D0">
            <w:pPr>
              <w:spacing w:after="0"/>
              <w:jc w:val="left"/>
              <w:rPr>
                <w:rFonts w:eastAsia="Times New Roman" w:cs="Times New Roman"/>
                <w:b/>
                <w:bCs/>
                <w:sz w:val="20"/>
                <w:szCs w:val="20"/>
              </w:rPr>
            </w:pPr>
            <w:r w:rsidRPr="007344E0">
              <w:rPr>
                <w:rFonts w:eastAsia="Times New Roman" w:cs="Times New Roman"/>
                <w:b/>
                <w:bCs/>
                <w:sz w:val="20"/>
                <w:szCs w:val="20"/>
              </w:rPr>
              <w:t xml:space="preserve">13. Общо текущи разходи </w:t>
            </w:r>
          </w:p>
        </w:tc>
        <w:tc>
          <w:tcPr>
            <w:tcW w:w="513" w:type="pct"/>
            <w:tcBorders>
              <w:top w:val="nil"/>
              <w:left w:val="nil"/>
              <w:bottom w:val="nil"/>
              <w:right w:val="nil"/>
            </w:tcBorders>
            <w:shd w:val="clear" w:color="auto" w:fill="auto"/>
            <w:noWrap/>
            <w:hideMark/>
          </w:tcPr>
          <w:p w:rsidR="008B253F" w:rsidRPr="00314927" w:rsidRDefault="008B253F" w:rsidP="008B253F">
            <w:pPr>
              <w:jc w:val="right"/>
              <w:rPr>
                <w:b/>
                <w:sz w:val="20"/>
                <w:szCs w:val="20"/>
              </w:rPr>
            </w:pPr>
            <w:r w:rsidRPr="00314927">
              <w:rPr>
                <w:b/>
                <w:sz w:val="20"/>
                <w:szCs w:val="20"/>
              </w:rPr>
              <w:t>72 562,8</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b/>
                <w:sz w:val="20"/>
                <w:szCs w:val="20"/>
              </w:rPr>
            </w:pPr>
            <w:r w:rsidRPr="00314927">
              <w:rPr>
                <w:b/>
                <w:sz w:val="20"/>
                <w:szCs w:val="20"/>
              </w:rPr>
              <w:t>12,0%</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b/>
                <w:sz w:val="20"/>
                <w:szCs w:val="20"/>
              </w:rPr>
            </w:pPr>
            <w:r w:rsidRPr="00314927">
              <w:rPr>
                <w:b/>
                <w:sz w:val="20"/>
                <w:szCs w:val="20"/>
              </w:rPr>
              <w:t>76 042,0</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b/>
                <w:sz w:val="20"/>
                <w:szCs w:val="20"/>
              </w:rPr>
            </w:pPr>
            <w:r w:rsidRPr="00314927">
              <w:rPr>
                <w:b/>
                <w:sz w:val="20"/>
                <w:szCs w:val="20"/>
              </w:rPr>
              <w:t>5,9%</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b/>
                <w:sz w:val="20"/>
                <w:szCs w:val="20"/>
              </w:rPr>
            </w:pPr>
            <w:r w:rsidRPr="00314927">
              <w:rPr>
                <w:b/>
                <w:sz w:val="20"/>
                <w:szCs w:val="20"/>
              </w:rPr>
              <w:t>81 536,2</w:t>
            </w:r>
          </w:p>
        </w:tc>
        <w:tc>
          <w:tcPr>
            <w:tcW w:w="580" w:type="pct"/>
            <w:tcBorders>
              <w:top w:val="nil"/>
              <w:left w:val="nil"/>
              <w:bottom w:val="nil"/>
            </w:tcBorders>
            <w:shd w:val="clear" w:color="auto" w:fill="auto"/>
            <w:noWrap/>
            <w:hideMark/>
          </w:tcPr>
          <w:p w:rsidR="008B253F" w:rsidRPr="00314927" w:rsidRDefault="008B253F" w:rsidP="008B253F">
            <w:pPr>
              <w:jc w:val="right"/>
              <w:rPr>
                <w:b/>
                <w:sz w:val="20"/>
                <w:szCs w:val="20"/>
              </w:rPr>
            </w:pPr>
            <w:r w:rsidRPr="00314927">
              <w:rPr>
                <w:b/>
                <w:sz w:val="20"/>
                <w:szCs w:val="20"/>
              </w:rPr>
              <w:t>6,7%</w:t>
            </w:r>
          </w:p>
        </w:tc>
      </w:tr>
      <w:tr w:rsidR="008B253F" w:rsidRPr="00307CDB" w:rsidTr="008B253F">
        <w:trPr>
          <w:trHeight w:val="287"/>
        </w:trPr>
        <w:tc>
          <w:tcPr>
            <w:tcW w:w="1718" w:type="pct"/>
            <w:shd w:val="clear" w:color="auto" w:fill="auto"/>
            <w:hideMark/>
          </w:tcPr>
          <w:p w:rsidR="008B253F" w:rsidRPr="007344E0" w:rsidRDefault="008B253F" w:rsidP="004F30D0">
            <w:pPr>
              <w:spacing w:after="0"/>
              <w:jc w:val="left"/>
              <w:rPr>
                <w:rFonts w:eastAsia="Times New Roman" w:cs="Times New Roman"/>
                <w:sz w:val="20"/>
                <w:szCs w:val="20"/>
              </w:rPr>
            </w:pPr>
            <w:r w:rsidRPr="007344E0">
              <w:rPr>
                <w:rFonts w:eastAsia="Times New Roman" w:cs="Times New Roman"/>
                <w:sz w:val="20"/>
                <w:szCs w:val="20"/>
              </w:rPr>
              <w:t>14. Брутни спестявания (5-13)</w:t>
            </w:r>
          </w:p>
        </w:tc>
        <w:tc>
          <w:tcPr>
            <w:tcW w:w="513"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-2 642,2</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402,6%</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-1 574,2</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-19,1%</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-1 122,1</w:t>
            </w:r>
          </w:p>
        </w:tc>
        <w:tc>
          <w:tcPr>
            <w:tcW w:w="580" w:type="pct"/>
            <w:tcBorders>
              <w:top w:val="nil"/>
              <w:left w:val="nil"/>
              <w:bottom w:val="nil"/>
            </w:tcBorders>
            <w:shd w:val="clear" w:color="auto" w:fill="auto"/>
            <w:noWrap/>
            <w:hideMark/>
          </w:tcPr>
          <w:p w:rsidR="008B253F" w:rsidRPr="00314927" w:rsidRDefault="008B253F" w:rsidP="008B253F">
            <w:pPr>
              <w:jc w:val="right"/>
              <w:rPr>
                <w:sz w:val="20"/>
                <w:szCs w:val="20"/>
              </w:rPr>
            </w:pPr>
            <w:r w:rsidRPr="00314927">
              <w:rPr>
                <w:sz w:val="20"/>
                <w:szCs w:val="20"/>
              </w:rPr>
              <w:t>-15,7%</w:t>
            </w:r>
          </w:p>
        </w:tc>
      </w:tr>
      <w:tr w:rsidR="008B253F" w:rsidRPr="00307CDB" w:rsidTr="008B253F">
        <w:trPr>
          <w:trHeight w:val="272"/>
        </w:trPr>
        <w:tc>
          <w:tcPr>
            <w:tcW w:w="1718" w:type="pct"/>
            <w:shd w:val="clear" w:color="auto" w:fill="auto"/>
            <w:noWrap/>
            <w:hideMark/>
          </w:tcPr>
          <w:p w:rsidR="008B253F" w:rsidRPr="007344E0" w:rsidRDefault="008B253F" w:rsidP="004F30D0">
            <w:pPr>
              <w:spacing w:after="0"/>
              <w:jc w:val="left"/>
              <w:rPr>
                <w:rFonts w:eastAsia="Times New Roman" w:cs="Times New Roman"/>
                <w:b/>
                <w:bCs/>
                <w:sz w:val="20"/>
                <w:szCs w:val="20"/>
              </w:rPr>
            </w:pPr>
            <w:r w:rsidRPr="007344E0">
              <w:rPr>
                <w:rFonts w:eastAsia="Times New Roman" w:cs="Times New Roman"/>
                <w:b/>
                <w:bCs/>
                <w:sz w:val="20"/>
                <w:szCs w:val="20"/>
              </w:rPr>
              <w:t>15. Капиталови трансфери, получени</w:t>
            </w:r>
          </w:p>
        </w:tc>
        <w:tc>
          <w:tcPr>
            <w:tcW w:w="513" w:type="pct"/>
            <w:tcBorders>
              <w:top w:val="nil"/>
              <w:left w:val="nil"/>
              <w:bottom w:val="nil"/>
              <w:right w:val="nil"/>
            </w:tcBorders>
            <w:shd w:val="clear" w:color="auto" w:fill="auto"/>
            <w:noWrap/>
            <w:hideMark/>
          </w:tcPr>
          <w:p w:rsidR="008B253F" w:rsidRPr="00314927" w:rsidRDefault="008B253F" w:rsidP="008B253F">
            <w:pPr>
              <w:jc w:val="right"/>
              <w:rPr>
                <w:b/>
                <w:sz w:val="20"/>
                <w:szCs w:val="20"/>
              </w:rPr>
            </w:pPr>
            <w:r w:rsidRPr="00314927">
              <w:rPr>
                <w:b/>
                <w:sz w:val="20"/>
                <w:szCs w:val="20"/>
              </w:rPr>
              <w:t>3 276,3</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b/>
                <w:sz w:val="20"/>
                <w:szCs w:val="20"/>
              </w:rPr>
            </w:pPr>
            <w:r w:rsidRPr="00314927">
              <w:rPr>
                <w:b/>
                <w:sz w:val="20"/>
                <w:szCs w:val="20"/>
              </w:rPr>
              <w:t>210,0%</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b/>
                <w:sz w:val="20"/>
                <w:szCs w:val="20"/>
              </w:rPr>
            </w:pPr>
            <w:r w:rsidRPr="00314927">
              <w:rPr>
                <w:b/>
                <w:sz w:val="20"/>
                <w:szCs w:val="20"/>
              </w:rPr>
              <w:t>3 549,0</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b/>
                <w:sz w:val="20"/>
                <w:szCs w:val="20"/>
              </w:rPr>
            </w:pPr>
            <w:r w:rsidRPr="00314927">
              <w:rPr>
                <w:b/>
                <w:sz w:val="20"/>
                <w:szCs w:val="20"/>
              </w:rPr>
              <w:t>8,3%</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b/>
                <w:sz w:val="20"/>
                <w:szCs w:val="20"/>
              </w:rPr>
            </w:pPr>
            <w:r w:rsidRPr="00314927">
              <w:rPr>
                <w:b/>
                <w:sz w:val="20"/>
                <w:szCs w:val="20"/>
              </w:rPr>
              <w:t>3 453,8</w:t>
            </w:r>
          </w:p>
        </w:tc>
        <w:tc>
          <w:tcPr>
            <w:tcW w:w="580" w:type="pct"/>
            <w:tcBorders>
              <w:top w:val="nil"/>
              <w:left w:val="nil"/>
              <w:bottom w:val="nil"/>
            </w:tcBorders>
            <w:shd w:val="clear" w:color="auto" w:fill="auto"/>
            <w:noWrap/>
            <w:hideMark/>
          </w:tcPr>
          <w:p w:rsidR="008B253F" w:rsidRPr="00314927" w:rsidRDefault="008B253F" w:rsidP="008B253F">
            <w:pPr>
              <w:jc w:val="right"/>
              <w:rPr>
                <w:b/>
                <w:sz w:val="20"/>
                <w:szCs w:val="20"/>
              </w:rPr>
            </w:pPr>
            <w:r w:rsidRPr="00314927">
              <w:rPr>
                <w:b/>
                <w:sz w:val="20"/>
                <w:szCs w:val="20"/>
              </w:rPr>
              <w:t>-2,7%</w:t>
            </w:r>
          </w:p>
        </w:tc>
      </w:tr>
      <w:tr w:rsidR="008B253F" w:rsidRPr="00307CDB" w:rsidTr="008B253F">
        <w:trPr>
          <w:trHeight w:val="503"/>
        </w:trPr>
        <w:tc>
          <w:tcPr>
            <w:tcW w:w="1718" w:type="pct"/>
            <w:shd w:val="clear" w:color="auto" w:fill="auto"/>
            <w:hideMark/>
          </w:tcPr>
          <w:p w:rsidR="008B253F" w:rsidRPr="007344E0" w:rsidRDefault="008B253F" w:rsidP="004F30D0">
            <w:pPr>
              <w:spacing w:after="0"/>
              <w:jc w:val="left"/>
              <w:rPr>
                <w:rFonts w:eastAsia="Times New Roman" w:cs="Times New Roman"/>
                <w:b/>
                <w:bCs/>
                <w:sz w:val="20"/>
                <w:szCs w:val="20"/>
              </w:rPr>
            </w:pPr>
            <w:r w:rsidRPr="007344E0">
              <w:rPr>
                <w:rFonts w:eastAsia="Times New Roman" w:cs="Times New Roman"/>
                <w:b/>
                <w:bCs/>
                <w:sz w:val="20"/>
                <w:szCs w:val="20"/>
              </w:rPr>
              <w:t>16. Бруто образуване на основен капитал</w:t>
            </w:r>
          </w:p>
        </w:tc>
        <w:tc>
          <w:tcPr>
            <w:tcW w:w="513" w:type="pct"/>
            <w:tcBorders>
              <w:top w:val="nil"/>
              <w:left w:val="nil"/>
              <w:bottom w:val="nil"/>
              <w:right w:val="nil"/>
            </w:tcBorders>
            <w:shd w:val="clear" w:color="auto" w:fill="auto"/>
            <w:noWrap/>
            <w:hideMark/>
          </w:tcPr>
          <w:p w:rsidR="008B253F" w:rsidRPr="00314927" w:rsidRDefault="008B253F" w:rsidP="008B253F">
            <w:pPr>
              <w:jc w:val="right"/>
              <w:rPr>
                <w:b/>
                <w:sz w:val="20"/>
                <w:szCs w:val="20"/>
              </w:rPr>
            </w:pPr>
            <w:r w:rsidRPr="00314927">
              <w:rPr>
                <w:b/>
                <w:sz w:val="20"/>
                <w:szCs w:val="20"/>
              </w:rPr>
              <w:t>7 596,6</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b/>
                <w:sz w:val="20"/>
                <w:szCs w:val="20"/>
              </w:rPr>
            </w:pPr>
            <w:r w:rsidRPr="00314927">
              <w:rPr>
                <w:b/>
                <w:sz w:val="20"/>
                <w:szCs w:val="20"/>
              </w:rPr>
              <w:t>32,1%</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b/>
                <w:sz w:val="20"/>
                <w:szCs w:val="20"/>
              </w:rPr>
            </w:pPr>
            <w:r w:rsidRPr="00314927">
              <w:rPr>
                <w:b/>
                <w:sz w:val="20"/>
                <w:szCs w:val="20"/>
              </w:rPr>
              <w:t>7 200,7</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b/>
                <w:sz w:val="20"/>
                <w:szCs w:val="20"/>
              </w:rPr>
            </w:pPr>
            <w:r w:rsidRPr="00314927">
              <w:rPr>
                <w:b/>
                <w:sz w:val="20"/>
                <w:szCs w:val="20"/>
              </w:rPr>
              <w:t>1,4%</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b/>
                <w:sz w:val="20"/>
                <w:szCs w:val="20"/>
              </w:rPr>
            </w:pPr>
            <w:r w:rsidRPr="00314927">
              <w:rPr>
                <w:b/>
                <w:sz w:val="20"/>
                <w:szCs w:val="20"/>
              </w:rPr>
              <w:t>8 226,1</w:t>
            </w:r>
          </w:p>
        </w:tc>
        <w:tc>
          <w:tcPr>
            <w:tcW w:w="580" w:type="pct"/>
            <w:tcBorders>
              <w:top w:val="nil"/>
              <w:left w:val="nil"/>
              <w:bottom w:val="nil"/>
            </w:tcBorders>
            <w:shd w:val="clear" w:color="auto" w:fill="auto"/>
            <w:noWrap/>
            <w:hideMark/>
          </w:tcPr>
          <w:p w:rsidR="008B253F" w:rsidRPr="00314927" w:rsidRDefault="008B253F" w:rsidP="008B253F">
            <w:pPr>
              <w:jc w:val="right"/>
              <w:rPr>
                <w:b/>
                <w:sz w:val="20"/>
                <w:szCs w:val="20"/>
              </w:rPr>
            </w:pPr>
            <w:r w:rsidRPr="00314927">
              <w:rPr>
                <w:b/>
                <w:sz w:val="20"/>
                <w:szCs w:val="20"/>
              </w:rPr>
              <w:t>-2,1%</w:t>
            </w:r>
          </w:p>
        </w:tc>
      </w:tr>
      <w:tr w:rsidR="008B253F" w:rsidRPr="00307CDB" w:rsidTr="008B253F">
        <w:trPr>
          <w:trHeight w:val="287"/>
        </w:trPr>
        <w:tc>
          <w:tcPr>
            <w:tcW w:w="1718" w:type="pct"/>
            <w:shd w:val="clear" w:color="auto" w:fill="auto"/>
            <w:hideMark/>
          </w:tcPr>
          <w:p w:rsidR="008B253F" w:rsidRPr="007344E0" w:rsidRDefault="008B253F" w:rsidP="004F30D0">
            <w:pPr>
              <w:spacing w:after="0"/>
              <w:jc w:val="left"/>
              <w:rPr>
                <w:rFonts w:eastAsia="Times New Roman" w:cs="Times New Roman"/>
                <w:sz w:val="20"/>
                <w:szCs w:val="20"/>
              </w:rPr>
            </w:pPr>
            <w:r w:rsidRPr="007344E0">
              <w:rPr>
                <w:rFonts w:eastAsia="Times New Roman" w:cs="Times New Roman"/>
                <w:sz w:val="20"/>
                <w:szCs w:val="20"/>
              </w:rPr>
              <w:t>17. Други капиталови разходи</w:t>
            </w:r>
          </w:p>
        </w:tc>
        <w:tc>
          <w:tcPr>
            <w:tcW w:w="513"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105,7</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-72,3%</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370,8</w:t>
            </w:r>
          </w:p>
        </w:tc>
        <w:tc>
          <w:tcPr>
            <w:tcW w:w="58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250,6%</w:t>
            </w:r>
          </w:p>
        </w:tc>
        <w:tc>
          <w:tcPr>
            <w:tcW w:w="512" w:type="pct"/>
            <w:tcBorders>
              <w:top w:val="nil"/>
              <w:left w:val="nil"/>
              <w:bottom w:val="nil"/>
              <w:right w:val="nil"/>
            </w:tcBorders>
            <w:shd w:val="clear" w:color="auto" w:fill="auto"/>
            <w:noWrap/>
            <w:hideMark/>
          </w:tcPr>
          <w:p w:rsidR="008B253F" w:rsidRPr="00314927" w:rsidRDefault="008B253F" w:rsidP="008B253F">
            <w:pPr>
              <w:jc w:val="right"/>
              <w:rPr>
                <w:sz w:val="20"/>
                <w:szCs w:val="20"/>
              </w:rPr>
            </w:pPr>
            <w:r w:rsidRPr="00314927">
              <w:rPr>
                <w:sz w:val="20"/>
                <w:szCs w:val="20"/>
              </w:rPr>
              <w:t>508,9</w:t>
            </w:r>
          </w:p>
        </w:tc>
        <w:tc>
          <w:tcPr>
            <w:tcW w:w="580" w:type="pct"/>
            <w:tcBorders>
              <w:top w:val="nil"/>
              <w:left w:val="nil"/>
              <w:bottom w:val="nil"/>
            </w:tcBorders>
            <w:shd w:val="clear" w:color="auto" w:fill="auto"/>
            <w:noWrap/>
            <w:hideMark/>
          </w:tcPr>
          <w:p w:rsidR="008B253F" w:rsidRPr="00314927" w:rsidRDefault="008B253F" w:rsidP="008B253F">
            <w:pPr>
              <w:jc w:val="right"/>
              <w:rPr>
                <w:sz w:val="20"/>
                <w:szCs w:val="20"/>
              </w:rPr>
            </w:pPr>
            <w:r w:rsidRPr="00314927">
              <w:rPr>
                <w:sz w:val="20"/>
                <w:szCs w:val="20"/>
              </w:rPr>
              <w:t>37,2%</w:t>
            </w:r>
          </w:p>
        </w:tc>
      </w:tr>
      <w:tr w:rsidR="008B253F" w:rsidRPr="00307CDB" w:rsidTr="008B253F">
        <w:trPr>
          <w:trHeight w:val="256"/>
        </w:trPr>
        <w:tc>
          <w:tcPr>
            <w:tcW w:w="1718" w:type="pct"/>
            <w:tcBorders>
              <w:bottom w:val="single" w:sz="4" w:space="0" w:color="auto"/>
            </w:tcBorders>
            <w:shd w:val="clear" w:color="auto" w:fill="auto"/>
            <w:hideMark/>
          </w:tcPr>
          <w:p w:rsidR="008B253F" w:rsidRPr="007344E0" w:rsidRDefault="008B253F" w:rsidP="004F30D0">
            <w:pPr>
              <w:spacing w:after="0"/>
              <w:jc w:val="left"/>
              <w:rPr>
                <w:rFonts w:eastAsia="Times New Roman" w:cs="Times New Roman"/>
                <w:sz w:val="20"/>
                <w:szCs w:val="20"/>
              </w:rPr>
            </w:pPr>
            <w:r w:rsidRPr="007344E0">
              <w:rPr>
                <w:rFonts w:eastAsia="Times New Roman" w:cs="Times New Roman"/>
                <w:sz w:val="20"/>
                <w:szCs w:val="20"/>
              </w:rPr>
              <w:t> </w:t>
            </w:r>
          </w:p>
        </w:tc>
        <w:tc>
          <w:tcPr>
            <w:tcW w:w="513" w:type="pct"/>
            <w:tcBorders>
              <w:top w:val="nil"/>
              <w:left w:val="nil"/>
              <w:bottom w:val="single" w:sz="4" w:space="0" w:color="auto"/>
              <w:right w:val="nil"/>
            </w:tcBorders>
            <w:shd w:val="clear" w:color="auto" w:fill="auto"/>
            <w:noWrap/>
            <w:hideMark/>
          </w:tcPr>
          <w:p w:rsidR="008B253F" w:rsidRPr="00314927" w:rsidRDefault="008B253F" w:rsidP="008B253F">
            <w:pPr>
              <w:jc w:val="right"/>
              <w:rPr>
                <w:sz w:val="20"/>
                <w:szCs w:val="20"/>
              </w:rPr>
            </w:pPr>
          </w:p>
        </w:tc>
        <w:tc>
          <w:tcPr>
            <w:tcW w:w="582" w:type="pct"/>
            <w:tcBorders>
              <w:top w:val="nil"/>
              <w:left w:val="nil"/>
              <w:bottom w:val="single" w:sz="4" w:space="0" w:color="auto"/>
              <w:right w:val="nil"/>
            </w:tcBorders>
            <w:shd w:val="clear" w:color="auto" w:fill="auto"/>
            <w:noWrap/>
            <w:hideMark/>
          </w:tcPr>
          <w:p w:rsidR="008B253F" w:rsidRPr="00314927" w:rsidRDefault="008B253F" w:rsidP="008B253F">
            <w:pPr>
              <w:jc w:val="right"/>
              <w:rPr>
                <w:sz w:val="20"/>
                <w:szCs w:val="20"/>
              </w:rPr>
            </w:pPr>
            <w:r w:rsidRPr="00314927">
              <w:rPr>
                <w:sz w:val="20"/>
                <w:szCs w:val="20"/>
              </w:rPr>
              <w:t>% от БВП</w:t>
            </w:r>
          </w:p>
        </w:tc>
        <w:tc>
          <w:tcPr>
            <w:tcW w:w="512" w:type="pct"/>
            <w:tcBorders>
              <w:top w:val="nil"/>
              <w:left w:val="nil"/>
              <w:bottom w:val="single" w:sz="4" w:space="0" w:color="auto"/>
              <w:right w:val="nil"/>
            </w:tcBorders>
            <w:shd w:val="clear" w:color="auto" w:fill="auto"/>
            <w:noWrap/>
            <w:hideMark/>
          </w:tcPr>
          <w:p w:rsidR="008B253F" w:rsidRPr="00314927" w:rsidRDefault="008B253F" w:rsidP="008B253F">
            <w:pPr>
              <w:jc w:val="right"/>
              <w:rPr>
                <w:sz w:val="20"/>
                <w:szCs w:val="20"/>
              </w:rPr>
            </w:pPr>
          </w:p>
        </w:tc>
        <w:tc>
          <w:tcPr>
            <w:tcW w:w="582" w:type="pct"/>
            <w:tcBorders>
              <w:top w:val="nil"/>
              <w:left w:val="nil"/>
              <w:bottom w:val="single" w:sz="4" w:space="0" w:color="auto"/>
              <w:right w:val="nil"/>
            </w:tcBorders>
            <w:shd w:val="clear" w:color="auto" w:fill="auto"/>
            <w:noWrap/>
            <w:hideMark/>
          </w:tcPr>
          <w:p w:rsidR="008B253F" w:rsidRPr="00314927" w:rsidRDefault="008B253F" w:rsidP="008B253F">
            <w:pPr>
              <w:jc w:val="right"/>
              <w:rPr>
                <w:sz w:val="20"/>
                <w:szCs w:val="20"/>
              </w:rPr>
            </w:pPr>
            <w:r w:rsidRPr="00314927">
              <w:rPr>
                <w:sz w:val="20"/>
                <w:szCs w:val="20"/>
              </w:rPr>
              <w:t>% от БВП</w:t>
            </w:r>
          </w:p>
        </w:tc>
        <w:tc>
          <w:tcPr>
            <w:tcW w:w="512" w:type="pct"/>
            <w:tcBorders>
              <w:top w:val="nil"/>
              <w:left w:val="nil"/>
              <w:bottom w:val="single" w:sz="4" w:space="0" w:color="auto"/>
              <w:right w:val="nil"/>
            </w:tcBorders>
            <w:shd w:val="clear" w:color="auto" w:fill="auto"/>
            <w:noWrap/>
            <w:hideMark/>
          </w:tcPr>
          <w:p w:rsidR="008B253F" w:rsidRPr="00314927" w:rsidRDefault="008B253F" w:rsidP="008B253F">
            <w:pPr>
              <w:jc w:val="right"/>
              <w:rPr>
                <w:sz w:val="20"/>
                <w:szCs w:val="20"/>
              </w:rPr>
            </w:pPr>
          </w:p>
        </w:tc>
        <w:tc>
          <w:tcPr>
            <w:tcW w:w="580" w:type="pct"/>
            <w:tcBorders>
              <w:top w:val="nil"/>
              <w:left w:val="nil"/>
              <w:bottom w:val="single" w:sz="4" w:space="0" w:color="auto"/>
            </w:tcBorders>
            <w:shd w:val="clear" w:color="auto" w:fill="auto"/>
            <w:noWrap/>
            <w:hideMark/>
          </w:tcPr>
          <w:p w:rsidR="008B253F" w:rsidRPr="00314927" w:rsidRDefault="008B253F" w:rsidP="008B253F">
            <w:pPr>
              <w:jc w:val="right"/>
              <w:rPr>
                <w:sz w:val="20"/>
                <w:szCs w:val="20"/>
              </w:rPr>
            </w:pPr>
            <w:r w:rsidRPr="00314927">
              <w:rPr>
                <w:sz w:val="20"/>
                <w:szCs w:val="20"/>
              </w:rPr>
              <w:t>% от БВП</w:t>
            </w:r>
          </w:p>
        </w:tc>
      </w:tr>
      <w:tr w:rsidR="008B253F" w:rsidRPr="00307CDB" w:rsidTr="008B253F">
        <w:trPr>
          <w:trHeight w:val="287"/>
        </w:trPr>
        <w:tc>
          <w:tcPr>
            <w:tcW w:w="1718" w:type="pct"/>
            <w:tcBorders>
              <w:top w:val="single" w:sz="4" w:space="0" w:color="auto"/>
            </w:tcBorders>
            <w:shd w:val="clear" w:color="auto" w:fill="auto"/>
            <w:hideMark/>
          </w:tcPr>
          <w:p w:rsidR="008B253F" w:rsidRPr="007344E0" w:rsidRDefault="008B253F" w:rsidP="004F30D0">
            <w:pPr>
              <w:spacing w:after="0"/>
              <w:jc w:val="left"/>
              <w:rPr>
                <w:rFonts w:eastAsia="Times New Roman" w:cs="Times New Roman"/>
                <w:b/>
                <w:bCs/>
                <w:sz w:val="20"/>
                <w:szCs w:val="20"/>
              </w:rPr>
            </w:pPr>
            <w:r w:rsidRPr="007344E0">
              <w:rPr>
                <w:rFonts w:eastAsia="Times New Roman" w:cs="Times New Roman"/>
                <w:b/>
                <w:bCs/>
                <w:sz w:val="20"/>
                <w:szCs w:val="20"/>
              </w:rPr>
              <w:t>18. Общи правителствени приходи</w:t>
            </w:r>
          </w:p>
        </w:tc>
        <w:tc>
          <w:tcPr>
            <w:tcW w:w="513" w:type="pct"/>
            <w:tcBorders>
              <w:top w:val="single" w:sz="4" w:space="0" w:color="auto"/>
              <w:left w:val="nil"/>
              <w:bottom w:val="nil"/>
              <w:right w:val="nil"/>
            </w:tcBorders>
            <w:shd w:val="clear" w:color="auto" w:fill="auto"/>
            <w:noWrap/>
            <w:hideMark/>
          </w:tcPr>
          <w:p w:rsidR="008B253F" w:rsidRPr="00314927" w:rsidRDefault="008B253F" w:rsidP="008B253F">
            <w:pPr>
              <w:jc w:val="right"/>
              <w:rPr>
                <w:b/>
                <w:sz w:val="20"/>
                <w:szCs w:val="20"/>
              </w:rPr>
            </w:pPr>
            <w:r w:rsidRPr="00314927">
              <w:rPr>
                <w:b/>
                <w:sz w:val="20"/>
                <w:szCs w:val="20"/>
              </w:rPr>
              <w:t>73 196,9</w:t>
            </w:r>
          </w:p>
        </w:tc>
        <w:tc>
          <w:tcPr>
            <w:tcW w:w="582" w:type="pct"/>
            <w:tcBorders>
              <w:top w:val="single" w:sz="4" w:space="0" w:color="auto"/>
              <w:left w:val="nil"/>
              <w:bottom w:val="nil"/>
              <w:right w:val="nil"/>
            </w:tcBorders>
            <w:shd w:val="clear" w:color="auto" w:fill="auto"/>
            <w:noWrap/>
            <w:hideMark/>
          </w:tcPr>
          <w:p w:rsidR="008B253F" w:rsidRPr="00314927" w:rsidRDefault="008B253F" w:rsidP="008B253F">
            <w:pPr>
              <w:jc w:val="right"/>
              <w:rPr>
                <w:b/>
                <w:sz w:val="20"/>
                <w:szCs w:val="20"/>
              </w:rPr>
            </w:pPr>
            <w:r w:rsidRPr="00314927">
              <w:rPr>
                <w:b/>
                <w:sz w:val="20"/>
                <w:szCs w:val="20"/>
              </w:rPr>
              <w:t>35,6%</w:t>
            </w:r>
          </w:p>
        </w:tc>
        <w:tc>
          <w:tcPr>
            <w:tcW w:w="512" w:type="pct"/>
            <w:tcBorders>
              <w:top w:val="single" w:sz="4" w:space="0" w:color="auto"/>
              <w:left w:val="nil"/>
              <w:bottom w:val="nil"/>
              <w:right w:val="nil"/>
            </w:tcBorders>
            <w:shd w:val="clear" w:color="auto" w:fill="auto"/>
            <w:noWrap/>
            <w:hideMark/>
          </w:tcPr>
          <w:p w:rsidR="008B253F" w:rsidRPr="00314927" w:rsidRDefault="008B253F" w:rsidP="008B253F">
            <w:pPr>
              <w:jc w:val="right"/>
              <w:rPr>
                <w:b/>
                <w:sz w:val="20"/>
                <w:szCs w:val="20"/>
              </w:rPr>
            </w:pPr>
            <w:r w:rsidRPr="00314927">
              <w:rPr>
                <w:b/>
                <w:sz w:val="20"/>
                <w:szCs w:val="20"/>
              </w:rPr>
              <w:t>78 016,9</w:t>
            </w:r>
          </w:p>
        </w:tc>
        <w:tc>
          <w:tcPr>
            <w:tcW w:w="582" w:type="pct"/>
            <w:tcBorders>
              <w:top w:val="single" w:sz="4" w:space="0" w:color="auto"/>
              <w:left w:val="nil"/>
              <w:bottom w:val="nil"/>
              <w:right w:val="nil"/>
            </w:tcBorders>
            <w:shd w:val="clear" w:color="auto" w:fill="auto"/>
            <w:noWrap/>
            <w:hideMark/>
          </w:tcPr>
          <w:p w:rsidR="008B253F" w:rsidRPr="00314927" w:rsidRDefault="008B253F" w:rsidP="008B253F">
            <w:pPr>
              <w:jc w:val="right"/>
              <w:rPr>
                <w:b/>
                <w:sz w:val="20"/>
                <w:szCs w:val="20"/>
              </w:rPr>
            </w:pPr>
            <w:r w:rsidRPr="00314927">
              <w:rPr>
                <w:b/>
                <w:sz w:val="20"/>
                <w:szCs w:val="20"/>
              </w:rPr>
              <w:t>35,8%</w:t>
            </w:r>
          </w:p>
        </w:tc>
        <w:tc>
          <w:tcPr>
            <w:tcW w:w="512" w:type="pct"/>
            <w:tcBorders>
              <w:top w:val="single" w:sz="4" w:space="0" w:color="auto"/>
              <w:left w:val="nil"/>
              <w:bottom w:val="nil"/>
              <w:right w:val="nil"/>
            </w:tcBorders>
            <w:shd w:val="clear" w:color="auto" w:fill="auto"/>
            <w:noWrap/>
            <w:hideMark/>
          </w:tcPr>
          <w:p w:rsidR="008B253F" w:rsidRPr="00314927" w:rsidRDefault="008B253F" w:rsidP="008B253F">
            <w:pPr>
              <w:jc w:val="right"/>
              <w:rPr>
                <w:b/>
                <w:sz w:val="20"/>
                <w:szCs w:val="20"/>
              </w:rPr>
            </w:pPr>
            <w:r w:rsidRPr="00314927">
              <w:rPr>
                <w:b/>
                <w:sz w:val="20"/>
                <w:szCs w:val="20"/>
              </w:rPr>
              <w:t>83 868,0</w:t>
            </w:r>
          </w:p>
        </w:tc>
        <w:tc>
          <w:tcPr>
            <w:tcW w:w="580" w:type="pct"/>
            <w:tcBorders>
              <w:top w:val="single" w:sz="4" w:space="0" w:color="auto"/>
              <w:left w:val="nil"/>
              <w:bottom w:val="nil"/>
            </w:tcBorders>
            <w:shd w:val="clear" w:color="auto" w:fill="auto"/>
            <w:noWrap/>
            <w:hideMark/>
          </w:tcPr>
          <w:p w:rsidR="008B253F" w:rsidRPr="00314927" w:rsidRDefault="008B253F" w:rsidP="008B253F">
            <w:pPr>
              <w:jc w:val="right"/>
              <w:rPr>
                <w:b/>
                <w:sz w:val="20"/>
                <w:szCs w:val="20"/>
              </w:rPr>
            </w:pPr>
            <w:r w:rsidRPr="00314927">
              <w:rPr>
                <w:b/>
                <w:sz w:val="20"/>
                <w:szCs w:val="20"/>
              </w:rPr>
              <w:t>36,3%</w:t>
            </w:r>
          </w:p>
        </w:tc>
      </w:tr>
      <w:tr w:rsidR="008B253F" w:rsidRPr="00307CDB" w:rsidTr="008B253F">
        <w:trPr>
          <w:trHeight w:val="287"/>
        </w:trPr>
        <w:tc>
          <w:tcPr>
            <w:tcW w:w="1718" w:type="pct"/>
            <w:tcBorders>
              <w:bottom w:val="single" w:sz="4" w:space="0" w:color="auto"/>
            </w:tcBorders>
            <w:shd w:val="clear" w:color="auto" w:fill="auto"/>
            <w:hideMark/>
          </w:tcPr>
          <w:p w:rsidR="008B253F" w:rsidRPr="007344E0" w:rsidRDefault="008B253F" w:rsidP="004F30D0">
            <w:pPr>
              <w:spacing w:after="0"/>
              <w:jc w:val="left"/>
              <w:rPr>
                <w:rFonts w:eastAsia="Times New Roman" w:cs="Times New Roman"/>
                <w:b/>
                <w:bCs/>
                <w:sz w:val="20"/>
                <w:szCs w:val="20"/>
              </w:rPr>
            </w:pPr>
            <w:r w:rsidRPr="007344E0">
              <w:rPr>
                <w:rFonts w:eastAsia="Times New Roman" w:cs="Times New Roman"/>
                <w:b/>
                <w:bCs/>
                <w:sz w:val="20"/>
                <w:szCs w:val="20"/>
              </w:rPr>
              <w:t>19. Общи правителствени разходи</w:t>
            </w:r>
          </w:p>
        </w:tc>
        <w:tc>
          <w:tcPr>
            <w:tcW w:w="513" w:type="pct"/>
            <w:tcBorders>
              <w:top w:val="nil"/>
              <w:left w:val="nil"/>
              <w:bottom w:val="single" w:sz="4" w:space="0" w:color="auto"/>
              <w:right w:val="nil"/>
            </w:tcBorders>
            <w:shd w:val="clear" w:color="auto" w:fill="auto"/>
            <w:noWrap/>
            <w:hideMark/>
          </w:tcPr>
          <w:p w:rsidR="008B253F" w:rsidRPr="00314927" w:rsidRDefault="008B253F" w:rsidP="008B253F">
            <w:pPr>
              <w:jc w:val="right"/>
              <w:rPr>
                <w:b/>
                <w:sz w:val="20"/>
                <w:szCs w:val="20"/>
              </w:rPr>
            </w:pPr>
            <w:r w:rsidRPr="00314927">
              <w:rPr>
                <w:b/>
                <w:sz w:val="20"/>
                <w:szCs w:val="20"/>
              </w:rPr>
              <w:t>80 265,1</w:t>
            </w:r>
          </w:p>
        </w:tc>
        <w:tc>
          <w:tcPr>
            <w:tcW w:w="582" w:type="pct"/>
            <w:tcBorders>
              <w:top w:val="nil"/>
              <w:left w:val="nil"/>
              <w:bottom w:val="single" w:sz="4" w:space="0" w:color="auto"/>
              <w:right w:val="nil"/>
            </w:tcBorders>
            <w:shd w:val="clear" w:color="auto" w:fill="auto"/>
            <w:noWrap/>
            <w:hideMark/>
          </w:tcPr>
          <w:p w:rsidR="008B253F" w:rsidRPr="00314927" w:rsidRDefault="008B253F" w:rsidP="008B253F">
            <w:pPr>
              <w:jc w:val="right"/>
              <w:rPr>
                <w:b/>
                <w:sz w:val="20"/>
                <w:szCs w:val="20"/>
              </w:rPr>
            </w:pPr>
            <w:r w:rsidRPr="00314927">
              <w:rPr>
                <w:b/>
                <w:sz w:val="20"/>
                <w:szCs w:val="20"/>
              </w:rPr>
              <w:t>39,0%</w:t>
            </w:r>
          </w:p>
        </w:tc>
        <w:tc>
          <w:tcPr>
            <w:tcW w:w="512" w:type="pct"/>
            <w:tcBorders>
              <w:top w:val="nil"/>
              <w:left w:val="nil"/>
              <w:bottom w:val="single" w:sz="4" w:space="0" w:color="auto"/>
              <w:right w:val="nil"/>
            </w:tcBorders>
            <w:shd w:val="clear" w:color="auto" w:fill="auto"/>
            <w:noWrap/>
            <w:hideMark/>
          </w:tcPr>
          <w:p w:rsidR="008B253F" w:rsidRPr="00314927" w:rsidRDefault="008B253F" w:rsidP="008B253F">
            <w:pPr>
              <w:jc w:val="right"/>
              <w:rPr>
                <w:b/>
                <w:sz w:val="20"/>
                <w:szCs w:val="20"/>
              </w:rPr>
            </w:pPr>
            <w:r w:rsidRPr="00314927">
              <w:rPr>
                <w:b/>
                <w:sz w:val="20"/>
                <w:szCs w:val="20"/>
              </w:rPr>
              <w:t>83 613,5</w:t>
            </w:r>
          </w:p>
        </w:tc>
        <w:tc>
          <w:tcPr>
            <w:tcW w:w="582" w:type="pct"/>
            <w:tcBorders>
              <w:top w:val="nil"/>
              <w:left w:val="nil"/>
              <w:bottom w:val="single" w:sz="4" w:space="0" w:color="auto"/>
              <w:right w:val="nil"/>
            </w:tcBorders>
            <w:shd w:val="clear" w:color="auto" w:fill="auto"/>
            <w:noWrap/>
            <w:hideMark/>
          </w:tcPr>
          <w:p w:rsidR="008B253F" w:rsidRPr="00314927" w:rsidRDefault="008B253F" w:rsidP="008B253F">
            <w:pPr>
              <w:jc w:val="right"/>
              <w:rPr>
                <w:b/>
                <w:sz w:val="20"/>
                <w:szCs w:val="20"/>
              </w:rPr>
            </w:pPr>
            <w:r w:rsidRPr="00314927">
              <w:rPr>
                <w:b/>
                <w:sz w:val="20"/>
                <w:szCs w:val="20"/>
              </w:rPr>
              <w:t>38,4%</w:t>
            </w:r>
          </w:p>
        </w:tc>
        <w:tc>
          <w:tcPr>
            <w:tcW w:w="512" w:type="pct"/>
            <w:tcBorders>
              <w:top w:val="nil"/>
              <w:left w:val="nil"/>
              <w:bottom w:val="single" w:sz="4" w:space="0" w:color="auto"/>
              <w:right w:val="nil"/>
            </w:tcBorders>
            <w:shd w:val="clear" w:color="auto" w:fill="auto"/>
            <w:noWrap/>
            <w:hideMark/>
          </w:tcPr>
          <w:p w:rsidR="008B253F" w:rsidRPr="00314927" w:rsidRDefault="008B253F" w:rsidP="008B253F">
            <w:pPr>
              <w:jc w:val="right"/>
              <w:rPr>
                <w:b/>
                <w:sz w:val="20"/>
                <w:szCs w:val="20"/>
              </w:rPr>
            </w:pPr>
            <w:r w:rsidRPr="00314927">
              <w:rPr>
                <w:b/>
                <w:sz w:val="20"/>
                <w:szCs w:val="20"/>
              </w:rPr>
              <w:t>90 271,2</w:t>
            </w:r>
          </w:p>
        </w:tc>
        <w:tc>
          <w:tcPr>
            <w:tcW w:w="580" w:type="pct"/>
            <w:tcBorders>
              <w:top w:val="nil"/>
              <w:left w:val="nil"/>
              <w:bottom w:val="single" w:sz="4" w:space="0" w:color="auto"/>
            </w:tcBorders>
            <w:shd w:val="clear" w:color="auto" w:fill="auto"/>
            <w:noWrap/>
            <w:hideMark/>
          </w:tcPr>
          <w:p w:rsidR="008B253F" w:rsidRPr="00314927" w:rsidRDefault="008B253F" w:rsidP="008B253F">
            <w:pPr>
              <w:jc w:val="right"/>
              <w:rPr>
                <w:b/>
                <w:sz w:val="20"/>
                <w:szCs w:val="20"/>
              </w:rPr>
            </w:pPr>
            <w:r w:rsidRPr="00314927">
              <w:rPr>
                <w:b/>
                <w:sz w:val="20"/>
                <w:szCs w:val="20"/>
              </w:rPr>
              <w:t>39,0%</w:t>
            </w:r>
          </w:p>
        </w:tc>
      </w:tr>
    </w:tbl>
    <w:p w:rsidR="00DE5E0F" w:rsidRDefault="00DE5E0F" w:rsidP="00B60042">
      <w:pPr>
        <w:spacing w:before="120"/>
        <w:jc w:val="right"/>
        <w:rPr>
          <w:sz w:val="20"/>
          <w:szCs w:val="20"/>
        </w:rPr>
      </w:pPr>
      <w:r w:rsidRPr="00164D2F">
        <w:rPr>
          <w:sz w:val="20"/>
          <w:szCs w:val="20"/>
        </w:rPr>
        <w:t>Източник: МФ</w:t>
      </w:r>
    </w:p>
    <w:p w:rsidR="008B253F" w:rsidRDefault="008B253F" w:rsidP="007344E0">
      <w:pPr>
        <w:rPr>
          <w:rFonts w:eastAsia="Calibri"/>
          <w:b/>
          <w:bCs/>
          <w:iCs/>
          <w:szCs w:val="24"/>
          <w:lang w:eastAsia="en-US"/>
        </w:rPr>
      </w:pPr>
    </w:p>
    <w:p w:rsidR="00400F85" w:rsidRDefault="007344E0" w:rsidP="007344E0">
      <w:pPr>
        <w:rPr>
          <w:rFonts w:eastAsia="Calibri"/>
          <w:bCs/>
          <w:iCs/>
          <w:szCs w:val="24"/>
          <w:lang w:eastAsia="en-US"/>
        </w:rPr>
      </w:pPr>
      <w:r w:rsidRPr="00164D2F">
        <w:rPr>
          <w:rFonts w:eastAsia="Calibri"/>
          <w:b/>
          <w:bCs/>
          <w:iCs/>
          <w:szCs w:val="24"/>
          <w:lang w:eastAsia="en-US"/>
        </w:rPr>
        <w:t>В приходите</w:t>
      </w:r>
      <w:r w:rsidRPr="00164D2F">
        <w:rPr>
          <w:rFonts w:eastAsia="Calibri"/>
          <w:bCs/>
          <w:iCs/>
          <w:szCs w:val="24"/>
          <w:lang w:eastAsia="en-US"/>
        </w:rPr>
        <w:t xml:space="preserve"> разлики между базисния сценарий и бюджетн</w:t>
      </w:r>
      <w:r>
        <w:rPr>
          <w:rFonts w:eastAsia="Calibri"/>
          <w:bCs/>
          <w:iCs/>
          <w:szCs w:val="24"/>
          <w:lang w:eastAsia="en-US"/>
        </w:rPr>
        <w:t xml:space="preserve">ата прогноза се наблюдават при </w:t>
      </w:r>
      <w:r w:rsidRPr="00164D2F">
        <w:rPr>
          <w:rFonts w:eastAsia="Calibri"/>
          <w:bCs/>
          <w:iCs/>
          <w:szCs w:val="24"/>
          <w:lang w:eastAsia="en-US"/>
        </w:rPr>
        <w:t>данъци</w:t>
      </w:r>
      <w:r>
        <w:rPr>
          <w:rFonts w:eastAsia="Calibri"/>
          <w:bCs/>
          <w:iCs/>
          <w:szCs w:val="24"/>
          <w:lang w:eastAsia="en-US"/>
        </w:rPr>
        <w:t>те върху производството и вноса,</w:t>
      </w:r>
      <w:r w:rsidRPr="003D1B27">
        <w:rPr>
          <w:rFonts w:eastAsia="Calibri"/>
          <w:bCs/>
          <w:iCs/>
          <w:szCs w:val="24"/>
          <w:lang w:eastAsia="en-US"/>
        </w:rPr>
        <w:t xml:space="preserve"> данъците върху доходите, социално-осигурителните вноски, както и при неданъчните приходи.</w:t>
      </w:r>
    </w:p>
    <w:p w:rsidR="00400F85" w:rsidRDefault="00400F85" w:rsidP="00400F85">
      <w:pPr>
        <w:rPr>
          <w:rFonts w:eastAsia="Calibri"/>
          <w:bCs/>
          <w:iCs/>
          <w:szCs w:val="24"/>
          <w:lang w:eastAsia="en-US"/>
        </w:rPr>
      </w:pPr>
      <w:r w:rsidRPr="00A6786A">
        <w:rPr>
          <w:rFonts w:eastAsia="Calibri"/>
          <w:bCs/>
          <w:iCs/>
          <w:szCs w:val="24"/>
          <w:lang w:eastAsia="en-US"/>
        </w:rPr>
        <w:t xml:space="preserve">Приходите от данъци върху производството и вноса се различават в двата сценария основно заради </w:t>
      </w:r>
      <w:r>
        <w:rPr>
          <w:rFonts w:eastAsia="Calibri"/>
          <w:bCs/>
          <w:iCs/>
          <w:szCs w:val="24"/>
          <w:lang w:eastAsia="en-US"/>
        </w:rPr>
        <w:t xml:space="preserve">приключването на действието на </w:t>
      </w:r>
      <w:r w:rsidRPr="00425F31">
        <w:rPr>
          <w:szCs w:val="24"/>
        </w:rPr>
        <w:t xml:space="preserve">Регламент (ЕС) 2022/1854 на </w:t>
      </w:r>
      <w:r>
        <w:rPr>
          <w:szCs w:val="24"/>
        </w:rPr>
        <w:t>Съвета от 2022 г.</w:t>
      </w:r>
      <w:r w:rsidRPr="00425F31">
        <w:rPr>
          <w:szCs w:val="24"/>
        </w:rPr>
        <w:t xml:space="preserve"> за спешна намеса за справяне с високите цени на енергията</w:t>
      </w:r>
      <w:r w:rsidRPr="0095576E">
        <w:t xml:space="preserve"> </w:t>
      </w:r>
      <w:r>
        <w:t xml:space="preserve">и съответно въведената </w:t>
      </w:r>
      <w:r w:rsidRPr="0095576E">
        <w:rPr>
          <w:szCs w:val="24"/>
        </w:rPr>
        <w:t>временна солидарна вноска за генерираните свръхпечалби от дружествата и местата на стопанска дейност от Съюза</w:t>
      </w:r>
      <w:r>
        <w:rPr>
          <w:szCs w:val="24"/>
        </w:rPr>
        <w:t xml:space="preserve">, </w:t>
      </w:r>
      <w:r w:rsidRPr="00425F31">
        <w:rPr>
          <w:szCs w:val="24"/>
        </w:rPr>
        <w:t>извършващи дейност в отраслите на суровия нефт, природния газ, въглищата и нефтопреработването</w:t>
      </w:r>
      <w:r>
        <w:rPr>
          <w:rFonts w:eastAsia="Calibri"/>
          <w:bCs/>
          <w:iCs/>
          <w:szCs w:val="24"/>
          <w:lang w:eastAsia="en-US"/>
        </w:rPr>
        <w:t xml:space="preserve">, </w:t>
      </w:r>
      <w:r w:rsidRPr="000C026C">
        <w:rPr>
          <w:rFonts w:eastAsia="Calibri"/>
          <w:bCs/>
          <w:iCs/>
          <w:szCs w:val="24"/>
          <w:lang w:eastAsia="en-US"/>
        </w:rPr>
        <w:t xml:space="preserve">както и изтичането </w:t>
      </w:r>
      <w:r>
        <w:rPr>
          <w:rFonts w:eastAsia="Calibri"/>
          <w:bCs/>
          <w:iCs/>
          <w:szCs w:val="24"/>
          <w:lang w:eastAsia="en-US"/>
        </w:rPr>
        <w:t xml:space="preserve">на срока </w:t>
      </w:r>
      <w:r w:rsidRPr="000C026C">
        <w:rPr>
          <w:rFonts w:eastAsia="Calibri"/>
          <w:bCs/>
          <w:iCs/>
          <w:szCs w:val="24"/>
          <w:lang w:eastAsia="en-US"/>
        </w:rPr>
        <w:t>на програмите за смекчаване на икономическите последици от нестабилността на цените на електрическата енергия и природният газ</w:t>
      </w:r>
      <w:r>
        <w:rPr>
          <w:rFonts w:eastAsia="Calibri"/>
          <w:bCs/>
          <w:iCs/>
          <w:szCs w:val="24"/>
          <w:lang w:eastAsia="en-US"/>
        </w:rPr>
        <w:t>,</w:t>
      </w:r>
      <w:r w:rsidRPr="000C026C">
        <w:rPr>
          <w:rFonts w:eastAsia="Calibri"/>
          <w:bCs/>
          <w:iCs/>
          <w:szCs w:val="24"/>
          <w:lang w:eastAsia="en-US"/>
        </w:rPr>
        <w:t xml:space="preserve"> въведени през 2021</w:t>
      </w:r>
      <w:r w:rsidRPr="00A6786A">
        <w:rPr>
          <w:rFonts w:eastAsia="Calibri"/>
          <w:bCs/>
          <w:iCs/>
          <w:szCs w:val="24"/>
          <w:lang w:eastAsia="en-US"/>
        </w:rPr>
        <w:t xml:space="preserve"> г.</w:t>
      </w:r>
      <w:r>
        <w:rPr>
          <w:rFonts w:eastAsia="Calibri"/>
          <w:bCs/>
          <w:iCs/>
          <w:szCs w:val="24"/>
          <w:lang w:eastAsia="en-US"/>
        </w:rPr>
        <w:t xml:space="preserve">, което съответно има отрицателно въздействие върху приходите от данъци върху производството. Същевременно положително влияние върху тях оказва </w:t>
      </w:r>
      <w:r w:rsidRPr="00A6786A">
        <w:rPr>
          <w:rFonts w:eastAsia="Calibri"/>
          <w:bCs/>
          <w:iCs/>
          <w:szCs w:val="24"/>
          <w:lang w:eastAsia="en-US"/>
        </w:rPr>
        <w:t>отпадането от 2024 г. на</w:t>
      </w:r>
      <w:r>
        <w:rPr>
          <w:rFonts w:eastAsia="Calibri"/>
          <w:bCs/>
          <w:iCs/>
          <w:szCs w:val="24"/>
          <w:lang w:eastAsia="en-US"/>
        </w:rPr>
        <w:t xml:space="preserve"> част от данъчните облекчения, свързани с намаляване на ставките на ДДС за определени </w:t>
      </w:r>
      <w:r w:rsidRPr="008315F8">
        <w:rPr>
          <w:rFonts w:eastAsia="Calibri"/>
          <w:bCs/>
          <w:iCs/>
          <w:szCs w:val="24"/>
          <w:lang w:eastAsia="en-US"/>
        </w:rPr>
        <w:t xml:space="preserve">видове </w:t>
      </w:r>
      <w:r>
        <w:rPr>
          <w:rFonts w:eastAsia="Calibri"/>
          <w:bCs/>
          <w:iCs/>
          <w:szCs w:val="24"/>
          <w:lang w:eastAsia="en-US"/>
        </w:rPr>
        <w:t xml:space="preserve">стоки и услуги. При </w:t>
      </w:r>
      <w:r w:rsidRPr="00F40223">
        <w:rPr>
          <w:rFonts w:eastAsia="Calibri"/>
          <w:bCs/>
          <w:iCs/>
          <w:szCs w:val="24"/>
          <w:lang w:eastAsia="en-US"/>
        </w:rPr>
        <w:t xml:space="preserve">акцизите и ДДС планираното поетапно покачване на </w:t>
      </w:r>
      <w:r w:rsidRPr="00F40223">
        <w:rPr>
          <w:rFonts w:eastAsia="Times New Roman" w:cs="Times New Roman"/>
        </w:rPr>
        <w:t>ставките на пури и пурети, на тютюн за пушене, на н</w:t>
      </w:r>
      <w:r w:rsidRPr="006E3B5D">
        <w:rPr>
          <w:rFonts w:eastAsia="Times New Roman" w:cs="Times New Roman"/>
        </w:rPr>
        <w:t>агреваемо тютюнево изделие</w:t>
      </w:r>
      <w:r w:rsidRPr="00EB6722">
        <w:rPr>
          <w:rFonts w:eastAsia="Times New Roman" w:cs="Times New Roman"/>
        </w:rPr>
        <w:t xml:space="preserve"> и облагане с акциз</w:t>
      </w:r>
      <w:r w:rsidRPr="006E3B5D">
        <w:rPr>
          <w:rFonts w:eastAsia="Times New Roman" w:cs="Times New Roman"/>
        </w:rPr>
        <w:t xml:space="preserve"> на течността за електронна цигара, </w:t>
      </w:r>
      <w:r w:rsidRPr="00EB6722">
        <w:rPr>
          <w:rFonts w:eastAsia="Times New Roman" w:cs="Times New Roman"/>
        </w:rPr>
        <w:t>съдържаща никотин</w:t>
      </w:r>
      <w:r>
        <w:rPr>
          <w:rFonts w:eastAsia="Times New Roman" w:cs="Times New Roman"/>
        </w:rPr>
        <w:t>, както и</w:t>
      </w:r>
      <w:r w:rsidRPr="007C06DB">
        <w:rPr>
          <w:rFonts w:eastAsia="Times New Roman" w:cs="Times New Roman"/>
        </w:rPr>
        <w:t xml:space="preserve"> включване</w:t>
      </w:r>
      <w:r>
        <w:rPr>
          <w:rFonts w:eastAsia="Times New Roman" w:cs="Times New Roman"/>
        </w:rPr>
        <w:t>то</w:t>
      </w:r>
      <w:r w:rsidRPr="007C06DB">
        <w:rPr>
          <w:rFonts w:eastAsia="Times New Roman" w:cs="Times New Roman"/>
        </w:rPr>
        <w:t xml:space="preserve"> на течностите за електронни цигари, несъдържащи никотин, и заместителите на тютюна, съдържащи никотин в обхвата на акцизните стоки</w:t>
      </w:r>
      <w:r>
        <w:rPr>
          <w:rFonts w:eastAsia="Times New Roman" w:cs="Times New Roman"/>
        </w:rPr>
        <w:t xml:space="preserve">, също води до по-високо ниво на планираните приходи от </w:t>
      </w:r>
      <w:r w:rsidRPr="00A6786A">
        <w:rPr>
          <w:rFonts w:eastAsia="Calibri"/>
          <w:bCs/>
          <w:iCs/>
          <w:szCs w:val="24"/>
          <w:lang w:eastAsia="en-US"/>
        </w:rPr>
        <w:t>данъци върху производството и вноса</w:t>
      </w:r>
      <w:r>
        <w:rPr>
          <w:rFonts w:eastAsia="Calibri"/>
          <w:bCs/>
          <w:iCs/>
          <w:szCs w:val="24"/>
          <w:lang w:eastAsia="en-US"/>
        </w:rPr>
        <w:t xml:space="preserve">. Увеличение се планира да има и в резултат на прилагането на пакета от мерки за </w:t>
      </w:r>
      <w:r w:rsidRPr="00F171EE">
        <w:rPr>
          <w:rFonts w:eastAsia="Calibri"/>
          <w:bCs/>
          <w:iCs/>
          <w:szCs w:val="24"/>
          <w:lang w:eastAsia="en-US"/>
        </w:rPr>
        <w:t>превенция и противодействие срещу данъчните измами и укриването и невнасянето на данъци</w:t>
      </w:r>
      <w:r>
        <w:rPr>
          <w:rFonts w:eastAsia="Calibri"/>
          <w:bCs/>
          <w:iCs/>
          <w:szCs w:val="24"/>
          <w:lang w:eastAsia="en-US"/>
        </w:rPr>
        <w:t xml:space="preserve"> в страната, както и от предлаганите изменения в законодателството, свързано с режима на облагане на хазартните дейности в страната. </w:t>
      </w:r>
      <w:r w:rsidRPr="00BD6804">
        <w:rPr>
          <w:rFonts w:eastAsia="Calibri"/>
          <w:bCs/>
          <w:iCs/>
          <w:szCs w:val="24"/>
          <w:lang w:eastAsia="en-US"/>
        </w:rPr>
        <w:t>При сценария без промяна в политиките приходите от тези данъци нарастват по-слабо - съответно с 4,1% за 2025 г. и 6,4% за 2026 г. в сравнение с бюджетната прогноза.</w:t>
      </w:r>
    </w:p>
    <w:p w:rsidR="00400F85" w:rsidRDefault="00400F85" w:rsidP="00400F85">
      <w:pPr>
        <w:rPr>
          <w:rFonts w:eastAsia="Calibri"/>
          <w:bCs/>
          <w:iCs/>
          <w:szCs w:val="24"/>
          <w:lang w:eastAsia="en-US"/>
        </w:rPr>
      </w:pPr>
      <w:r>
        <w:rPr>
          <w:rFonts w:eastAsia="Calibri"/>
          <w:bCs/>
          <w:iCs/>
          <w:szCs w:val="24"/>
          <w:lang w:eastAsia="en-US"/>
        </w:rPr>
        <w:t>В п</w:t>
      </w:r>
      <w:r w:rsidRPr="00A6786A">
        <w:rPr>
          <w:rFonts w:eastAsia="Calibri"/>
          <w:bCs/>
          <w:iCs/>
          <w:szCs w:val="24"/>
          <w:lang w:eastAsia="en-US"/>
        </w:rPr>
        <w:t>рогнозата за приходите от социални и здравни осигуровки в сценария с непроменени п</w:t>
      </w:r>
      <w:r>
        <w:rPr>
          <w:rFonts w:eastAsia="Calibri"/>
          <w:bCs/>
          <w:iCs/>
          <w:szCs w:val="24"/>
          <w:lang w:eastAsia="en-US"/>
        </w:rPr>
        <w:t xml:space="preserve">олитики се предвижда нарастване в </w:t>
      </w:r>
      <w:r w:rsidRPr="00371B40">
        <w:rPr>
          <w:rFonts w:eastAsia="Calibri"/>
          <w:bCs/>
          <w:iCs/>
          <w:szCs w:val="24"/>
          <w:lang w:eastAsia="en-US"/>
        </w:rPr>
        <w:t xml:space="preserve">размер на </w:t>
      </w:r>
      <w:r w:rsidRPr="00371B40">
        <w:rPr>
          <w:rFonts w:eastAsia="Calibri"/>
          <w:bCs/>
          <w:iCs/>
          <w:szCs w:val="24"/>
          <w:lang w:val="en-US" w:eastAsia="en-US"/>
        </w:rPr>
        <w:t>12,1</w:t>
      </w:r>
      <w:r w:rsidRPr="00371B40">
        <w:rPr>
          <w:rFonts w:eastAsia="Calibri"/>
          <w:bCs/>
          <w:iCs/>
          <w:szCs w:val="24"/>
          <w:lang w:eastAsia="en-US"/>
        </w:rPr>
        <w:t xml:space="preserve">%, </w:t>
      </w:r>
      <w:r w:rsidRPr="00371B40">
        <w:rPr>
          <w:rFonts w:eastAsia="Calibri"/>
          <w:bCs/>
          <w:iCs/>
          <w:szCs w:val="24"/>
          <w:lang w:val="en-US" w:eastAsia="en-US"/>
        </w:rPr>
        <w:t>6,8</w:t>
      </w:r>
      <w:r w:rsidRPr="00371B40">
        <w:rPr>
          <w:rFonts w:eastAsia="Calibri"/>
          <w:bCs/>
          <w:iCs/>
          <w:szCs w:val="24"/>
          <w:lang w:eastAsia="en-US"/>
        </w:rPr>
        <w:t xml:space="preserve">% и </w:t>
      </w:r>
      <w:r w:rsidRPr="00371B40">
        <w:rPr>
          <w:rFonts w:eastAsia="Calibri"/>
          <w:bCs/>
          <w:iCs/>
          <w:szCs w:val="24"/>
          <w:lang w:val="en-US" w:eastAsia="en-US"/>
        </w:rPr>
        <w:t>8</w:t>
      </w:r>
      <w:r>
        <w:rPr>
          <w:rFonts w:eastAsia="Calibri"/>
          <w:bCs/>
          <w:iCs/>
          <w:szCs w:val="24"/>
          <w:lang w:eastAsia="en-US"/>
        </w:rPr>
        <w:t>,0</w:t>
      </w:r>
      <w:r w:rsidRPr="00371B40">
        <w:rPr>
          <w:rFonts w:eastAsia="Calibri"/>
          <w:bCs/>
          <w:iCs/>
          <w:szCs w:val="24"/>
          <w:lang w:eastAsia="en-US"/>
        </w:rPr>
        <w:t>% на годишна</w:t>
      </w:r>
      <w:r w:rsidRPr="00A6786A">
        <w:rPr>
          <w:rFonts w:eastAsia="Calibri"/>
          <w:bCs/>
          <w:iCs/>
          <w:szCs w:val="24"/>
          <w:lang w:eastAsia="en-US"/>
        </w:rPr>
        <w:t xml:space="preserve"> база </w:t>
      </w:r>
      <w:r w:rsidR="00291C06">
        <w:rPr>
          <w:rFonts w:eastAsia="Calibri"/>
          <w:bCs/>
          <w:iCs/>
          <w:szCs w:val="24"/>
          <w:lang w:eastAsia="en-US"/>
        </w:rPr>
        <w:t>за периода 2024-</w:t>
      </w:r>
      <w:r>
        <w:rPr>
          <w:rFonts w:eastAsia="Calibri"/>
          <w:bCs/>
          <w:iCs/>
          <w:szCs w:val="24"/>
          <w:lang w:eastAsia="en-US"/>
        </w:rPr>
        <w:t xml:space="preserve">2026 </w:t>
      </w:r>
      <w:r w:rsidRPr="00A6786A">
        <w:rPr>
          <w:rFonts w:eastAsia="Calibri"/>
          <w:bCs/>
          <w:iCs/>
          <w:szCs w:val="24"/>
          <w:lang w:eastAsia="en-US"/>
        </w:rPr>
        <w:t>г. Това</w:t>
      </w:r>
      <w:r>
        <w:rPr>
          <w:rFonts w:eastAsia="Calibri"/>
          <w:bCs/>
          <w:iCs/>
          <w:szCs w:val="24"/>
          <w:lang w:eastAsia="en-US"/>
        </w:rPr>
        <w:t xml:space="preserve"> се базира на очакваното поетапно покачване на размера на максималния осигурителен доход за страната в средносрочен план</w:t>
      </w:r>
      <w:r w:rsidRPr="00A6786A">
        <w:rPr>
          <w:rFonts w:eastAsia="Calibri"/>
          <w:bCs/>
          <w:iCs/>
          <w:szCs w:val="24"/>
          <w:lang w:eastAsia="en-US"/>
        </w:rPr>
        <w:t>.</w:t>
      </w:r>
    </w:p>
    <w:p w:rsidR="00400F85" w:rsidRPr="00A6786A" w:rsidRDefault="00400F85" w:rsidP="00400F85">
      <w:pPr>
        <w:rPr>
          <w:rFonts w:eastAsia="Calibri"/>
          <w:bCs/>
          <w:iCs/>
          <w:szCs w:val="24"/>
          <w:lang w:eastAsia="en-US"/>
        </w:rPr>
      </w:pPr>
      <w:r>
        <w:rPr>
          <w:rFonts w:eastAsia="Calibri"/>
          <w:bCs/>
          <w:iCs/>
          <w:szCs w:val="24"/>
          <w:lang w:eastAsia="en-US"/>
        </w:rPr>
        <w:t xml:space="preserve">По отношение на приходите от текущи данъци разлика между основния сценарий и сценария с непроменени политики се планира само за 2024 г. – вследствие на очакваните по-високи приходи от </w:t>
      </w:r>
      <w:r w:rsidRPr="003014D5">
        <w:rPr>
          <w:rFonts w:eastAsia="Calibri"/>
          <w:bCs/>
          <w:iCs/>
          <w:szCs w:val="24"/>
          <w:lang w:eastAsia="en-US"/>
        </w:rPr>
        <w:t>предложения</w:t>
      </w:r>
      <w:r>
        <w:rPr>
          <w:rFonts w:eastAsia="Calibri"/>
          <w:bCs/>
          <w:iCs/>
          <w:szCs w:val="24"/>
          <w:lang w:eastAsia="en-US"/>
        </w:rPr>
        <w:t xml:space="preserve"> пакет от мерки за повишаване</w:t>
      </w:r>
      <w:r w:rsidRPr="003014D5">
        <w:rPr>
          <w:rFonts w:eastAsia="Calibri"/>
          <w:bCs/>
          <w:iCs/>
          <w:szCs w:val="24"/>
          <w:lang w:eastAsia="en-US"/>
        </w:rPr>
        <w:t xml:space="preserve"> събираемостта на приходите, в т.ч. в областта на фискалния контрол на стоки с висок фискален риск</w:t>
      </w:r>
      <w:r>
        <w:rPr>
          <w:rFonts w:eastAsia="Calibri"/>
          <w:bCs/>
          <w:iCs/>
          <w:szCs w:val="24"/>
          <w:lang w:eastAsia="en-US"/>
        </w:rPr>
        <w:t>,</w:t>
      </w:r>
      <w:r w:rsidR="00032AFC">
        <w:rPr>
          <w:rFonts w:eastAsia="Calibri"/>
          <w:bCs/>
          <w:iCs/>
          <w:szCs w:val="24"/>
          <w:lang w:eastAsia="en-US"/>
        </w:rPr>
        <w:t xml:space="preserve"> </w:t>
      </w:r>
      <w:r>
        <w:rPr>
          <w:rFonts w:eastAsia="Calibri"/>
          <w:bCs/>
          <w:iCs/>
          <w:szCs w:val="24"/>
          <w:lang w:eastAsia="en-US"/>
        </w:rPr>
        <w:t>от въвеждане на</w:t>
      </w:r>
      <w:r w:rsidRPr="00936689">
        <w:rPr>
          <w:rFonts w:eastAsia="Calibri"/>
          <w:bCs/>
          <w:iCs/>
          <w:szCs w:val="24"/>
          <w:lang w:eastAsia="en-US"/>
        </w:rPr>
        <w:t xml:space="preserve"> национален допълнителен данък в съответствие с Директива (ЕС) 2022/2523 на Съвета за осигуряване на глобално минимално ниво на данъчно облагане за групите на мултинационалните предприятия (MNE) и г</w:t>
      </w:r>
      <w:r>
        <w:rPr>
          <w:rFonts w:eastAsia="Calibri"/>
          <w:bCs/>
          <w:iCs/>
          <w:szCs w:val="24"/>
          <w:lang w:eastAsia="en-US"/>
        </w:rPr>
        <w:t>олемите местни групи в Съюза, от предвиденото нарастване</w:t>
      </w:r>
      <w:r w:rsidRPr="00F6237D">
        <w:rPr>
          <w:rFonts w:eastAsia="Calibri"/>
          <w:bCs/>
          <w:iCs/>
          <w:szCs w:val="24"/>
          <w:lang w:eastAsia="en-US"/>
        </w:rPr>
        <w:t xml:space="preserve"> на прага за оборот п</w:t>
      </w:r>
      <w:r>
        <w:rPr>
          <w:rFonts w:eastAsia="Calibri"/>
          <w:bCs/>
          <w:iCs/>
          <w:szCs w:val="24"/>
          <w:lang w:eastAsia="en-US"/>
        </w:rPr>
        <w:t xml:space="preserve">ри патентния данък за облагане на </w:t>
      </w:r>
      <w:r w:rsidRPr="00DD500A">
        <w:rPr>
          <w:rFonts w:eastAsia="Calibri"/>
          <w:bCs/>
          <w:iCs/>
          <w:szCs w:val="24"/>
          <w:lang w:eastAsia="en-US"/>
        </w:rPr>
        <w:t>лицата</w:t>
      </w:r>
      <w:r w:rsidRPr="00F6237D">
        <w:rPr>
          <w:rFonts w:eastAsia="Calibri"/>
          <w:bCs/>
          <w:iCs/>
          <w:szCs w:val="24"/>
          <w:lang w:eastAsia="en-US"/>
        </w:rPr>
        <w:t xml:space="preserve"> с оборот между 50 </w:t>
      </w:r>
      <w:r>
        <w:rPr>
          <w:rFonts w:eastAsia="Calibri"/>
          <w:bCs/>
          <w:iCs/>
          <w:szCs w:val="24"/>
          <w:lang w:eastAsia="en-US"/>
        </w:rPr>
        <w:t>и</w:t>
      </w:r>
      <w:r w:rsidRPr="00F6237D">
        <w:rPr>
          <w:rFonts w:eastAsia="Calibri"/>
          <w:bCs/>
          <w:iCs/>
          <w:szCs w:val="24"/>
          <w:lang w:eastAsia="en-US"/>
        </w:rPr>
        <w:t xml:space="preserve"> 100 хил. лв., както и </w:t>
      </w:r>
      <w:r>
        <w:rPr>
          <w:rFonts w:eastAsia="Calibri"/>
          <w:bCs/>
          <w:iCs/>
          <w:szCs w:val="24"/>
          <w:lang w:eastAsia="en-US"/>
        </w:rPr>
        <w:t xml:space="preserve">от </w:t>
      </w:r>
      <w:r w:rsidRPr="00F6237D">
        <w:rPr>
          <w:rFonts w:eastAsia="Calibri"/>
          <w:bCs/>
          <w:iCs/>
          <w:szCs w:val="24"/>
          <w:lang w:eastAsia="en-US"/>
        </w:rPr>
        <w:t>въвеждане на патентен данък за юридическите лица, осъществяващи дейност като заведения за хранене и развлечения</w:t>
      </w:r>
      <w:r>
        <w:rPr>
          <w:rFonts w:eastAsia="Calibri"/>
          <w:bCs/>
          <w:iCs/>
          <w:szCs w:val="24"/>
          <w:lang w:eastAsia="en-US"/>
        </w:rPr>
        <w:t>.</w:t>
      </w:r>
    </w:p>
    <w:p w:rsidR="00400F85" w:rsidRPr="00B87C27" w:rsidRDefault="00400F85" w:rsidP="00400F85">
      <w:pPr>
        <w:rPr>
          <w:rFonts w:eastAsia="Calibri"/>
          <w:bCs/>
          <w:iCs/>
          <w:szCs w:val="24"/>
          <w:lang w:eastAsia="en-US"/>
        </w:rPr>
      </w:pPr>
      <w:r w:rsidRPr="00B87C27">
        <w:rPr>
          <w:rFonts w:eastAsia="Calibri"/>
          <w:bCs/>
          <w:iCs/>
          <w:szCs w:val="24"/>
          <w:lang w:eastAsia="en-US"/>
        </w:rPr>
        <w:t>При неданъчните при</w:t>
      </w:r>
      <w:r>
        <w:rPr>
          <w:rFonts w:eastAsia="Calibri"/>
          <w:bCs/>
          <w:iCs/>
          <w:szCs w:val="24"/>
          <w:lang w:eastAsia="en-US"/>
        </w:rPr>
        <w:t xml:space="preserve">ходи при непроменени политики </w:t>
      </w:r>
      <w:r w:rsidRPr="00B87C27">
        <w:rPr>
          <w:rFonts w:eastAsia="Calibri"/>
          <w:bCs/>
          <w:iCs/>
          <w:szCs w:val="24"/>
          <w:lang w:eastAsia="en-US"/>
        </w:rPr>
        <w:t xml:space="preserve">разликите спрямо основния сценарий са </w:t>
      </w:r>
      <w:r>
        <w:rPr>
          <w:rFonts w:eastAsia="Calibri"/>
          <w:bCs/>
          <w:iCs/>
          <w:szCs w:val="24"/>
          <w:lang w:eastAsia="en-US"/>
        </w:rPr>
        <w:t>основно</w:t>
      </w:r>
      <w:r w:rsidRPr="00B87C27">
        <w:rPr>
          <w:rFonts w:eastAsia="Calibri"/>
          <w:bCs/>
          <w:iCs/>
          <w:szCs w:val="24"/>
          <w:lang w:eastAsia="en-US"/>
        </w:rPr>
        <w:t xml:space="preserve"> за следващата година, във връзка с очакваните по-ниски финансови резултати на публичните предприятия за 2023 г., което се очаква да доведе до понижение на приходите с 482,5 млн. лв. Положително влияни</w:t>
      </w:r>
      <w:r>
        <w:rPr>
          <w:rFonts w:eastAsia="Calibri"/>
          <w:bCs/>
          <w:iCs/>
          <w:szCs w:val="24"/>
          <w:lang w:eastAsia="en-US"/>
        </w:rPr>
        <w:t>е в бюджетната прогноза оказва</w:t>
      </w:r>
      <w:r w:rsidRPr="00B87C27">
        <w:rPr>
          <w:rFonts w:eastAsia="Calibri"/>
          <w:bCs/>
          <w:iCs/>
          <w:szCs w:val="24"/>
          <w:lang w:eastAsia="en-US"/>
        </w:rPr>
        <w:t xml:space="preserve"> очакваното нарастване на приходите от ТОЛ такси в размер на </w:t>
      </w:r>
      <w:r>
        <w:rPr>
          <w:rFonts w:eastAsia="Calibri"/>
          <w:bCs/>
          <w:iCs/>
          <w:szCs w:val="24"/>
          <w:lang w:eastAsia="en-US"/>
        </w:rPr>
        <w:t>23,2 млн. лв. за 2024 г. и съответно 43</w:t>
      </w:r>
      <w:r w:rsidR="00B00A68">
        <w:rPr>
          <w:rFonts w:eastAsia="Calibri"/>
          <w:bCs/>
          <w:iCs/>
          <w:szCs w:val="24"/>
          <w:lang w:eastAsia="en-US"/>
        </w:rPr>
        <w:t>,0</w:t>
      </w:r>
      <w:r>
        <w:rPr>
          <w:rFonts w:eastAsia="Calibri"/>
          <w:bCs/>
          <w:iCs/>
          <w:szCs w:val="24"/>
          <w:lang w:eastAsia="en-US"/>
        </w:rPr>
        <w:t xml:space="preserve"> млн. лв. за 2025 г.</w:t>
      </w:r>
    </w:p>
    <w:p w:rsidR="00400F85" w:rsidRDefault="00400F85" w:rsidP="00400F85">
      <w:pPr>
        <w:rPr>
          <w:rFonts w:eastAsia="Calibri"/>
          <w:bCs/>
          <w:iCs/>
          <w:color w:val="000000" w:themeColor="text1"/>
          <w:szCs w:val="24"/>
          <w:lang w:eastAsia="en-US"/>
        </w:rPr>
      </w:pPr>
      <w:r w:rsidRPr="00A6786A">
        <w:rPr>
          <w:rFonts w:eastAsia="Calibri"/>
          <w:b/>
          <w:bCs/>
          <w:iCs/>
          <w:szCs w:val="24"/>
          <w:lang w:eastAsia="en-US"/>
        </w:rPr>
        <w:t>При разходите</w:t>
      </w:r>
      <w:r w:rsidRPr="00A6786A">
        <w:rPr>
          <w:rFonts w:eastAsia="Calibri"/>
          <w:bCs/>
          <w:iCs/>
          <w:szCs w:val="24"/>
          <w:lang w:eastAsia="en-US"/>
        </w:rPr>
        <w:t xml:space="preserve"> разлики между базисния сценарий и бюджетната прогноза се наблюдават основно при </w:t>
      </w:r>
      <w:r>
        <w:rPr>
          <w:rFonts w:eastAsia="Calibri"/>
          <w:bCs/>
          <w:iCs/>
          <w:color w:val="000000" w:themeColor="text1"/>
          <w:szCs w:val="24"/>
          <w:lang w:eastAsia="en-US"/>
        </w:rPr>
        <w:t xml:space="preserve">субсидиите, </w:t>
      </w:r>
      <w:r w:rsidRPr="00BE4357">
        <w:rPr>
          <w:rFonts w:eastAsia="Calibri"/>
          <w:bCs/>
          <w:iCs/>
          <w:color w:val="000000" w:themeColor="text1"/>
          <w:szCs w:val="24"/>
          <w:lang w:eastAsia="en-US"/>
        </w:rPr>
        <w:t>капиталовите разходи</w:t>
      </w:r>
      <w:r>
        <w:rPr>
          <w:rFonts w:eastAsia="Calibri"/>
          <w:bCs/>
          <w:iCs/>
          <w:color w:val="000000" w:themeColor="text1"/>
          <w:szCs w:val="24"/>
          <w:lang w:eastAsia="en-US"/>
        </w:rPr>
        <w:t>,</w:t>
      </w:r>
      <w:r w:rsidRPr="00BE4357">
        <w:rPr>
          <w:rFonts w:eastAsia="Calibri"/>
          <w:bCs/>
          <w:iCs/>
          <w:color w:val="000000" w:themeColor="text1"/>
          <w:szCs w:val="24"/>
          <w:lang w:eastAsia="en-US"/>
        </w:rPr>
        <w:t xml:space="preserve"> </w:t>
      </w:r>
      <w:r w:rsidRPr="00A6786A">
        <w:rPr>
          <w:rFonts w:eastAsia="Calibri"/>
          <w:bCs/>
          <w:iCs/>
          <w:szCs w:val="24"/>
          <w:lang w:eastAsia="en-US"/>
        </w:rPr>
        <w:t>социалните трансфери</w:t>
      </w:r>
      <w:r>
        <w:rPr>
          <w:rFonts w:eastAsia="Calibri"/>
          <w:bCs/>
          <w:iCs/>
          <w:szCs w:val="24"/>
          <w:lang w:eastAsia="en-US"/>
        </w:rPr>
        <w:t xml:space="preserve"> (без тези в натура) </w:t>
      </w:r>
      <w:r w:rsidRPr="00BE4357">
        <w:rPr>
          <w:rFonts w:eastAsia="Calibri"/>
          <w:bCs/>
          <w:iCs/>
          <w:color w:val="000000" w:themeColor="text1"/>
          <w:szCs w:val="24"/>
          <w:lang w:eastAsia="en-US"/>
        </w:rPr>
        <w:t xml:space="preserve">и междинното потребление. </w:t>
      </w:r>
    </w:p>
    <w:p w:rsidR="00400F85" w:rsidRPr="00BE4357" w:rsidRDefault="00400F85" w:rsidP="00400F85">
      <w:pPr>
        <w:rPr>
          <w:rFonts w:eastAsia="Calibri"/>
          <w:bCs/>
          <w:iCs/>
          <w:color w:val="000000" w:themeColor="text1"/>
          <w:szCs w:val="24"/>
          <w:lang w:eastAsia="en-US"/>
        </w:rPr>
      </w:pPr>
      <w:r>
        <w:rPr>
          <w:rFonts w:eastAsia="Calibri"/>
          <w:bCs/>
          <w:iCs/>
          <w:szCs w:val="24"/>
          <w:lang w:eastAsia="en-US"/>
        </w:rPr>
        <w:t>При субсидиите разликите между базисния и основния сценарий през 2024 г. се дължат на прекратяване действието на програмите за</w:t>
      </w:r>
      <w:r w:rsidRPr="00B613E1">
        <w:rPr>
          <w:rFonts w:eastAsia="Calibri"/>
          <w:bCs/>
          <w:iCs/>
          <w:szCs w:val="24"/>
          <w:lang w:eastAsia="en-US"/>
        </w:rPr>
        <w:t xml:space="preserve"> смекчаване на икономическите последици от нестабилността на цените на електрическата енергия и природния газ</w:t>
      </w:r>
      <w:r>
        <w:rPr>
          <w:rFonts w:eastAsia="Calibri"/>
          <w:bCs/>
          <w:iCs/>
          <w:szCs w:val="24"/>
          <w:lang w:eastAsia="en-US"/>
        </w:rPr>
        <w:t>, влезли в действие през 2021 г.</w:t>
      </w:r>
    </w:p>
    <w:p w:rsidR="00400F85" w:rsidRDefault="00400F85" w:rsidP="00400F85">
      <w:pPr>
        <w:rPr>
          <w:rFonts w:eastAsia="Calibri"/>
          <w:bCs/>
          <w:iCs/>
          <w:color w:val="000000" w:themeColor="text1"/>
          <w:szCs w:val="24"/>
          <w:lang w:eastAsia="en-US"/>
        </w:rPr>
      </w:pPr>
      <w:r w:rsidRPr="00B06CB4">
        <w:rPr>
          <w:rFonts w:eastAsia="Calibri"/>
          <w:bCs/>
          <w:iCs/>
          <w:szCs w:val="24"/>
          <w:lang w:eastAsia="en-US"/>
        </w:rPr>
        <w:t xml:space="preserve">Изменението на разходите за бруто образуване на основен капитал в базисния сценарий е ръст </w:t>
      </w:r>
      <w:r w:rsidRPr="006133B7">
        <w:rPr>
          <w:rFonts w:eastAsia="Calibri"/>
          <w:bCs/>
          <w:iCs/>
          <w:color w:val="000000" w:themeColor="text1"/>
          <w:szCs w:val="24"/>
          <w:lang w:eastAsia="en-US"/>
        </w:rPr>
        <w:t xml:space="preserve">от </w:t>
      </w:r>
      <w:r>
        <w:rPr>
          <w:rFonts w:eastAsia="Calibri"/>
          <w:bCs/>
          <w:iCs/>
          <w:color w:val="000000" w:themeColor="text1"/>
          <w:szCs w:val="24"/>
          <w:lang w:eastAsia="en-US"/>
        </w:rPr>
        <w:t>32,1</w:t>
      </w:r>
      <w:r w:rsidRPr="006133B7">
        <w:rPr>
          <w:rFonts w:eastAsia="Calibri"/>
          <w:bCs/>
          <w:iCs/>
          <w:color w:val="000000" w:themeColor="text1"/>
          <w:szCs w:val="24"/>
          <w:lang w:eastAsia="en-US"/>
        </w:rPr>
        <w:t xml:space="preserve">% и </w:t>
      </w:r>
      <w:r>
        <w:rPr>
          <w:rFonts w:eastAsia="Calibri"/>
          <w:bCs/>
          <w:iCs/>
          <w:color w:val="000000" w:themeColor="text1"/>
          <w:szCs w:val="24"/>
          <w:lang w:eastAsia="en-US"/>
        </w:rPr>
        <w:t>1,</w:t>
      </w:r>
      <w:r w:rsidR="000B2FE6">
        <w:rPr>
          <w:rFonts w:eastAsia="Calibri"/>
          <w:bCs/>
          <w:iCs/>
          <w:color w:val="000000" w:themeColor="text1"/>
          <w:szCs w:val="24"/>
          <w:lang w:eastAsia="en-US"/>
        </w:rPr>
        <w:t>4</w:t>
      </w:r>
      <w:r w:rsidRPr="006133B7">
        <w:rPr>
          <w:rFonts w:eastAsia="Calibri"/>
          <w:bCs/>
          <w:iCs/>
          <w:color w:val="000000" w:themeColor="text1"/>
          <w:szCs w:val="24"/>
          <w:lang w:eastAsia="en-US"/>
        </w:rPr>
        <w:t xml:space="preserve">% съответно за 2024 г. и 2025 г. и минимален спад от </w:t>
      </w:r>
      <w:r>
        <w:rPr>
          <w:rFonts w:eastAsia="Calibri"/>
          <w:bCs/>
          <w:iCs/>
          <w:color w:val="000000" w:themeColor="text1"/>
          <w:szCs w:val="24"/>
          <w:lang w:eastAsia="en-US"/>
        </w:rPr>
        <w:t>2,</w:t>
      </w:r>
      <w:r w:rsidR="000B2FE6">
        <w:rPr>
          <w:rFonts w:eastAsia="Calibri"/>
          <w:bCs/>
          <w:iCs/>
          <w:color w:val="000000" w:themeColor="text1"/>
          <w:szCs w:val="24"/>
          <w:lang w:eastAsia="en-US"/>
        </w:rPr>
        <w:t>1</w:t>
      </w:r>
      <w:r w:rsidRPr="006133B7">
        <w:rPr>
          <w:rFonts w:eastAsia="Calibri"/>
          <w:bCs/>
          <w:iCs/>
          <w:color w:val="000000" w:themeColor="text1"/>
          <w:szCs w:val="24"/>
          <w:lang w:eastAsia="en-US"/>
        </w:rPr>
        <w:t xml:space="preserve">% за 2026 </w:t>
      </w:r>
      <w:r w:rsidRPr="00DA7A9B">
        <w:rPr>
          <w:rFonts w:eastAsia="Calibri"/>
          <w:bCs/>
          <w:iCs/>
          <w:color w:val="000000" w:themeColor="text1"/>
          <w:szCs w:val="24"/>
          <w:lang w:eastAsia="en-US"/>
        </w:rPr>
        <w:t xml:space="preserve">г., докато </w:t>
      </w:r>
      <w:r w:rsidRPr="00B06CB4">
        <w:rPr>
          <w:rFonts w:eastAsia="Calibri"/>
          <w:bCs/>
          <w:iCs/>
          <w:szCs w:val="24"/>
          <w:lang w:eastAsia="en-US"/>
        </w:rPr>
        <w:t xml:space="preserve">в бюджетната прогноза този </w:t>
      </w:r>
      <w:r w:rsidRPr="001D6915">
        <w:rPr>
          <w:rFonts w:eastAsia="Calibri"/>
          <w:bCs/>
          <w:iCs/>
          <w:color w:val="000000" w:themeColor="text1"/>
          <w:szCs w:val="24"/>
          <w:lang w:eastAsia="en-US"/>
        </w:rPr>
        <w:t xml:space="preserve">показател нараства </w:t>
      </w:r>
      <w:r w:rsidRPr="00124B0F">
        <w:rPr>
          <w:rFonts w:eastAsia="Calibri"/>
          <w:bCs/>
          <w:iCs/>
          <w:color w:val="000000" w:themeColor="text1"/>
          <w:szCs w:val="24"/>
          <w:lang w:eastAsia="en-US"/>
        </w:rPr>
        <w:t xml:space="preserve">с </w:t>
      </w:r>
      <w:r>
        <w:rPr>
          <w:rFonts w:eastAsia="Calibri"/>
          <w:bCs/>
          <w:iCs/>
          <w:color w:val="000000" w:themeColor="text1"/>
          <w:szCs w:val="24"/>
          <w:lang w:eastAsia="en-US"/>
        </w:rPr>
        <w:t>23,5</w:t>
      </w:r>
      <w:r w:rsidRPr="00CC794B">
        <w:rPr>
          <w:rFonts w:eastAsia="Calibri"/>
          <w:bCs/>
          <w:iCs/>
          <w:color w:val="000000" w:themeColor="text1"/>
          <w:szCs w:val="24"/>
          <w:lang w:eastAsia="en-US"/>
        </w:rPr>
        <w:t>%</w:t>
      </w:r>
      <w:r w:rsidRPr="00124B0F">
        <w:rPr>
          <w:rFonts w:eastAsia="Calibri"/>
          <w:bCs/>
          <w:iCs/>
          <w:color w:val="000000" w:themeColor="text1"/>
          <w:szCs w:val="24"/>
          <w:lang w:eastAsia="en-US"/>
        </w:rPr>
        <w:t xml:space="preserve"> и 1</w:t>
      </w:r>
      <w:r>
        <w:rPr>
          <w:rFonts w:eastAsia="Calibri"/>
          <w:bCs/>
          <w:iCs/>
          <w:color w:val="000000" w:themeColor="text1"/>
          <w:szCs w:val="24"/>
          <w:lang w:eastAsia="en-US"/>
        </w:rPr>
        <w:t>8,</w:t>
      </w:r>
      <w:r w:rsidR="000B2FE6">
        <w:rPr>
          <w:rFonts w:eastAsia="Calibri"/>
          <w:bCs/>
          <w:iCs/>
          <w:color w:val="000000" w:themeColor="text1"/>
          <w:szCs w:val="24"/>
          <w:lang w:eastAsia="en-US"/>
        </w:rPr>
        <w:t>3</w:t>
      </w:r>
      <w:r w:rsidRPr="00124B0F">
        <w:rPr>
          <w:rFonts w:eastAsia="Calibri"/>
          <w:bCs/>
          <w:iCs/>
          <w:color w:val="000000" w:themeColor="text1"/>
          <w:szCs w:val="24"/>
          <w:lang w:eastAsia="en-US"/>
        </w:rPr>
        <w:t>% съответно за 2024</w:t>
      </w:r>
      <w:r>
        <w:rPr>
          <w:rFonts w:eastAsia="Calibri"/>
          <w:bCs/>
          <w:iCs/>
          <w:color w:val="000000" w:themeColor="text1"/>
          <w:szCs w:val="24"/>
          <w:lang w:eastAsia="en-US"/>
        </w:rPr>
        <w:t xml:space="preserve"> г. и </w:t>
      </w:r>
      <w:r w:rsidRPr="00124B0F">
        <w:rPr>
          <w:rFonts w:eastAsia="Calibri"/>
          <w:bCs/>
          <w:iCs/>
          <w:color w:val="000000" w:themeColor="text1"/>
          <w:szCs w:val="24"/>
          <w:lang w:eastAsia="en-US"/>
        </w:rPr>
        <w:t>2025 г., и спада с</w:t>
      </w:r>
      <w:r>
        <w:rPr>
          <w:rFonts w:eastAsia="Calibri"/>
          <w:bCs/>
          <w:iCs/>
          <w:color w:val="000000" w:themeColor="text1"/>
          <w:szCs w:val="24"/>
          <w:lang w:eastAsia="en-US"/>
        </w:rPr>
        <w:t>ъс 7,</w:t>
      </w:r>
      <w:r w:rsidR="000B2FE6">
        <w:rPr>
          <w:rFonts w:eastAsia="Calibri"/>
          <w:bCs/>
          <w:iCs/>
          <w:color w:val="000000" w:themeColor="text1"/>
          <w:szCs w:val="24"/>
          <w:lang w:eastAsia="en-US"/>
        </w:rPr>
        <w:t>6</w:t>
      </w:r>
      <w:r w:rsidRPr="00124B0F">
        <w:rPr>
          <w:rFonts w:eastAsia="Calibri"/>
          <w:bCs/>
          <w:iCs/>
          <w:color w:val="000000" w:themeColor="text1"/>
          <w:szCs w:val="24"/>
          <w:lang w:eastAsia="en-US"/>
        </w:rPr>
        <w:t xml:space="preserve">% на годишна база към 2026 г. Основно влияние за това </w:t>
      </w:r>
      <w:r>
        <w:rPr>
          <w:rFonts w:eastAsia="Calibri"/>
          <w:bCs/>
          <w:iCs/>
          <w:color w:val="000000" w:themeColor="text1"/>
          <w:szCs w:val="24"/>
          <w:lang w:eastAsia="en-US"/>
        </w:rPr>
        <w:t xml:space="preserve">развитие </w:t>
      </w:r>
      <w:r w:rsidRPr="00124B0F">
        <w:rPr>
          <w:rFonts w:eastAsia="Calibri"/>
          <w:bCs/>
          <w:iCs/>
          <w:color w:val="000000" w:themeColor="text1"/>
          <w:szCs w:val="24"/>
          <w:lang w:eastAsia="en-US"/>
        </w:rPr>
        <w:t>има</w:t>
      </w:r>
      <w:r>
        <w:rPr>
          <w:rFonts w:eastAsia="Calibri"/>
          <w:bCs/>
          <w:iCs/>
          <w:color w:val="000000" w:themeColor="text1"/>
          <w:szCs w:val="24"/>
          <w:lang w:eastAsia="en-US"/>
        </w:rPr>
        <w:t xml:space="preserve"> времевото изместване на капиталовите разходи </w:t>
      </w:r>
      <w:r w:rsidRPr="00124B0F">
        <w:rPr>
          <w:rFonts w:eastAsia="Calibri"/>
          <w:bCs/>
          <w:iCs/>
          <w:color w:val="000000" w:themeColor="text1"/>
          <w:szCs w:val="24"/>
          <w:lang w:eastAsia="en-US"/>
        </w:rPr>
        <w:t xml:space="preserve">предприети от правителството в сектор „Отбрана </w:t>
      </w:r>
      <w:r w:rsidRPr="00B06CB4">
        <w:rPr>
          <w:rFonts w:eastAsia="Calibri"/>
          <w:bCs/>
          <w:iCs/>
          <w:szCs w:val="24"/>
          <w:lang w:eastAsia="en-US"/>
        </w:rPr>
        <w:t>и сигурност“</w:t>
      </w:r>
      <w:r w:rsidRPr="003C2036">
        <w:rPr>
          <w:rFonts w:eastAsia="Calibri"/>
          <w:bCs/>
          <w:iCs/>
          <w:color w:val="000000" w:themeColor="text1"/>
          <w:szCs w:val="24"/>
          <w:lang w:eastAsia="en-US"/>
        </w:rPr>
        <w:t>.</w:t>
      </w:r>
    </w:p>
    <w:p w:rsidR="00400F85" w:rsidRPr="00512592" w:rsidRDefault="00400F85" w:rsidP="00400F85">
      <w:pPr>
        <w:rPr>
          <w:rFonts w:eastAsia="Calibri"/>
          <w:bCs/>
          <w:iCs/>
          <w:szCs w:val="24"/>
          <w:lang w:eastAsia="en-US"/>
        </w:rPr>
      </w:pPr>
      <w:r w:rsidRPr="00E6287D">
        <w:rPr>
          <w:rFonts w:eastAsia="Calibri"/>
          <w:bCs/>
          <w:iCs/>
          <w:szCs w:val="24"/>
          <w:lang w:eastAsia="en-US"/>
        </w:rPr>
        <w:t xml:space="preserve">Разходите за пенсии и обезщетения в базисния сценарий нарастват </w:t>
      </w:r>
      <w:r>
        <w:rPr>
          <w:rFonts w:eastAsia="Calibri"/>
          <w:bCs/>
          <w:iCs/>
          <w:szCs w:val="24"/>
          <w:lang w:eastAsia="en-US"/>
        </w:rPr>
        <w:t xml:space="preserve">по-слабо от динамиката им в бюджетната прогноза, съответно </w:t>
      </w:r>
      <w:r w:rsidRPr="00E6287D">
        <w:rPr>
          <w:rFonts w:eastAsia="Calibri"/>
          <w:bCs/>
          <w:iCs/>
          <w:szCs w:val="24"/>
          <w:lang w:eastAsia="en-US"/>
        </w:rPr>
        <w:t>с 13,</w:t>
      </w:r>
      <w:r>
        <w:rPr>
          <w:rFonts w:eastAsia="Calibri"/>
          <w:bCs/>
          <w:iCs/>
          <w:szCs w:val="24"/>
          <w:lang w:eastAsia="en-US"/>
        </w:rPr>
        <w:t>6</w:t>
      </w:r>
      <w:r w:rsidRPr="00E6287D">
        <w:rPr>
          <w:rFonts w:eastAsia="Calibri"/>
          <w:bCs/>
          <w:iCs/>
          <w:szCs w:val="24"/>
          <w:lang w:eastAsia="en-US"/>
        </w:rPr>
        <w:t>% за 2024 г., 8,</w:t>
      </w:r>
      <w:r>
        <w:rPr>
          <w:rFonts w:eastAsia="Calibri"/>
          <w:bCs/>
          <w:iCs/>
          <w:szCs w:val="24"/>
          <w:lang w:eastAsia="en-US"/>
        </w:rPr>
        <w:t>7</w:t>
      </w:r>
      <w:r w:rsidRPr="00E6287D">
        <w:rPr>
          <w:rFonts w:eastAsia="Calibri"/>
          <w:bCs/>
          <w:iCs/>
          <w:szCs w:val="24"/>
          <w:lang w:eastAsia="en-US"/>
        </w:rPr>
        <w:t xml:space="preserve">% </w:t>
      </w:r>
      <w:r>
        <w:rPr>
          <w:rFonts w:eastAsia="Calibri"/>
          <w:bCs/>
          <w:iCs/>
          <w:szCs w:val="24"/>
          <w:lang w:eastAsia="en-US"/>
        </w:rPr>
        <w:t>за</w:t>
      </w:r>
      <w:r w:rsidRPr="00E6287D">
        <w:rPr>
          <w:rFonts w:eastAsia="Calibri"/>
          <w:bCs/>
          <w:iCs/>
          <w:szCs w:val="24"/>
          <w:lang w:eastAsia="en-US"/>
        </w:rPr>
        <w:t xml:space="preserve"> 2025 г. </w:t>
      </w:r>
      <w:r w:rsidRPr="009D21F4">
        <w:rPr>
          <w:rFonts w:eastAsia="Calibri"/>
          <w:bCs/>
          <w:iCs/>
          <w:szCs w:val="24"/>
          <w:lang w:eastAsia="en-US"/>
        </w:rPr>
        <w:t>и 6,</w:t>
      </w:r>
      <w:r w:rsidR="00A06D13">
        <w:rPr>
          <w:rFonts w:eastAsia="Calibri"/>
          <w:bCs/>
          <w:iCs/>
          <w:szCs w:val="24"/>
          <w:lang w:eastAsia="en-US"/>
        </w:rPr>
        <w:t>1</w:t>
      </w:r>
      <w:r w:rsidRPr="009D21F4">
        <w:rPr>
          <w:rFonts w:eastAsia="Calibri"/>
          <w:bCs/>
          <w:iCs/>
          <w:szCs w:val="24"/>
          <w:lang w:eastAsia="en-US"/>
        </w:rPr>
        <w:t xml:space="preserve">% за 2026 г. Изменението на този елемент спрямо основния сценарий е свързано с увеличение на изискуемите възраст и осигурителен стаж за пенсия; предвиденото нарастване на размера на </w:t>
      </w:r>
      <w:r>
        <w:rPr>
          <w:rFonts w:eastAsia="Calibri"/>
          <w:bCs/>
          <w:iCs/>
          <w:szCs w:val="24"/>
          <w:lang w:eastAsia="en-US"/>
        </w:rPr>
        <w:t>т.нар. „</w:t>
      </w:r>
      <w:r w:rsidRPr="009D21F4">
        <w:rPr>
          <w:rFonts w:eastAsia="Calibri"/>
          <w:bCs/>
          <w:iCs/>
          <w:szCs w:val="24"/>
          <w:lang w:eastAsia="en-US"/>
        </w:rPr>
        <w:t>вдовишки добавки</w:t>
      </w:r>
      <w:r>
        <w:rPr>
          <w:rFonts w:eastAsia="Calibri"/>
          <w:bCs/>
          <w:iCs/>
          <w:szCs w:val="24"/>
          <w:lang w:eastAsia="en-US"/>
        </w:rPr>
        <w:t>“</w:t>
      </w:r>
      <w:r w:rsidRPr="009D21F4">
        <w:rPr>
          <w:rFonts w:eastAsia="Calibri"/>
          <w:bCs/>
          <w:iCs/>
          <w:szCs w:val="24"/>
          <w:lang w:eastAsia="en-US"/>
        </w:rPr>
        <w:t xml:space="preserve"> към пенсиите от средата </w:t>
      </w:r>
      <w:r>
        <w:rPr>
          <w:rFonts w:eastAsia="Calibri"/>
          <w:bCs/>
          <w:iCs/>
          <w:szCs w:val="24"/>
          <w:lang w:eastAsia="en-US"/>
        </w:rPr>
        <w:t xml:space="preserve">на 2024 г.; увеличения брой на новите пенсии, при зачитане </w:t>
      </w:r>
      <w:r w:rsidRPr="009B59A1">
        <w:rPr>
          <w:rFonts w:eastAsia="Calibri"/>
          <w:bCs/>
          <w:iCs/>
          <w:szCs w:val="24"/>
          <w:lang w:eastAsia="en-US"/>
        </w:rPr>
        <w:t>за действителен стаж на периодите на наборна или мирновременна алтернативна служба и на периодите на претърпяна репресия</w:t>
      </w:r>
      <w:r>
        <w:rPr>
          <w:rFonts w:eastAsia="Calibri"/>
          <w:bCs/>
          <w:iCs/>
          <w:szCs w:val="24"/>
          <w:lang w:eastAsia="en-US"/>
        </w:rPr>
        <w:t>; с планираното отпадане на з</w:t>
      </w:r>
      <w:r w:rsidRPr="009B59A1">
        <w:rPr>
          <w:rFonts w:eastAsia="Calibri"/>
          <w:bCs/>
          <w:iCs/>
          <w:szCs w:val="24"/>
          <w:lang w:eastAsia="en-US"/>
        </w:rPr>
        <w:t>адължението за осигурителите да изплащат обезщетение за третия работен ден от временната неработоспособност</w:t>
      </w:r>
      <w:r>
        <w:rPr>
          <w:rFonts w:eastAsia="Calibri"/>
          <w:bCs/>
          <w:iCs/>
          <w:szCs w:val="24"/>
          <w:lang w:eastAsia="en-US"/>
        </w:rPr>
        <w:t xml:space="preserve"> на осигурените </w:t>
      </w:r>
      <w:r w:rsidRPr="000D61AE">
        <w:rPr>
          <w:rFonts w:eastAsia="Calibri"/>
          <w:bCs/>
          <w:iCs/>
          <w:szCs w:val="24"/>
          <w:lang w:eastAsia="en-US"/>
        </w:rPr>
        <w:t>лица</w:t>
      </w:r>
      <w:r>
        <w:rPr>
          <w:rFonts w:eastAsia="Calibri"/>
          <w:bCs/>
          <w:iCs/>
          <w:szCs w:val="24"/>
          <w:lang w:eastAsia="en-US"/>
        </w:rPr>
        <w:t>; с повишените размери на месечните помощи за отглеждане на деца с трайни увреждания, както и на еднократните помощи за бременност по чл.</w:t>
      </w:r>
      <w:r w:rsidRPr="00F9284E">
        <w:t xml:space="preserve"> </w:t>
      </w:r>
      <w:r w:rsidRPr="00F9284E">
        <w:rPr>
          <w:rFonts w:eastAsia="Calibri"/>
          <w:bCs/>
          <w:iCs/>
          <w:szCs w:val="24"/>
          <w:lang w:eastAsia="en-US"/>
        </w:rPr>
        <w:t>5а, ал. 1 и раждане по чл. 6, ал. 1 от Закона за семейни помощи за деца</w:t>
      </w:r>
      <w:r>
        <w:rPr>
          <w:rFonts w:eastAsia="Calibri"/>
          <w:bCs/>
          <w:iCs/>
          <w:szCs w:val="24"/>
          <w:lang w:eastAsia="en-US"/>
        </w:rPr>
        <w:t xml:space="preserve"> и др</w:t>
      </w:r>
      <w:r w:rsidRPr="000D61AE">
        <w:rPr>
          <w:rFonts w:eastAsia="Calibri"/>
          <w:bCs/>
          <w:iCs/>
          <w:szCs w:val="24"/>
          <w:lang w:eastAsia="en-US"/>
        </w:rPr>
        <w:t>.</w:t>
      </w:r>
    </w:p>
    <w:p w:rsidR="00400F85" w:rsidRPr="00EB28A6" w:rsidRDefault="00400F85" w:rsidP="007344E0">
      <w:r w:rsidRPr="000D61AE">
        <w:t xml:space="preserve">По отношение на </w:t>
      </w:r>
      <w:r>
        <w:t xml:space="preserve">междинното потребление през разглеждания период основно влияние върху динамиката на показателя в базисния сценарий оказват измененията в </w:t>
      </w:r>
      <w:r w:rsidRPr="000D61AE">
        <w:t xml:space="preserve">разходите за издръжка </w:t>
      </w:r>
      <w:r>
        <w:t xml:space="preserve">за </w:t>
      </w:r>
      <w:r w:rsidRPr="00124B0F">
        <w:rPr>
          <w:rFonts w:eastAsia="Calibri"/>
          <w:bCs/>
          <w:iCs/>
          <w:color w:val="000000" w:themeColor="text1"/>
          <w:szCs w:val="24"/>
          <w:lang w:eastAsia="en-US"/>
        </w:rPr>
        <w:t xml:space="preserve">сектор „Отбрана </w:t>
      </w:r>
      <w:r w:rsidRPr="00B06CB4">
        <w:rPr>
          <w:rFonts w:eastAsia="Calibri"/>
          <w:bCs/>
          <w:iCs/>
          <w:szCs w:val="24"/>
          <w:lang w:eastAsia="en-US"/>
        </w:rPr>
        <w:t>и сигурност“</w:t>
      </w:r>
      <w:r>
        <w:rPr>
          <w:rFonts w:eastAsia="Calibri"/>
          <w:bCs/>
          <w:iCs/>
          <w:szCs w:val="24"/>
          <w:lang w:eastAsia="en-US"/>
        </w:rPr>
        <w:t xml:space="preserve">, които са предназначени за подготовка и обучение на пилоти и технически състав, както и разходи за </w:t>
      </w:r>
      <w:r w:rsidRPr="00577985">
        <w:rPr>
          <w:rFonts w:eastAsia="Calibri"/>
          <w:bCs/>
          <w:iCs/>
          <w:color w:val="000000" w:themeColor="text1"/>
          <w:szCs w:val="24"/>
          <w:lang w:eastAsia="en-US"/>
        </w:rPr>
        <w:t xml:space="preserve">поддръжка, </w:t>
      </w:r>
      <w:r>
        <w:rPr>
          <w:rFonts w:eastAsia="Calibri"/>
          <w:bCs/>
          <w:iCs/>
          <w:szCs w:val="24"/>
          <w:lang w:eastAsia="en-US"/>
        </w:rPr>
        <w:t>в рамките на изпълнението на проектите за придобиване на нов тип боен самолет.</w:t>
      </w:r>
    </w:p>
    <w:p w:rsidR="00A20B48" w:rsidRPr="003D1B27" w:rsidRDefault="00531E97" w:rsidP="00517D0A">
      <w:pPr>
        <w:pStyle w:val="Heading3"/>
        <w:ind w:left="0"/>
        <w:rPr>
          <w:rStyle w:val="Strong"/>
          <w:b/>
          <w:bCs/>
        </w:rPr>
      </w:pPr>
      <w:r w:rsidRPr="003D1B27">
        <w:rPr>
          <w:rStyle w:val="Strong"/>
          <w:b/>
          <w:bCs/>
        </w:rPr>
        <w:t>Д</w:t>
      </w:r>
      <w:r w:rsidR="00464E7E" w:rsidRPr="003D1B27">
        <w:rPr>
          <w:rStyle w:val="Strong"/>
          <w:b/>
          <w:bCs/>
        </w:rPr>
        <w:t>искреционни мерки и фискални ефекти на начислена основа</w:t>
      </w:r>
    </w:p>
    <w:p w:rsidR="007A2BEA" w:rsidRPr="00091B84" w:rsidRDefault="007A2BEA" w:rsidP="007A2BEA">
      <w:pPr>
        <w:rPr>
          <w:rFonts w:eastAsia="Times New Roman" w:cs="Times New Roman"/>
        </w:rPr>
      </w:pPr>
      <w:bookmarkStart w:id="223" w:name="_Toc464737642"/>
      <w:r w:rsidRPr="00091B84">
        <w:rPr>
          <w:rFonts w:eastAsia="Times New Roman" w:cs="Times New Roman"/>
        </w:rPr>
        <w:t xml:space="preserve">Дискреционни мерки са всички нови мерки и политики на правителството – приети или планирани, които имат пряко въздействие върху бюджетните параметри и основните фискални показатели. Те представляват мерки, предприети по преценка и решение на правителството, с цел постигането на </w:t>
      </w:r>
      <w:r w:rsidRPr="00993513">
        <w:rPr>
          <w:rFonts w:eastAsia="Times New Roman" w:cs="Times New Roman"/>
        </w:rPr>
        <w:t>определени приоритети (напр. повишаване събираемостта на приходите или смекчаване на икономическите последици от нестабилността на цените на електрическата енергия и природния газ). Отнасят се до промяна в политиката на приходите (данъчната база и/или ставка) или промяна в разходните политики и трансферите от страна на правителството с цел стимулиране на  икономиката и увеличаване на доходите.</w:t>
      </w:r>
      <w:r w:rsidRPr="00091B84">
        <w:rPr>
          <w:rFonts w:eastAsia="Times New Roman" w:cs="Times New Roman"/>
        </w:rPr>
        <w:t xml:space="preserve"> </w:t>
      </w:r>
    </w:p>
    <w:p w:rsidR="00B60042" w:rsidRPr="007A2BEA" w:rsidRDefault="007A2BEA" w:rsidP="00B60042">
      <w:pPr>
        <w:rPr>
          <w:rFonts w:eastAsia="Times New Roman" w:cs="Times New Roman"/>
          <w:highlight w:val="yellow"/>
        </w:rPr>
      </w:pPr>
      <w:r w:rsidRPr="00091B84">
        <w:rPr>
          <w:rFonts w:eastAsia="Times New Roman" w:cs="Times New Roman"/>
        </w:rPr>
        <w:t>В бюджетната прогноза са оценени всички приходни и разходни дискреционни мерки, които са приети през предходните години и имат бюджетен ефект през прогнозния период 2024-2026 г., като е отразено допълнителното им въздействие за съответната година спрямо предходната.</w:t>
      </w:r>
    </w:p>
    <w:p w:rsidR="00B60042" w:rsidRDefault="00B60042" w:rsidP="00B60042">
      <w:pPr>
        <w:rPr>
          <w:b/>
          <w:color w:val="852010" w:themeColor="accent3" w:themeShade="BF"/>
        </w:rPr>
      </w:pPr>
      <w:r w:rsidRPr="001F5E94">
        <w:rPr>
          <w:b/>
          <w:color w:val="852010" w:themeColor="accent3" w:themeShade="BF"/>
        </w:rPr>
        <w:t>Приходни дискреционни мерки</w:t>
      </w:r>
    </w:p>
    <w:p w:rsidR="00400F85" w:rsidRPr="00400F85" w:rsidRDefault="00400F85" w:rsidP="00400F85">
      <w:pPr>
        <w:rPr>
          <w:rFonts w:eastAsia="Times New Roman" w:cs="Times New Roman"/>
        </w:rPr>
      </w:pPr>
      <w:r w:rsidRPr="00400F85">
        <w:rPr>
          <w:rFonts w:eastAsia="Times New Roman" w:cs="Times New Roman"/>
        </w:rPr>
        <w:t>Приходните дискреционни мерки за периода 2024-2026 г. се очаква да доведат до общо нетно увеличение на приходите в размер на 913,6</w:t>
      </w:r>
      <w:r w:rsidRPr="00400F85">
        <w:rPr>
          <w:rFonts w:eastAsia="Times New Roman" w:cs="Times New Roman"/>
          <w:b/>
          <w:bCs/>
          <w:lang w:val="en-US"/>
        </w:rPr>
        <w:t xml:space="preserve"> </w:t>
      </w:r>
      <w:r w:rsidRPr="00400F85">
        <w:rPr>
          <w:rFonts w:eastAsia="Times New Roman" w:cs="Times New Roman"/>
        </w:rPr>
        <w:t>млн. лв. През първата година се очаква нетно намаление на приходите с 48,6 млн. лв., а през следващите две години – нетно нарастване съответно с 607,0 млн. лв. и 355,3 млн. лв.</w:t>
      </w:r>
    </w:p>
    <w:p w:rsidR="00400F85" w:rsidRPr="00400F85" w:rsidRDefault="00400F85" w:rsidP="00400F85">
      <w:pPr>
        <w:rPr>
          <w:rFonts w:eastAsia="Times New Roman" w:cs="Times New Roman"/>
        </w:rPr>
      </w:pPr>
      <w:r w:rsidRPr="00400F85">
        <w:rPr>
          <w:rFonts w:eastAsia="Times New Roman" w:cs="Times New Roman"/>
        </w:rPr>
        <w:t xml:space="preserve">Най-голям бюджетен ефект за прогнозния период има увеличаването на максималния осигурителен доход (МОД) – от 1 януари 2024 г. на 3 750 лв. и в индикативни размери за 2025 г. и 2026 г. съответно на 4 130 лв. и 4 430 лв. Допълнителните приходи от здравноосигурителни и пенсионноосигурителни вноски, в резултат на повишения МОД, са в размер на 302,5 млн. лв. за 2024 г. и общо 774,1 млн. лв. за тригодишния прогнозен период. </w:t>
      </w:r>
    </w:p>
    <w:p w:rsidR="00400F85" w:rsidRPr="00400F85" w:rsidRDefault="00400F85" w:rsidP="00400F85">
      <w:pPr>
        <w:rPr>
          <w:rFonts w:eastAsia="Times New Roman" w:cs="Times New Roman"/>
        </w:rPr>
      </w:pPr>
      <w:r w:rsidRPr="00400F85">
        <w:rPr>
          <w:rFonts w:eastAsia="Times New Roman" w:cs="Times New Roman"/>
        </w:rPr>
        <w:t xml:space="preserve">Значителен ефект за бюджета има и пакетът от мерки за повишаване на събираемостта на приходите, в т.ч. в областта на фискалния контрол на стоки с висок фискален риск, които имат за цел по-ефективна превенция и противодействие срещу данъчните измами и укриването и невнасянето на данъци – очакваните допълнителни приходи от ДДС и корпоративен данък са в размер на 740,0 млн. лв. през 2024 г. </w:t>
      </w:r>
    </w:p>
    <w:p w:rsidR="007A2BEA" w:rsidRDefault="007A2BEA" w:rsidP="008909F9">
      <w:pPr>
        <w:rPr>
          <w:rFonts w:eastAsia="Times New Roman" w:cs="Times New Roman"/>
        </w:rPr>
      </w:pPr>
      <w:bookmarkStart w:id="224" w:name="p46759932"/>
      <w:bookmarkEnd w:id="224"/>
      <w:r w:rsidRPr="00091B84">
        <w:rPr>
          <w:rFonts w:eastAsia="Times New Roman" w:cs="Times New Roman"/>
        </w:rPr>
        <w:t xml:space="preserve">Ефектът върху приходитe от ДДС и акцизи в резултат на повишаването на акцизната ставка на пури и пурети, на тютюн за пушене, на нагреваемо тютюнево изделие, на течността за електронна цигара, въведено от </w:t>
      </w:r>
      <w:r w:rsidR="00BB2DE2">
        <w:rPr>
          <w:rFonts w:eastAsia="Times New Roman" w:cs="Times New Roman"/>
        </w:rPr>
        <w:t>0</w:t>
      </w:r>
      <w:r w:rsidRPr="00091B84">
        <w:rPr>
          <w:rFonts w:eastAsia="Times New Roman" w:cs="Times New Roman"/>
        </w:rPr>
        <w:t>1.03.2023 г., е оценен на</w:t>
      </w:r>
      <w:r>
        <w:rPr>
          <w:rFonts w:eastAsia="Times New Roman" w:cs="Times New Roman"/>
        </w:rPr>
        <w:t xml:space="preserve"> 140,1 млн. лв. за 2024 г. и</w:t>
      </w:r>
      <w:r w:rsidRPr="00091B84">
        <w:rPr>
          <w:rFonts w:eastAsia="Times New Roman" w:cs="Times New Roman"/>
        </w:rPr>
        <w:t xml:space="preserve"> общо </w:t>
      </w:r>
      <w:r w:rsidRPr="00907EFC">
        <w:rPr>
          <w:rFonts w:eastAsia="Times New Roman" w:cs="Times New Roman"/>
        </w:rPr>
        <w:t>470,7</w:t>
      </w:r>
      <w:r>
        <w:rPr>
          <w:rFonts w:eastAsia="Times New Roman" w:cs="Times New Roman"/>
        </w:rPr>
        <w:t xml:space="preserve"> </w:t>
      </w:r>
      <w:r w:rsidRPr="00091B84">
        <w:rPr>
          <w:rFonts w:eastAsia="Times New Roman" w:cs="Times New Roman"/>
        </w:rPr>
        <w:t>млн. лв. повече приходи за периода 2024-2026 г.</w:t>
      </w:r>
    </w:p>
    <w:p w:rsidR="007A2BEA" w:rsidRPr="00695C88" w:rsidRDefault="007A2BEA" w:rsidP="008909F9">
      <w:pPr>
        <w:rPr>
          <w:rFonts w:eastAsia="Times New Roman" w:cs="Times New Roman"/>
        </w:rPr>
      </w:pPr>
      <w:r w:rsidRPr="002B4BFC">
        <w:rPr>
          <w:rFonts w:eastAsia="Times New Roman" w:cs="Times New Roman"/>
        </w:rPr>
        <w:t>Ефектът върху приходите от акциз и ДДС в резултат на включването на течностите за електронни цигари, несъдържащи никотин, и заместителите на тютюна, съдържащи никотин</w:t>
      </w:r>
      <w:r w:rsidR="00076550">
        <w:rPr>
          <w:rFonts w:eastAsia="Times New Roman" w:cs="Times New Roman"/>
        </w:rPr>
        <w:t>,</w:t>
      </w:r>
      <w:r w:rsidRPr="002B4BFC">
        <w:rPr>
          <w:rFonts w:eastAsia="Times New Roman" w:cs="Times New Roman"/>
        </w:rPr>
        <w:t xml:space="preserve"> в обхвата на акцизните стоки, в съответствие с предложения график за увеличаване на акцизните ставки за тези продукти, в сила от 01.08.2023 г., е оценен на допълнително приходи от 0,8 млн. лв. за 2024 г. и 1,6 млн. лв. за тригодишния прогнозен период.</w:t>
      </w:r>
      <w:r>
        <w:rPr>
          <w:rFonts w:eastAsia="Times New Roman" w:cs="Times New Roman"/>
        </w:rPr>
        <w:t xml:space="preserve"> </w:t>
      </w:r>
    </w:p>
    <w:p w:rsidR="007A2BEA" w:rsidRDefault="007A2BEA" w:rsidP="008909F9">
      <w:pPr>
        <w:rPr>
          <w:rFonts w:eastAsia="Times New Roman" w:cs="Times New Roman"/>
        </w:rPr>
      </w:pPr>
      <w:r w:rsidRPr="00926AB4">
        <w:rPr>
          <w:rFonts w:eastAsia="Times New Roman" w:cs="Times New Roman"/>
        </w:rPr>
        <w:t>Отпадане</w:t>
      </w:r>
      <w:r>
        <w:rPr>
          <w:rFonts w:eastAsia="Times New Roman" w:cs="Times New Roman"/>
        </w:rPr>
        <w:t>то</w:t>
      </w:r>
      <w:r w:rsidRPr="00926AB4">
        <w:rPr>
          <w:rFonts w:eastAsia="Times New Roman" w:cs="Times New Roman"/>
        </w:rPr>
        <w:t xml:space="preserve"> на намалената ставка от 9% на ДДС за доставката на туристически услуги и на услуга за използване на спортни съоръжения (от 01.01.2024 г.) и удължаване</w:t>
      </w:r>
      <w:r>
        <w:rPr>
          <w:rFonts w:eastAsia="Times New Roman" w:cs="Times New Roman"/>
        </w:rPr>
        <w:t>то на</w:t>
      </w:r>
      <w:r w:rsidRPr="00926AB4">
        <w:rPr>
          <w:rFonts w:eastAsia="Times New Roman" w:cs="Times New Roman"/>
        </w:rPr>
        <w:t xml:space="preserve"> срока на действие на намалената ставка от 9% на ДДС за доставките на ресторантьорски и кетъринг услуги (до 31.12.2024 г.)</w:t>
      </w:r>
      <w:r>
        <w:rPr>
          <w:rFonts w:eastAsia="Times New Roman" w:cs="Times New Roman"/>
        </w:rPr>
        <w:t xml:space="preserve"> са с общ бюджетен ефект от 309</w:t>
      </w:r>
      <w:r w:rsidR="005118ED">
        <w:rPr>
          <w:rFonts w:eastAsia="Times New Roman" w:cs="Times New Roman"/>
        </w:rPr>
        <w:t>,0</w:t>
      </w:r>
      <w:r>
        <w:rPr>
          <w:rFonts w:eastAsia="Times New Roman" w:cs="Times New Roman"/>
        </w:rPr>
        <w:t xml:space="preserve"> млн. лв. </w:t>
      </w:r>
      <w:r w:rsidR="00076550" w:rsidRPr="00076550">
        <w:rPr>
          <w:rFonts w:eastAsia="Times New Roman" w:cs="Times New Roman"/>
        </w:rPr>
        <w:t xml:space="preserve">допълнителни приходи </w:t>
      </w:r>
      <w:r>
        <w:rPr>
          <w:rFonts w:eastAsia="Times New Roman" w:cs="Times New Roman"/>
        </w:rPr>
        <w:t xml:space="preserve">за прогнозния период. </w:t>
      </w:r>
    </w:p>
    <w:p w:rsidR="007A2BEA" w:rsidRDefault="007A2BEA" w:rsidP="007A2BEA">
      <w:pPr>
        <w:rPr>
          <w:rFonts w:eastAsia="Times New Roman" w:cs="Times New Roman"/>
        </w:rPr>
      </w:pPr>
      <w:r w:rsidRPr="00091B84">
        <w:rPr>
          <w:rFonts w:eastAsia="Times New Roman" w:cs="Times New Roman"/>
        </w:rPr>
        <w:t>Намалената ставка на ДДС на 9% за природния газ и централното отопление</w:t>
      </w:r>
      <w:r>
        <w:rPr>
          <w:rFonts w:eastAsia="Times New Roman" w:cs="Times New Roman"/>
        </w:rPr>
        <w:t xml:space="preserve"> беше в сила </w:t>
      </w:r>
      <w:r w:rsidRPr="008909F9">
        <w:rPr>
          <w:rFonts w:eastAsia="Times New Roman" w:cs="Times New Roman"/>
        </w:rPr>
        <w:t>до края на юни 2023 г</w:t>
      </w:r>
      <w:r w:rsidRPr="00091B84">
        <w:rPr>
          <w:rFonts w:eastAsia="Times New Roman" w:cs="Times New Roman"/>
        </w:rPr>
        <w:t xml:space="preserve">., затова нейният ефект е включен в следващата година с положителен знак, </w:t>
      </w:r>
      <w:r w:rsidRPr="002B4BFC">
        <w:rPr>
          <w:rFonts w:eastAsia="Times New Roman" w:cs="Times New Roman"/>
        </w:rPr>
        <w:t>тъй като няма да действа през следващите години</w:t>
      </w:r>
      <w:r w:rsidRPr="00091B84">
        <w:rPr>
          <w:rFonts w:eastAsia="Times New Roman" w:cs="Times New Roman"/>
        </w:rPr>
        <w:t xml:space="preserve"> – съответно </w:t>
      </w:r>
      <w:r>
        <w:rPr>
          <w:rFonts w:eastAsia="Times New Roman" w:cs="Times New Roman"/>
        </w:rPr>
        <w:t xml:space="preserve">като </w:t>
      </w:r>
      <w:r w:rsidRPr="00091B84">
        <w:rPr>
          <w:rFonts w:eastAsia="Times New Roman" w:cs="Times New Roman"/>
        </w:rPr>
        <w:t xml:space="preserve">допълнителни приходи от </w:t>
      </w:r>
      <w:r>
        <w:rPr>
          <w:rFonts w:eastAsia="Times New Roman" w:cs="Times New Roman"/>
        </w:rPr>
        <w:t>175</w:t>
      </w:r>
      <w:r w:rsidR="005118ED">
        <w:rPr>
          <w:rFonts w:eastAsia="Times New Roman" w:cs="Times New Roman"/>
        </w:rPr>
        <w:t>,0</w:t>
      </w:r>
      <w:r w:rsidRPr="00091B84">
        <w:rPr>
          <w:rFonts w:eastAsia="Times New Roman" w:cs="Times New Roman"/>
        </w:rPr>
        <w:t xml:space="preserve"> млн. лв. за природния газ и </w:t>
      </w:r>
      <w:r>
        <w:rPr>
          <w:rFonts w:eastAsia="Times New Roman" w:cs="Times New Roman"/>
        </w:rPr>
        <w:t>14,8</w:t>
      </w:r>
      <w:r w:rsidRPr="00091B84">
        <w:rPr>
          <w:rFonts w:eastAsia="Times New Roman" w:cs="Times New Roman"/>
        </w:rPr>
        <w:t xml:space="preserve"> млн. лв. за централното отопление за 2024 г.</w:t>
      </w:r>
    </w:p>
    <w:p w:rsidR="007A2BEA" w:rsidRDefault="007A2BEA" w:rsidP="007A2BEA">
      <w:pPr>
        <w:rPr>
          <w:rFonts w:eastAsia="Times New Roman" w:cs="Times New Roman"/>
        </w:rPr>
      </w:pPr>
      <w:r>
        <w:rPr>
          <w:rFonts w:eastAsia="Times New Roman" w:cs="Times New Roman"/>
        </w:rPr>
        <w:t>Отпадането на действието на н</w:t>
      </w:r>
      <w:r w:rsidRPr="00091B84">
        <w:rPr>
          <w:rFonts w:eastAsia="Times New Roman" w:cs="Times New Roman"/>
        </w:rPr>
        <w:t xml:space="preserve">улевата ставка на ДДС за </w:t>
      </w:r>
      <w:r>
        <w:rPr>
          <w:rFonts w:eastAsia="Times New Roman" w:cs="Times New Roman"/>
        </w:rPr>
        <w:t xml:space="preserve">доставката на </w:t>
      </w:r>
      <w:r w:rsidRPr="00091B84">
        <w:rPr>
          <w:rFonts w:eastAsia="Times New Roman" w:cs="Times New Roman"/>
        </w:rPr>
        <w:t>хляб и брашно</w:t>
      </w:r>
      <w:r>
        <w:rPr>
          <w:rFonts w:eastAsia="Times New Roman" w:cs="Times New Roman"/>
        </w:rPr>
        <w:t xml:space="preserve"> след 30 юни 2024 г. </w:t>
      </w:r>
      <w:r w:rsidRPr="00091B84">
        <w:rPr>
          <w:rFonts w:eastAsia="Times New Roman" w:cs="Times New Roman"/>
        </w:rPr>
        <w:t xml:space="preserve">се очаква </w:t>
      </w:r>
      <w:r>
        <w:rPr>
          <w:rFonts w:eastAsia="Times New Roman" w:cs="Times New Roman"/>
        </w:rPr>
        <w:t xml:space="preserve">да има </w:t>
      </w:r>
      <w:r w:rsidRPr="00091B84">
        <w:rPr>
          <w:rFonts w:eastAsia="Times New Roman" w:cs="Times New Roman"/>
        </w:rPr>
        <w:t xml:space="preserve">положителен бюджетен ефект </w:t>
      </w:r>
      <w:r>
        <w:rPr>
          <w:rFonts w:eastAsia="Times New Roman" w:cs="Times New Roman"/>
        </w:rPr>
        <w:t xml:space="preserve">от 64,8 млн. лв. за периода </w:t>
      </w:r>
      <w:r w:rsidR="005118ED">
        <w:rPr>
          <w:rFonts w:eastAsia="Times New Roman" w:cs="Times New Roman"/>
        </w:rPr>
        <w:t>2024-</w:t>
      </w:r>
      <w:r>
        <w:rPr>
          <w:rFonts w:eastAsia="Times New Roman" w:cs="Times New Roman"/>
        </w:rPr>
        <w:t xml:space="preserve">2025 г. </w:t>
      </w:r>
    </w:p>
    <w:p w:rsidR="007A2BEA" w:rsidRDefault="007A2BEA" w:rsidP="007A2BEA">
      <w:pPr>
        <w:rPr>
          <w:rFonts w:eastAsia="Times New Roman" w:cs="Times New Roman"/>
        </w:rPr>
      </w:pPr>
      <w:r w:rsidRPr="00F73F26">
        <w:rPr>
          <w:rFonts w:eastAsia="Times New Roman" w:cs="Times New Roman"/>
        </w:rPr>
        <w:t>Въвеждане</w:t>
      </w:r>
      <w:r>
        <w:rPr>
          <w:rFonts w:eastAsia="Times New Roman" w:cs="Times New Roman"/>
        </w:rPr>
        <w:t>то</w:t>
      </w:r>
      <w:r w:rsidRPr="00F73F26">
        <w:rPr>
          <w:rFonts w:eastAsia="Times New Roman" w:cs="Times New Roman"/>
        </w:rPr>
        <w:t xml:space="preserve"> на национален допълнителен данък (domestic top-up tax) в съответствие с Директива (ЕС) 2022/2523 на Съвета за осигуряване на глобално минимално ниво на данъчно облагане за групите на мултинационалните предприятия (MNE) и големите местни групи в Съюза (в сила от 01.01.2024 г.)</w:t>
      </w:r>
      <w:r>
        <w:rPr>
          <w:rFonts w:eastAsia="Times New Roman" w:cs="Times New Roman"/>
        </w:rPr>
        <w:t xml:space="preserve"> се очаква да генерира допълнителни приходи от 220</w:t>
      </w:r>
      <w:r w:rsidR="00F54958">
        <w:rPr>
          <w:rFonts w:eastAsia="Times New Roman" w:cs="Times New Roman"/>
        </w:rPr>
        <w:t>,0</w:t>
      </w:r>
      <w:r>
        <w:rPr>
          <w:rFonts w:eastAsia="Times New Roman" w:cs="Times New Roman"/>
        </w:rPr>
        <w:t xml:space="preserve"> млн. лв. през 2024 г. </w:t>
      </w:r>
    </w:p>
    <w:p w:rsidR="007A2BEA" w:rsidRPr="00091B84" w:rsidRDefault="007A2BEA" w:rsidP="007A2BEA">
      <w:pPr>
        <w:rPr>
          <w:rFonts w:eastAsia="Times New Roman" w:cs="Times New Roman"/>
        </w:rPr>
      </w:pPr>
      <w:r>
        <w:rPr>
          <w:rFonts w:eastAsia="Times New Roman" w:cs="Times New Roman"/>
        </w:rPr>
        <w:t>Отпадането на</w:t>
      </w:r>
      <w:r w:rsidRPr="00091B84">
        <w:rPr>
          <w:rFonts w:eastAsia="Times New Roman" w:cs="Times New Roman"/>
        </w:rPr>
        <w:t xml:space="preserve"> мярката за освобождаване от акциз на електрическата енергия, природния газ и втечнения нефтен газ</w:t>
      </w:r>
      <w:r>
        <w:rPr>
          <w:rFonts w:eastAsia="Times New Roman" w:cs="Times New Roman"/>
        </w:rPr>
        <w:t>, която действаше</w:t>
      </w:r>
      <w:r w:rsidRPr="00091B84">
        <w:rPr>
          <w:rFonts w:eastAsia="Times New Roman" w:cs="Times New Roman"/>
        </w:rPr>
        <w:t xml:space="preserve"> до 3</w:t>
      </w:r>
      <w:r>
        <w:rPr>
          <w:rFonts w:eastAsia="Times New Roman" w:cs="Times New Roman"/>
        </w:rPr>
        <w:t>1</w:t>
      </w:r>
      <w:r w:rsidRPr="00091B84">
        <w:rPr>
          <w:rFonts w:eastAsia="Times New Roman" w:cs="Times New Roman"/>
        </w:rPr>
        <w:t>.0</w:t>
      </w:r>
      <w:r>
        <w:rPr>
          <w:rFonts w:eastAsia="Times New Roman" w:cs="Times New Roman"/>
        </w:rPr>
        <w:t>7</w:t>
      </w:r>
      <w:r w:rsidRPr="00091B84">
        <w:rPr>
          <w:rFonts w:eastAsia="Times New Roman" w:cs="Times New Roman"/>
        </w:rPr>
        <w:t>.202</w:t>
      </w:r>
      <w:r>
        <w:rPr>
          <w:rFonts w:eastAsia="Times New Roman" w:cs="Times New Roman"/>
        </w:rPr>
        <w:t>3</w:t>
      </w:r>
      <w:r w:rsidRPr="00091B84">
        <w:rPr>
          <w:rFonts w:eastAsia="Times New Roman" w:cs="Times New Roman"/>
        </w:rPr>
        <w:t xml:space="preserve"> г.</w:t>
      </w:r>
      <w:r>
        <w:rPr>
          <w:rFonts w:eastAsia="Times New Roman" w:cs="Times New Roman"/>
        </w:rPr>
        <w:t>,</w:t>
      </w:r>
      <w:r w:rsidRPr="00091B84">
        <w:rPr>
          <w:rFonts w:eastAsia="Times New Roman" w:cs="Times New Roman"/>
        </w:rPr>
        <w:t xml:space="preserve"> се очаква да доведе до допълнителни постъпления от ДДС и акцизи в размер на 9</w:t>
      </w:r>
      <w:r w:rsidRPr="008909F9">
        <w:rPr>
          <w:rFonts w:eastAsia="Times New Roman" w:cs="Times New Roman"/>
        </w:rPr>
        <w:t>0</w:t>
      </w:r>
      <w:r w:rsidRPr="00091B84">
        <w:rPr>
          <w:rFonts w:eastAsia="Times New Roman" w:cs="Times New Roman"/>
        </w:rPr>
        <w:t>,</w:t>
      </w:r>
      <w:r w:rsidRPr="008909F9">
        <w:rPr>
          <w:rFonts w:eastAsia="Times New Roman" w:cs="Times New Roman"/>
        </w:rPr>
        <w:t>1</w:t>
      </w:r>
      <w:r w:rsidRPr="00091B84">
        <w:rPr>
          <w:rFonts w:eastAsia="Times New Roman" w:cs="Times New Roman"/>
        </w:rPr>
        <w:t xml:space="preserve"> млн. лв. през 202</w:t>
      </w:r>
      <w:r w:rsidRPr="008909F9">
        <w:rPr>
          <w:rFonts w:eastAsia="Times New Roman" w:cs="Times New Roman"/>
        </w:rPr>
        <w:t>4</w:t>
      </w:r>
      <w:r w:rsidRPr="00091B84">
        <w:rPr>
          <w:rFonts w:eastAsia="Times New Roman" w:cs="Times New Roman"/>
        </w:rPr>
        <w:t xml:space="preserve"> г.</w:t>
      </w:r>
      <w:r>
        <w:rPr>
          <w:rFonts w:eastAsia="Times New Roman" w:cs="Times New Roman"/>
        </w:rPr>
        <w:t xml:space="preserve"> </w:t>
      </w:r>
      <w:r w:rsidRPr="002B4BFC">
        <w:rPr>
          <w:rFonts w:eastAsia="Times New Roman" w:cs="Times New Roman"/>
        </w:rPr>
        <w:t>– съответно 75,1 млн. лв. от акциз и 15</w:t>
      </w:r>
      <w:r w:rsidR="00F54958">
        <w:rPr>
          <w:rFonts w:eastAsia="Times New Roman" w:cs="Times New Roman"/>
        </w:rPr>
        <w:t>,0</w:t>
      </w:r>
      <w:r w:rsidRPr="002B4BFC">
        <w:rPr>
          <w:rFonts w:eastAsia="Times New Roman" w:cs="Times New Roman"/>
        </w:rPr>
        <w:t xml:space="preserve"> млн. лв. от ДДС.</w:t>
      </w:r>
      <w:r>
        <w:rPr>
          <w:rFonts w:eastAsia="Times New Roman" w:cs="Times New Roman"/>
        </w:rPr>
        <w:t xml:space="preserve"> </w:t>
      </w:r>
    </w:p>
    <w:p w:rsidR="00206BD2" w:rsidRDefault="007A2BEA" w:rsidP="007A2BEA">
      <w:pPr>
        <w:rPr>
          <w:rFonts w:eastAsia="Times New Roman" w:cs="Times New Roman"/>
        </w:rPr>
      </w:pPr>
      <w:r>
        <w:rPr>
          <w:rFonts w:eastAsia="Times New Roman" w:cs="Times New Roman"/>
        </w:rPr>
        <w:t>Ефектът от з</w:t>
      </w:r>
      <w:r w:rsidRPr="003D0CAE">
        <w:rPr>
          <w:rFonts w:eastAsia="Times New Roman" w:cs="Times New Roman"/>
        </w:rPr>
        <w:t>аконодателни</w:t>
      </w:r>
      <w:r>
        <w:rPr>
          <w:rFonts w:eastAsia="Times New Roman" w:cs="Times New Roman"/>
        </w:rPr>
        <w:t>те</w:t>
      </w:r>
      <w:r w:rsidRPr="003D0CAE">
        <w:rPr>
          <w:rFonts w:eastAsia="Times New Roman" w:cs="Times New Roman"/>
        </w:rPr>
        <w:t xml:space="preserve"> изменения в областта на хазарта, свързани с облагането на този вид дейности, </w:t>
      </w:r>
      <w:r>
        <w:rPr>
          <w:rFonts w:eastAsia="Times New Roman" w:cs="Times New Roman"/>
        </w:rPr>
        <w:t>предвидени да влязат в сила</w:t>
      </w:r>
      <w:r w:rsidRPr="003D0CAE">
        <w:rPr>
          <w:rFonts w:eastAsia="Times New Roman" w:cs="Times New Roman"/>
        </w:rPr>
        <w:t xml:space="preserve"> от 01.01.2024 г.</w:t>
      </w:r>
      <w:r>
        <w:rPr>
          <w:rFonts w:eastAsia="Times New Roman" w:cs="Times New Roman"/>
        </w:rPr>
        <w:t>, е допълнителни приходи в размер на 75</w:t>
      </w:r>
      <w:r w:rsidR="005118ED">
        <w:rPr>
          <w:rFonts w:eastAsia="Times New Roman" w:cs="Times New Roman"/>
        </w:rPr>
        <w:t>,0</w:t>
      </w:r>
      <w:r>
        <w:rPr>
          <w:rFonts w:eastAsia="Times New Roman" w:cs="Times New Roman"/>
        </w:rPr>
        <w:t xml:space="preserve"> млн. лв. </w:t>
      </w:r>
      <w:r w:rsidRPr="00091B84">
        <w:rPr>
          <w:rFonts w:eastAsia="Times New Roman" w:cs="Times New Roman"/>
        </w:rPr>
        <w:t xml:space="preserve">Допълнителните </w:t>
      </w:r>
      <w:r>
        <w:rPr>
          <w:rFonts w:eastAsia="Times New Roman" w:cs="Times New Roman"/>
        </w:rPr>
        <w:t xml:space="preserve">очаквани </w:t>
      </w:r>
      <w:r w:rsidRPr="00091B84">
        <w:rPr>
          <w:rFonts w:eastAsia="Times New Roman" w:cs="Times New Roman"/>
        </w:rPr>
        <w:t xml:space="preserve">приходи, свързани с оперирането на ТОЛ системата, </w:t>
      </w:r>
      <w:r w:rsidR="00736D9D" w:rsidRPr="00736D9D">
        <w:rPr>
          <w:rFonts w:eastAsia="Times New Roman" w:cs="Times New Roman"/>
        </w:rPr>
        <w:t xml:space="preserve">са в размер на </w:t>
      </w:r>
      <w:r w:rsidR="00736D9D" w:rsidRPr="00736D9D">
        <w:rPr>
          <w:rFonts w:eastAsia="Times New Roman" w:cs="Times New Roman"/>
          <w:lang w:val="en-US"/>
        </w:rPr>
        <w:t>23</w:t>
      </w:r>
      <w:r w:rsidR="00736D9D" w:rsidRPr="00736D9D">
        <w:rPr>
          <w:rFonts w:eastAsia="Times New Roman" w:cs="Times New Roman"/>
        </w:rPr>
        <w:t>,2 млн. лв. за 2024 г.</w:t>
      </w:r>
      <w:r w:rsidR="00736D9D" w:rsidRPr="00736D9D">
        <w:rPr>
          <w:rFonts w:eastAsia="Times New Roman" w:cs="Times New Roman"/>
          <w:lang w:val="en-US"/>
        </w:rPr>
        <w:t xml:space="preserve"> </w:t>
      </w:r>
      <w:r w:rsidR="00736D9D" w:rsidRPr="00736D9D">
        <w:rPr>
          <w:rFonts w:eastAsia="Times New Roman" w:cs="Times New Roman"/>
        </w:rPr>
        <w:t>и 43,0 млн. лв. за 2025 г.</w:t>
      </w:r>
    </w:p>
    <w:p w:rsidR="007A2BEA" w:rsidRDefault="007A2BEA" w:rsidP="007A2BEA">
      <w:pPr>
        <w:rPr>
          <w:rFonts w:eastAsia="Times New Roman" w:cs="Times New Roman"/>
        </w:rPr>
      </w:pPr>
      <w:r w:rsidRPr="002B4BFC">
        <w:rPr>
          <w:rFonts w:eastAsia="Times New Roman" w:cs="Times New Roman"/>
        </w:rPr>
        <w:t>Предвижданото увеличение на прага за оборот при прилагане на патентен данък</w:t>
      </w:r>
      <w:r w:rsidRPr="002B4BFC">
        <w:rPr>
          <w:rFonts w:eastAsia="Times New Roman" w:cs="Times New Roman"/>
          <w:lang w:val="en-US"/>
        </w:rPr>
        <w:t xml:space="preserve"> </w:t>
      </w:r>
      <w:r w:rsidRPr="002B4BFC">
        <w:rPr>
          <w:rFonts w:eastAsia="Times New Roman" w:cs="Times New Roman"/>
        </w:rPr>
        <w:t>от 50 на 100 хил. лв., както и въвеждането на патентен данък за юридическите лица, осъществяващи дейност като заведения за хранене и развлечения, е с нетен положителен ефект от</w:t>
      </w:r>
      <w:r>
        <w:rPr>
          <w:rFonts w:eastAsia="Times New Roman" w:cs="Times New Roman"/>
        </w:rPr>
        <w:t xml:space="preserve"> </w:t>
      </w:r>
      <w:r w:rsidRPr="002B4BFC">
        <w:rPr>
          <w:rFonts w:eastAsia="Times New Roman" w:cs="Times New Roman"/>
        </w:rPr>
        <w:t>1</w:t>
      </w:r>
      <w:r w:rsidR="00F54958">
        <w:rPr>
          <w:rFonts w:eastAsia="Times New Roman" w:cs="Times New Roman"/>
        </w:rPr>
        <w:t>,0</w:t>
      </w:r>
      <w:r w:rsidRPr="002B4BFC">
        <w:rPr>
          <w:rFonts w:eastAsia="Times New Roman" w:cs="Times New Roman"/>
        </w:rPr>
        <w:t xml:space="preserve"> млн. лв. за 2024 г.</w:t>
      </w:r>
      <w:r>
        <w:rPr>
          <w:rFonts w:eastAsia="Times New Roman" w:cs="Times New Roman"/>
        </w:rPr>
        <w:t xml:space="preserve"> </w:t>
      </w:r>
    </w:p>
    <w:p w:rsidR="007A2BEA" w:rsidRDefault="007A2BEA" w:rsidP="007A2BEA">
      <w:pPr>
        <w:rPr>
          <w:rFonts w:eastAsia="Times New Roman" w:cs="Times New Roman"/>
        </w:rPr>
      </w:pPr>
      <w:r w:rsidRPr="003D0CAE">
        <w:rPr>
          <w:rFonts w:eastAsia="Times New Roman" w:cs="Times New Roman"/>
        </w:rPr>
        <w:t>Въвеждане</w:t>
      </w:r>
      <w:r>
        <w:rPr>
          <w:rFonts w:eastAsia="Times New Roman" w:cs="Times New Roman"/>
        </w:rPr>
        <w:t>то</w:t>
      </w:r>
      <w:r w:rsidRPr="003D0CAE">
        <w:rPr>
          <w:rFonts w:eastAsia="Times New Roman" w:cs="Times New Roman"/>
        </w:rPr>
        <w:t xml:space="preserve"> на нормативно признати разходи по ЗДДФЛ - приспадане на 10 на сто нормативно признати разходи при определяне на облагаемия доход от продажба или замяна на финансови активи, в т.ч. и виртуални валути, както и от търговия с чуждестранна валута</w:t>
      </w:r>
      <w:r>
        <w:rPr>
          <w:rFonts w:eastAsia="Times New Roman" w:cs="Times New Roman"/>
        </w:rPr>
        <w:t>, в сила от 01.01.2024 г., се очаква да доведе до намаление на годишните приходи с 8</w:t>
      </w:r>
      <w:r w:rsidR="005118ED">
        <w:rPr>
          <w:rFonts w:eastAsia="Times New Roman" w:cs="Times New Roman"/>
        </w:rPr>
        <w:t>,0</w:t>
      </w:r>
      <w:r>
        <w:rPr>
          <w:rFonts w:eastAsia="Times New Roman" w:cs="Times New Roman"/>
        </w:rPr>
        <w:t xml:space="preserve"> млн. лв. </w:t>
      </w:r>
    </w:p>
    <w:p w:rsidR="007A2BEA" w:rsidRDefault="007A2BEA" w:rsidP="007A2BEA">
      <w:pPr>
        <w:rPr>
          <w:rFonts w:eastAsia="Times New Roman" w:cs="Times New Roman"/>
        </w:rPr>
      </w:pPr>
      <w:r>
        <w:rPr>
          <w:rFonts w:eastAsia="Times New Roman" w:cs="Times New Roman"/>
        </w:rPr>
        <w:t>Отпадането</w:t>
      </w:r>
      <w:r w:rsidRPr="003D0CAE">
        <w:rPr>
          <w:rFonts w:eastAsia="Times New Roman" w:cs="Times New Roman"/>
        </w:rPr>
        <w:t xml:space="preserve"> на задължението за осигурителите да изплащат обезщетение на осигурените лица за третия работен ден от временната неработоспособност</w:t>
      </w:r>
      <w:r>
        <w:rPr>
          <w:rFonts w:eastAsia="Times New Roman" w:cs="Times New Roman"/>
        </w:rPr>
        <w:t>,</w:t>
      </w:r>
      <w:r w:rsidRPr="003D0CAE">
        <w:rPr>
          <w:rFonts w:eastAsia="Times New Roman" w:cs="Times New Roman"/>
        </w:rPr>
        <w:t xml:space="preserve"> считано от 01.01.2024 г.</w:t>
      </w:r>
      <w:r>
        <w:rPr>
          <w:rFonts w:eastAsia="Times New Roman" w:cs="Times New Roman"/>
        </w:rPr>
        <w:t>, се прогнозира да доведе до спад в приходите от 15</w:t>
      </w:r>
      <w:r w:rsidR="005118ED">
        <w:rPr>
          <w:rFonts w:eastAsia="Times New Roman" w:cs="Times New Roman"/>
        </w:rPr>
        <w:t>,0</w:t>
      </w:r>
      <w:r>
        <w:rPr>
          <w:rFonts w:eastAsia="Times New Roman" w:cs="Times New Roman"/>
        </w:rPr>
        <w:t xml:space="preserve"> млн. лв. през 2024 г. </w:t>
      </w:r>
    </w:p>
    <w:p w:rsidR="007A2BEA" w:rsidRDefault="007A2BEA" w:rsidP="007A2BEA">
      <w:pPr>
        <w:rPr>
          <w:rFonts w:eastAsia="Times New Roman" w:cs="Times New Roman"/>
        </w:rPr>
      </w:pPr>
      <w:r w:rsidRPr="00266EB3">
        <w:rPr>
          <w:rFonts w:eastAsia="Times New Roman" w:cs="Times New Roman"/>
        </w:rPr>
        <w:t>Предложено</w:t>
      </w:r>
      <w:r>
        <w:rPr>
          <w:rFonts w:eastAsia="Times New Roman" w:cs="Times New Roman"/>
        </w:rPr>
        <w:t>то</w:t>
      </w:r>
      <w:r w:rsidRPr="00266EB3">
        <w:rPr>
          <w:rFonts w:eastAsia="Times New Roman" w:cs="Times New Roman"/>
        </w:rPr>
        <w:t xml:space="preserve"> повишаване на прага за регистрация по ЗДДС от 100 на 166 хил.</w:t>
      </w:r>
      <w:r>
        <w:rPr>
          <w:rFonts w:eastAsia="Times New Roman" w:cs="Times New Roman"/>
        </w:rPr>
        <w:t xml:space="preserve"> </w:t>
      </w:r>
      <w:r w:rsidRPr="00266EB3">
        <w:rPr>
          <w:rFonts w:eastAsia="Times New Roman" w:cs="Times New Roman"/>
        </w:rPr>
        <w:t xml:space="preserve">лв. </w:t>
      </w:r>
      <w:r>
        <w:rPr>
          <w:rFonts w:eastAsia="Times New Roman" w:cs="Times New Roman"/>
        </w:rPr>
        <w:t xml:space="preserve">годишен </w:t>
      </w:r>
      <w:r w:rsidRPr="00266EB3">
        <w:rPr>
          <w:rFonts w:eastAsia="Times New Roman" w:cs="Times New Roman"/>
        </w:rPr>
        <w:t xml:space="preserve">оборот </w:t>
      </w:r>
      <w:r>
        <w:rPr>
          <w:rFonts w:eastAsia="Times New Roman" w:cs="Times New Roman"/>
        </w:rPr>
        <w:t>се очаква да доведе до намаление на приходите с 215</w:t>
      </w:r>
      <w:r w:rsidR="005118ED">
        <w:rPr>
          <w:rFonts w:eastAsia="Times New Roman" w:cs="Times New Roman"/>
        </w:rPr>
        <w:t>,0</w:t>
      </w:r>
      <w:r>
        <w:rPr>
          <w:rFonts w:eastAsia="Times New Roman" w:cs="Times New Roman"/>
        </w:rPr>
        <w:t xml:space="preserve"> млн. лв. през 202</w:t>
      </w:r>
      <w:r w:rsidR="008C1A0E">
        <w:rPr>
          <w:rFonts w:eastAsia="Times New Roman" w:cs="Times New Roman"/>
        </w:rPr>
        <w:t>5</w:t>
      </w:r>
      <w:r>
        <w:rPr>
          <w:rFonts w:eastAsia="Times New Roman" w:cs="Times New Roman"/>
        </w:rPr>
        <w:t xml:space="preserve"> г. </w:t>
      </w:r>
    </w:p>
    <w:p w:rsidR="007A2BEA" w:rsidRPr="00091B84" w:rsidRDefault="007A2BEA" w:rsidP="007A2BEA">
      <w:pPr>
        <w:rPr>
          <w:rFonts w:eastAsia="Times New Roman" w:cs="Times New Roman"/>
        </w:rPr>
      </w:pPr>
      <w:r w:rsidRPr="00091B84">
        <w:rPr>
          <w:rFonts w:eastAsia="Times New Roman" w:cs="Times New Roman"/>
        </w:rPr>
        <w:t>Временната солидарна вноска по Регламент (ЕС) 2022/1854 на Съвета от 6 октомври 2022 г. относно спешна намеса за справяне с високите цени на енергията се предвижда да доведе до допълнителни приходи от 375,9 млн. лв. през 2023 г. През 2024 г. тази мярка ще прекрати действието си, поради което нейният ефект е отразен със същата, но отрицателна стойност.</w:t>
      </w:r>
    </w:p>
    <w:p w:rsidR="00B87C27" w:rsidRPr="00B87C27" w:rsidRDefault="00B87C27" w:rsidP="00B87C27">
      <w:pPr>
        <w:rPr>
          <w:rFonts w:eastAsia="Times New Roman" w:cs="Times New Roman"/>
        </w:rPr>
      </w:pPr>
      <w:r w:rsidRPr="00B87C27">
        <w:rPr>
          <w:rFonts w:eastAsia="Times New Roman" w:cs="Times New Roman"/>
        </w:rPr>
        <w:t xml:space="preserve">Изменението на параметрите на политиката по дивидентите се очаква да доведе до понижение на приходите с 482,5 млн. лв. през 2024 г. във връзка с очакваните по-ниски финансови резултати на публичните предприятия за 2023 г. </w:t>
      </w:r>
    </w:p>
    <w:p w:rsidR="00B87C27" w:rsidRDefault="00B87C27" w:rsidP="00B87C27">
      <w:pPr>
        <w:rPr>
          <w:rFonts w:eastAsia="Times New Roman" w:cs="Times New Roman"/>
        </w:rPr>
      </w:pPr>
      <w:r w:rsidRPr="00B87C27">
        <w:rPr>
          <w:rFonts w:eastAsia="Times New Roman" w:cs="Times New Roman"/>
        </w:rPr>
        <w:t xml:space="preserve">Приходите от мерките и програмите в областта на енергетиката, стартирали през 2021 г. и достигнали най-високата си стойност през 2022 г. (в размер на 4 460,3 млн. лв.), намаляват с 3 477,5 млн. лв. до 982,8 млн. лв. през 2023 г. Към настоящия момент действието на тези мерки и програми е до края на 2023 г., поради което техният ефект е въведен със същата, но отрицателна стойност през 2024 г. В процес е изготвянето на оценки относно приходите и разходите  при възобновяване действието на мерките и програмите в областта на енергетиката, поради което на този етап не са отразени в разчетите ефекти от подобен вид мерки и политики. </w:t>
      </w:r>
    </w:p>
    <w:p w:rsidR="008B253F" w:rsidRPr="00B87C27" w:rsidRDefault="008B253F" w:rsidP="00B87C27">
      <w:pPr>
        <w:rPr>
          <w:rFonts w:eastAsia="Times New Roman" w:cs="Times New Roman"/>
        </w:rPr>
      </w:pPr>
    </w:p>
    <w:p w:rsidR="007C00B6" w:rsidRDefault="007C00B6" w:rsidP="007C00B6">
      <w:pPr>
        <w:pStyle w:val="Caption"/>
        <w:spacing w:after="200"/>
      </w:pPr>
      <w:bookmarkStart w:id="225" w:name="_Toc117764449"/>
      <w:bookmarkStart w:id="226" w:name="_Toc150443421"/>
      <w:r w:rsidRPr="00006A45">
        <w:t xml:space="preserve">Табл. </w:t>
      </w:r>
      <w:fldSimple w:instr=" STYLEREF 1 \s ">
        <w:r w:rsidR="005A69ED">
          <w:rPr>
            <w:noProof/>
          </w:rPr>
          <w:t>II</w:t>
        </w:r>
      </w:fldSimple>
      <w:r w:rsidRPr="00006A45">
        <w:noBreakHyphen/>
      </w:r>
      <w:fldSimple w:instr=" SEQ Табл. \* ARABIC \s 1 ">
        <w:r w:rsidR="005A69ED">
          <w:rPr>
            <w:noProof/>
          </w:rPr>
          <w:t>7</w:t>
        </w:r>
      </w:fldSimple>
      <w:r w:rsidRPr="00006A45">
        <w:t>:</w:t>
      </w:r>
      <w:r w:rsidRPr="00006A45">
        <w:tab/>
        <w:t>Дискреционни приходни мерки на начислена основа, млн. лв.</w:t>
      </w:r>
      <w:bookmarkEnd w:id="225"/>
      <w:bookmarkEnd w:id="226"/>
    </w:p>
    <w:tbl>
      <w:tblPr>
        <w:tblW w:w="5109" w:type="pct"/>
        <w:tblCellMar>
          <w:left w:w="70" w:type="dxa"/>
          <w:right w:w="70" w:type="dxa"/>
        </w:tblCellMar>
        <w:tblLook w:val="04A0" w:firstRow="1" w:lastRow="0" w:firstColumn="1" w:lastColumn="0" w:noHBand="0" w:noVBand="1"/>
      </w:tblPr>
      <w:tblGrid>
        <w:gridCol w:w="6096"/>
        <w:gridCol w:w="1342"/>
        <w:gridCol w:w="1040"/>
        <w:gridCol w:w="790"/>
      </w:tblGrid>
      <w:tr w:rsidR="007344E0" w:rsidRPr="007344E0" w:rsidTr="009F7B41">
        <w:trPr>
          <w:trHeight w:val="300"/>
          <w:tblHeader/>
        </w:trPr>
        <w:tc>
          <w:tcPr>
            <w:tcW w:w="3289" w:type="pct"/>
            <w:vMerge w:val="restart"/>
            <w:tcBorders>
              <w:top w:val="single" w:sz="4" w:space="0" w:color="595959"/>
              <w:left w:val="nil"/>
              <w:bottom w:val="single" w:sz="4" w:space="0" w:color="000000"/>
              <w:right w:val="nil"/>
            </w:tcBorders>
            <w:shd w:val="clear" w:color="000000" w:fill="D9D9D9"/>
            <w:vAlign w:val="center"/>
            <w:hideMark/>
          </w:tcPr>
          <w:p w:rsidR="007344E0" w:rsidRPr="007344E0" w:rsidRDefault="007344E0" w:rsidP="009E7E69">
            <w:pPr>
              <w:spacing w:after="0"/>
              <w:jc w:val="center"/>
              <w:rPr>
                <w:rFonts w:eastAsia="Times New Roman" w:cs="Times New Roman"/>
                <w:b/>
                <w:bCs/>
                <w:color w:val="000000"/>
                <w:sz w:val="20"/>
                <w:szCs w:val="20"/>
              </w:rPr>
            </w:pPr>
            <w:r w:rsidRPr="007344E0">
              <w:rPr>
                <w:rFonts w:eastAsia="Times New Roman" w:cs="Times New Roman"/>
                <w:b/>
                <w:bCs/>
                <w:color w:val="000000"/>
                <w:sz w:val="20"/>
                <w:szCs w:val="20"/>
              </w:rPr>
              <w:t>Приходни мерки - изменение спрямо предходна година, млн. лв.</w:t>
            </w:r>
          </w:p>
        </w:tc>
        <w:tc>
          <w:tcPr>
            <w:tcW w:w="724" w:type="pct"/>
            <w:vMerge w:val="restart"/>
            <w:tcBorders>
              <w:top w:val="single" w:sz="4" w:space="0" w:color="595959"/>
              <w:left w:val="nil"/>
              <w:bottom w:val="single" w:sz="4" w:space="0" w:color="000000"/>
              <w:right w:val="nil"/>
            </w:tcBorders>
            <w:shd w:val="clear" w:color="000000" w:fill="D9D9D9"/>
            <w:noWrap/>
            <w:vAlign w:val="center"/>
            <w:hideMark/>
          </w:tcPr>
          <w:p w:rsidR="007344E0" w:rsidRPr="007344E0" w:rsidRDefault="007344E0" w:rsidP="007344E0">
            <w:pPr>
              <w:spacing w:after="0"/>
              <w:jc w:val="right"/>
              <w:rPr>
                <w:rFonts w:eastAsia="Times New Roman" w:cs="Times New Roman"/>
                <w:b/>
                <w:bCs/>
                <w:color w:val="000000"/>
                <w:sz w:val="20"/>
                <w:szCs w:val="20"/>
              </w:rPr>
            </w:pPr>
            <w:r w:rsidRPr="007344E0">
              <w:rPr>
                <w:rFonts w:eastAsia="Times New Roman" w:cs="Times New Roman"/>
                <w:b/>
                <w:bCs/>
                <w:color w:val="000000"/>
                <w:sz w:val="20"/>
                <w:szCs w:val="20"/>
              </w:rPr>
              <w:t>2024 г.</w:t>
            </w:r>
          </w:p>
        </w:tc>
        <w:tc>
          <w:tcPr>
            <w:tcW w:w="561" w:type="pct"/>
            <w:vMerge w:val="restart"/>
            <w:tcBorders>
              <w:top w:val="single" w:sz="4" w:space="0" w:color="595959"/>
              <w:left w:val="nil"/>
              <w:bottom w:val="single" w:sz="4" w:space="0" w:color="000000"/>
              <w:right w:val="nil"/>
            </w:tcBorders>
            <w:shd w:val="clear" w:color="000000" w:fill="D9D9D9"/>
            <w:noWrap/>
            <w:vAlign w:val="center"/>
            <w:hideMark/>
          </w:tcPr>
          <w:p w:rsidR="007344E0" w:rsidRPr="007344E0" w:rsidRDefault="007344E0" w:rsidP="007344E0">
            <w:pPr>
              <w:spacing w:after="0"/>
              <w:jc w:val="right"/>
              <w:rPr>
                <w:rFonts w:eastAsia="Times New Roman" w:cs="Times New Roman"/>
                <w:b/>
                <w:bCs/>
                <w:color w:val="000000"/>
                <w:sz w:val="20"/>
                <w:szCs w:val="20"/>
              </w:rPr>
            </w:pPr>
            <w:r w:rsidRPr="007344E0">
              <w:rPr>
                <w:rFonts w:eastAsia="Times New Roman" w:cs="Times New Roman"/>
                <w:b/>
                <w:bCs/>
                <w:color w:val="000000"/>
                <w:sz w:val="20"/>
                <w:szCs w:val="20"/>
              </w:rPr>
              <w:t>2025 г.</w:t>
            </w:r>
          </w:p>
        </w:tc>
        <w:tc>
          <w:tcPr>
            <w:tcW w:w="427" w:type="pct"/>
            <w:vMerge w:val="restart"/>
            <w:tcBorders>
              <w:top w:val="single" w:sz="4" w:space="0" w:color="595959"/>
              <w:left w:val="nil"/>
              <w:bottom w:val="single" w:sz="4" w:space="0" w:color="000000"/>
              <w:right w:val="nil"/>
            </w:tcBorders>
            <w:shd w:val="clear" w:color="000000" w:fill="D9D9D9"/>
            <w:noWrap/>
            <w:vAlign w:val="center"/>
            <w:hideMark/>
          </w:tcPr>
          <w:p w:rsidR="007344E0" w:rsidRPr="007344E0" w:rsidRDefault="007344E0" w:rsidP="007344E0">
            <w:pPr>
              <w:spacing w:after="0"/>
              <w:jc w:val="right"/>
              <w:rPr>
                <w:rFonts w:eastAsia="Times New Roman" w:cs="Times New Roman"/>
                <w:b/>
                <w:bCs/>
                <w:color w:val="000000"/>
                <w:sz w:val="20"/>
                <w:szCs w:val="20"/>
              </w:rPr>
            </w:pPr>
            <w:r w:rsidRPr="007344E0">
              <w:rPr>
                <w:rFonts w:eastAsia="Times New Roman" w:cs="Times New Roman"/>
                <w:b/>
                <w:bCs/>
                <w:color w:val="000000"/>
                <w:sz w:val="20"/>
                <w:szCs w:val="20"/>
              </w:rPr>
              <w:t>2026 г.</w:t>
            </w:r>
          </w:p>
        </w:tc>
      </w:tr>
      <w:tr w:rsidR="007344E0" w:rsidRPr="007344E0" w:rsidTr="009F7B41">
        <w:trPr>
          <w:trHeight w:val="517"/>
          <w:tblHeader/>
        </w:trPr>
        <w:tc>
          <w:tcPr>
            <w:tcW w:w="3289" w:type="pct"/>
            <w:vMerge/>
            <w:tcBorders>
              <w:top w:val="single" w:sz="4" w:space="0" w:color="595959"/>
              <w:left w:val="nil"/>
              <w:bottom w:val="single" w:sz="4" w:space="0" w:color="000000"/>
              <w:right w:val="nil"/>
            </w:tcBorders>
            <w:vAlign w:val="center"/>
            <w:hideMark/>
          </w:tcPr>
          <w:p w:rsidR="007344E0" w:rsidRPr="007344E0" w:rsidRDefault="007344E0" w:rsidP="007344E0">
            <w:pPr>
              <w:spacing w:after="0"/>
              <w:jc w:val="left"/>
              <w:rPr>
                <w:rFonts w:eastAsia="Times New Roman" w:cs="Times New Roman"/>
                <w:b/>
                <w:bCs/>
                <w:color w:val="000000"/>
                <w:sz w:val="20"/>
                <w:szCs w:val="20"/>
              </w:rPr>
            </w:pPr>
          </w:p>
        </w:tc>
        <w:tc>
          <w:tcPr>
            <w:tcW w:w="724" w:type="pct"/>
            <w:vMerge/>
            <w:tcBorders>
              <w:top w:val="single" w:sz="4" w:space="0" w:color="595959"/>
              <w:left w:val="nil"/>
              <w:bottom w:val="single" w:sz="4" w:space="0" w:color="000000"/>
              <w:right w:val="nil"/>
            </w:tcBorders>
            <w:vAlign w:val="center"/>
            <w:hideMark/>
          </w:tcPr>
          <w:p w:rsidR="007344E0" w:rsidRPr="007344E0" w:rsidRDefault="007344E0" w:rsidP="007344E0">
            <w:pPr>
              <w:spacing w:after="0"/>
              <w:jc w:val="left"/>
              <w:rPr>
                <w:rFonts w:eastAsia="Times New Roman" w:cs="Times New Roman"/>
                <w:b/>
                <w:bCs/>
                <w:color w:val="000000"/>
                <w:sz w:val="20"/>
                <w:szCs w:val="20"/>
              </w:rPr>
            </w:pPr>
          </w:p>
        </w:tc>
        <w:tc>
          <w:tcPr>
            <w:tcW w:w="561" w:type="pct"/>
            <w:vMerge/>
            <w:tcBorders>
              <w:top w:val="single" w:sz="4" w:space="0" w:color="595959"/>
              <w:left w:val="nil"/>
              <w:bottom w:val="single" w:sz="4" w:space="0" w:color="000000"/>
              <w:right w:val="nil"/>
            </w:tcBorders>
            <w:vAlign w:val="center"/>
            <w:hideMark/>
          </w:tcPr>
          <w:p w:rsidR="007344E0" w:rsidRPr="007344E0" w:rsidRDefault="007344E0" w:rsidP="007344E0">
            <w:pPr>
              <w:spacing w:after="0"/>
              <w:jc w:val="left"/>
              <w:rPr>
                <w:rFonts w:eastAsia="Times New Roman" w:cs="Times New Roman"/>
                <w:b/>
                <w:bCs/>
                <w:color w:val="000000"/>
                <w:sz w:val="20"/>
                <w:szCs w:val="20"/>
              </w:rPr>
            </w:pPr>
          </w:p>
        </w:tc>
        <w:tc>
          <w:tcPr>
            <w:tcW w:w="427" w:type="pct"/>
            <w:vMerge/>
            <w:tcBorders>
              <w:top w:val="single" w:sz="4" w:space="0" w:color="595959"/>
              <w:left w:val="nil"/>
              <w:bottom w:val="single" w:sz="4" w:space="0" w:color="000000"/>
              <w:right w:val="nil"/>
            </w:tcBorders>
            <w:vAlign w:val="center"/>
            <w:hideMark/>
          </w:tcPr>
          <w:p w:rsidR="007344E0" w:rsidRPr="007344E0" w:rsidRDefault="007344E0" w:rsidP="007344E0">
            <w:pPr>
              <w:spacing w:after="0"/>
              <w:jc w:val="left"/>
              <w:rPr>
                <w:rFonts w:eastAsia="Times New Roman" w:cs="Times New Roman"/>
                <w:b/>
                <w:bCs/>
                <w:color w:val="000000"/>
                <w:sz w:val="20"/>
                <w:szCs w:val="20"/>
              </w:rPr>
            </w:pPr>
          </w:p>
        </w:tc>
      </w:tr>
      <w:tr w:rsidR="007344E0" w:rsidRPr="007344E0" w:rsidTr="009F7B41">
        <w:trPr>
          <w:trHeight w:val="300"/>
        </w:trPr>
        <w:tc>
          <w:tcPr>
            <w:tcW w:w="3289" w:type="pct"/>
            <w:tcBorders>
              <w:top w:val="nil"/>
              <w:left w:val="nil"/>
              <w:bottom w:val="nil"/>
              <w:right w:val="nil"/>
            </w:tcBorders>
            <w:shd w:val="clear" w:color="auto" w:fill="auto"/>
            <w:vAlign w:val="center"/>
            <w:hideMark/>
          </w:tcPr>
          <w:p w:rsidR="007344E0" w:rsidRPr="007344E0" w:rsidRDefault="007344E0" w:rsidP="008909F9">
            <w:pPr>
              <w:spacing w:after="60"/>
              <w:jc w:val="left"/>
              <w:rPr>
                <w:rFonts w:eastAsia="Times New Roman" w:cs="Times New Roman"/>
                <w:sz w:val="20"/>
                <w:szCs w:val="20"/>
              </w:rPr>
            </w:pPr>
            <w:r w:rsidRPr="007344E0">
              <w:rPr>
                <w:rFonts w:eastAsia="Times New Roman" w:cs="Times New Roman"/>
                <w:sz w:val="20"/>
                <w:szCs w:val="20"/>
              </w:rPr>
              <w:t>Приходи от осигурителни вноски от  увеличение на максималния осигурителен доход</w:t>
            </w:r>
          </w:p>
        </w:tc>
        <w:tc>
          <w:tcPr>
            <w:tcW w:w="724"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302,5</w:t>
            </w:r>
          </w:p>
        </w:tc>
        <w:tc>
          <w:tcPr>
            <w:tcW w:w="561"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278,7</w:t>
            </w:r>
          </w:p>
        </w:tc>
        <w:tc>
          <w:tcPr>
            <w:tcW w:w="427"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192,9</w:t>
            </w:r>
          </w:p>
        </w:tc>
      </w:tr>
      <w:tr w:rsidR="007344E0" w:rsidRPr="007344E0" w:rsidTr="009F7B41">
        <w:trPr>
          <w:trHeight w:val="510"/>
        </w:trPr>
        <w:tc>
          <w:tcPr>
            <w:tcW w:w="3289" w:type="pct"/>
            <w:tcBorders>
              <w:top w:val="nil"/>
              <w:left w:val="nil"/>
              <w:bottom w:val="nil"/>
              <w:right w:val="nil"/>
            </w:tcBorders>
            <w:shd w:val="clear" w:color="auto" w:fill="auto"/>
            <w:vAlign w:val="center"/>
            <w:hideMark/>
          </w:tcPr>
          <w:p w:rsidR="007344E0" w:rsidRPr="007344E0" w:rsidRDefault="007344E0" w:rsidP="008909F9">
            <w:pPr>
              <w:spacing w:after="60"/>
              <w:jc w:val="left"/>
              <w:rPr>
                <w:rFonts w:eastAsia="Times New Roman" w:cs="Times New Roman"/>
                <w:sz w:val="20"/>
                <w:szCs w:val="20"/>
              </w:rPr>
            </w:pPr>
            <w:r w:rsidRPr="007344E0">
              <w:rPr>
                <w:rFonts w:eastAsia="Times New Roman" w:cs="Times New Roman"/>
                <w:sz w:val="20"/>
                <w:szCs w:val="20"/>
              </w:rPr>
              <w:t>Пакет от мерки за повишаване на събираемостта на приходите от ДДС и корпоративен данък</w:t>
            </w:r>
          </w:p>
        </w:tc>
        <w:tc>
          <w:tcPr>
            <w:tcW w:w="724"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740,0</w:t>
            </w:r>
          </w:p>
        </w:tc>
        <w:tc>
          <w:tcPr>
            <w:tcW w:w="561"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c>
          <w:tcPr>
            <w:tcW w:w="427"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r>
      <w:tr w:rsidR="007344E0" w:rsidRPr="007344E0" w:rsidTr="009F7B41">
        <w:trPr>
          <w:trHeight w:val="765"/>
        </w:trPr>
        <w:tc>
          <w:tcPr>
            <w:tcW w:w="3289" w:type="pct"/>
            <w:tcBorders>
              <w:top w:val="nil"/>
              <w:left w:val="nil"/>
              <w:bottom w:val="nil"/>
              <w:right w:val="nil"/>
            </w:tcBorders>
            <w:shd w:val="clear" w:color="auto" w:fill="auto"/>
            <w:vAlign w:val="center"/>
            <w:hideMark/>
          </w:tcPr>
          <w:p w:rsidR="007344E0" w:rsidRPr="007344E0" w:rsidRDefault="007344E0" w:rsidP="008909F9">
            <w:pPr>
              <w:spacing w:after="60"/>
              <w:jc w:val="left"/>
              <w:rPr>
                <w:rFonts w:eastAsia="Times New Roman" w:cs="Times New Roman"/>
                <w:sz w:val="20"/>
                <w:szCs w:val="20"/>
              </w:rPr>
            </w:pPr>
            <w:r w:rsidRPr="007344E0">
              <w:rPr>
                <w:rFonts w:eastAsia="Times New Roman" w:cs="Times New Roman"/>
                <w:sz w:val="20"/>
                <w:szCs w:val="20"/>
              </w:rPr>
              <w:t xml:space="preserve">Ефект върху приходите от ДДС и акцизи в резултат на повишаване на акцизната ставка на пури и пурети, на тютюн за пушене, на нагреваемо тютюнево изделие, на течността за електронна цигара (от </w:t>
            </w:r>
            <w:r w:rsidR="00BB2DE2">
              <w:rPr>
                <w:rFonts w:eastAsia="Times New Roman" w:cs="Times New Roman"/>
                <w:sz w:val="20"/>
                <w:szCs w:val="20"/>
              </w:rPr>
              <w:t>0</w:t>
            </w:r>
            <w:r w:rsidRPr="007344E0">
              <w:rPr>
                <w:rFonts w:eastAsia="Times New Roman" w:cs="Times New Roman"/>
                <w:sz w:val="20"/>
                <w:szCs w:val="20"/>
              </w:rPr>
              <w:t>1.03.2023 г.)</w:t>
            </w:r>
          </w:p>
        </w:tc>
        <w:tc>
          <w:tcPr>
            <w:tcW w:w="724"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140,1</w:t>
            </w:r>
          </w:p>
        </w:tc>
        <w:tc>
          <w:tcPr>
            <w:tcW w:w="561"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168,5</w:t>
            </w:r>
          </w:p>
        </w:tc>
        <w:tc>
          <w:tcPr>
            <w:tcW w:w="427"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162,0</w:t>
            </w:r>
          </w:p>
        </w:tc>
      </w:tr>
      <w:tr w:rsidR="007344E0" w:rsidRPr="007344E0" w:rsidTr="009F7B41">
        <w:trPr>
          <w:trHeight w:val="1155"/>
        </w:trPr>
        <w:tc>
          <w:tcPr>
            <w:tcW w:w="3289" w:type="pct"/>
            <w:tcBorders>
              <w:top w:val="nil"/>
              <w:left w:val="nil"/>
              <w:bottom w:val="nil"/>
              <w:right w:val="nil"/>
            </w:tcBorders>
            <w:shd w:val="clear" w:color="auto" w:fill="auto"/>
            <w:vAlign w:val="center"/>
            <w:hideMark/>
          </w:tcPr>
          <w:p w:rsidR="007344E0" w:rsidRPr="007344E0" w:rsidRDefault="007344E0" w:rsidP="008909F9">
            <w:pPr>
              <w:spacing w:after="60"/>
              <w:jc w:val="left"/>
              <w:rPr>
                <w:rFonts w:eastAsia="Times New Roman" w:cs="Times New Roman"/>
                <w:sz w:val="20"/>
                <w:szCs w:val="20"/>
              </w:rPr>
            </w:pPr>
            <w:r w:rsidRPr="007344E0">
              <w:rPr>
                <w:rFonts w:eastAsia="Times New Roman" w:cs="Times New Roman"/>
                <w:sz w:val="20"/>
                <w:szCs w:val="20"/>
              </w:rPr>
              <w:t>Ефект върху приходите от ДДС и акцизи в резултат на включването на течностите за електронни цигари, несъдържащи никотин, и заместителите на тютюна, съдържащи никотин в обхвата на акцизните стоки, заедно с предложения график за увеличаване на акцизните ставки за тези продукти (от 01.08.2023 г.)</w:t>
            </w:r>
          </w:p>
        </w:tc>
        <w:tc>
          <w:tcPr>
            <w:tcW w:w="724"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0,8</w:t>
            </w:r>
          </w:p>
        </w:tc>
        <w:tc>
          <w:tcPr>
            <w:tcW w:w="561"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0,4</w:t>
            </w:r>
          </w:p>
        </w:tc>
        <w:tc>
          <w:tcPr>
            <w:tcW w:w="427"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0,4</w:t>
            </w:r>
          </w:p>
        </w:tc>
      </w:tr>
      <w:tr w:rsidR="007344E0" w:rsidRPr="007344E0" w:rsidTr="009F7B41">
        <w:trPr>
          <w:trHeight w:val="1020"/>
        </w:trPr>
        <w:tc>
          <w:tcPr>
            <w:tcW w:w="3289" w:type="pct"/>
            <w:tcBorders>
              <w:top w:val="nil"/>
              <w:left w:val="nil"/>
              <w:bottom w:val="nil"/>
              <w:right w:val="nil"/>
            </w:tcBorders>
            <w:shd w:val="clear" w:color="auto" w:fill="auto"/>
            <w:vAlign w:val="center"/>
            <w:hideMark/>
          </w:tcPr>
          <w:p w:rsidR="007344E0" w:rsidRPr="007344E0" w:rsidRDefault="007344E0" w:rsidP="008909F9">
            <w:pPr>
              <w:spacing w:after="60"/>
              <w:jc w:val="left"/>
              <w:rPr>
                <w:rFonts w:eastAsia="Times New Roman" w:cs="Times New Roman"/>
                <w:sz w:val="20"/>
                <w:szCs w:val="20"/>
              </w:rPr>
            </w:pPr>
            <w:r w:rsidRPr="007344E0">
              <w:rPr>
                <w:rFonts w:eastAsia="Times New Roman" w:cs="Times New Roman"/>
                <w:sz w:val="20"/>
                <w:szCs w:val="20"/>
              </w:rPr>
              <w:t>Отпадане на намалената ставка от 9% на ДДС  за доставката на туристически услуги и на услуга за използване на спортни съоръжения (от 01.01.2024 г.) и удължаване срока на действие на намалената ставка от 9% на ДДС за доставките на  ресторантьорски и кетъринг услуги (до 31.12.2024 г.)</w:t>
            </w:r>
          </w:p>
        </w:tc>
        <w:tc>
          <w:tcPr>
            <w:tcW w:w="724"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10,0</w:t>
            </w:r>
          </w:p>
        </w:tc>
        <w:tc>
          <w:tcPr>
            <w:tcW w:w="561"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299,0</w:t>
            </w:r>
          </w:p>
        </w:tc>
        <w:tc>
          <w:tcPr>
            <w:tcW w:w="427"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r>
      <w:tr w:rsidR="007344E0" w:rsidRPr="007344E0" w:rsidTr="009F7B41">
        <w:trPr>
          <w:trHeight w:val="300"/>
        </w:trPr>
        <w:tc>
          <w:tcPr>
            <w:tcW w:w="3289" w:type="pct"/>
            <w:tcBorders>
              <w:top w:val="nil"/>
              <w:left w:val="nil"/>
              <w:bottom w:val="nil"/>
              <w:right w:val="nil"/>
            </w:tcBorders>
            <w:shd w:val="clear" w:color="auto" w:fill="auto"/>
            <w:vAlign w:val="center"/>
            <w:hideMark/>
          </w:tcPr>
          <w:p w:rsidR="007344E0" w:rsidRPr="007344E0" w:rsidRDefault="007344E0" w:rsidP="008909F9">
            <w:pPr>
              <w:spacing w:after="60"/>
              <w:jc w:val="left"/>
              <w:rPr>
                <w:rFonts w:eastAsia="Times New Roman" w:cs="Times New Roman"/>
                <w:sz w:val="20"/>
                <w:szCs w:val="20"/>
              </w:rPr>
            </w:pPr>
            <w:r w:rsidRPr="007344E0">
              <w:rPr>
                <w:rFonts w:eastAsia="Times New Roman" w:cs="Times New Roman"/>
                <w:sz w:val="20"/>
                <w:szCs w:val="20"/>
              </w:rPr>
              <w:t>Намалена ставка на 9% на ДДС за природен газ (до 30.06.2023 г.)</w:t>
            </w:r>
          </w:p>
        </w:tc>
        <w:tc>
          <w:tcPr>
            <w:tcW w:w="724"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175,0</w:t>
            </w:r>
          </w:p>
        </w:tc>
        <w:tc>
          <w:tcPr>
            <w:tcW w:w="561"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c>
          <w:tcPr>
            <w:tcW w:w="427"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r>
      <w:tr w:rsidR="007344E0" w:rsidRPr="007344E0" w:rsidTr="009F7B41">
        <w:trPr>
          <w:trHeight w:val="300"/>
        </w:trPr>
        <w:tc>
          <w:tcPr>
            <w:tcW w:w="3289" w:type="pct"/>
            <w:tcBorders>
              <w:top w:val="nil"/>
              <w:left w:val="nil"/>
              <w:bottom w:val="nil"/>
              <w:right w:val="nil"/>
            </w:tcBorders>
            <w:shd w:val="clear" w:color="auto" w:fill="auto"/>
            <w:vAlign w:val="center"/>
            <w:hideMark/>
          </w:tcPr>
          <w:p w:rsidR="007344E0" w:rsidRPr="007344E0" w:rsidRDefault="007344E0" w:rsidP="008909F9">
            <w:pPr>
              <w:spacing w:after="60"/>
              <w:jc w:val="left"/>
              <w:rPr>
                <w:rFonts w:eastAsia="Times New Roman" w:cs="Times New Roman"/>
                <w:sz w:val="20"/>
                <w:szCs w:val="20"/>
              </w:rPr>
            </w:pPr>
            <w:r w:rsidRPr="007344E0">
              <w:rPr>
                <w:rFonts w:eastAsia="Times New Roman" w:cs="Times New Roman"/>
                <w:sz w:val="20"/>
                <w:szCs w:val="20"/>
              </w:rPr>
              <w:t>Намалена ставка на 9% на ДДС за централно отопление (до 30.06.2023 г.)</w:t>
            </w:r>
          </w:p>
        </w:tc>
        <w:tc>
          <w:tcPr>
            <w:tcW w:w="724"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14,8</w:t>
            </w:r>
          </w:p>
        </w:tc>
        <w:tc>
          <w:tcPr>
            <w:tcW w:w="561"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c>
          <w:tcPr>
            <w:tcW w:w="427"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r>
      <w:tr w:rsidR="007344E0" w:rsidRPr="007344E0" w:rsidTr="009F7B41">
        <w:trPr>
          <w:trHeight w:val="300"/>
        </w:trPr>
        <w:tc>
          <w:tcPr>
            <w:tcW w:w="3289" w:type="pct"/>
            <w:tcBorders>
              <w:top w:val="nil"/>
              <w:left w:val="nil"/>
              <w:bottom w:val="nil"/>
              <w:right w:val="nil"/>
            </w:tcBorders>
            <w:shd w:val="clear" w:color="auto" w:fill="auto"/>
            <w:vAlign w:val="center"/>
            <w:hideMark/>
          </w:tcPr>
          <w:p w:rsidR="007344E0" w:rsidRPr="007344E0" w:rsidRDefault="007344E0" w:rsidP="008909F9">
            <w:pPr>
              <w:spacing w:after="60"/>
              <w:jc w:val="left"/>
              <w:rPr>
                <w:rFonts w:eastAsia="Times New Roman" w:cs="Times New Roman"/>
                <w:sz w:val="20"/>
                <w:szCs w:val="20"/>
              </w:rPr>
            </w:pPr>
            <w:r w:rsidRPr="007344E0">
              <w:rPr>
                <w:rFonts w:eastAsia="Times New Roman" w:cs="Times New Roman"/>
                <w:sz w:val="20"/>
                <w:szCs w:val="20"/>
              </w:rPr>
              <w:t>Намалена ставка на 0% на ДДС за хляба и брашно (до 30.06.2024 г.)</w:t>
            </w:r>
          </w:p>
        </w:tc>
        <w:tc>
          <w:tcPr>
            <w:tcW w:w="724"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32,4</w:t>
            </w:r>
          </w:p>
        </w:tc>
        <w:tc>
          <w:tcPr>
            <w:tcW w:w="561"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32,4</w:t>
            </w:r>
          </w:p>
        </w:tc>
        <w:tc>
          <w:tcPr>
            <w:tcW w:w="427"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r>
      <w:tr w:rsidR="007344E0" w:rsidRPr="007344E0" w:rsidTr="009F7B41">
        <w:trPr>
          <w:trHeight w:val="1020"/>
        </w:trPr>
        <w:tc>
          <w:tcPr>
            <w:tcW w:w="3289" w:type="pct"/>
            <w:tcBorders>
              <w:top w:val="nil"/>
              <w:left w:val="nil"/>
              <w:bottom w:val="nil"/>
              <w:right w:val="nil"/>
            </w:tcBorders>
            <w:shd w:val="clear" w:color="auto" w:fill="auto"/>
            <w:vAlign w:val="center"/>
            <w:hideMark/>
          </w:tcPr>
          <w:p w:rsidR="007344E0" w:rsidRPr="007344E0" w:rsidRDefault="007344E0" w:rsidP="008909F9">
            <w:pPr>
              <w:spacing w:after="60"/>
              <w:jc w:val="left"/>
              <w:rPr>
                <w:rFonts w:eastAsia="Times New Roman" w:cs="Times New Roman"/>
                <w:sz w:val="20"/>
                <w:szCs w:val="20"/>
              </w:rPr>
            </w:pPr>
            <w:r w:rsidRPr="007344E0">
              <w:rPr>
                <w:rFonts w:eastAsia="Times New Roman" w:cs="Times New Roman"/>
                <w:sz w:val="20"/>
                <w:szCs w:val="20"/>
              </w:rPr>
              <w:t>Въвеждане на национален допълнителен данък (domestic top-up tax)  в съответствие с Директива (ЕС) 2022/2523 на Съвета за осигуряване на глобално минимално ниво на данъчно облагане за групите на мултинационалните предприятия (MNE) и големите местни групи в Съюза (в сила от 01.01.2024 г.)</w:t>
            </w:r>
          </w:p>
        </w:tc>
        <w:tc>
          <w:tcPr>
            <w:tcW w:w="724"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220,0</w:t>
            </w:r>
          </w:p>
        </w:tc>
        <w:tc>
          <w:tcPr>
            <w:tcW w:w="561"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c>
          <w:tcPr>
            <w:tcW w:w="427"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r>
      <w:tr w:rsidR="007344E0" w:rsidRPr="007344E0" w:rsidTr="009F7B41">
        <w:trPr>
          <w:trHeight w:val="765"/>
        </w:trPr>
        <w:tc>
          <w:tcPr>
            <w:tcW w:w="3289" w:type="pct"/>
            <w:tcBorders>
              <w:top w:val="nil"/>
              <w:left w:val="nil"/>
              <w:bottom w:val="nil"/>
              <w:right w:val="nil"/>
            </w:tcBorders>
            <w:shd w:val="clear" w:color="auto" w:fill="auto"/>
            <w:vAlign w:val="center"/>
            <w:hideMark/>
          </w:tcPr>
          <w:p w:rsidR="007344E0" w:rsidRPr="007344E0" w:rsidRDefault="007344E0" w:rsidP="008909F9">
            <w:pPr>
              <w:spacing w:after="60"/>
              <w:jc w:val="left"/>
              <w:rPr>
                <w:rFonts w:eastAsia="Times New Roman" w:cs="Times New Roman"/>
                <w:sz w:val="20"/>
                <w:szCs w:val="20"/>
              </w:rPr>
            </w:pPr>
            <w:r w:rsidRPr="007344E0">
              <w:rPr>
                <w:rFonts w:eastAsia="Times New Roman" w:cs="Times New Roman"/>
                <w:sz w:val="20"/>
                <w:szCs w:val="20"/>
              </w:rPr>
              <w:t>Ефект от акцизи от освобождаване от акциз на електрическата енергия, природния газ и втечнения нефтен газ (LPG), в т.ч. от промяна на срока на прилагане  (до 31.07.2023 г.)</w:t>
            </w:r>
          </w:p>
        </w:tc>
        <w:tc>
          <w:tcPr>
            <w:tcW w:w="724"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75,1</w:t>
            </w:r>
          </w:p>
        </w:tc>
        <w:tc>
          <w:tcPr>
            <w:tcW w:w="561"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c>
          <w:tcPr>
            <w:tcW w:w="427"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r>
      <w:tr w:rsidR="007344E0" w:rsidRPr="007344E0" w:rsidTr="009F7B41">
        <w:trPr>
          <w:trHeight w:val="510"/>
        </w:trPr>
        <w:tc>
          <w:tcPr>
            <w:tcW w:w="3289" w:type="pct"/>
            <w:tcBorders>
              <w:top w:val="nil"/>
              <w:left w:val="nil"/>
              <w:bottom w:val="nil"/>
              <w:right w:val="nil"/>
            </w:tcBorders>
            <w:shd w:val="clear" w:color="auto" w:fill="auto"/>
            <w:vAlign w:val="center"/>
            <w:hideMark/>
          </w:tcPr>
          <w:p w:rsidR="007344E0" w:rsidRPr="007344E0" w:rsidRDefault="007344E0" w:rsidP="008909F9">
            <w:pPr>
              <w:spacing w:after="60"/>
              <w:jc w:val="left"/>
              <w:rPr>
                <w:rFonts w:eastAsia="Times New Roman" w:cs="Times New Roman"/>
                <w:sz w:val="20"/>
                <w:szCs w:val="20"/>
              </w:rPr>
            </w:pPr>
            <w:r w:rsidRPr="007344E0">
              <w:rPr>
                <w:rFonts w:eastAsia="Times New Roman" w:cs="Times New Roman"/>
                <w:sz w:val="20"/>
                <w:szCs w:val="20"/>
              </w:rPr>
              <w:t>Ефект от ДДС от освобождаване от акциз на електрическата енергия, природния газ и втечнения нефтен газ (LPG), в т.ч. от промяна на срока на прилагане (до 31.07.2023 г.)</w:t>
            </w:r>
          </w:p>
        </w:tc>
        <w:tc>
          <w:tcPr>
            <w:tcW w:w="724"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15,0</w:t>
            </w:r>
          </w:p>
        </w:tc>
        <w:tc>
          <w:tcPr>
            <w:tcW w:w="561"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c>
          <w:tcPr>
            <w:tcW w:w="427"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r>
      <w:tr w:rsidR="007344E0" w:rsidRPr="007344E0" w:rsidTr="009F7B41">
        <w:trPr>
          <w:trHeight w:val="510"/>
        </w:trPr>
        <w:tc>
          <w:tcPr>
            <w:tcW w:w="3289" w:type="pct"/>
            <w:tcBorders>
              <w:top w:val="nil"/>
              <w:left w:val="nil"/>
              <w:bottom w:val="nil"/>
              <w:right w:val="nil"/>
            </w:tcBorders>
            <w:shd w:val="clear" w:color="auto" w:fill="auto"/>
            <w:vAlign w:val="center"/>
            <w:hideMark/>
          </w:tcPr>
          <w:p w:rsidR="007344E0" w:rsidRPr="007344E0" w:rsidRDefault="007344E0" w:rsidP="008909F9">
            <w:pPr>
              <w:spacing w:after="60"/>
              <w:jc w:val="left"/>
              <w:rPr>
                <w:rFonts w:eastAsia="Times New Roman" w:cs="Times New Roman"/>
                <w:sz w:val="20"/>
                <w:szCs w:val="20"/>
              </w:rPr>
            </w:pPr>
            <w:r w:rsidRPr="007344E0">
              <w:rPr>
                <w:rFonts w:eastAsia="Times New Roman" w:cs="Times New Roman"/>
                <w:sz w:val="20"/>
                <w:szCs w:val="20"/>
              </w:rPr>
              <w:t>Законодателни изменения в областта на хазарта, свързани с облагането на този вид дейности (от 01.01.2024 г.)</w:t>
            </w:r>
          </w:p>
        </w:tc>
        <w:tc>
          <w:tcPr>
            <w:tcW w:w="724"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75,0</w:t>
            </w:r>
          </w:p>
        </w:tc>
        <w:tc>
          <w:tcPr>
            <w:tcW w:w="561"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c>
          <w:tcPr>
            <w:tcW w:w="427"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r>
      <w:tr w:rsidR="007344E0" w:rsidRPr="007344E0" w:rsidTr="009F7B41">
        <w:trPr>
          <w:trHeight w:val="300"/>
        </w:trPr>
        <w:tc>
          <w:tcPr>
            <w:tcW w:w="3289" w:type="pct"/>
            <w:tcBorders>
              <w:top w:val="nil"/>
              <w:left w:val="nil"/>
              <w:bottom w:val="nil"/>
              <w:right w:val="nil"/>
            </w:tcBorders>
            <w:shd w:val="clear" w:color="auto" w:fill="auto"/>
            <w:vAlign w:val="center"/>
            <w:hideMark/>
          </w:tcPr>
          <w:p w:rsidR="007344E0" w:rsidRPr="007344E0" w:rsidRDefault="007344E0" w:rsidP="008909F9">
            <w:pPr>
              <w:spacing w:after="60"/>
              <w:jc w:val="left"/>
              <w:rPr>
                <w:rFonts w:eastAsia="Times New Roman" w:cs="Times New Roman"/>
                <w:sz w:val="20"/>
                <w:szCs w:val="20"/>
              </w:rPr>
            </w:pPr>
            <w:r w:rsidRPr="007344E0">
              <w:rPr>
                <w:rFonts w:eastAsia="Times New Roman" w:cs="Times New Roman"/>
                <w:sz w:val="20"/>
                <w:szCs w:val="20"/>
              </w:rPr>
              <w:t>Приходи от оперирането на ТОЛ системата</w:t>
            </w:r>
          </w:p>
        </w:tc>
        <w:tc>
          <w:tcPr>
            <w:tcW w:w="724" w:type="pct"/>
            <w:tcBorders>
              <w:top w:val="nil"/>
              <w:left w:val="nil"/>
              <w:bottom w:val="nil"/>
              <w:right w:val="nil"/>
            </w:tcBorders>
            <w:shd w:val="clear" w:color="auto" w:fill="auto"/>
            <w:vAlign w:val="center"/>
            <w:hideMark/>
          </w:tcPr>
          <w:p w:rsidR="007344E0" w:rsidRPr="007344E0" w:rsidRDefault="00854A38" w:rsidP="008909F9">
            <w:pPr>
              <w:spacing w:after="60"/>
              <w:ind w:firstLineChars="100" w:firstLine="200"/>
              <w:jc w:val="right"/>
              <w:rPr>
                <w:rFonts w:eastAsia="Times New Roman" w:cs="Times New Roman"/>
                <w:sz w:val="20"/>
                <w:szCs w:val="20"/>
              </w:rPr>
            </w:pPr>
            <w:r>
              <w:rPr>
                <w:rFonts w:eastAsia="Times New Roman" w:cs="Times New Roman"/>
                <w:sz w:val="20"/>
                <w:szCs w:val="20"/>
              </w:rPr>
              <w:t>23,2</w:t>
            </w:r>
          </w:p>
        </w:tc>
        <w:tc>
          <w:tcPr>
            <w:tcW w:w="561" w:type="pct"/>
            <w:tcBorders>
              <w:top w:val="nil"/>
              <w:left w:val="nil"/>
              <w:bottom w:val="nil"/>
              <w:right w:val="nil"/>
            </w:tcBorders>
            <w:shd w:val="clear" w:color="auto" w:fill="auto"/>
            <w:vAlign w:val="center"/>
            <w:hideMark/>
          </w:tcPr>
          <w:p w:rsidR="007344E0" w:rsidRPr="007344E0" w:rsidRDefault="00854A38" w:rsidP="008909F9">
            <w:pPr>
              <w:spacing w:after="60"/>
              <w:ind w:firstLineChars="100" w:firstLine="200"/>
              <w:jc w:val="right"/>
              <w:rPr>
                <w:rFonts w:eastAsia="Times New Roman" w:cs="Times New Roman"/>
                <w:sz w:val="20"/>
                <w:szCs w:val="20"/>
              </w:rPr>
            </w:pPr>
            <w:r>
              <w:rPr>
                <w:rFonts w:eastAsia="Times New Roman" w:cs="Times New Roman"/>
                <w:sz w:val="20"/>
                <w:szCs w:val="20"/>
              </w:rPr>
              <w:t>43,0</w:t>
            </w:r>
          </w:p>
        </w:tc>
        <w:tc>
          <w:tcPr>
            <w:tcW w:w="427"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r>
      <w:tr w:rsidR="007344E0" w:rsidRPr="007344E0" w:rsidTr="009F7B41">
        <w:trPr>
          <w:trHeight w:val="510"/>
        </w:trPr>
        <w:tc>
          <w:tcPr>
            <w:tcW w:w="3289" w:type="pct"/>
            <w:tcBorders>
              <w:top w:val="nil"/>
              <w:left w:val="nil"/>
              <w:bottom w:val="nil"/>
              <w:right w:val="nil"/>
            </w:tcBorders>
            <w:shd w:val="clear" w:color="auto" w:fill="auto"/>
            <w:vAlign w:val="center"/>
            <w:hideMark/>
          </w:tcPr>
          <w:p w:rsidR="007344E0" w:rsidRPr="007344E0" w:rsidRDefault="007344E0" w:rsidP="003D1836">
            <w:pPr>
              <w:spacing w:after="60"/>
              <w:jc w:val="left"/>
              <w:rPr>
                <w:rFonts w:eastAsia="Times New Roman" w:cs="Times New Roman"/>
                <w:sz w:val="20"/>
                <w:szCs w:val="20"/>
              </w:rPr>
            </w:pPr>
            <w:r w:rsidRPr="007344E0">
              <w:rPr>
                <w:rFonts w:eastAsia="Times New Roman" w:cs="Times New Roman"/>
                <w:sz w:val="20"/>
                <w:szCs w:val="20"/>
              </w:rPr>
              <w:t>Увеличен праг на условието за оборот при прилагане на патентен данък и разширяване обхвата на патентния данък върху заведения за хранене и развлечения</w:t>
            </w:r>
            <w:r w:rsidR="00971EC7">
              <w:rPr>
                <w:rFonts w:eastAsia="Times New Roman" w:cs="Times New Roman"/>
                <w:sz w:val="20"/>
                <w:szCs w:val="20"/>
              </w:rPr>
              <w:t xml:space="preserve"> </w:t>
            </w:r>
            <w:r w:rsidR="00971EC7" w:rsidRPr="00971EC7">
              <w:rPr>
                <w:rFonts w:eastAsia="Times New Roman" w:cs="Times New Roman"/>
                <w:sz w:val="20"/>
                <w:szCs w:val="20"/>
              </w:rPr>
              <w:t>– КД и ДДФЛ (вкл. патентен данък)</w:t>
            </w:r>
          </w:p>
        </w:tc>
        <w:tc>
          <w:tcPr>
            <w:tcW w:w="724"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1,0</w:t>
            </w:r>
          </w:p>
        </w:tc>
        <w:tc>
          <w:tcPr>
            <w:tcW w:w="561"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c>
          <w:tcPr>
            <w:tcW w:w="427"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r>
      <w:tr w:rsidR="007344E0" w:rsidRPr="007344E0" w:rsidTr="009F7B41">
        <w:trPr>
          <w:trHeight w:val="1030"/>
        </w:trPr>
        <w:tc>
          <w:tcPr>
            <w:tcW w:w="3289" w:type="pct"/>
            <w:tcBorders>
              <w:top w:val="nil"/>
              <w:left w:val="nil"/>
              <w:bottom w:val="nil"/>
              <w:right w:val="nil"/>
            </w:tcBorders>
            <w:shd w:val="clear" w:color="auto" w:fill="auto"/>
            <w:vAlign w:val="center"/>
            <w:hideMark/>
          </w:tcPr>
          <w:p w:rsidR="007344E0" w:rsidRPr="007344E0" w:rsidRDefault="007344E0" w:rsidP="008909F9">
            <w:pPr>
              <w:spacing w:after="60"/>
              <w:jc w:val="left"/>
              <w:rPr>
                <w:rFonts w:eastAsia="Times New Roman" w:cs="Times New Roman"/>
                <w:sz w:val="20"/>
                <w:szCs w:val="20"/>
              </w:rPr>
            </w:pPr>
            <w:r w:rsidRPr="007344E0">
              <w:rPr>
                <w:rFonts w:eastAsia="Times New Roman" w:cs="Times New Roman"/>
                <w:sz w:val="20"/>
                <w:szCs w:val="20"/>
              </w:rPr>
              <w:t>Въвеждане на нормативно признати разходи по ЗДДФЛ - приспадане на 10 на сто нормативно признати разходи при определяне на облагаемия доход от продажба или замяна на  финансови активи, в т.ч. и виртуални валути, както и от търговия с чуждестранна валута (от 01.01.2024 г.)</w:t>
            </w:r>
          </w:p>
        </w:tc>
        <w:tc>
          <w:tcPr>
            <w:tcW w:w="724"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-8,0</w:t>
            </w:r>
          </w:p>
        </w:tc>
        <w:tc>
          <w:tcPr>
            <w:tcW w:w="561"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c>
          <w:tcPr>
            <w:tcW w:w="427"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r>
      <w:tr w:rsidR="007344E0" w:rsidRPr="007344E0" w:rsidTr="009F7B41">
        <w:trPr>
          <w:trHeight w:val="1020"/>
        </w:trPr>
        <w:tc>
          <w:tcPr>
            <w:tcW w:w="3289" w:type="pct"/>
            <w:tcBorders>
              <w:top w:val="nil"/>
              <w:left w:val="nil"/>
              <w:bottom w:val="nil"/>
              <w:right w:val="nil"/>
            </w:tcBorders>
            <w:shd w:val="clear" w:color="auto" w:fill="auto"/>
            <w:vAlign w:val="center"/>
            <w:hideMark/>
          </w:tcPr>
          <w:p w:rsidR="007344E0" w:rsidRPr="007344E0" w:rsidRDefault="007344E0" w:rsidP="008909F9">
            <w:pPr>
              <w:spacing w:after="60"/>
              <w:jc w:val="left"/>
              <w:rPr>
                <w:rFonts w:eastAsia="Times New Roman" w:cs="Times New Roman"/>
                <w:sz w:val="20"/>
                <w:szCs w:val="20"/>
              </w:rPr>
            </w:pPr>
            <w:r w:rsidRPr="007344E0">
              <w:rPr>
                <w:rFonts w:eastAsia="Times New Roman" w:cs="Times New Roman"/>
                <w:sz w:val="20"/>
                <w:szCs w:val="20"/>
              </w:rPr>
              <w:t>Освобождаване от облагане на доходи (от отпадъци) по ЗДДФЛ - от продажба или замяна на движимо имущество, предадено на лица, които имат право да извършват събиране, транспортиране, оползотворяване или обезвреждане на отпадъци в съответствие със Закона за управление на отпадъците (от 01.01.2024 г.)</w:t>
            </w:r>
          </w:p>
        </w:tc>
        <w:tc>
          <w:tcPr>
            <w:tcW w:w="724"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-9,5</w:t>
            </w:r>
          </w:p>
        </w:tc>
        <w:tc>
          <w:tcPr>
            <w:tcW w:w="561"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c>
          <w:tcPr>
            <w:tcW w:w="427"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r>
      <w:tr w:rsidR="007344E0" w:rsidRPr="007344E0" w:rsidTr="009F7B41">
        <w:trPr>
          <w:trHeight w:val="510"/>
        </w:trPr>
        <w:tc>
          <w:tcPr>
            <w:tcW w:w="3289" w:type="pct"/>
            <w:tcBorders>
              <w:top w:val="nil"/>
              <w:left w:val="nil"/>
              <w:bottom w:val="nil"/>
              <w:right w:val="nil"/>
            </w:tcBorders>
            <w:shd w:val="clear" w:color="auto" w:fill="auto"/>
            <w:vAlign w:val="center"/>
            <w:hideMark/>
          </w:tcPr>
          <w:p w:rsidR="007344E0" w:rsidRPr="007344E0" w:rsidRDefault="007344E0" w:rsidP="008909F9">
            <w:pPr>
              <w:spacing w:after="60"/>
              <w:jc w:val="left"/>
              <w:rPr>
                <w:rFonts w:eastAsia="Times New Roman" w:cs="Times New Roman"/>
                <w:sz w:val="20"/>
                <w:szCs w:val="20"/>
              </w:rPr>
            </w:pPr>
            <w:r w:rsidRPr="007344E0">
              <w:rPr>
                <w:rFonts w:eastAsia="Times New Roman" w:cs="Times New Roman"/>
                <w:sz w:val="20"/>
                <w:szCs w:val="20"/>
              </w:rPr>
              <w:t>Отпадане на задължението за осигурителите да изплащат обезщетение на осигурените лица за третия работен ден от временната неработоспособност (от 01.01.2024 г.)</w:t>
            </w:r>
          </w:p>
        </w:tc>
        <w:tc>
          <w:tcPr>
            <w:tcW w:w="724"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-15,0</w:t>
            </w:r>
          </w:p>
        </w:tc>
        <w:tc>
          <w:tcPr>
            <w:tcW w:w="561"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c>
          <w:tcPr>
            <w:tcW w:w="427"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r>
      <w:tr w:rsidR="007344E0" w:rsidRPr="007344E0" w:rsidTr="009F7B41">
        <w:trPr>
          <w:trHeight w:val="510"/>
        </w:trPr>
        <w:tc>
          <w:tcPr>
            <w:tcW w:w="3289" w:type="pct"/>
            <w:tcBorders>
              <w:top w:val="nil"/>
              <w:left w:val="nil"/>
              <w:bottom w:val="nil"/>
              <w:right w:val="nil"/>
            </w:tcBorders>
            <w:shd w:val="clear" w:color="auto" w:fill="auto"/>
            <w:vAlign w:val="center"/>
            <w:hideMark/>
          </w:tcPr>
          <w:p w:rsidR="007344E0" w:rsidRPr="007344E0" w:rsidRDefault="007344E0" w:rsidP="008909F9">
            <w:pPr>
              <w:spacing w:after="60"/>
              <w:jc w:val="left"/>
              <w:rPr>
                <w:rFonts w:eastAsia="Times New Roman" w:cs="Times New Roman"/>
                <w:sz w:val="20"/>
                <w:szCs w:val="20"/>
              </w:rPr>
            </w:pPr>
            <w:r w:rsidRPr="007344E0">
              <w:rPr>
                <w:rFonts w:eastAsia="Times New Roman" w:cs="Times New Roman"/>
                <w:sz w:val="20"/>
                <w:szCs w:val="20"/>
              </w:rPr>
              <w:t>Предложено повишаване на прага за регистрация от 100 на 166 хил. лв. оборот по ЗДДС</w:t>
            </w:r>
          </w:p>
        </w:tc>
        <w:tc>
          <w:tcPr>
            <w:tcW w:w="724" w:type="pct"/>
            <w:tcBorders>
              <w:top w:val="nil"/>
              <w:left w:val="nil"/>
              <w:bottom w:val="nil"/>
              <w:right w:val="nil"/>
            </w:tcBorders>
            <w:shd w:val="clear" w:color="auto" w:fill="auto"/>
            <w:vAlign w:val="center"/>
            <w:hideMark/>
          </w:tcPr>
          <w:p w:rsidR="007344E0" w:rsidRPr="007344E0" w:rsidRDefault="007344E0" w:rsidP="008909F9">
            <w:pPr>
              <w:spacing w:after="60"/>
              <w:jc w:val="left"/>
              <w:rPr>
                <w:rFonts w:eastAsia="Times New Roman" w:cs="Times New Roman"/>
                <w:sz w:val="20"/>
                <w:szCs w:val="20"/>
              </w:rPr>
            </w:pPr>
          </w:p>
        </w:tc>
        <w:tc>
          <w:tcPr>
            <w:tcW w:w="561"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-215,0</w:t>
            </w:r>
          </w:p>
        </w:tc>
        <w:tc>
          <w:tcPr>
            <w:tcW w:w="427"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r>
      <w:tr w:rsidR="007344E0" w:rsidRPr="007344E0" w:rsidTr="009F7B41">
        <w:trPr>
          <w:trHeight w:val="765"/>
        </w:trPr>
        <w:tc>
          <w:tcPr>
            <w:tcW w:w="3289" w:type="pct"/>
            <w:tcBorders>
              <w:top w:val="nil"/>
              <w:left w:val="nil"/>
              <w:bottom w:val="nil"/>
              <w:right w:val="nil"/>
            </w:tcBorders>
            <w:shd w:val="clear" w:color="auto" w:fill="auto"/>
            <w:vAlign w:val="center"/>
            <w:hideMark/>
          </w:tcPr>
          <w:p w:rsidR="007344E0" w:rsidRPr="007344E0" w:rsidRDefault="007344E0" w:rsidP="008909F9">
            <w:pPr>
              <w:spacing w:after="60"/>
              <w:jc w:val="left"/>
              <w:rPr>
                <w:rFonts w:eastAsia="Times New Roman" w:cs="Times New Roman"/>
                <w:sz w:val="20"/>
                <w:szCs w:val="20"/>
              </w:rPr>
            </w:pPr>
            <w:r w:rsidRPr="007344E0">
              <w:rPr>
                <w:rFonts w:eastAsia="Times New Roman" w:cs="Times New Roman"/>
                <w:sz w:val="20"/>
                <w:szCs w:val="20"/>
              </w:rPr>
              <w:t>Временна солидарна вноска по Регламент (ЕС) 2022/1854 на Съвета от 6 октомври 2022 година за спешна намеса за справяне с високите цени на енергията от дружества в дейности добив на нефт, природен газ и въглища и нефтопреработване.</w:t>
            </w:r>
          </w:p>
        </w:tc>
        <w:tc>
          <w:tcPr>
            <w:tcW w:w="724"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-375,9</w:t>
            </w:r>
          </w:p>
        </w:tc>
        <w:tc>
          <w:tcPr>
            <w:tcW w:w="561"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c>
          <w:tcPr>
            <w:tcW w:w="427"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r>
      <w:tr w:rsidR="007344E0" w:rsidRPr="007344E0" w:rsidTr="009F7B41">
        <w:trPr>
          <w:trHeight w:val="300"/>
        </w:trPr>
        <w:tc>
          <w:tcPr>
            <w:tcW w:w="3289" w:type="pct"/>
            <w:tcBorders>
              <w:top w:val="nil"/>
              <w:left w:val="nil"/>
              <w:bottom w:val="nil"/>
              <w:right w:val="nil"/>
            </w:tcBorders>
            <w:shd w:val="clear" w:color="auto" w:fill="auto"/>
            <w:vAlign w:val="center"/>
            <w:hideMark/>
          </w:tcPr>
          <w:p w:rsidR="007344E0" w:rsidRPr="007344E0" w:rsidRDefault="007344E0" w:rsidP="008909F9">
            <w:pPr>
              <w:spacing w:after="60"/>
              <w:jc w:val="left"/>
              <w:rPr>
                <w:rFonts w:eastAsia="Times New Roman" w:cs="Times New Roman"/>
                <w:sz w:val="20"/>
                <w:szCs w:val="20"/>
              </w:rPr>
            </w:pPr>
            <w:r w:rsidRPr="007344E0">
              <w:rPr>
                <w:rFonts w:eastAsia="Times New Roman" w:cs="Times New Roman"/>
                <w:sz w:val="20"/>
                <w:szCs w:val="20"/>
              </w:rPr>
              <w:t xml:space="preserve">Изменение на параметрите на политиката по дивидентите </w:t>
            </w:r>
          </w:p>
        </w:tc>
        <w:tc>
          <w:tcPr>
            <w:tcW w:w="724"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-482,5</w:t>
            </w:r>
          </w:p>
        </w:tc>
        <w:tc>
          <w:tcPr>
            <w:tcW w:w="561"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c>
          <w:tcPr>
            <w:tcW w:w="427"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r>
      <w:tr w:rsidR="007344E0" w:rsidRPr="007344E0" w:rsidTr="009F7B41">
        <w:trPr>
          <w:trHeight w:val="510"/>
        </w:trPr>
        <w:tc>
          <w:tcPr>
            <w:tcW w:w="3289" w:type="pct"/>
            <w:tcBorders>
              <w:top w:val="nil"/>
              <w:left w:val="nil"/>
              <w:bottom w:val="nil"/>
              <w:right w:val="nil"/>
            </w:tcBorders>
            <w:shd w:val="clear" w:color="auto" w:fill="auto"/>
            <w:vAlign w:val="center"/>
            <w:hideMark/>
          </w:tcPr>
          <w:p w:rsidR="007344E0" w:rsidRPr="007344E0" w:rsidRDefault="007344E0" w:rsidP="008909F9">
            <w:pPr>
              <w:spacing w:after="60"/>
              <w:jc w:val="left"/>
              <w:rPr>
                <w:rFonts w:eastAsia="Times New Roman" w:cs="Times New Roman"/>
                <w:sz w:val="20"/>
                <w:szCs w:val="20"/>
              </w:rPr>
            </w:pPr>
            <w:r w:rsidRPr="007344E0">
              <w:rPr>
                <w:rFonts w:eastAsia="Times New Roman" w:cs="Times New Roman"/>
                <w:sz w:val="20"/>
                <w:szCs w:val="20"/>
              </w:rPr>
              <w:t>Програми за смекчаване на икономическите последици от нестабилността на цените на електрическата енергия и природния газ</w:t>
            </w:r>
          </w:p>
        </w:tc>
        <w:tc>
          <w:tcPr>
            <w:tcW w:w="724"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r w:rsidRPr="007344E0">
              <w:rPr>
                <w:rFonts w:eastAsia="Times New Roman" w:cs="Times New Roman"/>
                <w:sz w:val="20"/>
                <w:szCs w:val="20"/>
              </w:rPr>
              <w:t>-982,8</w:t>
            </w:r>
          </w:p>
        </w:tc>
        <w:tc>
          <w:tcPr>
            <w:tcW w:w="561"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c>
          <w:tcPr>
            <w:tcW w:w="427" w:type="pct"/>
            <w:tcBorders>
              <w:top w:val="nil"/>
              <w:left w:val="nil"/>
              <w:bottom w:val="nil"/>
              <w:right w:val="nil"/>
            </w:tcBorders>
            <w:shd w:val="clear" w:color="auto" w:fill="auto"/>
            <w:vAlign w:val="center"/>
            <w:hideMark/>
          </w:tcPr>
          <w:p w:rsidR="007344E0" w:rsidRPr="007344E0" w:rsidRDefault="007344E0" w:rsidP="008909F9">
            <w:pPr>
              <w:spacing w:after="60"/>
              <w:ind w:firstLineChars="100" w:firstLine="200"/>
              <w:jc w:val="right"/>
              <w:rPr>
                <w:rFonts w:eastAsia="Times New Roman" w:cs="Times New Roman"/>
                <w:sz w:val="20"/>
                <w:szCs w:val="20"/>
              </w:rPr>
            </w:pPr>
          </w:p>
        </w:tc>
      </w:tr>
      <w:tr w:rsidR="007344E0" w:rsidRPr="007344E0" w:rsidTr="009F7B41">
        <w:trPr>
          <w:trHeight w:val="300"/>
        </w:trPr>
        <w:tc>
          <w:tcPr>
            <w:tcW w:w="3289" w:type="pct"/>
            <w:tcBorders>
              <w:top w:val="nil"/>
              <w:left w:val="nil"/>
              <w:bottom w:val="single" w:sz="4" w:space="0" w:color="595959"/>
              <w:right w:val="nil"/>
            </w:tcBorders>
            <w:shd w:val="clear" w:color="auto" w:fill="auto"/>
            <w:vAlign w:val="center"/>
            <w:hideMark/>
          </w:tcPr>
          <w:p w:rsidR="007344E0" w:rsidRPr="007344E0" w:rsidRDefault="007344E0" w:rsidP="007344E0">
            <w:pPr>
              <w:spacing w:after="0"/>
              <w:jc w:val="left"/>
              <w:rPr>
                <w:rFonts w:eastAsia="Times New Roman" w:cs="Times New Roman"/>
                <w:b/>
                <w:bCs/>
                <w:color w:val="000000"/>
                <w:sz w:val="20"/>
                <w:szCs w:val="20"/>
              </w:rPr>
            </w:pPr>
            <w:r w:rsidRPr="007344E0">
              <w:rPr>
                <w:rFonts w:eastAsia="Times New Roman" w:cs="Times New Roman"/>
                <w:b/>
                <w:bCs/>
                <w:color w:val="000000"/>
                <w:sz w:val="20"/>
                <w:szCs w:val="20"/>
              </w:rPr>
              <w:t>Общо:</w:t>
            </w:r>
          </w:p>
        </w:tc>
        <w:tc>
          <w:tcPr>
            <w:tcW w:w="724" w:type="pct"/>
            <w:tcBorders>
              <w:top w:val="nil"/>
              <w:left w:val="nil"/>
              <w:bottom w:val="single" w:sz="4" w:space="0" w:color="595959"/>
              <w:right w:val="nil"/>
            </w:tcBorders>
            <w:shd w:val="clear" w:color="auto" w:fill="auto"/>
            <w:noWrap/>
            <w:vAlign w:val="center"/>
            <w:hideMark/>
          </w:tcPr>
          <w:p w:rsidR="007344E0" w:rsidRPr="00EB28A6" w:rsidRDefault="00400F85" w:rsidP="007344E0">
            <w:pPr>
              <w:spacing w:after="0"/>
              <w:jc w:val="right"/>
              <w:rPr>
                <w:rFonts w:eastAsia="Times New Roman" w:cs="Times New Roman"/>
                <w:b/>
                <w:bCs/>
                <w:color w:val="000000"/>
                <w:sz w:val="20"/>
                <w:szCs w:val="20"/>
              </w:rPr>
            </w:pPr>
            <w:r w:rsidRPr="00EB28A6">
              <w:rPr>
                <w:rFonts w:eastAsia="Times New Roman" w:cs="Times New Roman"/>
                <w:b/>
                <w:bCs/>
                <w:color w:val="000000"/>
                <w:sz w:val="20"/>
                <w:szCs w:val="20"/>
              </w:rPr>
              <w:t>-48,6</w:t>
            </w:r>
          </w:p>
        </w:tc>
        <w:tc>
          <w:tcPr>
            <w:tcW w:w="561" w:type="pct"/>
            <w:tcBorders>
              <w:top w:val="nil"/>
              <w:left w:val="nil"/>
              <w:bottom w:val="single" w:sz="4" w:space="0" w:color="595959"/>
              <w:right w:val="nil"/>
            </w:tcBorders>
            <w:shd w:val="clear" w:color="auto" w:fill="auto"/>
            <w:noWrap/>
            <w:vAlign w:val="center"/>
            <w:hideMark/>
          </w:tcPr>
          <w:p w:rsidR="007344E0" w:rsidRPr="00EB28A6" w:rsidRDefault="003673B6" w:rsidP="007344E0">
            <w:pPr>
              <w:spacing w:after="0"/>
              <w:jc w:val="right"/>
              <w:rPr>
                <w:rFonts w:eastAsia="Times New Roman" w:cs="Times New Roman"/>
                <w:b/>
                <w:bCs/>
                <w:color w:val="000000"/>
                <w:sz w:val="20"/>
                <w:szCs w:val="20"/>
              </w:rPr>
            </w:pPr>
            <w:r w:rsidRPr="00EB28A6">
              <w:rPr>
                <w:rFonts w:eastAsia="Times New Roman" w:cs="Times New Roman"/>
                <w:b/>
                <w:bCs/>
                <w:color w:val="000000"/>
                <w:sz w:val="20"/>
                <w:szCs w:val="20"/>
              </w:rPr>
              <w:t>607,0</w:t>
            </w:r>
          </w:p>
        </w:tc>
        <w:tc>
          <w:tcPr>
            <w:tcW w:w="427" w:type="pct"/>
            <w:tcBorders>
              <w:top w:val="nil"/>
              <w:left w:val="nil"/>
              <w:bottom w:val="single" w:sz="4" w:space="0" w:color="595959"/>
              <w:right w:val="nil"/>
            </w:tcBorders>
            <w:shd w:val="clear" w:color="auto" w:fill="auto"/>
            <w:noWrap/>
            <w:vAlign w:val="center"/>
            <w:hideMark/>
          </w:tcPr>
          <w:p w:rsidR="007344E0" w:rsidRPr="007344E0" w:rsidRDefault="007344E0" w:rsidP="007344E0">
            <w:pPr>
              <w:spacing w:after="0"/>
              <w:jc w:val="right"/>
              <w:rPr>
                <w:rFonts w:eastAsia="Times New Roman" w:cs="Times New Roman"/>
                <w:b/>
                <w:bCs/>
                <w:color w:val="000000"/>
                <w:sz w:val="20"/>
                <w:szCs w:val="20"/>
              </w:rPr>
            </w:pPr>
            <w:r w:rsidRPr="007344E0">
              <w:rPr>
                <w:rFonts w:eastAsia="Times New Roman" w:cs="Times New Roman"/>
                <w:b/>
                <w:bCs/>
                <w:color w:val="000000"/>
                <w:sz w:val="20"/>
                <w:szCs w:val="20"/>
              </w:rPr>
              <w:t>355,3</w:t>
            </w:r>
          </w:p>
        </w:tc>
      </w:tr>
    </w:tbl>
    <w:p w:rsidR="007C00B6" w:rsidRPr="00186A43" w:rsidRDefault="007C00B6" w:rsidP="00B60042">
      <w:pPr>
        <w:spacing w:before="120"/>
        <w:ind w:firstLine="850"/>
        <w:jc w:val="right"/>
        <w:rPr>
          <w:b/>
          <w:bCs/>
          <w:iCs/>
          <w:color w:val="C00000"/>
          <w:sz w:val="18"/>
          <w:szCs w:val="18"/>
        </w:rPr>
      </w:pPr>
      <w:r w:rsidRPr="00186A43">
        <w:rPr>
          <w:rFonts w:eastAsia="Batang" w:cs="Times New Roman"/>
          <w:sz w:val="18"/>
          <w:szCs w:val="18"/>
        </w:rPr>
        <w:t>Източник: МФ</w:t>
      </w:r>
    </w:p>
    <w:p w:rsidR="007C00B6" w:rsidRDefault="007C00B6" w:rsidP="007C00B6">
      <w:pPr>
        <w:keepNext/>
        <w:rPr>
          <w:b/>
          <w:color w:val="852010" w:themeColor="accent3" w:themeShade="BF"/>
        </w:rPr>
      </w:pPr>
      <w:r w:rsidRPr="00186A43">
        <w:rPr>
          <w:b/>
          <w:color w:val="852010" w:themeColor="accent3" w:themeShade="BF"/>
        </w:rPr>
        <w:t xml:space="preserve">Разходни дискреционни мерки </w:t>
      </w:r>
    </w:p>
    <w:p w:rsidR="003673B6" w:rsidRPr="003673B6" w:rsidRDefault="003673B6" w:rsidP="003673B6">
      <w:pPr>
        <w:rPr>
          <w:rFonts w:eastAsia="Times New Roman" w:cs="Times New Roman"/>
        </w:rPr>
      </w:pPr>
      <w:r w:rsidRPr="003673B6">
        <w:rPr>
          <w:rFonts w:eastAsia="Times New Roman" w:cs="Times New Roman"/>
        </w:rPr>
        <w:t xml:space="preserve">Разходните дискреционни мерки за периода 2024-2026 г. се очаква да доведат до общо нетно намаление на разходите с 374,5 млн. лв., като през първата година се очаква намаление на разходите с 587,9 млн. лв., а през следващите две години – увеличение на разходите съответно със 182,7 млн. лв. и 30,7 млн. лв. </w:t>
      </w:r>
    </w:p>
    <w:p w:rsidR="007344E0" w:rsidRPr="007344E0" w:rsidRDefault="007344E0" w:rsidP="008909F9">
      <w:pPr>
        <w:rPr>
          <w:rFonts w:eastAsia="Times New Roman" w:cs="Times New Roman"/>
        </w:rPr>
      </w:pPr>
      <w:r w:rsidRPr="007344E0">
        <w:rPr>
          <w:rFonts w:eastAsia="Times New Roman" w:cs="Times New Roman"/>
        </w:rPr>
        <w:t xml:space="preserve">С най-голям бюджетен ефект са разходите, свързани с увеличението на размера на добавките към пенсиите по чл. 84 КСО (т.нар. </w:t>
      </w:r>
      <w:r w:rsidR="00B65EF8">
        <w:rPr>
          <w:rFonts w:eastAsia="Times New Roman" w:cs="Times New Roman"/>
        </w:rPr>
        <w:t>„</w:t>
      </w:r>
      <w:r w:rsidRPr="007344E0">
        <w:rPr>
          <w:rFonts w:eastAsia="Times New Roman" w:cs="Times New Roman"/>
        </w:rPr>
        <w:t>вдовишки добавки</w:t>
      </w:r>
      <w:r w:rsidR="00B65EF8">
        <w:rPr>
          <w:rFonts w:eastAsia="Times New Roman" w:cs="Times New Roman"/>
        </w:rPr>
        <w:t>“</w:t>
      </w:r>
      <w:r w:rsidRPr="007344E0">
        <w:rPr>
          <w:rFonts w:eastAsia="Times New Roman" w:cs="Times New Roman"/>
        </w:rPr>
        <w:t>) от 26,5% на 30% от пенсията на починалия съпруг, считано от 1 юли 2024 г., което се очаква да доведе до допълнителни годишни разходи в размер на 104,8 млн. лв. за всяка от годините 2024 г. и 2025 г.</w:t>
      </w:r>
    </w:p>
    <w:p w:rsidR="007344E0" w:rsidRPr="007344E0" w:rsidRDefault="007344E0" w:rsidP="008909F9">
      <w:pPr>
        <w:rPr>
          <w:rFonts w:eastAsia="Times New Roman" w:cs="Times New Roman"/>
        </w:rPr>
      </w:pPr>
      <w:r w:rsidRPr="007344E0">
        <w:rPr>
          <w:rFonts w:eastAsia="Times New Roman" w:cs="Times New Roman"/>
        </w:rPr>
        <w:t>Ефектът от увеличението на броя на новоотпуснатите пенсии при зачитане за действителен стаж на периодите на наборна или мирновременна алтернативна служба и на периодите на претърпяна репресия за право на пенсия по чл. 68, ал. 3 и чл. 74 от КСО, в сила от 1 януари 2023 г., се прогнозира да доведе до нарастване на разходите с 85</w:t>
      </w:r>
      <w:r w:rsidR="005118ED">
        <w:rPr>
          <w:rFonts w:eastAsia="Times New Roman" w:cs="Times New Roman"/>
        </w:rPr>
        <w:t>,0</w:t>
      </w:r>
      <w:r w:rsidRPr="007344E0">
        <w:rPr>
          <w:rFonts w:eastAsia="Times New Roman" w:cs="Times New Roman"/>
        </w:rPr>
        <w:t xml:space="preserve"> млн. лв. през 2024 г. </w:t>
      </w:r>
    </w:p>
    <w:p w:rsidR="007344E0" w:rsidRPr="007344E0" w:rsidRDefault="007344E0" w:rsidP="008909F9">
      <w:pPr>
        <w:rPr>
          <w:rFonts w:eastAsia="Times New Roman" w:cs="Times New Roman"/>
        </w:rPr>
      </w:pPr>
      <w:r w:rsidRPr="007344E0">
        <w:rPr>
          <w:rFonts w:eastAsia="Times New Roman" w:cs="Times New Roman"/>
        </w:rPr>
        <w:t>Увеличаването на максималния осигу</w:t>
      </w:r>
      <w:r w:rsidR="005118ED">
        <w:rPr>
          <w:rFonts w:eastAsia="Times New Roman" w:cs="Times New Roman"/>
        </w:rPr>
        <w:t>рителен доход за периода 2024-</w:t>
      </w:r>
      <w:r w:rsidRPr="007344E0">
        <w:rPr>
          <w:rFonts w:eastAsia="Times New Roman" w:cs="Times New Roman"/>
        </w:rPr>
        <w:t xml:space="preserve">2026 г. – съответно на 3 750 лв., 4 130 лв. и 4 430 лв. от 1 януари на съответната година е свързано с допълнителни разходи за осигуровки в размер на 35,9 млн. лв. през 2024 г. и общо 105,5 млн. лв. за тригодишния прогнозен период. </w:t>
      </w:r>
    </w:p>
    <w:p w:rsidR="007344E0" w:rsidRPr="007344E0" w:rsidRDefault="007344E0" w:rsidP="008909F9">
      <w:pPr>
        <w:rPr>
          <w:rFonts w:eastAsia="Times New Roman" w:cs="Times New Roman"/>
        </w:rPr>
      </w:pPr>
      <w:r w:rsidRPr="007344E0">
        <w:rPr>
          <w:rFonts w:eastAsia="Times New Roman" w:cs="Times New Roman"/>
        </w:rPr>
        <w:t>Отпадането на задължението за осигурителите да изплащат обезщетение на осигурените лица за третия ден от временната неработоспособност, предвидено да влезе в сила от 01.01.2024 г., се очаква да генерира допълнително увеличение на разходите със 77</w:t>
      </w:r>
      <w:r w:rsidR="005118ED">
        <w:rPr>
          <w:rFonts w:eastAsia="Times New Roman" w:cs="Times New Roman"/>
        </w:rPr>
        <w:t>,0</w:t>
      </w:r>
      <w:r w:rsidRPr="007344E0">
        <w:rPr>
          <w:rFonts w:eastAsia="Times New Roman" w:cs="Times New Roman"/>
        </w:rPr>
        <w:t xml:space="preserve"> млн. лв. през 2024 г. </w:t>
      </w:r>
    </w:p>
    <w:p w:rsidR="00736D9D" w:rsidRPr="00736D9D" w:rsidDel="008B5AA5" w:rsidRDefault="007344E0" w:rsidP="00736D9D">
      <w:pPr>
        <w:rPr>
          <w:rFonts w:eastAsia="Times New Roman" w:cs="Times New Roman"/>
        </w:rPr>
      </w:pPr>
      <w:r w:rsidRPr="007344E0" w:rsidDel="008B5AA5">
        <w:rPr>
          <w:rFonts w:eastAsia="Times New Roman" w:cs="Times New Roman"/>
        </w:rPr>
        <w:t xml:space="preserve">Допълнителните разходи, свързани с оперирането на ТОЛ системата, са в размер на </w:t>
      </w:r>
      <w:r w:rsidR="00854A38" w:rsidRPr="003673B6">
        <w:rPr>
          <w:rFonts w:eastAsia="Times New Roman" w:cs="Times New Roman"/>
        </w:rPr>
        <w:t>23,2</w:t>
      </w:r>
      <w:r w:rsidRPr="007344E0" w:rsidDel="008B5AA5">
        <w:rPr>
          <w:rFonts w:eastAsia="Times New Roman" w:cs="Times New Roman"/>
        </w:rPr>
        <w:t xml:space="preserve"> млн. лв. през 2024 г. </w:t>
      </w:r>
      <w:r w:rsidR="003673B6">
        <w:rPr>
          <w:rFonts w:eastAsia="Times New Roman" w:cs="Times New Roman"/>
        </w:rPr>
        <w:t>и 43,0 млн. лв. през</w:t>
      </w:r>
      <w:r w:rsidR="00736D9D" w:rsidRPr="00736D9D">
        <w:rPr>
          <w:rFonts w:eastAsia="Times New Roman" w:cs="Times New Roman"/>
        </w:rPr>
        <w:t xml:space="preserve"> 2025 г.</w:t>
      </w:r>
    </w:p>
    <w:p w:rsidR="007344E0" w:rsidRPr="007344E0" w:rsidRDefault="007344E0" w:rsidP="007344E0">
      <w:pPr>
        <w:rPr>
          <w:rFonts w:eastAsia="Times New Roman" w:cs="Times New Roman"/>
        </w:rPr>
      </w:pPr>
      <w:r w:rsidRPr="007344E0">
        <w:rPr>
          <w:rFonts w:eastAsia="Times New Roman" w:cs="Times New Roman"/>
        </w:rPr>
        <w:t xml:space="preserve">Ефектът от увеличението на размерите на месечните помощи за отглеждане на дете с трайно увреждане по чл. 8д от Закона за семейни помощи за деца е в размер на 40,6 млн. лв. допълнителни разходи за 2024 г. </w:t>
      </w:r>
    </w:p>
    <w:p w:rsidR="007344E0" w:rsidRPr="007344E0" w:rsidRDefault="00E23CDF" w:rsidP="007344E0">
      <w:pPr>
        <w:rPr>
          <w:rFonts w:eastAsia="Times New Roman" w:cs="Times New Roman"/>
        </w:rPr>
      </w:pPr>
      <w:r>
        <w:rPr>
          <w:rFonts w:eastAsia="Times New Roman" w:cs="Times New Roman"/>
        </w:rPr>
        <w:t>Въведената през 2023 г.</w:t>
      </w:r>
      <w:r w:rsidR="007344E0" w:rsidRPr="007344E0">
        <w:rPr>
          <w:rFonts w:eastAsia="Times New Roman" w:cs="Times New Roman"/>
        </w:rPr>
        <w:t xml:space="preserve"> еднократна помощ за учениците от 2, 3 и 4 клас без доходен тест се прогнозира да доведе до допълнителни разходи от 23,4 млн. лв. през 2024 г. </w:t>
      </w:r>
    </w:p>
    <w:p w:rsidR="007344E0" w:rsidRPr="007344E0" w:rsidRDefault="007344E0" w:rsidP="007344E0">
      <w:pPr>
        <w:rPr>
          <w:rFonts w:eastAsia="Times New Roman" w:cs="Times New Roman"/>
        </w:rPr>
      </w:pPr>
      <w:r w:rsidRPr="007344E0">
        <w:rPr>
          <w:rFonts w:eastAsia="Times New Roman" w:cs="Times New Roman"/>
        </w:rPr>
        <w:t>Ефектът от увеличението на размерите на еднократните помощи при бременност по чл. 5а, ал. 1 и при раждане по чл. 6, ал. 1 от Закона за семейни помощи за деца е увеличение на разходите с 12</w:t>
      </w:r>
      <w:r w:rsidR="00736D9D">
        <w:rPr>
          <w:rFonts w:eastAsia="Times New Roman" w:cs="Times New Roman"/>
        </w:rPr>
        <w:t>,5</w:t>
      </w:r>
      <w:r w:rsidRPr="007344E0">
        <w:rPr>
          <w:rFonts w:eastAsia="Times New Roman" w:cs="Times New Roman"/>
        </w:rPr>
        <w:t xml:space="preserve"> млн. лв. през 2024 г. </w:t>
      </w:r>
    </w:p>
    <w:p w:rsidR="00E23CDF" w:rsidRPr="00E23CDF" w:rsidRDefault="00E23CDF" w:rsidP="00736D9D">
      <w:pPr>
        <w:rPr>
          <w:rFonts w:eastAsia="Times New Roman" w:cs="Times New Roman"/>
        </w:rPr>
      </w:pPr>
      <w:r w:rsidRPr="00E23CDF">
        <w:rPr>
          <w:rFonts w:eastAsia="Times New Roman" w:cs="Times New Roman"/>
        </w:rPr>
        <w:t>Изтичането на срока за предоставяне на временна закрила на разселените лица от Украйна, води до намаление на разходите за здравно осигуряване за сметка на държавния бюджет на тези лица с 9</w:t>
      </w:r>
      <w:r>
        <w:rPr>
          <w:rFonts w:eastAsia="Times New Roman" w:cs="Times New Roman"/>
        </w:rPr>
        <w:t>,0</w:t>
      </w:r>
      <w:r w:rsidRPr="00E23CDF">
        <w:rPr>
          <w:rFonts w:eastAsia="Times New Roman" w:cs="Times New Roman"/>
        </w:rPr>
        <w:t xml:space="preserve"> млн. лв. през прогнозния период.  </w:t>
      </w:r>
    </w:p>
    <w:p w:rsidR="00B87C27" w:rsidRPr="00B87C27" w:rsidRDefault="007344E0" w:rsidP="00736D9D">
      <w:pPr>
        <w:rPr>
          <w:rFonts w:eastAsia="Times New Roman" w:cs="Times New Roman"/>
        </w:rPr>
      </w:pPr>
      <w:r w:rsidRPr="007344E0">
        <w:rPr>
          <w:rFonts w:eastAsia="Times New Roman" w:cs="Times New Roman"/>
        </w:rPr>
        <w:t>Разходите по програмите за смекчаване на икономическите последици от нестабилността на цените на електрическата енергия и природния газ, стартирали през 2021 г. и достигнали най-високата си стойност през 2022 г. (в размер на 4 460,3 млн. лв.), намаляват с 3</w:t>
      </w:r>
      <w:r w:rsidR="005118ED">
        <w:rPr>
          <w:rFonts w:eastAsia="Times New Roman" w:cs="Times New Roman"/>
        </w:rPr>
        <w:t xml:space="preserve"> </w:t>
      </w:r>
      <w:r w:rsidRPr="007344E0">
        <w:rPr>
          <w:rFonts w:eastAsia="Times New Roman" w:cs="Times New Roman"/>
        </w:rPr>
        <w:t xml:space="preserve">477,5 млн. лв. до 982,8 млн. лв. през 2023 г. </w:t>
      </w:r>
      <w:r w:rsidR="00B87C27" w:rsidRPr="00B87C27">
        <w:rPr>
          <w:rFonts w:eastAsia="Times New Roman" w:cs="Times New Roman"/>
        </w:rPr>
        <w:t>Към настоящия момент действието на тези програми е до края на 2023 г., поради което  техният ефект е въведен със същата, но отрицателна стойност през 2024 г. В процес е изготвянето на оценки относно приходите и разходите при възобновяване действието на мерките и програмите в областта на енергетиката, поради което на този етап не са отразени в разчетите ефекти от подобен вид мерки и политики.</w:t>
      </w:r>
    </w:p>
    <w:p w:rsidR="00B60042" w:rsidRDefault="007C00B6" w:rsidP="00B60042">
      <w:pPr>
        <w:pStyle w:val="Caption"/>
        <w:spacing w:after="200"/>
      </w:pPr>
      <w:bookmarkStart w:id="227" w:name="_Toc117764450"/>
      <w:bookmarkStart w:id="228" w:name="_Toc150443422"/>
      <w:r w:rsidRPr="00006A45">
        <w:t xml:space="preserve">Табл. </w:t>
      </w:r>
      <w:fldSimple w:instr=" STYLEREF 1 \s ">
        <w:r w:rsidR="005A69ED">
          <w:rPr>
            <w:noProof/>
          </w:rPr>
          <w:t>II</w:t>
        </w:r>
      </w:fldSimple>
      <w:r w:rsidRPr="00006A45">
        <w:noBreakHyphen/>
      </w:r>
      <w:fldSimple w:instr=" SEQ Табл. \* ARABIC \s 1 ">
        <w:r w:rsidR="005A69ED">
          <w:rPr>
            <w:noProof/>
          </w:rPr>
          <w:t>8</w:t>
        </w:r>
      </w:fldSimple>
      <w:r w:rsidRPr="00006A45">
        <w:t>:</w:t>
      </w:r>
      <w:r w:rsidRPr="00006A45">
        <w:tab/>
        <w:t>Дискреционни разходни мерки на начислена основа, млн. лв.</w:t>
      </w:r>
      <w:bookmarkEnd w:id="227"/>
      <w:bookmarkEnd w:id="228"/>
    </w:p>
    <w:tbl>
      <w:tblPr>
        <w:tblW w:w="5000" w:type="pct"/>
        <w:tblCellMar>
          <w:left w:w="70" w:type="dxa"/>
          <w:right w:w="70" w:type="dxa"/>
        </w:tblCellMar>
        <w:tblLook w:val="04A0" w:firstRow="1" w:lastRow="0" w:firstColumn="1" w:lastColumn="0" w:noHBand="0" w:noVBand="1"/>
      </w:tblPr>
      <w:tblGrid>
        <w:gridCol w:w="6334"/>
        <w:gridCol w:w="912"/>
        <w:gridCol w:w="912"/>
        <w:gridCol w:w="912"/>
      </w:tblGrid>
      <w:tr w:rsidR="007344E0" w:rsidRPr="007344E0" w:rsidTr="008909F9">
        <w:trPr>
          <w:trHeight w:val="300"/>
        </w:trPr>
        <w:tc>
          <w:tcPr>
            <w:tcW w:w="3491" w:type="pct"/>
            <w:vMerge w:val="restart"/>
            <w:tcBorders>
              <w:top w:val="single" w:sz="4" w:space="0" w:color="595959"/>
              <w:left w:val="nil"/>
              <w:bottom w:val="single" w:sz="4" w:space="0" w:color="000000"/>
              <w:right w:val="nil"/>
            </w:tcBorders>
            <w:shd w:val="clear" w:color="000000" w:fill="D9D9D9"/>
            <w:vAlign w:val="center"/>
            <w:hideMark/>
          </w:tcPr>
          <w:p w:rsidR="007344E0" w:rsidRPr="007344E0" w:rsidRDefault="007344E0" w:rsidP="009E7E69">
            <w:pPr>
              <w:spacing w:after="0"/>
              <w:jc w:val="center"/>
              <w:rPr>
                <w:rFonts w:eastAsia="Times New Roman" w:cs="Times New Roman"/>
                <w:b/>
                <w:bCs/>
                <w:color w:val="000000"/>
                <w:sz w:val="20"/>
                <w:szCs w:val="20"/>
              </w:rPr>
            </w:pPr>
            <w:r w:rsidRPr="007344E0">
              <w:rPr>
                <w:rFonts w:eastAsia="Times New Roman" w:cs="Times New Roman"/>
                <w:b/>
                <w:bCs/>
                <w:color w:val="000000"/>
                <w:sz w:val="20"/>
                <w:szCs w:val="20"/>
              </w:rPr>
              <w:t xml:space="preserve">Разходни мерки - изменение спрямо предходна година,           </w:t>
            </w:r>
            <w:r w:rsidRPr="007344E0">
              <w:rPr>
                <w:rFonts w:eastAsia="Times New Roman" w:cs="Times New Roman"/>
                <w:b/>
                <w:bCs/>
                <w:color w:val="000000"/>
                <w:sz w:val="20"/>
                <w:szCs w:val="20"/>
              </w:rPr>
              <w:br/>
              <w:t>млн. лв.</w:t>
            </w:r>
          </w:p>
        </w:tc>
        <w:tc>
          <w:tcPr>
            <w:tcW w:w="503" w:type="pct"/>
            <w:vMerge w:val="restart"/>
            <w:tcBorders>
              <w:top w:val="single" w:sz="4" w:space="0" w:color="595959"/>
              <w:left w:val="nil"/>
              <w:bottom w:val="single" w:sz="4" w:space="0" w:color="000000"/>
              <w:right w:val="nil"/>
            </w:tcBorders>
            <w:shd w:val="clear" w:color="000000" w:fill="D9D9D9"/>
            <w:noWrap/>
            <w:vAlign w:val="center"/>
            <w:hideMark/>
          </w:tcPr>
          <w:p w:rsidR="007344E0" w:rsidRPr="007344E0" w:rsidRDefault="007344E0" w:rsidP="007344E0">
            <w:pPr>
              <w:spacing w:after="0"/>
              <w:jc w:val="right"/>
              <w:rPr>
                <w:rFonts w:eastAsia="Times New Roman" w:cs="Times New Roman"/>
                <w:b/>
                <w:bCs/>
                <w:color w:val="000000"/>
                <w:sz w:val="20"/>
                <w:szCs w:val="20"/>
              </w:rPr>
            </w:pPr>
            <w:r w:rsidRPr="007344E0">
              <w:rPr>
                <w:rFonts w:eastAsia="Times New Roman" w:cs="Times New Roman"/>
                <w:b/>
                <w:bCs/>
                <w:color w:val="000000"/>
                <w:sz w:val="20"/>
                <w:szCs w:val="20"/>
              </w:rPr>
              <w:t>2024 г.</w:t>
            </w:r>
          </w:p>
        </w:tc>
        <w:tc>
          <w:tcPr>
            <w:tcW w:w="503" w:type="pct"/>
            <w:vMerge w:val="restart"/>
            <w:tcBorders>
              <w:top w:val="single" w:sz="4" w:space="0" w:color="595959"/>
              <w:left w:val="nil"/>
              <w:bottom w:val="single" w:sz="4" w:space="0" w:color="000000"/>
              <w:right w:val="nil"/>
            </w:tcBorders>
            <w:shd w:val="clear" w:color="000000" w:fill="D9D9D9"/>
            <w:noWrap/>
            <w:vAlign w:val="center"/>
            <w:hideMark/>
          </w:tcPr>
          <w:p w:rsidR="007344E0" w:rsidRPr="007344E0" w:rsidRDefault="00E56A02" w:rsidP="00E56A02">
            <w:pPr>
              <w:spacing w:after="0"/>
              <w:jc w:val="center"/>
              <w:rPr>
                <w:rFonts w:eastAsia="Times New Roman" w:cs="Times New Roman"/>
                <w:b/>
                <w:bCs/>
                <w:color w:val="000000"/>
                <w:sz w:val="20"/>
                <w:szCs w:val="20"/>
              </w:rPr>
            </w:pPr>
            <w:r>
              <w:rPr>
                <w:rFonts w:eastAsia="Times New Roman" w:cs="Times New Roman"/>
                <w:b/>
                <w:bCs/>
                <w:color w:val="000000"/>
                <w:sz w:val="20"/>
                <w:szCs w:val="20"/>
              </w:rPr>
              <w:t xml:space="preserve"> </w:t>
            </w:r>
            <w:r w:rsidR="007344E0" w:rsidRPr="007344E0">
              <w:rPr>
                <w:rFonts w:eastAsia="Times New Roman" w:cs="Times New Roman"/>
                <w:b/>
                <w:bCs/>
                <w:color w:val="000000"/>
                <w:sz w:val="20"/>
                <w:szCs w:val="20"/>
              </w:rPr>
              <w:t>2025 г.</w:t>
            </w:r>
          </w:p>
        </w:tc>
        <w:tc>
          <w:tcPr>
            <w:tcW w:w="503" w:type="pct"/>
            <w:vMerge w:val="restart"/>
            <w:tcBorders>
              <w:top w:val="single" w:sz="4" w:space="0" w:color="595959"/>
              <w:left w:val="nil"/>
              <w:bottom w:val="single" w:sz="4" w:space="0" w:color="000000"/>
              <w:right w:val="nil"/>
            </w:tcBorders>
            <w:shd w:val="clear" w:color="000000" w:fill="D9D9D9"/>
            <w:noWrap/>
            <w:vAlign w:val="center"/>
            <w:hideMark/>
          </w:tcPr>
          <w:p w:rsidR="007344E0" w:rsidRPr="007344E0" w:rsidRDefault="007344E0" w:rsidP="007344E0">
            <w:pPr>
              <w:spacing w:after="0"/>
              <w:jc w:val="right"/>
              <w:rPr>
                <w:rFonts w:eastAsia="Times New Roman" w:cs="Times New Roman"/>
                <w:b/>
                <w:bCs/>
                <w:color w:val="000000"/>
                <w:sz w:val="20"/>
                <w:szCs w:val="20"/>
              </w:rPr>
            </w:pPr>
            <w:r w:rsidRPr="007344E0">
              <w:rPr>
                <w:rFonts w:eastAsia="Times New Roman" w:cs="Times New Roman"/>
                <w:b/>
                <w:bCs/>
                <w:color w:val="000000"/>
                <w:sz w:val="20"/>
                <w:szCs w:val="20"/>
              </w:rPr>
              <w:t>2026 г.</w:t>
            </w:r>
          </w:p>
        </w:tc>
      </w:tr>
      <w:tr w:rsidR="007344E0" w:rsidRPr="007344E0" w:rsidTr="008909F9">
        <w:trPr>
          <w:trHeight w:val="517"/>
        </w:trPr>
        <w:tc>
          <w:tcPr>
            <w:tcW w:w="3491" w:type="pct"/>
            <w:vMerge/>
            <w:tcBorders>
              <w:top w:val="single" w:sz="4" w:space="0" w:color="595959"/>
              <w:left w:val="nil"/>
              <w:bottom w:val="single" w:sz="4" w:space="0" w:color="000000"/>
              <w:right w:val="nil"/>
            </w:tcBorders>
            <w:vAlign w:val="center"/>
            <w:hideMark/>
          </w:tcPr>
          <w:p w:rsidR="007344E0" w:rsidRPr="007344E0" w:rsidRDefault="007344E0" w:rsidP="007344E0">
            <w:pPr>
              <w:spacing w:after="0"/>
              <w:jc w:val="left"/>
              <w:rPr>
                <w:rFonts w:eastAsia="Times New Roman" w:cs="Times New Roman"/>
                <w:b/>
                <w:bCs/>
                <w:color w:val="000000"/>
                <w:sz w:val="20"/>
                <w:szCs w:val="20"/>
              </w:rPr>
            </w:pPr>
          </w:p>
        </w:tc>
        <w:tc>
          <w:tcPr>
            <w:tcW w:w="503" w:type="pct"/>
            <w:vMerge/>
            <w:tcBorders>
              <w:top w:val="single" w:sz="4" w:space="0" w:color="595959"/>
              <w:left w:val="nil"/>
              <w:bottom w:val="single" w:sz="4" w:space="0" w:color="000000"/>
              <w:right w:val="nil"/>
            </w:tcBorders>
            <w:vAlign w:val="center"/>
            <w:hideMark/>
          </w:tcPr>
          <w:p w:rsidR="007344E0" w:rsidRPr="007344E0" w:rsidRDefault="007344E0" w:rsidP="007344E0">
            <w:pPr>
              <w:spacing w:after="0"/>
              <w:jc w:val="left"/>
              <w:rPr>
                <w:rFonts w:eastAsia="Times New Roman" w:cs="Times New Roman"/>
                <w:b/>
                <w:bCs/>
                <w:color w:val="000000"/>
                <w:sz w:val="20"/>
                <w:szCs w:val="20"/>
              </w:rPr>
            </w:pPr>
          </w:p>
        </w:tc>
        <w:tc>
          <w:tcPr>
            <w:tcW w:w="503" w:type="pct"/>
            <w:vMerge/>
            <w:tcBorders>
              <w:top w:val="single" w:sz="4" w:space="0" w:color="595959"/>
              <w:left w:val="nil"/>
              <w:bottom w:val="single" w:sz="4" w:space="0" w:color="000000"/>
              <w:right w:val="nil"/>
            </w:tcBorders>
            <w:vAlign w:val="center"/>
            <w:hideMark/>
          </w:tcPr>
          <w:p w:rsidR="007344E0" w:rsidRPr="007344E0" w:rsidRDefault="007344E0" w:rsidP="007344E0">
            <w:pPr>
              <w:spacing w:after="0"/>
              <w:jc w:val="left"/>
              <w:rPr>
                <w:rFonts w:eastAsia="Times New Roman" w:cs="Times New Roman"/>
                <w:b/>
                <w:bCs/>
                <w:color w:val="000000"/>
                <w:sz w:val="20"/>
                <w:szCs w:val="20"/>
              </w:rPr>
            </w:pPr>
          </w:p>
        </w:tc>
        <w:tc>
          <w:tcPr>
            <w:tcW w:w="503" w:type="pct"/>
            <w:vMerge/>
            <w:tcBorders>
              <w:top w:val="single" w:sz="4" w:space="0" w:color="595959"/>
              <w:left w:val="nil"/>
              <w:bottom w:val="single" w:sz="4" w:space="0" w:color="000000"/>
              <w:right w:val="nil"/>
            </w:tcBorders>
            <w:vAlign w:val="center"/>
            <w:hideMark/>
          </w:tcPr>
          <w:p w:rsidR="007344E0" w:rsidRPr="007344E0" w:rsidRDefault="007344E0" w:rsidP="007344E0">
            <w:pPr>
              <w:spacing w:after="0"/>
              <w:jc w:val="left"/>
              <w:rPr>
                <w:rFonts w:eastAsia="Times New Roman" w:cs="Times New Roman"/>
                <w:b/>
                <w:bCs/>
                <w:color w:val="000000"/>
                <w:sz w:val="20"/>
                <w:szCs w:val="20"/>
              </w:rPr>
            </w:pPr>
          </w:p>
        </w:tc>
      </w:tr>
      <w:tr w:rsidR="007344E0" w:rsidRPr="007344E0" w:rsidTr="008909F9">
        <w:trPr>
          <w:trHeight w:val="510"/>
        </w:trPr>
        <w:tc>
          <w:tcPr>
            <w:tcW w:w="3491" w:type="pct"/>
            <w:tcBorders>
              <w:top w:val="nil"/>
              <w:left w:val="nil"/>
              <w:bottom w:val="nil"/>
              <w:right w:val="nil"/>
            </w:tcBorders>
            <w:shd w:val="clear" w:color="auto" w:fill="auto"/>
            <w:vAlign w:val="center"/>
            <w:hideMark/>
          </w:tcPr>
          <w:p w:rsidR="007344E0" w:rsidRPr="007344E0" w:rsidRDefault="007344E0" w:rsidP="007344E0">
            <w:pPr>
              <w:spacing w:after="0"/>
              <w:jc w:val="left"/>
              <w:rPr>
                <w:rFonts w:eastAsia="Times New Roman" w:cs="Times New Roman"/>
                <w:sz w:val="20"/>
                <w:szCs w:val="20"/>
              </w:rPr>
            </w:pPr>
            <w:r w:rsidRPr="007344E0">
              <w:rPr>
                <w:rFonts w:eastAsia="Times New Roman" w:cs="Times New Roman"/>
                <w:sz w:val="20"/>
                <w:szCs w:val="20"/>
              </w:rPr>
              <w:t xml:space="preserve">Увеличение на размера на </w:t>
            </w:r>
            <w:r w:rsidR="00B65EF8">
              <w:rPr>
                <w:rFonts w:eastAsia="Times New Roman" w:cs="Times New Roman"/>
                <w:sz w:val="20"/>
                <w:szCs w:val="20"/>
              </w:rPr>
              <w:t>т. нар. „</w:t>
            </w:r>
            <w:r w:rsidRPr="007344E0">
              <w:rPr>
                <w:rFonts w:eastAsia="Times New Roman" w:cs="Times New Roman"/>
                <w:sz w:val="20"/>
                <w:szCs w:val="20"/>
              </w:rPr>
              <w:t>вдовишки добавки</w:t>
            </w:r>
            <w:r w:rsidR="00B65EF8">
              <w:rPr>
                <w:rFonts w:eastAsia="Times New Roman" w:cs="Times New Roman"/>
                <w:sz w:val="20"/>
                <w:szCs w:val="20"/>
              </w:rPr>
              <w:t>“</w:t>
            </w:r>
            <w:r w:rsidR="009A7F5D">
              <w:rPr>
                <w:rFonts w:eastAsia="Times New Roman" w:cs="Times New Roman"/>
                <w:sz w:val="20"/>
                <w:szCs w:val="20"/>
              </w:rPr>
              <w:t xml:space="preserve"> към пенсиите  - </w:t>
            </w:r>
            <w:r w:rsidRPr="007344E0">
              <w:rPr>
                <w:rFonts w:eastAsia="Times New Roman" w:cs="Times New Roman"/>
                <w:sz w:val="20"/>
                <w:szCs w:val="20"/>
              </w:rPr>
              <w:t>от 26,5% на 30% от пенсията на починалия съпруг (от 01.07.2024 г.)</w:t>
            </w:r>
          </w:p>
        </w:tc>
        <w:tc>
          <w:tcPr>
            <w:tcW w:w="503" w:type="pct"/>
            <w:tcBorders>
              <w:top w:val="nil"/>
              <w:left w:val="nil"/>
              <w:bottom w:val="nil"/>
              <w:right w:val="nil"/>
            </w:tcBorders>
            <w:shd w:val="clear" w:color="auto" w:fill="auto"/>
            <w:vAlign w:val="center"/>
            <w:hideMark/>
          </w:tcPr>
          <w:p w:rsidR="007344E0" w:rsidRPr="007344E0" w:rsidRDefault="007344E0" w:rsidP="007344E0">
            <w:pPr>
              <w:spacing w:after="0"/>
              <w:ind w:firstLineChars="100" w:firstLine="200"/>
              <w:jc w:val="right"/>
              <w:rPr>
                <w:rFonts w:eastAsia="Times New Roman" w:cs="Times New Roman"/>
                <w:sz w:val="20"/>
                <w:szCs w:val="20"/>
              </w:rPr>
            </w:pPr>
            <w:r w:rsidRPr="007344E0">
              <w:rPr>
                <w:rFonts w:eastAsia="Times New Roman" w:cs="Times New Roman"/>
                <w:sz w:val="20"/>
                <w:szCs w:val="20"/>
              </w:rPr>
              <w:t>104,8</w:t>
            </w:r>
          </w:p>
        </w:tc>
        <w:tc>
          <w:tcPr>
            <w:tcW w:w="503" w:type="pct"/>
            <w:tcBorders>
              <w:top w:val="nil"/>
              <w:left w:val="nil"/>
              <w:bottom w:val="nil"/>
              <w:right w:val="nil"/>
            </w:tcBorders>
            <w:shd w:val="clear" w:color="auto" w:fill="auto"/>
            <w:vAlign w:val="center"/>
            <w:hideMark/>
          </w:tcPr>
          <w:p w:rsidR="007344E0" w:rsidRPr="007344E0" w:rsidRDefault="007344E0" w:rsidP="00E56A02">
            <w:pPr>
              <w:spacing w:after="0"/>
              <w:jc w:val="right"/>
              <w:rPr>
                <w:rFonts w:eastAsia="Times New Roman" w:cs="Times New Roman"/>
                <w:sz w:val="20"/>
                <w:szCs w:val="20"/>
              </w:rPr>
            </w:pPr>
            <w:r w:rsidRPr="007344E0">
              <w:rPr>
                <w:rFonts w:eastAsia="Times New Roman" w:cs="Times New Roman"/>
                <w:sz w:val="20"/>
                <w:szCs w:val="20"/>
              </w:rPr>
              <w:t>104,8</w:t>
            </w:r>
          </w:p>
        </w:tc>
        <w:tc>
          <w:tcPr>
            <w:tcW w:w="503" w:type="pct"/>
            <w:tcBorders>
              <w:top w:val="nil"/>
              <w:left w:val="nil"/>
              <w:bottom w:val="nil"/>
              <w:right w:val="nil"/>
            </w:tcBorders>
            <w:shd w:val="clear" w:color="auto" w:fill="auto"/>
            <w:vAlign w:val="center"/>
            <w:hideMark/>
          </w:tcPr>
          <w:p w:rsidR="007344E0" w:rsidRPr="007344E0" w:rsidRDefault="007344E0" w:rsidP="007344E0">
            <w:pPr>
              <w:spacing w:after="0"/>
              <w:ind w:firstLineChars="100" w:firstLine="200"/>
              <w:jc w:val="right"/>
              <w:rPr>
                <w:rFonts w:eastAsia="Times New Roman" w:cs="Times New Roman"/>
                <w:sz w:val="20"/>
                <w:szCs w:val="20"/>
              </w:rPr>
            </w:pPr>
          </w:p>
        </w:tc>
      </w:tr>
      <w:tr w:rsidR="007344E0" w:rsidRPr="007344E0" w:rsidTr="008909F9">
        <w:trPr>
          <w:trHeight w:val="1020"/>
        </w:trPr>
        <w:tc>
          <w:tcPr>
            <w:tcW w:w="3491" w:type="pct"/>
            <w:tcBorders>
              <w:top w:val="nil"/>
              <w:left w:val="nil"/>
              <w:bottom w:val="nil"/>
              <w:right w:val="nil"/>
            </w:tcBorders>
            <w:shd w:val="clear" w:color="auto" w:fill="auto"/>
            <w:vAlign w:val="center"/>
            <w:hideMark/>
          </w:tcPr>
          <w:p w:rsidR="007344E0" w:rsidRPr="007344E0" w:rsidRDefault="007344E0" w:rsidP="007344E0">
            <w:pPr>
              <w:spacing w:after="0"/>
              <w:jc w:val="left"/>
              <w:rPr>
                <w:rFonts w:eastAsia="Times New Roman" w:cs="Times New Roman"/>
                <w:sz w:val="20"/>
                <w:szCs w:val="20"/>
              </w:rPr>
            </w:pPr>
            <w:r w:rsidRPr="007344E0">
              <w:rPr>
                <w:rFonts w:eastAsia="Times New Roman" w:cs="Times New Roman"/>
                <w:sz w:val="20"/>
                <w:szCs w:val="20"/>
              </w:rPr>
              <w:t>Увеличение на броя на новоотпуснатите пенсии при зачитането за действителен стаж на периодите на наборна или мирновременна алтернативна служба и на периодите на претърпя</w:t>
            </w:r>
            <w:r w:rsidR="009A7F5D">
              <w:rPr>
                <w:rFonts w:eastAsia="Times New Roman" w:cs="Times New Roman"/>
                <w:sz w:val="20"/>
                <w:szCs w:val="20"/>
              </w:rPr>
              <w:t xml:space="preserve">на репресия за право на пенсия </w:t>
            </w:r>
            <w:r w:rsidRPr="007344E0">
              <w:rPr>
                <w:rFonts w:eastAsia="Times New Roman" w:cs="Times New Roman"/>
                <w:sz w:val="20"/>
                <w:szCs w:val="20"/>
              </w:rPr>
              <w:t>(от 01.01.2023 г.)</w:t>
            </w:r>
          </w:p>
        </w:tc>
        <w:tc>
          <w:tcPr>
            <w:tcW w:w="503" w:type="pct"/>
            <w:tcBorders>
              <w:top w:val="nil"/>
              <w:left w:val="nil"/>
              <w:bottom w:val="nil"/>
              <w:right w:val="nil"/>
            </w:tcBorders>
            <w:shd w:val="clear" w:color="auto" w:fill="auto"/>
            <w:vAlign w:val="center"/>
            <w:hideMark/>
          </w:tcPr>
          <w:p w:rsidR="007344E0" w:rsidRPr="007344E0" w:rsidRDefault="007344E0" w:rsidP="007344E0">
            <w:pPr>
              <w:spacing w:after="0"/>
              <w:ind w:firstLineChars="100" w:firstLine="200"/>
              <w:jc w:val="right"/>
              <w:rPr>
                <w:rFonts w:eastAsia="Times New Roman" w:cs="Times New Roman"/>
                <w:sz w:val="20"/>
                <w:szCs w:val="20"/>
              </w:rPr>
            </w:pPr>
            <w:r w:rsidRPr="007344E0">
              <w:rPr>
                <w:rFonts w:eastAsia="Times New Roman" w:cs="Times New Roman"/>
                <w:sz w:val="20"/>
                <w:szCs w:val="20"/>
              </w:rPr>
              <w:t>85,0</w:t>
            </w:r>
          </w:p>
        </w:tc>
        <w:tc>
          <w:tcPr>
            <w:tcW w:w="503" w:type="pct"/>
            <w:tcBorders>
              <w:top w:val="nil"/>
              <w:left w:val="nil"/>
              <w:bottom w:val="nil"/>
              <w:right w:val="nil"/>
            </w:tcBorders>
            <w:shd w:val="clear" w:color="auto" w:fill="auto"/>
            <w:vAlign w:val="center"/>
            <w:hideMark/>
          </w:tcPr>
          <w:p w:rsidR="007344E0" w:rsidRPr="007344E0" w:rsidRDefault="007344E0" w:rsidP="00E56A02">
            <w:pPr>
              <w:spacing w:after="0"/>
              <w:jc w:val="right"/>
              <w:rPr>
                <w:rFonts w:eastAsia="Times New Roman" w:cs="Times New Roman"/>
                <w:sz w:val="20"/>
                <w:szCs w:val="20"/>
              </w:rPr>
            </w:pPr>
          </w:p>
        </w:tc>
        <w:tc>
          <w:tcPr>
            <w:tcW w:w="503" w:type="pct"/>
            <w:tcBorders>
              <w:top w:val="nil"/>
              <w:left w:val="nil"/>
              <w:bottom w:val="nil"/>
              <w:right w:val="nil"/>
            </w:tcBorders>
            <w:shd w:val="clear" w:color="auto" w:fill="auto"/>
            <w:vAlign w:val="center"/>
            <w:hideMark/>
          </w:tcPr>
          <w:p w:rsidR="007344E0" w:rsidRPr="007344E0" w:rsidRDefault="007344E0" w:rsidP="007344E0">
            <w:pPr>
              <w:spacing w:after="0"/>
              <w:ind w:firstLineChars="100" w:firstLine="200"/>
              <w:jc w:val="right"/>
              <w:rPr>
                <w:rFonts w:eastAsia="Times New Roman" w:cs="Times New Roman"/>
                <w:sz w:val="20"/>
                <w:szCs w:val="20"/>
              </w:rPr>
            </w:pPr>
          </w:p>
        </w:tc>
      </w:tr>
      <w:tr w:rsidR="007344E0" w:rsidRPr="007344E0" w:rsidTr="008909F9">
        <w:trPr>
          <w:trHeight w:val="510"/>
        </w:trPr>
        <w:tc>
          <w:tcPr>
            <w:tcW w:w="3491" w:type="pct"/>
            <w:tcBorders>
              <w:top w:val="nil"/>
              <w:left w:val="nil"/>
              <w:bottom w:val="nil"/>
              <w:right w:val="nil"/>
            </w:tcBorders>
            <w:shd w:val="clear" w:color="auto" w:fill="auto"/>
            <w:vAlign w:val="center"/>
            <w:hideMark/>
          </w:tcPr>
          <w:p w:rsidR="007344E0" w:rsidRPr="007344E0" w:rsidRDefault="007344E0" w:rsidP="000C0628">
            <w:pPr>
              <w:spacing w:after="0"/>
              <w:jc w:val="left"/>
              <w:rPr>
                <w:rFonts w:eastAsia="Times New Roman" w:cs="Times New Roman"/>
                <w:sz w:val="20"/>
                <w:szCs w:val="20"/>
              </w:rPr>
            </w:pPr>
            <w:r w:rsidRPr="007344E0">
              <w:rPr>
                <w:rFonts w:eastAsia="Times New Roman" w:cs="Times New Roman"/>
                <w:sz w:val="20"/>
                <w:szCs w:val="20"/>
              </w:rPr>
              <w:t xml:space="preserve">Увеличение на разходите за осигурителни вноски поради покачването на максималния осигурителен доход </w:t>
            </w:r>
          </w:p>
        </w:tc>
        <w:tc>
          <w:tcPr>
            <w:tcW w:w="503" w:type="pct"/>
            <w:tcBorders>
              <w:top w:val="nil"/>
              <w:left w:val="nil"/>
              <w:bottom w:val="nil"/>
              <w:right w:val="nil"/>
            </w:tcBorders>
            <w:shd w:val="clear" w:color="auto" w:fill="auto"/>
            <w:vAlign w:val="center"/>
            <w:hideMark/>
          </w:tcPr>
          <w:p w:rsidR="007344E0" w:rsidRPr="007344E0" w:rsidRDefault="007344E0" w:rsidP="007344E0">
            <w:pPr>
              <w:spacing w:after="0"/>
              <w:ind w:firstLineChars="100" w:firstLine="200"/>
              <w:jc w:val="right"/>
              <w:rPr>
                <w:rFonts w:eastAsia="Times New Roman" w:cs="Times New Roman"/>
                <w:sz w:val="20"/>
                <w:szCs w:val="20"/>
              </w:rPr>
            </w:pPr>
            <w:r w:rsidRPr="007344E0">
              <w:rPr>
                <w:rFonts w:eastAsia="Times New Roman" w:cs="Times New Roman"/>
                <w:sz w:val="20"/>
                <w:szCs w:val="20"/>
              </w:rPr>
              <w:t>35,9</w:t>
            </w:r>
          </w:p>
        </w:tc>
        <w:tc>
          <w:tcPr>
            <w:tcW w:w="503" w:type="pct"/>
            <w:tcBorders>
              <w:top w:val="nil"/>
              <w:left w:val="nil"/>
              <w:bottom w:val="nil"/>
              <w:right w:val="nil"/>
            </w:tcBorders>
            <w:shd w:val="clear" w:color="auto" w:fill="auto"/>
            <w:vAlign w:val="center"/>
            <w:hideMark/>
          </w:tcPr>
          <w:p w:rsidR="007344E0" w:rsidRPr="007344E0" w:rsidRDefault="007344E0" w:rsidP="00E56A02">
            <w:pPr>
              <w:spacing w:after="0"/>
              <w:ind w:firstLineChars="7" w:firstLine="14"/>
              <w:jc w:val="right"/>
              <w:rPr>
                <w:rFonts w:eastAsia="Times New Roman" w:cs="Times New Roman"/>
                <w:sz w:val="20"/>
                <w:szCs w:val="20"/>
              </w:rPr>
            </w:pPr>
            <w:r w:rsidRPr="007344E0">
              <w:rPr>
                <w:rFonts w:eastAsia="Times New Roman" w:cs="Times New Roman"/>
                <w:sz w:val="20"/>
                <w:szCs w:val="20"/>
              </w:rPr>
              <w:t>38,9</w:t>
            </w:r>
          </w:p>
        </w:tc>
        <w:tc>
          <w:tcPr>
            <w:tcW w:w="503" w:type="pct"/>
            <w:tcBorders>
              <w:top w:val="nil"/>
              <w:left w:val="nil"/>
              <w:bottom w:val="nil"/>
              <w:right w:val="nil"/>
            </w:tcBorders>
            <w:shd w:val="clear" w:color="auto" w:fill="auto"/>
            <w:vAlign w:val="center"/>
            <w:hideMark/>
          </w:tcPr>
          <w:p w:rsidR="007344E0" w:rsidRPr="007344E0" w:rsidRDefault="007344E0" w:rsidP="007344E0">
            <w:pPr>
              <w:spacing w:after="0"/>
              <w:ind w:firstLineChars="100" w:firstLine="200"/>
              <w:jc w:val="right"/>
              <w:rPr>
                <w:rFonts w:eastAsia="Times New Roman" w:cs="Times New Roman"/>
                <w:sz w:val="20"/>
                <w:szCs w:val="20"/>
              </w:rPr>
            </w:pPr>
            <w:r w:rsidRPr="007344E0">
              <w:rPr>
                <w:rFonts w:eastAsia="Times New Roman" w:cs="Times New Roman"/>
                <w:sz w:val="20"/>
                <w:szCs w:val="20"/>
              </w:rPr>
              <w:t>30,7</w:t>
            </w:r>
          </w:p>
        </w:tc>
      </w:tr>
      <w:tr w:rsidR="007344E0" w:rsidRPr="007344E0" w:rsidTr="008909F9">
        <w:trPr>
          <w:trHeight w:val="765"/>
        </w:trPr>
        <w:tc>
          <w:tcPr>
            <w:tcW w:w="3491" w:type="pct"/>
            <w:tcBorders>
              <w:top w:val="nil"/>
              <w:left w:val="nil"/>
              <w:bottom w:val="nil"/>
              <w:right w:val="nil"/>
            </w:tcBorders>
            <w:shd w:val="clear" w:color="auto" w:fill="auto"/>
            <w:vAlign w:val="center"/>
            <w:hideMark/>
          </w:tcPr>
          <w:p w:rsidR="007344E0" w:rsidRPr="007344E0" w:rsidRDefault="007344E0" w:rsidP="007344E0">
            <w:pPr>
              <w:spacing w:after="0"/>
              <w:jc w:val="left"/>
              <w:rPr>
                <w:rFonts w:eastAsia="Times New Roman" w:cs="Times New Roman"/>
                <w:sz w:val="20"/>
                <w:szCs w:val="20"/>
              </w:rPr>
            </w:pPr>
            <w:r w:rsidRPr="007344E0">
              <w:rPr>
                <w:rFonts w:eastAsia="Times New Roman" w:cs="Times New Roman"/>
                <w:sz w:val="20"/>
                <w:szCs w:val="20"/>
              </w:rPr>
              <w:t>Отпадане на задължението за осигурителите да изплащат обезщетение на осигурените лица за третия работен ден от временната неработоспособност (от 01.01.2024 г.)</w:t>
            </w:r>
          </w:p>
        </w:tc>
        <w:tc>
          <w:tcPr>
            <w:tcW w:w="503" w:type="pct"/>
            <w:tcBorders>
              <w:top w:val="nil"/>
              <w:left w:val="nil"/>
              <w:bottom w:val="nil"/>
              <w:right w:val="nil"/>
            </w:tcBorders>
            <w:shd w:val="clear" w:color="auto" w:fill="auto"/>
            <w:vAlign w:val="center"/>
            <w:hideMark/>
          </w:tcPr>
          <w:p w:rsidR="007344E0" w:rsidRPr="007344E0" w:rsidRDefault="007344E0" w:rsidP="007344E0">
            <w:pPr>
              <w:spacing w:after="0"/>
              <w:ind w:firstLineChars="100" w:firstLine="200"/>
              <w:jc w:val="right"/>
              <w:rPr>
                <w:rFonts w:eastAsia="Times New Roman" w:cs="Times New Roman"/>
                <w:sz w:val="20"/>
                <w:szCs w:val="20"/>
              </w:rPr>
            </w:pPr>
            <w:r w:rsidRPr="007344E0">
              <w:rPr>
                <w:rFonts w:eastAsia="Times New Roman" w:cs="Times New Roman"/>
                <w:sz w:val="20"/>
                <w:szCs w:val="20"/>
              </w:rPr>
              <w:t>77,0</w:t>
            </w:r>
          </w:p>
        </w:tc>
        <w:tc>
          <w:tcPr>
            <w:tcW w:w="503" w:type="pct"/>
            <w:tcBorders>
              <w:top w:val="nil"/>
              <w:left w:val="nil"/>
              <w:bottom w:val="nil"/>
              <w:right w:val="nil"/>
            </w:tcBorders>
            <w:shd w:val="clear" w:color="auto" w:fill="auto"/>
            <w:vAlign w:val="center"/>
            <w:hideMark/>
          </w:tcPr>
          <w:p w:rsidR="007344E0" w:rsidRPr="007344E0" w:rsidRDefault="007344E0" w:rsidP="00E56A02">
            <w:pPr>
              <w:spacing w:after="0"/>
              <w:jc w:val="right"/>
              <w:rPr>
                <w:rFonts w:eastAsia="Times New Roman" w:cs="Times New Roman"/>
                <w:sz w:val="20"/>
                <w:szCs w:val="20"/>
              </w:rPr>
            </w:pPr>
          </w:p>
        </w:tc>
        <w:tc>
          <w:tcPr>
            <w:tcW w:w="503" w:type="pct"/>
            <w:tcBorders>
              <w:top w:val="nil"/>
              <w:left w:val="nil"/>
              <w:bottom w:val="nil"/>
              <w:right w:val="nil"/>
            </w:tcBorders>
            <w:shd w:val="clear" w:color="auto" w:fill="auto"/>
            <w:vAlign w:val="center"/>
            <w:hideMark/>
          </w:tcPr>
          <w:p w:rsidR="007344E0" w:rsidRPr="007344E0" w:rsidRDefault="007344E0" w:rsidP="007344E0">
            <w:pPr>
              <w:spacing w:after="0"/>
              <w:ind w:firstLineChars="100" w:firstLine="200"/>
              <w:jc w:val="right"/>
              <w:rPr>
                <w:rFonts w:eastAsia="Times New Roman" w:cs="Times New Roman"/>
                <w:sz w:val="20"/>
                <w:szCs w:val="20"/>
              </w:rPr>
            </w:pPr>
          </w:p>
        </w:tc>
      </w:tr>
      <w:tr w:rsidR="007344E0" w:rsidRPr="007344E0" w:rsidTr="0078504B">
        <w:trPr>
          <w:trHeight w:val="319"/>
        </w:trPr>
        <w:tc>
          <w:tcPr>
            <w:tcW w:w="3491" w:type="pct"/>
            <w:tcBorders>
              <w:top w:val="nil"/>
              <w:left w:val="nil"/>
              <w:bottom w:val="nil"/>
              <w:right w:val="nil"/>
            </w:tcBorders>
            <w:shd w:val="clear" w:color="auto" w:fill="auto"/>
            <w:vAlign w:val="center"/>
            <w:hideMark/>
          </w:tcPr>
          <w:p w:rsidR="007344E0" w:rsidRPr="007344E0" w:rsidRDefault="007344E0" w:rsidP="007344E0">
            <w:pPr>
              <w:spacing w:after="0"/>
              <w:jc w:val="left"/>
              <w:rPr>
                <w:rFonts w:eastAsia="Times New Roman" w:cs="Times New Roman"/>
                <w:sz w:val="20"/>
                <w:szCs w:val="20"/>
              </w:rPr>
            </w:pPr>
            <w:r w:rsidRPr="007344E0">
              <w:rPr>
                <w:rFonts w:eastAsia="Times New Roman" w:cs="Times New Roman"/>
                <w:sz w:val="20"/>
                <w:szCs w:val="20"/>
              </w:rPr>
              <w:t>Разходи</w:t>
            </w:r>
            <w:r w:rsidR="009A7F5D">
              <w:rPr>
                <w:rFonts w:eastAsia="Times New Roman" w:cs="Times New Roman"/>
                <w:sz w:val="20"/>
                <w:szCs w:val="20"/>
              </w:rPr>
              <w:t xml:space="preserve"> за опериране на ТОЛ системата</w:t>
            </w:r>
          </w:p>
        </w:tc>
        <w:tc>
          <w:tcPr>
            <w:tcW w:w="503" w:type="pct"/>
            <w:tcBorders>
              <w:top w:val="nil"/>
              <w:left w:val="nil"/>
              <w:bottom w:val="nil"/>
              <w:right w:val="nil"/>
            </w:tcBorders>
            <w:shd w:val="clear" w:color="auto" w:fill="auto"/>
            <w:vAlign w:val="center"/>
            <w:hideMark/>
          </w:tcPr>
          <w:p w:rsidR="007344E0" w:rsidRPr="007344E0" w:rsidRDefault="00854A38" w:rsidP="007344E0">
            <w:pPr>
              <w:spacing w:after="0"/>
              <w:ind w:firstLineChars="100" w:firstLine="200"/>
              <w:jc w:val="right"/>
              <w:rPr>
                <w:rFonts w:eastAsia="Times New Roman" w:cs="Times New Roman"/>
                <w:sz w:val="20"/>
                <w:szCs w:val="20"/>
              </w:rPr>
            </w:pPr>
            <w:r>
              <w:rPr>
                <w:rFonts w:eastAsia="Times New Roman" w:cs="Times New Roman"/>
                <w:sz w:val="20"/>
                <w:szCs w:val="20"/>
              </w:rPr>
              <w:t>23,2</w:t>
            </w:r>
          </w:p>
        </w:tc>
        <w:tc>
          <w:tcPr>
            <w:tcW w:w="503" w:type="pct"/>
            <w:tcBorders>
              <w:top w:val="nil"/>
              <w:left w:val="nil"/>
              <w:bottom w:val="nil"/>
              <w:right w:val="nil"/>
            </w:tcBorders>
            <w:shd w:val="clear" w:color="auto" w:fill="auto"/>
            <w:vAlign w:val="center"/>
            <w:hideMark/>
          </w:tcPr>
          <w:p w:rsidR="007344E0" w:rsidRPr="007344E0" w:rsidRDefault="00854A38" w:rsidP="00E56A02">
            <w:pPr>
              <w:spacing w:after="0"/>
              <w:jc w:val="right"/>
              <w:rPr>
                <w:rFonts w:eastAsia="Times New Roman" w:cs="Times New Roman"/>
                <w:sz w:val="20"/>
                <w:szCs w:val="20"/>
              </w:rPr>
            </w:pPr>
            <w:r>
              <w:rPr>
                <w:rFonts w:eastAsia="Times New Roman" w:cs="Times New Roman"/>
                <w:sz w:val="20"/>
                <w:szCs w:val="20"/>
              </w:rPr>
              <w:t>43,0</w:t>
            </w:r>
          </w:p>
        </w:tc>
        <w:tc>
          <w:tcPr>
            <w:tcW w:w="503" w:type="pct"/>
            <w:tcBorders>
              <w:top w:val="nil"/>
              <w:left w:val="nil"/>
              <w:bottom w:val="nil"/>
              <w:right w:val="nil"/>
            </w:tcBorders>
            <w:shd w:val="clear" w:color="auto" w:fill="auto"/>
            <w:vAlign w:val="center"/>
            <w:hideMark/>
          </w:tcPr>
          <w:p w:rsidR="007344E0" w:rsidRPr="007344E0" w:rsidRDefault="007344E0" w:rsidP="007344E0">
            <w:pPr>
              <w:spacing w:after="0"/>
              <w:ind w:firstLineChars="100" w:firstLine="200"/>
              <w:jc w:val="right"/>
              <w:rPr>
                <w:rFonts w:eastAsia="Times New Roman" w:cs="Times New Roman"/>
                <w:sz w:val="20"/>
                <w:szCs w:val="20"/>
              </w:rPr>
            </w:pPr>
          </w:p>
        </w:tc>
      </w:tr>
      <w:tr w:rsidR="007344E0" w:rsidRPr="007344E0" w:rsidTr="008909F9">
        <w:trPr>
          <w:trHeight w:val="510"/>
        </w:trPr>
        <w:tc>
          <w:tcPr>
            <w:tcW w:w="3491" w:type="pct"/>
            <w:tcBorders>
              <w:top w:val="nil"/>
              <w:left w:val="nil"/>
              <w:bottom w:val="nil"/>
              <w:right w:val="nil"/>
            </w:tcBorders>
            <w:shd w:val="clear" w:color="auto" w:fill="auto"/>
            <w:vAlign w:val="center"/>
            <w:hideMark/>
          </w:tcPr>
          <w:p w:rsidR="007344E0" w:rsidRPr="007344E0" w:rsidRDefault="007344E0" w:rsidP="007344E0">
            <w:pPr>
              <w:spacing w:after="0"/>
              <w:jc w:val="left"/>
              <w:rPr>
                <w:rFonts w:eastAsia="Times New Roman" w:cs="Times New Roman"/>
                <w:sz w:val="20"/>
                <w:szCs w:val="20"/>
              </w:rPr>
            </w:pPr>
            <w:r w:rsidRPr="007344E0">
              <w:rPr>
                <w:rFonts w:eastAsia="Times New Roman" w:cs="Times New Roman"/>
                <w:sz w:val="20"/>
                <w:szCs w:val="20"/>
              </w:rPr>
              <w:t xml:space="preserve">Ефект от увеличение на размерите на месечните помощи за отглеждане на дете с трайно увреждане </w:t>
            </w:r>
          </w:p>
        </w:tc>
        <w:tc>
          <w:tcPr>
            <w:tcW w:w="503" w:type="pct"/>
            <w:tcBorders>
              <w:top w:val="nil"/>
              <w:left w:val="nil"/>
              <w:bottom w:val="nil"/>
              <w:right w:val="nil"/>
            </w:tcBorders>
            <w:shd w:val="clear" w:color="auto" w:fill="auto"/>
            <w:vAlign w:val="center"/>
            <w:hideMark/>
          </w:tcPr>
          <w:p w:rsidR="007344E0" w:rsidRPr="007344E0" w:rsidRDefault="007344E0" w:rsidP="007344E0">
            <w:pPr>
              <w:spacing w:after="0"/>
              <w:ind w:firstLineChars="100" w:firstLine="200"/>
              <w:jc w:val="right"/>
              <w:rPr>
                <w:rFonts w:eastAsia="Times New Roman" w:cs="Times New Roman"/>
                <w:sz w:val="20"/>
                <w:szCs w:val="20"/>
              </w:rPr>
            </w:pPr>
            <w:r w:rsidRPr="007344E0">
              <w:rPr>
                <w:rFonts w:eastAsia="Times New Roman" w:cs="Times New Roman"/>
                <w:sz w:val="20"/>
                <w:szCs w:val="20"/>
              </w:rPr>
              <w:t>40,6</w:t>
            </w:r>
          </w:p>
        </w:tc>
        <w:tc>
          <w:tcPr>
            <w:tcW w:w="503" w:type="pct"/>
            <w:tcBorders>
              <w:top w:val="nil"/>
              <w:left w:val="nil"/>
              <w:bottom w:val="nil"/>
              <w:right w:val="nil"/>
            </w:tcBorders>
            <w:shd w:val="clear" w:color="auto" w:fill="auto"/>
            <w:vAlign w:val="center"/>
            <w:hideMark/>
          </w:tcPr>
          <w:p w:rsidR="007344E0" w:rsidRPr="007344E0" w:rsidRDefault="007344E0" w:rsidP="00E56A02">
            <w:pPr>
              <w:spacing w:after="0"/>
              <w:ind w:firstLineChars="7" w:firstLine="14"/>
              <w:jc w:val="right"/>
              <w:rPr>
                <w:rFonts w:eastAsia="Times New Roman" w:cs="Times New Roman"/>
                <w:sz w:val="20"/>
                <w:szCs w:val="20"/>
              </w:rPr>
            </w:pPr>
          </w:p>
        </w:tc>
        <w:tc>
          <w:tcPr>
            <w:tcW w:w="503" w:type="pct"/>
            <w:tcBorders>
              <w:top w:val="nil"/>
              <w:left w:val="nil"/>
              <w:bottom w:val="nil"/>
              <w:right w:val="nil"/>
            </w:tcBorders>
            <w:shd w:val="clear" w:color="auto" w:fill="auto"/>
            <w:vAlign w:val="center"/>
            <w:hideMark/>
          </w:tcPr>
          <w:p w:rsidR="007344E0" w:rsidRPr="007344E0" w:rsidRDefault="007344E0" w:rsidP="007344E0">
            <w:pPr>
              <w:spacing w:after="0"/>
              <w:ind w:firstLineChars="100" w:firstLine="200"/>
              <w:jc w:val="right"/>
              <w:rPr>
                <w:rFonts w:eastAsia="Times New Roman" w:cs="Times New Roman"/>
                <w:sz w:val="20"/>
                <w:szCs w:val="20"/>
              </w:rPr>
            </w:pPr>
          </w:p>
        </w:tc>
      </w:tr>
      <w:tr w:rsidR="007344E0" w:rsidRPr="007344E0" w:rsidTr="008909F9">
        <w:trPr>
          <w:trHeight w:val="510"/>
        </w:trPr>
        <w:tc>
          <w:tcPr>
            <w:tcW w:w="3491" w:type="pct"/>
            <w:tcBorders>
              <w:top w:val="nil"/>
              <w:left w:val="nil"/>
              <w:bottom w:val="nil"/>
              <w:right w:val="nil"/>
            </w:tcBorders>
            <w:shd w:val="clear" w:color="auto" w:fill="auto"/>
            <w:vAlign w:val="center"/>
            <w:hideMark/>
          </w:tcPr>
          <w:p w:rsidR="007344E0" w:rsidRPr="007344E0" w:rsidRDefault="007344E0" w:rsidP="007344E0">
            <w:pPr>
              <w:spacing w:after="0"/>
              <w:jc w:val="left"/>
              <w:rPr>
                <w:rFonts w:eastAsia="Times New Roman" w:cs="Times New Roman"/>
                <w:sz w:val="20"/>
                <w:szCs w:val="20"/>
              </w:rPr>
            </w:pPr>
            <w:r w:rsidRPr="007344E0">
              <w:rPr>
                <w:rFonts w:eastAsia="Times New Roman" w:cs="Times New Roman"/>
                <w:sz w:val="20"/>
                <w:szCs w:val="20"/>
              </w:rPr>
              <w:t>Ефект от промени по ЗСПД във връзка с въведена еднократна помощ за учениците от</w:t>
            </w:r>
            <w:r w:rsidR="009A7F5D">
              <w:rPr>
                <w:rFonts w:eastAsia="Times New Roman" w:cs="Times New Roman"/>
                <w:sz w:val="20"/>
                <w:szCs w:val="20"/>
              </w:rPr>
              <w:t xml:space="preserve"> 2,3 и 4 клас без доходен тест</w:t>
            </w:r>
            <w:r w:rsidRPr="007344E0">
              <w:rPr>
                <w:rFonts w:eastAsia="Times New Roman" w:cs="Times New Roman"/>
                <w:sz w:val="20"/>
                <w:szCs w:val="20"/>
              </w:rPr>
              <w:t xml:space="preserve">                        </w:t>
            </w:r>
          </w:p>
        </w:tc>
        <w:tc>
          <w:tcPr>
            <w:tcW w:w="503" w:type="pct"/>
            <w:tcBorders>
              <w:top w:val="nil"/>
              <w:left w:val="nil"/>
              <w:bottom w:val="nil"/>
              <w:right w:val="nil"/>
            </w:tcBorders>
            <w:shd w:val="clear" w:color="auto" w:fill="auto"/>
            <w:vAlign w:val="center"/>
            <w:hideMark/>
          </w:tcPr>
          <w:p w:rsidR="007344E0" w:rsidRPr="007344E0" w:rsidRDefault="007344E0" w:rsidP="007344E0">
            <w:pPr>
              <w:spacing w:after="0"/>
              <w:ind w:firstLineChars="100" w:firstLine="200"/>
              <w:jc w:val="right"/>
              <w:rPr>
                <w:rFonts w:eastAsia="Times New Roman" w:cs="Times New Roman"/>
                <w:sz w:val="20"/>
                <w:szCs w:val="20"/>
              </w:rPr>
            </w:pPr>
            <w:r w:rsidRPr="007344E0">
              <w:rPr>
                <w:rFonts w:eastAsia="Times New Roman" w:cs="Times New Roman"/>
                <w:sz w:val="20"/>
                <w:szCs w:val="20"/>
              </w:rPr>
              <w:t>23,4</w:t>
            </w:r>
          </w:p>
        </w:tc>
        <w:tc>
          <w:tcPr>
            <w:tcW w:w="503" w:type="pct"/>
            <w:tcBorders>
              <w:top w:val="nil"/>
              <w:left w:val="nil"/>
              <w:bottom w:val="nil"/>
              <w:right w:val="nil"/>
            </w:tcBorders>
            <w:shd w:val="clear" w:color="auto" w:fill="auto"/>
            <w:vAlign w:val="center"/>
            <w:hideMark/>
          </w:tcPr>
          <w:p w:rsidR="007344E0" w:rsidRPr="007344E0" w:rsidRDefault="007344E0" w:rsidP="00E56A02">
            <w:pPr>
              <w:spacing w:after="0"/>
              <w:jc w:val="right"/>
              <w:rPr>
                <w:rFonts w:eastAsia="Times New Roman" w:cs="Times New Roman"/>
                <w:sz w:val="20"/>
                <w:szCs w:val="20"/>
              </w:rPr>
            </w:pPr>
          </w:p>
        </w:tc>
        <w:tc>
          <w:tcPr>
            <w:tcW w:w="503" w:type="pct"/>
            <w:tcBorders>
              <w:top w:val="nil"/>
              <w:left w:val="nil"/>
              <w:bottom w:val="nil"/>
              <w:right w:val="nil"/>
            </w:tcBorders>
            <w:shd w:val="clear" w:color="auto" w:fill="auto"/>
            <w:vAlign w:val="center"/>
            <w:hideMark/>
          </w:tcPr>
          <w:p w:rsidR="007344E0" w:rsidRPr="007344E0" w:rsidRDefault="007344E0" w:rsidP="007344E0">
            <w:pPr>
              <w:spacing w:after="0"/>
              <w:ind w:firstLineChars="100" w:firstLine="200"/>
              <w:jc w:val="right"/>
              <w:rPr>
                <w:rFonts w:eastAsia="Times New Roman" w:cs="Times New Roman"/>
                <w:sz w:val="20"/>
                <w:szCs w:val="20"/>
              </w:rPr>
            </w:pPr>
          </w:p>
        </w:tc>
      </w:tr>
      <w:tr w:rsidR="007344E0" w:rsidRPr="007344E0" w:rsidTr="008909F9">
        <w:trPr>
          <w:trHeight w:val="510"/>
        </w:trPr>
        <w:tc>
          <w:tcPr>
            <w:tcW w:w="3491" w:type="pct"/>
            <w:tcBorders>
              <w:top w:val="nil"/>
              <w:left w:val="nil"/>
              <w:bottom w:val="nil"/>
              <w:right w:val="nil"/>
            </w:tcBorders>
            <w:shd w:val="clear" w:color="auto" w:fill="auto"/>
            <w:vAlign w:val="center"/>
            <w:hideMark/>
          </w:tcPr>
          <w:p w:rsidR="007344E0" w:rsidRPr="007344E0" w:rsidRDefault="007344E0" w:rsidP="007344E0">
            <w:pPr>
              <w:spacing w:after="0"/>
              <w:jc w:val="left"/>
              <w:rPr>
                <w:rFonts w:eastAsia="Times New Roman" w:cs="Times New Roman"/>
                <w:sz w:val="20"/>
                <w:szCs w:val="20"/>
              </w:rPr>
            </w:pPr>
            <w:r w:rsidRPr="007344E0">
              <w:rPr>
                <w:rFonts w:eastAsia="Times New Roman" w:cs="Times New Roman"/>
                <w:sz w:val="20"/>
                <w:szCs w:val="20"/>
              </w:rPr>
              <w:t>Ефект от увеличение на размерите на еднократните помощи при бременност и при раждане</w:t>
            </w:r>
          </w:p>
        </w:tc>
        <w:tc>
          <w:tcPr>
            <w:tcW w:w="503" w:type="pct"/>
            <w:tcBorders>
              <w:top w:val="nil"/>
              <w:left w:val="nil"/>
              <w:bottom w:val="nil"/>
              <w:right w:val="nil"/>
            </w:tcBorders>
            <w:shd w:val="clear" w:color="auto" w:fill="auto"/>
            <w:vAlign w:val="center"/>
            <w:hideMark/>
          </w:tcPr>
          <w:p w:rsidR="007344E0" w:rsidRPr="007344E0" w:rsidRDefault="007344E0" w:rsidP="007344E0">
            <w:pPr>
              <w:spacing w:after="0"/>
              <w:ind w:firstLineChars="100" w:firstLine="200"/>
              <w:jc w:val="right"/>
              <w:rPr>
                <w:rFonts w:eastAsia="Times New Roman" w:cs="Times New Roman"/>
                <w:sz w:val="20"/>
                <w:szCs w:val="20"/>
              </w:rPr>
            </w:pPr>
            <w:r w:rsidRPr="007344E0">
              <w:rPr>
                <w:rFonts w:eastAsia="Times New Roman" w:cs="Times New Roman"/>
                <w:sz w:val="20"/>
                <w:szCs w:val="20"/>
              </w:rPr>
              <w:t>12,</w:t>
            </w:r>
            <w:r w:rsidR="00736D9D">
              <w:rPr>
                <w:rFonts w:eastAsia="Times New Roman" w:cs="Times New Roman"/>
                <w:sz w:val="20"/>
                <w:szCs w:val="20"/>
              </w:rPr>
              <w:t>5</w:t>
            </w:r>
          </w:p>
        </w:tc>
        <w:tc>
          <w:tcPr>
            <w:tcW w:w="503" w:type="pct"/>
            <w:tcBorders>
              <w:top w:val="nil"/>
              <w:left w:val="nil"/>
              <w:bottom w:val="nil"/>
              <w:right w:val="nil"/>
            </w:tcBorders>
            <w:shd w:val="clear" w:color="auto" w:fill="auto"/>
            <w:vAlign w:val="center"/>
            <w:hideMark/>
          </w:tcPr>
          <w:p w:rsidR="007344E0" w:rsidRPr="007344E0" w:rsidRDefault="007344E0" w:rsidP="00E56A02">
            <w:pPr>
              <w:spacing w:after="0"/>
              <w:ind w:leftChars="-31" w:hangingChars="37" w:hanging="74"/>
              <w:jc w:val="right"/>
              <w:rPr>
                <w:rFonts w:eastAsia="Times New Roman" w:cs="Times New Roman"/>
                <w:sz w:val="20"/>
                <w:szCs w:val="20"/>
              </w:rPr>
            </w:pPr>
          </w:p>
        </w:tc>
        <w:tc>
          <w:tcPr>
            <w:tcW w:w="503" w:type="pct"/>
            <w:tcBorders>
              <w:top w:val="nil"/>
              <w:left w:val="nil"/>
              <w:bottom w:val="nil"/>
              <w:right w:val="nil"/>
            </w:tcBorders>
            <w:shd w:val="clear" w:color="auto" w:fill="auto"/>
            <w:vAlign w:val="center"/>
            <w:hideMark/>
          </w:tcPr>
          <w:p w:rsidR="007344E0" w:rsidRPr="007344E0" w:rsidRDefault="007344E0" w:rsidP="007344E0">
            <w:pPr>
              <w:spacing w:after="0"/>
              <w:ind w:firstLineChars="100" w:firstLine="200"/>
              <w:jc w:val="right"/>
              <w:rPr>
                <w:rFonts w:eastAsia="Times New Roman" w:cs="Times New Roman"/>
                <w:sz w:val="20"/>
                <w:szCs w:val="20"/>
              </w:rPr>
            </w:pPr>
          </w:p>
        </w:tc>
      </w:tr>
      <w:tr w:rsidR="007344E0" w:rsidRPr="007344E0" w:rsidTr="008909F9">
        <w:trPr>
          <w:trHeight w:val="765"/>
        </w:trPr>
        <w:tc>
          <w:tcPr>
            <w:tcW w:w="3491" w:type="pct"/>
            <w:tcBorders>
              <w:top w:val="nil"/>
              <w:left w:val="nil"/>
              <w:bottom w:val="nil"/>
              <w:right w:val="nil"/>
            </w:tcBorders>
            <w:shd w:val="clear" w:color="auto" w:fill="auto"/>
            <w:vAlign w:val="center"/>
            <w:hideMark/>
          </w:tcPr>
          <w:p w:rsidR="007344E0" w:rsidRPr="007344E0" w:rsidRDefault="007344E0" w:rsidP="007344E0">
            <w:pPr>
              <w:spacing w:after="0"/>
              <w:jc w:val="left"/>
              <w:rPr>
                <w:rFonts w:eastAsia="Times New Roman" w:cs="Times New Roman"/>
                <w:sz w:val="20"/>
                <w:szCs w:val="20"/>
              </w:rPr>
            </w:pPr>
            <w:r w:rsidRPr="007344E0">
              <w:rPr>
                <w:rFonts w:eastAsia="Times New Roman" w:cs="Times New Roman"/>
                <w:sz w:val="20"/>
                <w:szCs w:val="20"/>
              </w:rPr>
              <w:t>Увеличаване на размера на паричното обезщетение за отглеждане на малко дете до 2-годишна възраст от 650 лв. на 710 лв. (01.04.2022 г.) и от 710 на 780 лв. (от 01.01.2023 г.)</w:t>
            </w:r>
          </w:p>
        </w:tc>
        <w:tc>
          <w:tcPr>
            <w:tcW w:w="503" w:type="pct"/>
            <w:tcBorders>
              <w:top w:val="nil"/>
              <w:left w:val="nil"/>
              <w:bottom w:val="nil"/>
              <w:right w:val="nil"/>
            </w:tcBorders>
            <w:shd w:val="clear" w:color="auto" w:fill="auto"/>
            <w:vAlign w:val="center"/>
            <w:hideMark/>
          </w:tcPr>
          <w:p w:rsidR="007344E0" w:rsidRPr="007344E0" w:rsidRDefault="007344E0" w:rsidP="007344E0">
            <w:pPr>
              <w:spacing w:after="0"/>
              <w:ind w:firstLineChars="100" w:firstLine="200"/>
              <w:jc w:val="right"/>
              <w:rPr>
                <w:rFonts w:eastAsia="Times New Roman" w:cs="Times New Roman"/>
                <w:sz w:val="20"/>
                <w:szCs w:val="20"/>
              </w:rPr>
            </w:pPr>
            <w:r w:rsidRPr="007344E0">
              <w:rPr>
                <w:rFonts w:eastAsia="Times New Roman" w:cs="Times New Roman"/>
                <w:sz w:val="20"/>
                <w:szCs w:val="20"/>
              </w:rPr>
              <w:t>0,1</w:t>
            </w:r>
          </w:p>
        </w:tc>
        <w:tc>
          <w:tcPr>
            <w:tcW w:w="503" w:type="pct"/>
            <w:tcBorders>
              <w:top w:val="nil"/>
              <w:left w:val="nil"/>
              <w:bottom w:val="nil"/>
              <w:right w:val="nil"/>
            </w:tcBorders>
            <w:shd w:val="clear" w:color="auto" w:fill="auto"/>
            <w:vAlign w:val="center"/>
            <w:hideMark/>
          </w:tcPr>
          <w:p w:rsidR="007344E0" w:rsidRPr="007344E0" w:rsidRDefault="007344E0" w:rsidP="00E56A02">
            <w:pPr>
              <w:spacing w:after="0"/>
              <w:jc w:val="right"/>
              <w:rPr>
                <w:rFonts w:eastAsia="Times New Roman" w:cs="Times New Roman"/>
                <w:sz w:val="20"/>
                <w:szCs w:val="20"/>
              </w:rPr>
            </w:pPr>
          </w:p>
        </w:tc>
        <w:tc>
          <w:tcPr>
            <w:tcW w:w="503" w:type="pct"/>
            <w:tcBorders>
              <w:top w:val="nil"/>
              <w:left w:val="nil"/>
              <w:bottom w:val="nil"/>
              <w:right w:val="nil"/>
            </w:tcBorders>
            <w:shd w:val="clear" w:color="auto" w:fill="auto"/>
            <w:vAlign w:val="center"/>
            <w:hideMark/>
          </w:tcPr>
          <w:p w:rsidR="007344E0" w:rsidRPr="007344E0" w:rsidRDefault="007344E0" w:rsidP="007344E0">
            <w:pPr>
              <w:spacing w:after="0"/>
              <w:ind w:firstLineChars="100" w:firstLine="200"/>
              <w:jc w:val="right"/>
              <w:rPr>
                <w:rFonts w:eastAsia="Times New Roman" w:cs="Times New Roman"/>
                <w:sz w:val="20"/>
                <w:szCs w:val="20"/>
              </w:rPr>
            </w:pPr>
          </w:p>
        </w:tc>
      </w:tr>
      <w:tr w:rsidR="007344E0" w:rsidRPr="007344E0" w:rsidTr="008909F9">
        <w:trPr>
          <w:trHeight w:val="510"/>
        </w:trPr>
        <w:tc>
          <w:tcPr>
            <w:tcW w:w="3491" w:type="pct"/>
            <w:tcBorders>
              <w:top w:val="nil"/>
              <w:left w:val="nil"/>
              <w:bottom w:val="nil"/>
              <w:right w:val="nil"/>
            </w:tcBorders>
            <w:shd w:val="clear" w:color="auto" w:fill="auto"/>
            <w:vAlign w:val="center"/>
            <w:hideMark/>
          </w:tcPr>
          <w:p w:rsidR="007344E0" w:rsidRPr="00665E9C" w:rsidRDefault="007344E0" w:rsidP="007344E0">
            <w:pPr>
              <w:spacing w:after="0"/>
              <w:jc w:val="left"/>
              <w:rPr>
                <w:rFonts w:eastAsia="Times New Roman" w:cs="Times New Roman"/>
                <w:sz w:val="20"/>
                <w:szCs w:val="20"/>
              </w:rPr>
            </w:pPr>
            <w:r w:rsidRPr="00665E9C">
              <w:rPr>
                <w:rFonts w:eastAsia="Times New Roman" w:cs="Times New Roman"/>
                <w:sz w:val="20"/>
                <w:szCs w:val="20"/>
              </w:rPr>
              <w:t xml:space="preserve">Увеличение на минималния дневен размер на паричното обезщетение за безработица (от </w:t>
            </w:r>
            <w:r w:rsidR="00BB2DE2" w:rsidRPr="00665E9C">
              <w:rPr>
                <w:rFonts w:eastAsia="Times New Roman" w:cs="Times New Roman"/>
                <w:sz w:val="20"/>
                <w:szCs w:val="20"/>
              </w:rPr>
              <w:t>0</w:t>
            </w:r>
            <w:r w:rsidRPr="00665E9C">
              <w:rPr>
                <w:rFonts w:eastAsia="Times New Roman" w:cs="Times New Roman"/>
                <w:sz w:val="20"/>
                <w:szCs w:val="20"/>
              </w:rPr>
              <w:t>1.04.2022 г.)</w:t>
            </w:r>
          </w:p>
        </w:tc>
        <w:tc>
          <w:tcPr>
            <w:tcW w:w="503" w:type="pct"/>
            <w:tcBorders>
              <w:top w:val="nil"/>
              <w:left w:val="nil"/>
              <w:bottom w:val="nil"/>
              <w:right w:val="nil"/>
            </w:tcBorders>
            <w:shd w:val="clear" w:color="auto" w:fill="auto"/>
            <w:vAlign w:val="center"/>
            <w:hideMark/>
          </w:tcPr>
          <w:p w:rsidR="007344E0" w:rsidRPr="00665E9C" w:rsidRDefault="007344E0" w:rsidP="007344E0">
            <w:pPr>
              <w:spacing w:after="0"/>
              <w:ind w:firstLineChars="100" w:firstLine="200"/>
              <w:jc w:val="right"/>
              <w:rPr>
                <w:rFonts w:eastAsia="Times New Roman" w:cs="Times New Roman"/>
                <w:sz w:val="20"/>
                <w:szCs w:val="20"/>
              </w:rPr>
            </w:pPr>
            <w:r w:rsidRPr="00665E9C">
              <w:rPr>
                <w:rFonts w:eastAsia="Times New Roman" w:cs="Times New Roman"/>
                <w:sz w:val="20"/>
                <w:szCs w:val="20"/>
              </w:rPr>
              <w:t>-1,3</w:t>
            </w:r>
          </w:p>
        </w:tc>
        <w:tc>
          <w:tcPr>
            <w:tcW w:w="503" w:type="pct"/>
            <w:tcBorders>
              <w:top w:val="nil"/>
              <w:left w:val="nil"/>
              <w:bottom w:val="nil"/>
              <w:right w:val="nil"/>
            </w:tcBorders>
            <w:shd w:val="clear" w:color="auto" w:fill="auto"/>
            <w:vAlign w:val="center"/>
            <w:hideMark/>
          </w:tcPr>
          <w:p w:rsidR="007344E0" w:rsidRPr="00665E9C" w:rsidRDefault="007344E0" w:rsidP="00E56A02">
            <w:pPr>
              <w:spacing w:after="0"/>
              <w:jc w:val="right"/>
              <w:rPr>
                <w:rFonts w:eastAsia="Times New Roman" w:cs="Times New Roman"/>
                <w:sz w:val="20"/>
                <w:szCs w:val="20"/>
              </w:rPr>
            </w:pPr>
          </w:p>
        </w:tc>
        <w:tc>
          <w:tcPr>
            <w:tcW w:w="503" w:type="pct"/>
            <w:tcBorders>
              <w:top w:val="nil"/>
              <w:left w:val="nil"/>
              <w:bottom w:val="nil"/>
              <w:right w:val="nil"/>
            </w:tcBorders>
            <w:shd w:val="clear" w:color="auto" w:fill="auto"/>
            <w:vAlign w:val="center"/>
            <w:hideMark/>
          </w:tcPr>
          <w:p w:rsidR="007344E0" w:rsidRPr="00665E9C" w:rsidRDefault="007344E0" w:rsidP="007344E0">
            <w:pPr>
              <w:spacing w:after="0"/>
              <w:ind w:firstLineChars="100" w:firstLine="200"/>
              <w:jc w:val="right"/>
              <w:rPr>
                <w:rFonts w:eastAsia="Times New Roman" w:cs="Times New Roman"/>
                <w:sz w:val="20"/>
                <w:szCs w:val="20"/>
              </w:rPr>
            </w:pPr>
          </w:p>
        </w:tc>
      </w:tr>
      <w:tr w:rsidR="007344E0" w:rsidRPr="007344E0" w:rsidTr="008909F9">
        <w:trPr>
          <w:trHeight w:val="510"/>
        </w:trPr>
        <w:tc>
          <w:tcPr>
            <w:tcW w:w="3491" w:type="pct"/>
            <w:tcBorders>
              <w:top w:val="nil"/>
              <w:left w:val="nil"/>
              <w:bottom w:val="nil"/>
              <w:right w:val="nil"/>
            </w:tcBorders>
            <w:shd w:val="clear" w:color="auto" w:fill="auto"/>
            <w:vAlign w:val="center"/>
            <w:hideMark/>
          </w:tcPr>
          <w:p w:rsidR="007344E0" w:rsidRPr="006778A5" w:rsidRDefault="007344E0" w:rsidP="007344E0">
            <w:pPr>
              <w:spacing w:after="0"/>
              <w:jc w:val="left"/>
              <w:rPr>
                <w:rFonts w:eastAsia="Times New Roman" w:cs="Times New Roman"/>
                <w:sz w:val="20"/>
                <w:szCs w:val="20"/>
              </w:rPr>
            </w:pPr>
            <w:r w:rsidRPr="006778A5">
              <w:rPr>
                <w:rFonts w:eastAsia="Times New Roman" w:cs="Times New Roman"/>
                <w:sz w:val="20"/>
                <w:szCs w:val="20"/>
              </w:rPr>
              <w:t xml:space="preserve">Увеличение на максималния дневен размер на паричното обезщетение за безработица (от </w:t>
            </w:r>
            <w:r w:rsidR="00BB2DE2" w:rsidRPr="006778A5">
              <w:rPr>
                <w:rFonts w:eastAsia="Times New Roman" w:cs="Times New Roman"/>
                <w:sz w:val="20"/>
                <w:szCs w:val="20"/>
              </w:rPr>
              <w:t>0</w:t>
            </w:r>
            <w:r w:rsidRPr="006778A5">
              <w:rPr>
                <w:rFonts w:eastAsia="Times New Roman" w:cs="Times New Roman"/>
                <w:sz w:val="20"/>
                <w:szCs w:val="20"/>
              </w:rPr>
              <w:t>1.04.2022 г.)</w:t>
            </w:r>
          </w:p>
        </w:tc>
        <w:tc>
          <w:tcPr>
            <w:tcW w:w="503" w:type="pct"/>
            <w:tcBorders>
              <w:top w:val="nil"/>
              <w:left w:val="nil"/>
              <w:bottom w:val="nil"/>
              <w:right w:val="nil"/>
            </w:tcBorders>
            <w:shd w:val="clear" w:color="auto" w:fill="auto"/>
            <w:vAlign w:val="center"/>
            <w:hideMark/>
          </w:tcPr>
          <w:p w:rsidR="007344E0" w:rsidRPr="006778A5" w:rsidRDefault="007344E0" w:rsidP="007344E0">
            <w:pPr>
              <w:spacing w:after="0"/>
              <w:ind w:firstLineChars="100" w:firstLine="200"/>
              <w:jc w:val="right"/>
              <w:rPr>
                <w:rFonts w:eastAsia="Times New Roman" w:cs="Times New Roman"/>
                <w:sz w:val="20"/>
                <w:szCs w:val="20"/>
              </w:rPr>
            </w:pPr>
            <w:r w:rsidRPr="006778A5">
              <w:rPr>
                <w:rFonts w:eastAsia="Times New Roman" w:cs="Times New Roman"/>
                <w:sz w:val="20"/>
                <w:szCs w:val="20"/>
              </w:rPr>
              <w:t>-1,3</w:t>
            </w:r>
          </w:p>
        </w:tc>
        <w:tc>
          <w:tcPr>
            <w:tcW w:w="503" w:type="pct"/>
            <w:tcBorders>
              <w:top w:val="nil"/>
              <w:left w:val="nil"/>
              <w:bottom w:val="nil"/>
              <w:right w:val="nil"/>
            </w:tcBorders>
            <w:shd w:val="clear" w:color="auto" w:fill="auto"/>
            <w:vAlign w:val="center"/>
            <w:hideMark/>
          </w:tcPr>
          <w:p w:rsidR="007344E0" w:rsidRPr="006778A5" w:rsidRDefault="007344E0" w:rsidP="00E56A02">
            <w:pPr>
              <w:spacing w:after="0"/>
              <w:jc w:val="right"/>
              <w:rPr>
                <w:rFonts w:eastAsia="Times New Roman" w:cs="Times New Roman"/>
                <w:sz w:val="20"/>
                <w:szCs w:val="20"/>
              </w:rPr>
            </w:pPr>
          </w:p>
        </w:tc>
        <w:tc>
          <w:tcPr>
            <w:tcW w:w="503" w:type="pct"/>
            <w:tcBorders>
              <w:top w:val="nil"/>
              <w:left w:val="nil"/>
              <w:bottom w:val="nil"/>
              <w:right w:val="nil"/>
            </w:tcBorders>
            <w:shd w:val="clear" w:color="auto" w:fill="auto"/>
            <w:vAlign w:val="center"/>
            <w:hideMark/>
          </w:tcPr>
          <w:p w:rsidR="007344E0" w:rsidRPr="006778A5" w:rsidRDefault="007344E0" w:rsidP="007344E0">
            <w:pPr>
              <w:spacing w:after="0"/>
              <w:ind w:firstLineChars="100" w:firstLine="200"/>
              <w:jc w:val="right"/>
              <w:rPr>
                <w:rFonts w:eastAsia="Times New Roman" w:cs="Times New Roman"/>
                <w:sz w:val="20"/>
                <w:szCs w:val="20"/>
              </w:rPr>
            </w:pPr>
          </w:p>
        </w:tc>
      </w:tr>
      <w:tr w:rsidR="007344E0" w:rsidRPr="007344E0" w:rsidTr="008909F9">
        <w:trPr>
          <w:trHeight w:val="510"/>
        </w:trPr>
        <w:tc>
          <w:tcPr>
            <w:tcW w:w="3491" w:type="pct"/>
            <w:tcBorders>
              <w:top w:val="nil"/>
              <w:left w:val="nil"/>
              <w:bottom w:val="nil"/>
              <w:right w:val="nil"/>
            </w:tcBorders>
            <w:shd w:val="clear" w:color="auto" w:fill="auto"/>
            <w:vAlign w:val="center"/>
            <w:hideMark/>
          </w:tcPr>
          <w:p w:rsidR="007344E0" w:rsidRPr="007344E0" w:rsidRDefault="007344E0" w:rsidP="007344E0">
            <w:pPr>
              <w:spacing w:after="0"/>
              <w:jc w:val="left"/>
              <w:rPr>
                <w:rFonts w:eastAsia="Times New Roman" w:cs="Times New Roman"/>
                <w:sz w:val="20"/>
                <w:szCs w:val="20"/>
              </w:rPr>
            </w:pPr>
            <w:r w:rsidRPr="007344E0">
              <w:rPr>
                <w:rFonts w:eastAsia="Times New Roman" w:cs="Times New Roman"/>
                <w:sz w:val="20"/>
                <w:szCs w:val="20"/>
              </w:rPr>
              <w:t>Здравно осигуряване за сметка на държавния бюджет на разселени лица от Украйна (от 24.02.2022 г.)</w:t>
            </w:r>
          </w:p>
        </w:tc>
        <w:tc>
          <w:tcPr>
            <w:tcW w:w="503" w:type="pct"/>
            <w:tcBorders>
              <w:top w:val="nil"/>
              <w:left w:val="nil"/>
              <w:bottom w:val="nil"/>
              <w:right w:val="nil"/>
            </w:tcBorders>
            <w:shd w:val="clear" w:color="auto" w:fill="auto"/>
            <w:vAlign w:val="center"/>
            <w:hideMark/>
          </w:tcPr>
          <w:p w:rsidR="007344E0" w:rsidRPr="007344E0" w:rsidRDefault="007344E0" w:rsidP="007344E0">
            <w:pPr>
              <w:spacing w:after="0"/>
              <w:ind w:firstLineChars="100" w:firstLine="200"/>
              <w:jc w:val="right"/>
              <w:rPr>
                <w:rFonts w:eastAsia="Times New Roman" w:cs="Times New Roman"/>
                <w:sz w:val="20"/>
                <w:szCs w:val="20"/>
              </w:rPr>
            </w:pPr>
            <w:r w:rsidRPr="007344E0">
              <w:rPr>
                <w:rFonts w:eastAsia="Times New Roman" w:cs="Times New Roman"/>
                <w:sz w:val="20"/>
                <w:szCs w:val="20"/>
              </w:rPr>
              <w:t>-5,0</w:t>
            </w:r>
          </w:p>
        </w:tc>
        <w:tc>
          <w:tcPr>
            <w:tcW w:w="503" w:type="pct"/>
            <w:tcBorders>
              <w:top w:val="nil"/>
              <w:left w:val="nil"/>
              <w:bottom w:val="nil"/>
              <w:right w:val="nil"/>
            </w:tcBorders>
            <w:shd w:val="clear" w:color="auto" w:fill="auto"/>
            <w:vAlign w:val="center"/>
            <w:hideMark/>
          </w:tcPr>
          <w:p w:rsidR="007344E0" w:rsidRPr="007344E0" w:rsidRDefault="007344E0" w:rsidP="00E56A02">
            <w:pPr>
              <w:spacing w:after="0"/>
              <w:ind w:leftChars="-1" w:left="-2" w:firstLineChars="7" w:firstLine="14"/>
              <w:jc w:val="right"/>
              <w:rPr>
                <w:rFonts w:eastAsia="Times New Roman" w:cs="Times New Roman"/>
                <w:sz w:val="20"/>
                <w:szCs w:val="20"/>
              </w:rPr>
            </w:pPr>
            <w:r w:rsidRPr="007344E0">
              <w:rPr>
                <w:rFonts w:eastAsia="Times New Roman" w:cs="Times New Roman"/>
                <w:sz w:val="20"/>
                <w:szCs w:val="20"/>
              </w:rPr>
              <w:t>-4,0</w:t>
            </w:r>
          </w:p>
        </w:tc>
        <w:tc>
          <w:tcPr>
            <w:tcW w:w="503" w:type="pct"/>
            <w:tcBorders>
              <w:top w:val="nil"/>
              <w:left w:val="nil"/>
              <w:bottom w:val="nil"/>
              <w:right w:val="nil"/>
            </w:tcBorders>
            <w:shd w:val="clear" w:color="auto" w:fill="auto"/>
            <w:vAlign w:val="center"/>
            <w:hideMark/>
          </w:tcPr>
          <w:p w:rsidR="007344E0" w:rsidRPr="007344E0" w:rsidRDefault="007344E0" w:rsidP="007344E0">
            <w:pPr>
              <w:spacing w:after="0"/>
              <w:ind w:firstLineChars="100" w:firstLine="200"/>
              <w:jc w:val="right"/>
              <w:rPr>
                <w:rFonts w:eastAsia="Times New Roman" w:cs="Times New Roman"/>
                <w:sz w:val="20"/>
                <w:szCs w:val="20"/>
              </w:rPr>
            </w:pPr>
          </w:p>
        </w:tc>
      </w:tr>
      <w:tr w:rsidR="007344E0" w:rsidRPr="007344E0" w:rsidTr="008909F9">
        <w:trPr>
          <w:trHeight w:val="510"/>
        </w:trPr>
        <w:tc>
          <w:tcPr>
            <w:tcW w:w="3491" w:type="pct"/>
            <w:tcBorders>
              <w:top w:val="nil"/>
              <w:left w:val="nil"/>
              <w:bottom w:val="nil"/>
              <w:right w:val="nil"/>
            </w:tcBorders>
            <w:shd w:val="clear" w:color="auto" w:fill="auto"/>
            <w:vAlign w:val="center"/>
            <w:hideMark/>
          </w:tcPr>
          <w:p w:rsidR="007344E0" w:rsidRPr="007344E0" w:rsidRDefault="007344E0" w:rsidP="007344E0">
            <w:pPr>
              <w:spacing w:after="0"/>
              <w:jc w:val="left"/>
              <w:rPr>
                <w:rFonts w:eastAsia="Times New Roman" w:cs="Times New Roman"/>
                <w:sz w:val="20"/>
                <w:szCs w:val="20"/>
              </w:rPr>
            </w:pPr>
            <w:r w:rsidRPr="007344E0">
              <w:rPr>
                <w:rFonts w:eastAsia="Times New Roman" w:cs="Times New Roman"/>
                <w:sz w:val="20"/>
                <w:szCs w:val="20"/>
              </w:rPr>
              <w:t>Програми за смекчаване на икономическите последици от нестабилността на цените на електрическата енергия и природния газ</w:t>
            </w:r>
          </w:p>
        </w:tc>
        <w:tc>
          <w:tcPr>
            <w:tcW w:w="503" w:type="pct"/>
            <w:tcBorders>
              <w:top w:val="nil"/>
              <w:left w:val="nil"/>
              <w:bottom w:val="nil"/>
              <w:right w:val="nil"/>
            </w:tcBorders>
            <w:shd w:val="clear" w:color="auto" w:fill="auto"/>
            <w:vAlign w:val="center"/>
            <w:hideMark/>
          </w:tcPr>
          <w:p w:rsidR="007344E0" w:rsidRPr="007344E0" w:rsidRDefault="007344E0" w:rsidP="007344E0">
            <w:pPr>
              <w:spacing w:after="0"/>
              <w:ind w:firstLineChars="100" w:firstLine="200"/>
              <w:jc w:val="right"/>
              <w:rPr>
                <w:rFonts w:eastAsia="Times New Roman" w:cs="Times New Roman"/>
                <w:sz w:val="20"/>
                <w:szCs w:val="20"/>
              </w:rPr>
            </w:pPr>
            <w:r w:rsidRPr="007344E0">
              <w:rPr>
                <w:rFonts w:eastAsia="Times New Roman" w:cs="Times New Roman"/>
                <w:sz w:val="20"/>
                <w:szCs w:val="20"/>
              </w:rPr>
              <w:t>-982,8</w:t>
            </w:r>
          </w:p>
        </w:tc>
        <w:tc>
          <w:tcPr>
            <w:tcW w:w="503" w:type="pct"/>
            <w:tcBorders>
              <w:top w:val="nil"/>
              <w:left w:val="nil"/>
              <w:bottom w:val="nil"/>
              <w:right w:val="nil"/>
            </w:tcBorders>
            <w:shd w:val="clear" w:color="auto" w:fill="auto"/>
            <w:vAlign w:val="center"/>
            <w:hideMark/>
          </w:tcPr>
          <w:p w:rsidR="007344E0" w:rsidRPr="007344E0" w:rsidRDefault="007344E0" w:rsidP="00E56A02">
            <w:pPr>
              <w:spacing w:after="0"/>
              <w:jc w:val="right"/>
              <w:rPr>
                <w:rFonts w:eastAsia="Times New Roman" w:cs="Times New Roman"/>
                <w:sz w:val="20"/>
                <w:szCs w:val="20"/>
              </w:rPr>
            </w:pPr>
          </w:p>
        </w:tc>
        <w:tc>
          <w:tcPr>
            <w:tcW w:w="503" w:type="pct"/>
            <w:tcBorders>
              <w:top w:val="nil"/>
              <w:left w:val="nil"/>
              <w:bottom w:val="nil"/>
              <w:right w:val="nil"/>
            </w:tcBorders>
            <w:shd w:val="clear" w:color="auto" w:fill="auto"/>
            <w:vAlign w:val="center"/>
            <w:hideMark/>
          </w:tcPr>
          <w:p w:rsidR="007344E0" w:rsidRPr="007344E0" w:rsidRDefault="007344E0" w:rsidP="007344E0">
            <w:pPr>
              <w:spacing w:after="0"/>
              <w:ind w:firstLineChars="100" w:firstLine="200"/>
              <w:jc w:val="right"/>
              <w:rPr>
                <w:rFonts w:eastAsia="Times New Roman" w:cs="Times New Roman"/>
                <w:sz w:val="20"/>
                <w:szCs w:val="20"/>
              </w:rPr>
            </w:pPr>
          </w:p>
        </w:tc>
      </w:tr>
      <w:tr w:rsidR="007344E0" w:rsidRPr="007344E0" w:rsidTr="008909F9">
        <w:trPr>
          <w:trHeight w:val="300"/>
        </w:trPr>
        <w:tc>
          <w:tcPr>
            <w:tcW w:w="3491" w:type="pct"/>
            <w:tcBorders>
              <w:top w:val="nil"/>
              <w:left w:val="nil"/>
              <w:bottom w:val="single" w:sz="4" w:space="0" w:color="595959"/>
              <w:right w:val="nil"/>
            </w:tcBorders>
            <w:shd w:val="clear" w:color="auto" w:fill="auto"/>
            <w:vAlign w:val="center"/>
            <w:hideMark/>
          </w:tcPr>
          <w:p w:rsidR="007344E0" w:rsidRPr="007344E0" w:rsidRDefault="007344E0" w:rsidP="007344E0">
            <w:pPr>
              <w:spacing w:after="0"/>
              <w:jc w:val="left"/>
              <w:rPr>
                <w:rFonts w:eastAsia="Times New Roman" w:cs="Times New Roman"/>
                <w:b/>
                <w:bCs/>
                <w:color w:val="000000"/>
                <w:sz w:val="20"/>
                <w:szCs w:val="20"/>
              </w:rPr>
            </w:pPr>
            <w:r w:rsidRPr="007344E0">
              <w:rPr>
                <w:rFonts w:eastAsia="Times New Roman" w:cs="Times New Roman"/>
                <w:b/>
                <w:bCs/>
                <w:color w:val="000000"/>
                <w:sz w:val="20"/>
                <w:szCs w:val="20"/>
              </w:rPr>
              <w:t>Общо:</w:t>
            </w:r>
          </w:p>
        </w:tc>
        <w:tc>
          <w:tcPr>
            <w:tcW w:w="503" w:type="pct"/>
            <w:tcBorders>
              <w:top w:val="nil"/>
              <w:left w:val="nil"/>
              <w:bottom w:val="single" w:sz="4" w:space="0" w:color="595959"/>
              <w:right w:val="nil"/>
            </w:tcBorders>
            <w:shd w:val="clear" w:color="auto" w:fill="auto"/>
            <w:noWrap/>
            <w:vAlign w:val="center"/>
            <w:hideMark/>
          </w:tcPr>
          <w:p w:rsidR="007344E0" w:rsidRPr="003673B6" w:rsidRDefault="003673B6" w:rsidP="007344E0">
            <w:pPr>
              <w:spacing w:after="0"/>
              <w:jc w:val="right"/>
              <w:rPr>
                <w:rFonts w:eastAsia="Times New Roman" w:cs="Times New Roman"/>
                <w:b/>
                <w:bCs/>
                <w:color w:val="000000"/>
                <w:sz w:val="20"/>
                <w:szCs w:val="20"/>
              </w:rPr>
            </w:pPr>
            <w:r w:rsidRPr="003673B6">
              <w:rPr>
                <w:rFonts w:eastAsia="Times New Roman" w:cs="Times New Roman"/>
                <w:b/>
                <w:bCs/>
                <w:color w:val="000000"/>
                <w:sz w:val="20"/>
                <w:szCs w:val="20"/>
              </w:rPr>
              <w:t>-587,9</w:t>
            </w:r>
          </w:p>
        </w:tc>
        <w:tc>
          <w:tcPr>
            <w:tcW w:w="503" w:type="pct"/>
            <w:tcBorders>
              <w:top w:val="nil"/>
              <w:left w:val="nil"/>
              <w:bottom w:val="single" w:sz="4" w:space="0" w:color="595959"/>
              <w:right w:val="nil"/>
            </w:tcBorders>
            <w:shd w:val="clear" w:color="auto" w:fill="auto"/>
            <w:noWrap/>
            <w:vAlign w:val="center"/>
            <w:hideMark/>
          </w:tcPr>
          <w:p w:rsidR="007344E0" w:rsidRPr="003673B6" w:rsidRDefault="0091023C" w:rsidP="007344E0">
            <w:pPr>
              <w:spacing w:after="0"/>
              <w:jc w:val="right"/>
              <w:rPr>
                <w:rFonts w:eastAsia="Times New Roman" w:cs="Times New Roman"/>
                <w:b/>
                <w:bCs/>
                <w:color w:val="000000"/>
                <w:sz w:val="20"/>
                <w:szCs w:val="20"/>
              </w:rPr>
            </w:pPr>
            <w:r w:rsidRPr="0091023C">
              <w:rPr>
                <w:rFonts w:eastAsia="Times New Roman" w:cs="Times New Roman"/>
                <w:b/>
                <w:bCs/>
                <w:color w:val="000000"/>
                <w:sz w:val="20"/>
                <w:szCs w:val="20"/>
              </w:rPr>
              <w:t>182,7</w:t>
            </w:r>
          </w:p>
        </w:tc>
        <w:tc>
          <w:tcPr>
            <w:tcW w:w="503" w:type="pct"/>
            <w:tcBorders>
              <w:top w:val="nil"/>
              <w:left w:val="nil"/>
              <w:bottom w:val="single" w:sz="4" w:space="0" w:color="595959"/>
              <w:right w:val="nil"/>
            </w:tcBorders>
            <w:shd w:val="clear" w:color="auto" w:fill="auto"/>
            <w:noWrap/>
            <w:vAlign w:val="center"/>
            <w:hideMark/>
          </w:tcPr>
          <w:p w:rsidR="007344E0" w:rsidRPr="007344E0" w:rsidRDefault="007344E0" w:rsidP="007344E0">
            <w:pPr>
              <w:spacing w:after="0"/>
              <w:jc w:val="right"/>
              <w:rPr>
                <w:rFonts w:eastAsia="Times New Roman" w:cs="Times New Roman"/>
                <w:b/>
                <w:bCs/>
                <w:color w:val="000000"/>
                <w:sz w:val="20"/>
                <w:szCs w:val="20"/>
              </w:rPr>
            </w:pPr>
            <w:r w:rsidRPr="007344E0">
              <w:rPr>
                <w:rFonts w:eastAsia="Times New Roman" w:cs="Times New Roman"/>
                <w:b/>
                <w:bCs/>
                <w:color w:val="000000"/>
                <w:sz w:val="20"/>
                <w:szCs w:val="20"/>
              </w:rPr>
              <w:t>30,7</w:t>
            </w:r>
          </w:p>
        </w:tc>
      </w:tr>
    </w:tbl>
    <w:p w:rsidR="007C00B6" w:rsidRDefault="00A36136" w:rsidP="009027B6">
      <w:pPr>
        <w:spacing w:before="120"/>
        <w:ind w:right="-20"/>
        <w:jc w:val="right"/>
        <w:rPr>
          <w:rFonts w:eastAsia="Batang" w:cs="Times New Roman"/>
          <w:sz w:val="18"/>
          <w:szCs w:val="18"/>
        </w:rPr>
      </w:pPr>
      <w:r>
        <w:rPr>
          <w:rFonts w:eastAsia="Batang" w:cs="Times New Roman"/>
          <w:sz w:val="18"/>
          <w:szCs w:val="18"/>
        </w:rPr>
        <w:t xml:space="preserve"> </w:t>
      </w:r>
      <w:r w:rsidR="007C00B6" w:rsidRPr="00802354">
        <w:rPr>
          <w:rFonts w:eastAsia="Batang" w:cs="Times New Roman"/>
          <w:sz w:val="18"/>
          <w:szCs w:val="18"/>
        </w:rPr>
        <w:t>Източник: МФ</w:t>
      </w:r>
    </w:p>
    <w:bookmarkEnd w:id="223"/>
    <w:p w:rsidR="00083361" w:rsidRDefault="00531E97" w:rsidP="003618FB">
      <w:pPr>
        <w:pStyle w:val="Heading3"/>
        <w:ind w:left="0"/>
        <w:rPr>
          <w:rStyle w:val="Strong"/>
          <w:b/>
          <w:bCs/>
        </w:rPr>
      </w:pPr>
      <w:r>
        <w:rPr>
          <w:rStyle w:val="Strong"/>
          <w:b/>
          <w:bCs/>
        </w:rPr>
        <w:t>С</w:t>
      </w:r>
      <w:r w:rsidR="00464E7E" w:rsidRPr="00006A45">
        <w:rPr>
          <w:rStyle w:val="Strong"/>
          <w:b/>
          <w:bCs/>
        </w:rPr>
        <w:t>ъпос</w:t>
      </w:r>
      <w:r w:rsidR="00D427A3">
        <w:rPr>
          <w:rStyle w:val="Strong"/>
          <w:b/>
          <w:bCs/>
        </w:rPr>
        <w:t>тавка на прогнозата за сектор „Д</w:t>
      </w:r>
      <w:r w:rsidR="00464E7E" w:rsidRPr="00006A45">
        <w:rPr>
          <w:rStyle w:val="Strong"/>
          <w:b/>
          <w:bCs/>
        </w:rPr>
        <w:t>ържавно управление“ с тази на европейската комисия</w:t>
      </w:r>
    </w:p>
    <w:p w:rsidR="00D313DF" w:rsidRPr="003D1B27" w:rsidRDefault="00D313DF" w:rsidP="00D313DF">
      <w:pPr>
        <w:rPr>
          <w:rFonts w:eastAsia="Times New Roman" w:cs="Times New Roman"/>
        </w:rPr>
      </w:pPr>
      <w:bookmarkStart w:id="229" w:name="_Toc464737643"/>
      <w:bookmarkStart w:id="230" w:name="_Toc465239625"/>
      <w:r w:rsidRPr="003D1B27">
        <w:rPr>
          <w:rFonts w:eastAsia="Times New Roman" w:cs="Times New Roman"/>
        </w:rPr>
        <w:t xml:space="preserve">В тази част се прави съпоставка </w:t>
      </w:r>
      <w:r w:rsidRPr="007056AA">
        <w:rPr>
          <w:rFonts w:eastAsia="Times New Roman" w:cs="Times New Roman"/>
        </w:rPr>
        <w:t>на средносрочната</w:t>
      </w:r>
      <w:r w:rsidRPr="003D1B27">
        <w:rPr>
          <w:rFonts w:eastAsia="Times New Roman" w:cs="Times New Roman"/>
        </w:rPr>
        <w:t xml:space="preserve"> прогноза за сектор „Държавно управление“ на Министерството на финансите спрямо последната фискална прогноза на Европейската комисия от </w:t>
      </w:r>
      <w:r>
        <w:rPr>
          <w:rFonts w:eastAsia="Times New Roman" w:cs="Times New Roman"/>
        </w:rPr>
        <w:t xml:space="preserve">есента </w:t>
      </w:r>
      <w:r w:rsidRPr="003D1B27">
        <w:rPr>
          <w:rFonts w:eastAsia="Times New Roman" w:cs="Times New Roman"/>
        </w:rPr>
        <w:t>на 202</w:t>
      </w:r>
      <w:r>
        <w:rPr>
          <w:rFonts w:eastAsia="Times New Roman" w:cs="Times New Roman"/>
        </w:rPr>
        <w:t>3</w:t>
      </w:r>
      <w:r w:rsidRPr="003D1B27">
        <w:rPr>
          <w:rFonts w:eastAsia="Times New Roman" w:cs="Times New Roman"/>
        </w:rPr>
        <w:t xml:space="preserve"> г.</w:t>
      </w:r>
      <w:r w:rsidRPr="003D1B27">
        <w:rPr>
          <w:rFonts w:eastAsia="Times New Roman" w:cs="Times New Roman"/>
          <w:position w:val="2"/>
          <w:sz w:val="18"/>
          <w:vertAlign w:val="superscript"/>
        </w:rPr>
        <w:footnoteReference w:id="13"/>
      </w:r>
      <w:r w:rsidRPr="003D1B27">
        <w:rPr>
          <w:rFonts w:eastAsia="Times New Roman" w:cs="Times New Roman"/>
        </w:rPr>
        <w:t xml:space="preserve"> Следва да се имат предвид различните бази и изменения в макроикономическите сценарии на двете институции, които обуславят различията по отношение на очакваните фискални резултати. </w:t>
      </w:r>
    </w:p>
    <w:p w:rsidR="00D313DF" w:rsidRDefault="00D313DF" w:rsidP="00D313DF">
      <w:pPr>
        <w:rPr>
          <w:rFonts w:eastAsia="Times New Roman" w:cs="Times New Roman"/>
        </w:rPr>
      </w:pPr>
      <w:r w:rsidRPr="003D1B27">
        <w:rPr>
          <w:rFonts w:eastAsia="Times New Roman" w:cs="Times New Roman"/>
        </w:rPr>
        <w:t xml:space="preserve">Прогнозата на </w:t>
      </w:r>
      <w:r>
        <w:rPr>
          <w:rFonts w:eastAsia="Times New Roman" w:cs="Times New Roman"/>
        </w:rPr>
        <w:t>ЕК</w:t>
      </w:r>
      <w:r w:rsidRPr="003D1B27">
        <w:rPr>
          <w:rFonts w:eastAsia="Times New Roman" w:cs="Times New Roman"/>
        </w:rPr>
        <w:t xml:space="preserve"> за общия баланс на сектор „Държавно управление“ </w:t>
      </w:r>
      <w:r>
        <w:rPr>
          <w:rFonts w:eastAsia="Times New Roman" w:cs="Times New Roman"/>
        </w:rPr>
        <w:t xml:space="preserve">за 2024 г. и 2025 г. </w:t>
      </w:r>
      <w:r w:rsidRPr="003D1B27">
        <w:rPr>
          <w:rFonts w:eastAsia="Times New Roman" w:cs="Times New Roman"/>
        </w:rPr>
        <w:t xml:space="preserve">е </w:t>
      </w:r>
      <w:r>
        <w:rPr>
          <w:rFonts w:eastAsia="Times New Roman" w:cs="Times New Roman"/>
        </w:rPr>
        <w:t>близка до</w:t>
      </w:r>
      <w:r w:rsidRPr="003D1B27">
        <w:rPr>
          <w:rFonts w:eastAsia="Times New Roman" w:cs="Times New Roman"/>
        </w:rPr>
        <w:t xml:space="preserve"> прогнозата на </w:t>
      </w:r>
      <w:r>
        <w:rPr>
          <w:rFonts w:eastAsia="Times New Roman" w:cs="Times New Roman"/>
        </w:rPr>
        <w:t xml:space="preserve">МФ </w:t>
      </w:r>
      <w:r w:rsidRPr="00150949">
        <w:rPr>
          <w:rFonts w:eastAsia="Times New Roman" w:cs="Times New Roman"/>
        </w:rPr>
        <w:t>– съответно</w:t>
      </w:r>
      <w:r>
        <w:rPr>
          <w:rFonts w:eastAsia="Times New Roman" w:cs="Times New Roman"/>
        </w:rPr>
        <w:t xml:space="preserve"> </w:t>
      </w:r>
      <w:r w:rsidRPr="00150949">
        <w:rPr>
          <w:rFonts w:eastAsia="Times New Roman" w:cs="Times New Roman"/>
        </w:rPr>
        <w:t>-</w:t>
      </w:r>
      <w:r>
        <w:rPr>
          <w:rFonts w:eastAsia="Times New Roman" w:cs="Times New Roman"/>
        </w:rPr>
        <w:t>3</w:t>
      </w:r>
      <w:r w:rsidRPr="003D1B27">
        <w:rPr>
          <w:rFonts w:eastAsia="Times New Roman" w:cs="Times New Roman"/>
        </w:rPr>
        <w:t>,</w:t>
      </w:r>
      <w:r>
        <w:rPr>
          <w:rFonts w:eastAsia="Times New Roman" w:cs="Times New Roman"/>
        </w:rPr>
        <w:t>0</w:t>
      </w:r>
      <w:r w:rsidRPr="003D1B27">
        <w:rPr>
          <w:rFonts w:eastAsia="Times New Roman" w:cs="Times New Roman"/>
        </w:rPr>
        <w:t>% от БВП на ЕК спрямо -</w:t>
      </w:r>
      <w:r>
        <w:rPr>
          <w:rFonts w:eastAsia="Times New Roman" w:cs="Times New Roman"/>
        </w:rPr>
        <w:t>2,9</w:t>
      </w:r>
      <w:r w:rsidRPr="003D1B27">
        <w:rPr>
          <w:rFonts w:eastAsia="Times New Roman" w:cs="Times New Roman"/>
        </w:rPr>
        <w:t>% от БВП на МФ за 2024 г.</w:t>
      </w:r>
      <w:r>
        <w:rPr>
          <w:rFonts w:eastAsia="Times New Roman" w:cs="Times New Roman"/>
        </w:rPr>
        <w:t xml:space="preserve"> и </w:t>
      </w:r>
      <w:r w:rsidRPr="003D1B27">
        <w:rPr>
          <w:rFonts w:eastAsia="Times New Roman" w:cs="Times New Roman"/>
        </w:rPr>
        <w:t>-</w:t>
      </w:r>
      <w:r>
        <w:rPr>
          <w:rFonts w:eastAsia="Times New Roman" w:cs="Times New Roman"/>
          <w:lang w:val="en-US"/>
        </w:rPr>
        <w:t>3</w:t>
      </w:r>
      <w:r w:rsidRPr="003D1B27">
        <w:rPr>
          <w:rFonts w:eastAsia="Times New Roman" w:cs="Times New Roman"/>
        </w:rPr>
        <w:t>,</w:t>
      </w:r>
      <w:r>
        <w:rPr>
          <w:rFonts w:eastAsia="Times New Roman" w:cs="Times New Roman"/>
        </w:rPr>
        <w:t>2</w:t>
      </w:r>
      <w:r w:rsidRPr="003D1B27">
        <w:rPr>
          <w:rFonts w:eastAsia="Times New Roman" w:cs="Times New Roman"/>
        </w:rPr>
        <w:t>% от БВП на ЕК спрямо -</w:t>
      </w:r>
      <w:r>
        <w:rPr>
          <w:rFonts w:eastAsia="Times New Roman" w:cs="Times New Roman"/>
        </w:rPr>
        <w:t>3,0</w:t>
      </w:r>
      <w:r w:rsidRPr="003D1B27">
        <w:rPr>
          <w:rFonts w:eastAsia="Times New Roman" w:cs="Times New Roman"/>
        </w:rPr>
        <w:t>% от БВП на МФ за 202</w:t>
      </w:r>
      <w:r>
        <w:rPr>
          <w:rFonts w:eastAsia="Times New Roman" w:cs="Times New Roman"/>
        </w:rPr>
        <w:t>5 г.</w:t>
      </w:r>
    </w:p>
    <w:p w:rsidR="00D313DF" w:rsidRPr="00AB1B2C" w:rsidRDefault="00D313DF" w:rsidP="00D313DF">
      <w:pPr>
        <w:rPr>
          <w:rFonts w:eastAsia="Times New Roman" w:cs="Times New Roman"/>
        </w:rPr>
      </w:pPr>
      <w:r w:rsidRPr="00AB1B2C">
        <w:rPr>
          <w:rFonts w:eastAsia="Times New Roman" w:cs="Times New Roman"/>
        </w:rPr>
        <w:t xml:space="preserve">Бюджетното салдо за 2024 г. в прогнозата на ЕК се постига при по-високи приходи с 1,9 пр.п. и съответно по-високи разходи с 2,0 пр.п. в сравнение с прогнозата на МФ. За 2025 прогнозата на ЕК </w:t>
      </w:r>
      <w:r>
        <w:rPr>
          <w:rFonts w:eastAsia="Times New Roman" w:cs="Times New Roman"/>
        </w:rPr>
        <w:t xml:space="preserve">също е за </w:t>
      </w:r>
      <w:r w:rsidRPr="00AB1B2C">
        <w:rPr>
          <w:rFonts w:eastAsia="Times New Roman" w:cs="Times New Roman"/>
        </w:rPr>
        <w:t>по-високи приходи</w:t>
      </w:r>
      <w:r>
        <w:rPr>
          <w:rFonts w:eastAsia="Times New Roman" w:cs="Times New Roman"/>
        </w:rPr>
        <w:t xml:space="preserve"> –</w:t>
      </w:r>
      <w:r w:rsidRPr="00AB1B2C">
        <w:rPr>
          <w:rFonts w:eastAsia="Times New Roman" w:cs="Times New Roman"/>
        </w:rPr>
        <w:t xml:space="preserve"> с 2,2 пр.п. и по-високи разходи </w:t>
      </w:r>
      <w:r>
        <w:rPr>
          <w:rFonts w:eastAsia="Times New Roman" w:cs="Times New Roman"/>
        </w:rPr>
        <w:t>–</w:t>
      </w:r>
      <w:r w:rsidRPr="00AB1B2C">
        <w:rPr>
          <w:rFonts w:eastAsia="Times New Roman" w:cs="Times New Roman"/>
        </w:rPr>
        <w:t xml:space="preserve"> с 2,5 пр.п. в сравнение с прогнозата на МФ. ЕК прогнозира с 0,2 пр.п. по-ниски лихвени разходи в сравнение с МФ за 2024 г. и с 0,4 пр.п. за 2025 г.</w:t>
      </w:r>
    </w:p>
    <w:p w:rsidR="00D313DF" w:rsidRPr="00AB1B2C" w:rsidRDefault="00D313DF" w:rsidP="00D313DF">
      <w:pPr>
        <w:rPr>
          <w:rFonts w:eastAsia="Times New Roman" w:cs="Times New Roman"/>
        </w:rPr>
      </w:pPr>
      <w:r w:rsidRPr="00AB1B2C">
        <w:rPr>
          <w:rFonts w:eastAsia="Times New Roman" w:cs="Times New Roman"/>
        </w:rPr>
        <w:t xml:space="preserve">Прогнозите </w:t>
      </w:r>
      <w:r>
        <w:rPr>
          <w:rFonts w:eastAsia="Times New Roman" w:cs="Times New Roman"/>
        </w:rPr>
        <w:t xml:space="preserve">на МФ </w:t>
      </w:r>
      <w:r w:rsidRPr="00AB1B2C">
        <w:rPr>
          <w:rFonts w:eastAsia="Times New Roman" w:cs="Times New Roman"/>
        </w:rPr>
        <w:t xml:space="preserve">за публичните инвестиции в  бруто образуване на основен капитал </w:t>
      </w:r>
      <w:r>
        <w:rPr>
          <w:rFonts w:eastAsia="Times New Roman" w:cs="Times New Roman"/>
        </w:rPr>
        <w:t xml:space="preserve">през </w:t>
      </w:r>
      <w:r w:rsidRPr="00AB1B2C">
        <w:rPr>
          <w:rFonts w:eastAsia="Times New Roman" w:cs="Times New Roman"/>
        </w:rPr>
        <w:t xml:space="preserve">2024 г. са по-високи спрямо тези на ЕК </w:t>
      </w:r>
      <w:r w:rsidRPr="00150949">
        <w:rPr>
          <w:rFonts w:eastAsia="Times New Roman" w:cs="Times New Roman"/>
        </w:rPr>
        <w:t xml:space="preserve">– </w:t>
      </w:r>
      <w:r w:rsidRPr="00AB1B2C">
        <w:rPr>
          <w:rFonts w:eastAsia="Times New Roman" w:cs="Times New Roman"/>
        </w:rPr>
        <w:t>съответно 3,4%</w:t>
      </w:r>
      <w:r>
        <w:rPr>
          <w:rFonts w:eastAsia="Times New Roman" w:cs="Times New Roman"/>
        </w:rPr>
        <w:t xml:space="preserve"> от БВП</w:t>
      </w:r>
      <w:r w:rsidRPr="00AB1B2C">
        <w:rPr>
          <w:rFonts w:eastAsia="Times New Roman" w:cs="Times New Roman"/>
        </w:rPr>
        <w:t xml:space="preserve"> </w:t>
      </w:r>
      <w:r w:rsidR="006827E4">
        <w:rPr>
          <w:rFonts w:eastAsia="Times New Roman" w:cs="Times New Roman"/>
        </w:rPr>
        <w:t>н</w:t>
      </w:r>
      <w:r w:rsidRPr="00AB1B2C">
        <w:rPr>
          <w:rFonts w:eastAsia="Times New Roman" w:cs="Times New Roman"/>
        </w:rPr>
        <w:t xml:space="preserve">а МФ и 2,8% </w:t>
      </w:r>
      <w:r w:rsidR="006827E4">
        <w:rPr>
          <w:rFonts w:eastAsia="Times New Roman" w:cs="Times New Roman"/>
        </w:rPr>
        <w:t>н</w:t>
      </w:r>
      <w:r w:rsidRPr="00AB1B2C">
        <w:rPr>
          <w:rFonts w:eastAsia="Times New Roman" w:cs="Times New Roman"/>
        </w:rPr>
        <w:t xml:space="preserve">а ЕК. За 2025 г. и МФ, и ЕК прогнозират </w:t>
      </w:r>
      <w:r>
        <w:rPr>
          <w:rFonts w:eastAsia="Times New Roman" w:cs="Times New Roman"/>
        </w:rPr>
        <w:t xml:space="preserve">инвестиции в размер на </w:t>
      </w:r>
      <w:r w:rsidRPr="00AB1B2C">
        <w:rPr>
          <w:rFonts w:eastAsia="Times New Roman" w:cs="Times New Roman"/>
        </w:rPr>
        <w:t>3,9%</w:t>
      </w:r>
      <w:r>
        <w:rPr>
          <w:rFonts w:eastAsia="Times New Roman" w:cs="Times New Roman"/>
        </w:rPr>
        <w:t xml:space="preserve"> от БВП</w:t>
      </w:r>
      <w:r w:rsidRPr="00AB1B2C">
        <w:rPr>
          <w:rFonts w:eastAsia="Times New Roman" w:cs="Times New Roman"/>
        </w:rPr>
        <w:t>.</w:t>
      </w:r>
    </w:p>
    <w:p w:rsidR="00D313DF" w:rsidRDefault="00D313DF" w:rsidP="00D313DF">
      <w:pPr>
        <w:rPr>
          <w:rFonts w:eastAsia="Times New Roman" w:cs="Times New Roman"/>
        </w:rPr>
      </w:pPr>
      <w:r w:rsidRPr="00AB1B2C">
        <w:rPr>
          <w:rFonts w:eastAsia="Times New Roman" w:cs="Times New Roman"/>
        </w:rPr>
        <w:t>МФ предвижда по-висок ръст на правителственото потребление на годишна база за 2024 г.– съответно 6,6% спрямо 5,2% в прогнозата на Комисията. За 2025 г. правителственото потребление на годишна база според МФ ще нарасне с 4,2% спрямо 5,1% в прогнозата на ЕК.</w:t>
      </w:r>
    </w:p>
    <w:p w:rsidR="006B0BBA" w:rsidRDefault="00604658" w:rsidP="008C15B1">
      <w:pPr>
        <w:pStyle w:val="Caption"/>
      </w:pPr>
      <w:bookmarkStart w:id="231" w:name="_Toc150443423"/>
      <w:r w:rsidRPr="00006A45">
        <w:t xml:space="preserve">Табл. </w:t>
      </w:r>
      <w:fldSimple w:instr=" STYLEREF 1 \s ">
        <w:r w:rsidR="005A69ED">
          <w:rPr>
            <w:noProof/>
          </w:rPr>
          <w:t>II</w:t>
        </w:r>
      </w:fldSimple>
      <w:r w:rsidRPr="00006A45">
        <w:noBreakHyphen/>
      </w:r>
      <w:fldSimple w:instr=" SEQ Табл. \* ARABIC \s 1 ">
        <w:r w:rsidR="005A69ED">
          <w:rPr>
            <w:noProof/>
          </w:rPr>
          <w:t>9</w:t>
        </w:r>
      </w:fldSimple>
      <w:r w:rsidRPr="00006A45">
        <w:t>:</w:t>
      </w:r>
      <w:bookmarkEnd w:id="229"/>
      <w:bookmarkEnd w:id="230"/>
      <w:r w:rsidR="00403073" w:rsidRPr="00006A45">
        <w:tab/>
      </w:r>
      <w:r w:rsidRPr="00006A45">
        <w:t>Сравнение на бюджетната прогноза на МФ с прогнозата на ЕК</w:t>
      </w:r>
      <w:bookmarkEnd w:id="231"/>
    </w:p>
    <w:tbl>
      <w:tblPr>
        <w:tblW w:w="5000" w:type="pct"/>
        <w:tblCellMar>
          <w:left w:w="70" w:type="dxa"/>
          <w:right w:w="70" w:type="dxa"/>
        </w:tblCellMar>
        <w:tblLook w:val="04A0" w:firstRow="1" w:lastRow="0" w:firstColumn="1" w:lastColumn="0" w:noHBand="0" w:noVBand="1"/>
      </w:tblPr>
      <w:tblGrid>
        <w:gridCol w:w="2408"/>
        <w:gridCol w:w="1481"/>
        <w:gridCol w:w="741"/>
        <w:gridCol w:w="1480"/>
        <w:gridCol w:w="740"/>
        <w:gridCol w:w="1480"/>
        <w:gridCol w:w="740"/>
      </w:tblGrid>
      <w:tr w:rsidR="00D313DF" w:rsidRPr="00B83605" w:rsidTr="00206BD2">
        <w:trPr>
          <w:trHeight w:val="285"/>
        </w:trPr>
        <w:tc>
          <w:tcPr>
            <w:tcW w:w="1327" w:type="pct"/>
            <w:tcBorders>
              <w:top w:val="single" w:sz="8" w:space="0" w:color="auto"/>
              <w:left w:val="nil"/>
              <w:bottom w:val="nil"/>
              <w:right w:val="nil"/>
            </w:tcBorders>
            <w:shd w:val="clear" w:color="auto" w:fill="auto"/>
            <w:vAlign w:val="center"/>
            <w:hideMark/>
          </w:tcPr>
          <w:p w:rsidR="00D313DF" w:rsidRPr="00B83605"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Показатели,</w:t>
            </w:r>
          </w:p>
        </w:tc>
        <w:tc>
          <w:tcPr>
            <w:tcW w:w="1224" w:type="pct"/>
            <w:gridSpan w:val="2"/>
            <w:tcBorders>
              <w:top w:val="single" w:sz="8" w:space="0" w:color="auto"/>
              <w:left w:val="nil"/>
              <w:bottom w:val="single" w:sz="8" w:space="0" w:color="auto"/>
              <w:right w:val="nil"/>
            </w:tcBorders>
            <w:shd w:val="clear" w:color="auto" w:fill="auto"/>
            <w:vAlign w:val="center"/>
            <w:hideMark/>
          </w:tcPr>
          <w:p w:rsidR="00D313DF" w:rsidRPr="00315774"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2023</w:t>
            </w:r>
            <w:r>
              <w:rPr>
                <w:rFonts w:eastAsia="Times New Roman" w:cs="Times New Roman"/>
                <w:b/>
                <w:bCs/>
                <w:color w:val="000000"/>
                <w:sz w:val="20"/>
                <w:szCs w:val="20"/>
                <w:lang w:val="en-US"/>
              </w:rPr>
              <w:t xml:space="preserve"> </w:t>
            </w:r>
            <w:r>
              <w:rPr>
                <w:rFonts w:eastAsia="Times New Roman" w:cs="Times New Roman"/>
                <w:b/>
                <w:bCs/>
                <w:color w:val="000000"/>
                <w:sz w:val="20"/>
                <w:szCs w:val="20"/>
              </w:rPr>
              <w:t>г.</w:t>
            </w:r>
          </w:p>
        </w:tc>
        <w:tc>
          <w:tcPr>
            <w:tcW w:w="1224" w:type="pct"/>
            <w:gridSpan w:val="2"/>
            <w:tcBorders>
              <w:top w:val="single" w:sz="8" w:space="0" w:color="auto"/>
              <w:left w:val="nil"/>
              <w:bottom w:val="single" w:sz="8" w:space="0" w:color="auto"/>
              <w:right w:val="nil"/>
            </w:tcBorders>
            <w:shd w:val="clear" w:color="auto" w:fill="auto"/>
            <w:vAlign w:val="center"/>
            <w:hideMark/>
          </w:tcPr>
          <w:p w:rsidR="00D313DF" w:rsidRPr="00B83605"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2024</w:t>
            </w:r>
            <w:r>
              <w:rPr>
                <w:rFonts w:eastAsia="Times New Roman" w:cs="Times New Roman"/>
                <w:b/>
                <w:bCs/>
                <w:color w:val="000000"/>
                <w:sz w:val="20"/>
                <w:szCs w:val="20"/>
              </w:rPr>
              <w:t xml:space="preserve"> г.</w:t>
            </w:r>
          </w:p>
        </w:tc>
        <w:tc>
          <w:tcPr>
            <w:tcW w:w="1224" w:type="pct"/>
            <w:gridSpan w:val="2"/>
            <w:tcBorders>
              <w:top w:val="single" w:sz="8" w:space="0" w:color="auto"/>
              <w:left w:val="nil"/>
              <w:bottom w:val="single" w:sz="8" w:space="0" w:color="auto"/>
              <w:right w:val="nil"/>
            </w:tcBorders>
            <w:shd w:val="clear" w:color="auto" w:fill="auto"/>
            <w:vAlign w:val="center"/>
            <w:hideMark/>
          </w:tcPr>
          <w:p w:rsidR="00D313DF" w:rsidRPr="00B83605"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2025</w:t>
            </w:r>
            <w:r>
              <w:rPr>
                <w:rFonts w:eastAsia="Times New Roman" w:cs="Times New Roman"/>
                <w:b/>
                <w:bCs/>
                <w:color w:val="000000"/>
                <w:sz w:val="20"/>
                <w:szCs w:val="20"/>
              </w:rPr>
              <w:t xml:space="preserve"> г.</w:t>
            </w:r>
          </w:p>
        </w:tc>
      </w:tr>
      <w:tr w:rsidR="00D313DF" w:rsidRPr="00B83605" w:rsidTr="00206BD2">
        <w:trPr>
          <w:trHeight w:val="285"/>
        </w:trPr>
        <w:tc>
          <w:tcPr>
            <w:tcW w:w="1327" w:type="pct"/>
            <w:tcBorders>
              <w:top w:val="nil"/>
              <w:left w:val="nil"/>
              <w:bottom w:val="single" w:sz="8" w:space="0" w:color="auto"/>
              <w:right w:val="nil"/>
            </w:tcBorders>
            <w:shd w:val="clear" w:color="auto" w:fill="auto"/>
            <w:vAlign w:val="center"/>
            <w:hideMark/>
          </w:tcPr>
          <w:p w:rsidR="00D313DF" w:rsidRPr="00B83605"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 от БВП</w:t>
            </w:r>
          </w:p>
        </w:tc>
        <w:tc>
          <w:tcPr>
            <w:tcW w:w="816" w:type="pct"/>
            <w:tcBorders>
              <w:top w:val="nil"/>
              <w:left w:val="nil"/>
              <w:bottom w:val="single" w:sz="8" w:space="0" w:color="auto"/>
              <w:right w:val="nil"/>
            </w:tcBorders>
            <w:shd w:val="clear" w:color="auto" w:fill="auto"/>
            <w:vAlign w:val="center"/>
            <w:hideMark/>
          </w:tcPr>
          <w:p w:rsidR="00D313DF" w:rsidRPr="00B83605"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МФ</w:t>
            </w:r>
          </w:p>
        </w:tc>
        <w:tc>
          <w:tcPr>
            <w:tcW w:w="408" w:type="pct"/>
            <w:tcBorders>
              <w:top w:val="nil"/>
              <w:left w:val="nil"/>
              <w:bottom w:val="single" w:sz="8" w:space="0" w:color="auto"/>
              <w:right w:val="nil"/>
            </w:tcBorders>
            <w:shd w:val="clear" w:color="auto" w:fill="auto"/>
            <w:vAlign w:val="center"/>
            <w:hideMark/>
          </w:tcPr>
          <w:p w:rsidR="00D313DF" w:rsidRPr="00B83605"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ЕК</w:t>
            </w:r>
          </w:p>
        </w:tc>
        <w:tc>
          <w:tcPr>
            <w:tcW w:w="816" w:type="pct"/>
            <w:tcBorders>
              <w:top w:val="nil"/>
              <w:left w:val="nil"/>
              <w:bottom w:val="single" w:sz="8" w:space="0" w:color="auto"/>
              <w:right w:val="nil"/>
            </w:tcBorders>
            <w:shd w:val="clear" w:color="auto" w:fill="auto"/>
            <w:vAlign w:val="center"/>
            <w:hideMark/>
          </w:tcPr>
          <w:p w:rsidR="00D313DF" w:rsidRPr="00B83605"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МФ</w:t>
            </w:r>
          </w:p>
        </w:tc>
        <w:tc>
          <w:tcPr>
            <w:tcW w:w="408" w:type="pct"/>
            <w:tcBorders>
              <w:top w:val="nil"/>
              <w:left w:val="nil"/>
              <w:bottom w:val="single" w:sz="8" w:space="0" w:color="auto"/>
              <w:right w:val="nil"/>
            </w:tcBorders>
            <w:shd w:val="clear" w:color="auto" w:fill="auto"/>
            <w:vAlign w:val="center"/>
            <w:hideMark/>
          </w:tcPr>
          <w:p w:rsidR="00D313DF" w:rsidRPr="00B83605"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ЕК</w:t>
            </w:r>
          </w:p>
        </w:tc>
        <w:tc>
          <w:tcPr>
            <w:tcW w:w="816" w:type="pct"/>
            <w:tcBorders>
              <w:top w:val="nil"/>
              <w:left w:val="nil"/>
              <w:bottom w:val="single" w:sz="8" w:space="0" w:color="auto"/>
              <w:right w:val="nil"/>
            </w:tcBorders>
            <w:shd w:val="clear" w:color="auto" w:fill="auto"/>
            <w:vAlign w:val="center"/>
            <w:hideMark/>
          </w:tcPr>
          <w:p w:rsidR="00D313DF" w:rsidRPr="00B83605"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МФ</w:t>
            </w:r>
          </w:p>
        </w:tc>
        <w:tc>
          <w:tcPr>
            <w:tcW w:w="408" w:type="pct"/>
            <w:tcBorders>
              <w:top w:val="nil"/>
              <w:left w:val="nil"/>
              <w:bottom w:val="single" w:sz="8" w:space="0" w:color="auto"/>
              <w:right w:val="nil"/>
            </w:tcBorders>
            <w:shd w:val="clear" w:color="auto" w:fill="auto"/>
            <w:vAlign w:val="center"/>
            <w:hideMark/>
          </w:tcPr>
          <w:p w:rsidR="00D313DF" w:rsidRPr="00B83605"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ЕК</w:t>
            </w:r>
          </w:p>
        </w:tc>
      </w:tr>
      <w:tr w:rsidR="00D313DF" w:rsidRPr="00B83605" w:rsidTr="00206BD2">
        <w:trPr>
          <w:trHeight w:val="300"/>
        </w:trPr>
        <w:tc>
          <w:tcPr>
            <w:tcW w:w="1327" w:type="pct"/>
            <w:tcBorders>
              <w:top w:val="nil"/>
              <w:left w:val="nil"/>
              <w:bottom w:val="nil"/>
              <w:right w:val="nil"/>
            </w:tcBorders>
            <w:shd w:val="clear" w:color="auto" w:fill="auto"/>
            <w:vAlign w:val="center"/>
            <w:hideMark/>
          </w:tcPr>
          <w:p w:rsidR="00D313DF" w:rsidRPr="00B83605" w:rsidRDefault="00D313DF" w:rsidP="00206BD2">
            <w:pPr>
              <w:spacing w:after="0"/>
              <w:jc w:val="left"/>
              <w:rPr>
                <w:rFonts w:eastAsia="Times New Roman" w:cs="Times New Roman"/>
                <w:color w:val="000000"/>
                <w:sz w:val="20"/>
                <w:szCs w:val="20"/>
              </w:rPr>
            </w:pPr>
            <w:r w:rsidRPr="00B83605">
              <w:rPr>
                <w:rFonts w:eastAsia="Times New Roman" w:cs="Times New Roman"/>
                <w:color w:val="000000"/>
                <w:sz w:val="20"/>
                <w:szCs w:val="20"/>
              </w:rPr>
              <w:t>Лихвени разходи</w:t>
            </w:r>
          </w:p>
        </w:tc>
        <w:tc>
          <w:tcPr>
            <w:tcW w:w="816"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color w:val="000000"/>
                <w:sz w:val="20"/>
                <w:szCs w:val="20"/>
              </w:rPr>
            </w:pPr>
            <w:r w:rsidRPr="00B83605">
              <w:rPr>
                <w:rFonts w:eastAsia="Times New Roman" w:cs="Times New Roman"/>
                <w:color w:val="000000"/>
                <w:sz w:val="20"/>
                <w:szCs w:val="20"/>
              </w:rPr>
              <w:t>0,5%</w:t>
            </w:r>
          </w:p>
        </w:tc>
        <w:tc>
          <w:tcPr>
            <w:tcW w:w="408"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color w:val="000000"/>
                <w:sz w:val="20"/>
                <w:szCs w:val="20"/>
              </w:rPr>
            </w:pPr>
            <w:r w:rsidRPr="00B83605">
              <w:rPr>
                <w:rFonts w:eastAsia="Times New Roman" w:cs="Times New Roman"/>
                <w:color w:val="000000"/>
                <w:sz w:val="20"/>
                <w:szCs w:val="20"/>
              </w:rPr>
              <w:t>0,5%</w:t>
            </w:r>
          </w:p>
        </w:tc>
        <w:tc>
          <w:tcPr>
            <w:tcW w:w="816"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color w:val="000000"/>
                <w:sz w:val="20"/>
                <w:szCs w:val="20"/>
              </w:rPr>
            </w:pPr>
            <w:r w:rsidRPr="00B83605">
              <w:rPr>
                <w:rFonts w:eastAsia="Times New Roman" w:cs="Times New Roman"/>
                <w:color w:val="000000"/>
                <w:sz w:val="20"/>
                <w:szCs w:val="20"/>
              </w:rPr>
              <w:t>0,7%</w:t>
            </w:r>
          </w:p>
        </w:tc>
        <w:tc>
          <w:tcPr>
            <w:tcW w:w="408"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color w:val="000000"/>
                <w:sz w:val="20"/>
                <w:szCs w:val="20"/>
              </w:rPr>
            </w:pPr>
            <w:r w:rsidRPr="00B83605">
              <w:rPr>
                <w:rFonts w:eastAsia="Times New Roman" w:cs="Times New Roman"/>
                <w:color w:val="000000"/>
                <w:sz w:val="20"/>
                <w:szCs w:val="20"/>
              </w:rPr>
              <w:t>0,5%</w:t>
            </w:r>
          </w:p>
        </w:tc>
        <w:tc>
          <w:tcPr>
            <w:tcW w:w="816"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color w:val="000000"/>
                <w:sz w:val="20"/>
                <w:szCs w:val="20"/>
              </w:rPr>
            </w:pPr>
            <w:r>
              <w:rPr>
                <w:rFonts w:eastAsia="Times New Roman" w:cs="Times New Roman"/>
                <w:color w:val="000000"/>
                <w:sz w:val="20"/>
                <w:szCs w:val="20"/>
              </w:rPr>
              <w:t>0</w:t>
            </w:r>
            <w:r w:rsidRPr="00B83605">
              <w:rPr>
                <w:rFonts w:eastAsia="Times New Roman" w:cs="Times New Roman"/>
                <w:color w:val="000000"/>
                <w:sz w:val="20"/>
                <w:szCs w:val="20"/>
              </w:rPr>
              <w:t>,</w:t>
            </w:r>
            <w:r>
              <w:rPr>
                <w:rFonts w:eastAsia="Times New Roman" w:cs="Times New Roman"/>
                <w:color w:val="000000"/>
                <w:sz w:val="20"/>
                <w:szCs w:val="20"/>
              </w:rPr>
              <w:t>9</w:t>
            </w:r>
            <w:r w:rsidRPr="00B83605">
              <w:rPr>
                <w:rFonts w:eastAsia="Times New Roman" w:cs="Times New Roman"/>
                <w:color w:val="000000"/>
                <w:sz w:val="20"/>
                <w:szCs w:val="20"/>
              </w:rPr>
              <w:t>%</w:t>
            </w:r>
          </w:p>
        </w:tc>
        <w:tc>
          <w:tcPr>
            <w:tcW w:w="408"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color w:val="000000"/>
                <w:sz w:val="20"/>
                <w:szCs w:val="20"/>
              </w:rPr>
            </w:pPr>
            <w:r w:rsidRPr="00B83605">
              <w:rPr>
                <w:rFonts w:eastAsia="Times New Roman" w:cs="Times New Roman"/>
                <w:color w:val="000000"/>
                <w:sz w:val="20"/>
                <w:szCs w:val="20"/>
              </w:rPr>
              <w:t>0,5%</w:t>
            </w:r>
          </w:p>
        </w:tc>
      </w:tr>
      <w:tr w:rsidR="00D313DF" w:rsidRPr="00B83605" w:rsidTr="00206BD2">
        <w:trPr>
          <w:trHeight w:val="765"/>
        </w:trPr>
        <w:tc>
          <w:tcPr>
            <w:tcW w:w="1327" w:type="pct"/>
            <w:tcBorders>
              <w:top w:val="nil"/>
              <w:left w:val="nil"/>
              <w:bottom w:val="nil"/>
              <w:right w:val="nil"/>
            </w:tcBorders>
            <w:shd w:val="clear" w:color="auto" w:fill="auto"/>
            <w:vAlign w:val="center"/>
            <w:hideMark/>
          </w:tcPr>
          <w:p w:rsidR="00D313DF" w:rsidRPr="00B83605" w:rsidRDefault="00D313DF" w:rsidP="00206BD2">
            <w:pPr>
              <w:spacing w:after="0"/>
              <w:jc w:val="left"/>
              <w:rPr>
                <w:rFonts w:eastAsia="Times New Roman" w:cs="Times New Roman"/>
                <w:color w:val="000000"/>
                <w:sz w:val="20"/>
                <w:szCs w:val="20"/>
              </w:rPr>
            </w:pPr>
            <w:r w:rsidRPr="00B83605">
              <w:rPr>
                <w:rFonts w:eastAsia="Times New Roman" w:cs="Times New Roman"/>
                <w:color w:val="000000"/>
                <w:sz w:val="20"/>
                <w:szCs w:val="20"/>
              </w:rPr>
              <w:t>Бруто образуване на основен капитал/публични инвестиции/</w:t>
            </w:r>
          </w:p>
        </w:tc>
        <w:tc>
          <w:tcPr>
            <w:tcW w:w="816"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color w:val="000000"/>
                <w:sz w:val="20"/>
                <w:szCs w:val="20"/>
              </w:rPr>
            </w:pPr>
            <w:r w:rsidRPr="00B83605">
              <w:rPr>
                <w:rFonts w:eastAsia="Times New Roman" w:cs="Times New Roman"/>
                <w:color w:val="000000"/>
                <w:sz w:val="20"/>
                <w:szCs w:val="20"/>
              </w:rPr>
              <w:t>3,0%</w:t>
            </w:r>
          </w:p>
        </w:tc>
        <w:tc>
          <w:tcPr>
            <w:tcW w:w="408"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color w:val="000000"/>
                <w:sz w:val="20"/>
                <w:szCs w:val="20"/>
              </w:rPr>
            </w:pPr>
            <w:r w:rsidRPr="00B83605">
              <w:rPr>
                <w:rFonts w:eastAsia="Times New Roman" w:cs="Times New Roman"/>
                <w:color w:val="000000"/>
                <w:sz w:val="20"/>
                <w:szCs w:val="20"/>
              </w:rPr>
              <w:t>3,1%</w:t>
            </w:r>
          </w:p>
        </w:tc>
        <w:tc>
          <w:tcPr>
            <w:tcW w:w="816"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color w:val="000000"/>
                <w:sz w:val="20"/>
                <w:szCs w:val="20"/>
              </w:rPr>
            </w:pPr>
            <w:r>
              <w:rPr>
                <w:rFonts w:eastAsia="Times New Roman" w:cs="Times New Roman"/>
                <w:color w:val="000000"/>
                <w:sz w:val="20"/>
                <w:szCs w:val="20"/>
              </w:rPr>
              <w:t>3</w:t>
            </w:r>
            <w:r w:rsidRPr="00B83605">
              <w:rPr>
                <w:rFonts w:eastAsia="Times New Roman" w:cs="Times New Roman"/>
                <w:color w:val="000000"/>
                <w:sz w:val="20"/>
                <w:szCs w:val="20"/>
              </w:rPr>
              <w:t>,</w:t>
            </w:r>
            <w:r>
              <w:rPr>
                <w:rFonts w:eastAsia="Times New Roman" w:cs="Times New Roman"/>
                <w:color w:val="000000"/>
                <w:sz w:val="20"/>
                <w:szCs w:val="20"/>
              </w:rPr>
              <w:t>4</w:t>
            </w:r>
            <w:r w:rsidRPr="00B83605">
              <w:rPr>
                <w:rFonts w:eastAsia="Times New Roman" w:cs="Times New Roman"/>
                <w:color w:val="000000"/>
                <w:sz w:val="20"/>
                <w:szCs w:val="20"/>
              </w:rPr>
              <w:t>%</w:t>
            </w:r>
          </w:p>
        </w:tc>
        <w:tc>
          <w:tcPr>
            <w:tcW w:w="408"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color w:val="000000"/>
                <w:sz w:val="20"/>
                <w:szCs w:val="20"/>
              </w:rPr>
            </w:pPr>
            <w:r w:rsidRPr="00B83605">
              <w:rPr>
                <w:rFonts w:eastAsia="Times New Roman" w:cs="Times New Roman"/>
                <w:color w:val="000000"/>
                <w:sz w:val="20"/>
                <w:szCs w:val="20"/>
                <w:lang w:val="en-US"/>
              </w:rPr>
              <w:t>2,8%</w:t>
            </w:r>
          </w:p>
        </w:tc>
        <w:tc>
          <w:tcPr>
            <w:tcW w:w="816"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color w:val="000000"/>
                <w:sz w:val="20"/>
                <w:szCs w:val="20"/>
              </w:rPr>
            </w:pPr>
            <w:r>
              <w:rPr>
                <w:rFonts w:eastAsia="Times New Roman" w:cs="Times New Roman"/>
                <w:color w:val="000000"/>
                <w:sz w:val="20"/>
                <w:szCs w:val="20"/>
              </w:rPr>
              <w:t>3</w:t>
            </w:r>
            <w:r w:rsidRPr="00B83605">
              <w:rPr>
                <w:rFonts w:eastAsia="Times New Roman" w:cs="Times New Roman"/>
                <w:color w:val="000000"/>
                <w:sz w:val="20"/>
                <w:szCs w:val="20"/>
              </w:rPr>
              <w:t>,</w:t>
            </w:r>
            <w:r>
              <w:rPr>
                <w:rFonts w:eastAsia="Times New Roman" w:cs="Times New Roman"/>
                <w:color w:val="000000"/>
                <w:sz w:val="20"/>
                <w:szCs w:val="20"/>
              </w:rPr>
              <w:t>9</w:t>
            </w:r>
            <w:r w:rsidRPr="00B83605">
              <w:rPr>
                <w:rFonts w:eastAsia="Times New Roman" w:cs="Times New Roman"/>
                <w:color w:val="000000"/>
                <w:sz w:val="20"/>
                <w:szCs w:val="20"/>
              </w:rPr>
              <w:t>%</w:t>
            </w:r>
          </w:p>
        </w:tc>
        <w:tc>
          <w:tcPr>
            <w:tcW w:w="408"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color w:val="000000"/>
                <w:sz w:val="20"/>
                <w:szCs w:val="20"/>
              </w:rPr>
            </w:pPr>
            <w:r w:rsidRPr="00B83605">
              <w:rPr>
                <w:rFonts w:eastAsia="Times New Roman" w:cs="Times New Roman"/>
                <w:color w:val="000000"/>
                <w:sz w:val="20"/>
                <w:szCs w:val="20"/>
              </w:rPr>
              <w:t>3,9%</w:t>
            </w:r>
          </w:p>
        </w:tc>
      </w:tr>
      <w:tr w:rsidR="00D313DF" w:rsidRPr="00B83605" w:rsidTr="00206BD2">
        <w:trPr>
          <w:trHeight w:val="285"/>
        </w:trPr>
        <w:tc>
          <w:tcPr>
            <w:tcW w:w="1327" w:type="pct"/>
            <w:tcBorders>
              <w:top w:val="nil"/>
              <w:left w:val="nil"/>
              <w:bottom w:val="nil"/>
              <w:right w:val="nil"/>
            </w:tcBorders>
            <w:shd w:val="clear" w:color="auto" w:fill="auto"/>
            <w:vAlign w:val="center"/>
            <w:hideMark/>
          </w:tcPr>
          <w:p w:rsidR="00D313DF" w:rsidRPr="00B83605" w:rsidRDefault="00D313DF" w:rsidP="00206BD2">
            <w:pPr>
              <w:spacing w:after="0"/>
              <w:jc w:val="left"/>
              <w:rPr>
                <w:rFonts w:eastAsia="Times New Roman" w:cs="Times New Roman"/>
                <w:b/>
                <w:bCs/>
                <w:color w:val="000000"/>
                <w:sz w:val="20"/>
                <w:szCs w:val="20"/>
              </w:rPr>
            </w:pPr>
            <w:r w:rsidRPr="00B83605">
              <w:rPr>
                <w:rFonts w:eastAsia="Times New Roman" w:cs="Times New Roman"/>
                <w:b/>
                <w:bCs/>
                <w:color w:val="000000"/>
                <w:sz w:val="20"/>
                <w:szCs w:val="20"/>
              </w:rPr>
              <w:t xml:space="preserve">Общо приходи </w:t>
            </w:r>
          </w:p>
        </w:tc>
        <w:tc>
          <w:tcPr>
            <w:tcW w:w="816"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34,</w:t>
            </w:r>
            <w:r>
              <w:rPr>
                <w:rFonts w:eastAsia="Times New Roman" w:cs="Times New Roman"/>
                <w:b/>
                <w:bCs/>
                <w:color w:val="000000"/>
                <w:sz w:val="20"/>
                <w:szCs w:val="20"/>
              </w:rPr>
              <w:t>2</w:t>
            </w:r>
            <w:r w:rsidRPr="00B83605">
              <w:rPr>
                <w:rFonts w:eastAsia="Times New Roman" w:cs="Times New Roman"/>
                <w:b/>
                <w:bCs/>
                <w:color w:val="000000"/>
                <w:sz w:val="20"/>
                <w:szCs w:val="20"/>
              </w:rPr>
              <w:t>%</w:t>
            </w:r>
          </w:p>
        </w:tc>
        <w:tc>
          <w:tcPr>
            <w:tcW w:w="408"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37,6%</w:t>
            </w:r>
          </w:p>
        </w:tc>
        <w:tc>
          <w:tcPr>
            <w:tcW w:w="816"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3</w:t>
            </w:r>
            <w:r>
              <w:rPr>
                <w:rFonts w:eastAsia="Times New Roman" w:cs="Times New Roman"/>
                <w:b/>
                <w:bCs/>
                <w:color w:val="000000"/>
                <w:sz w:val="20"/>
                <w:szCs w:val="20"/>
              </w:rPr>
              <w:t>5</w:t>
            </w:r>
            <w:r w:rsidRPr="00B83605">
              <w:rPr>
                <w:rFonts w:eastAsia="Times New Roman" w:cs="Times New Roman"/>
                <w:b/>
                <w:bCs/>
                <w:color w:val="000000"/>
                <w:sz w:val="20"/>
                <w:szCs w:val="20"/>
              </w:rPr>
              <w:t>,</w:t>
            </w:r>
            <w:r>
              <w:rPr>
                <w:rFonts w:eastAsia="Times New Roman" w:cs="Times New Roman"/>
                <w:b/>
                <w:bCs/>
                <w:color w:val="000000"/>
                <w:sz w:val="20"/>
                <w:szCs w:val="20"/>
              </w:rPr>
              <w:t>5</w:t>
            </w:r>
            <w:r w:rsidRPr="00B83605">
              <w:rPr>
                <w:rFonts w:eastAsia="Times New Roman" w:cs="Times New Roman"/>
                <w:b/>
                <w:bCs/>
                <w:color w:val="000000"/>
                <w:sz w:val="20"/>
                <w:szCs w:val="20"/>
              </w:rPr>
              <w:t>%</w:t>
            </w:r>
          </w:p>
        </w:tc>
        <w:tc>
          <w:tcPr>
            <w:tcW w:w="408"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37,4%</w:t>
            </w:r>
          </w:p>
        </w:tc>
        <w:tc>
          <w:tcPr>
            <w:tcW w:w="816"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3</w:t>
            </w:r>
            <w:r>
              <w:rPr>
                <w:rFonts w:eastAsia="Times New Roman" w:cs="Times New Roman"/>
                <w:b/>
                <w:bCs/>
                <w:color w:val="000000"/>
                <w:sz w:val="20"/>
                <w:szCs w:val="20"/>
              </w:rPr>
              <w:t>6</w:t>
            </w:r>
            <w:r w:rsidRPr="00B83605">
              <w:rPr>
                <w:rFonts w:eastAsia="Times New Roman" w:cs="Times New Roman"/>
                <w:b/>
                <w:bCs/>
                <w:color w:val="000000"/>
                <w:sz w:val="20"/>
                <w:szCs w:val="20"/>
              </w:rPr>
              <w:t>,</w:t>
            </w:r>
            <w:r>
              <w:rPr>
                <w:rFonts w:eastAsia="Times New Roman" w:cs="Times New Roman"/>
                <w:b/>
                <w:bCs/>
                <w:color w:val="000000"/>
                <w:sz w:val="20"/>
                <w:szCs w:val="20"/>
              </w:rPr>
              <w:t>1</w:t>
            </w:r>
            <w:r w:rsidRPr="00B83605">
              <w:rPr>
                <w:rFonts w:eastAsia="Times New Roman" w:cs="Times New Roman"/>
                <w:b/>
                <w:bCs/>
                <w:color w:val="000000"/>
                <w:sz w:val="20"/>
                <w:szCs w:val="20"/>
              </w:rPr>
              <w:t>%</w:t>
            </w:r>
          </w:p>
        </w:tc>
        <w:tc>
          <w:tcPr>
            <w:tcW w:w="408"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38,3%</w:t>
            </w:r>
          </w:p>
        </w:tc>
      </w:tr>
      <w:tr w:rsidR="00D313DF" w:rsidRPr="00B83605" w:rsidTr="00206BD2">
        <w:trPr>
          <w:trHeight w:val="285"/>
        </w:trPr>
        <w:tc>
          <w:tcPr>
            <w:tcW w:w="1327" w:type="pct"/>
            <w:tcBorders>
              <w:top w:val="nil"/>
              <w:left w:val="nil"/>
              <w:bottom w:val="nil"/>
              <w:right w:val="nil"/>
            </w:tcBorders>
            <w:shd w:val="clear" w:color="auto" w:fill="auto"/>
            <w:vAlign w:val="center"/>
            <w:hideMark/>
          </w:tcPr>
          <w:p w:rsidR="00D313DF" w:rsidRPr="00B83605" w:rsidRDefault="00D313DF" w:rsidP="00206BD2">
            <w:pPr>
              <w:spacing w:after="0"/>
              <w:jc w:val="left"/>
              <w:rPr>
                <w:rFonts w:eastAsia="Times New Roman" w:cs="Times New Roman"/>
                <w:b/>
                <w:bCs/>
                <w:color w:val="000000"/>
                <w:sz w:val="20"/>
                <w:szCs w:val="20"/>
              </w:rPr>
            </w:pPr>
            <w:r w:rsidRPr="00B83605">
              <w:rPr>
                <w:rFonts w:eastAsia="Times New Roman" w:cs="Times New Roman"/>
                <w:b/>
                <w:bCs/>
                <w:color w:val="000000"/>
                <w:sz w:val="20"/>
                <w:szCs w:val="20"/>
              </w:rPr>
              <w:t xml:space="preserve">Общо разходи  </w:t>
            </w:r>
          </w:p>
        </w:tc>
        <w:tc>
          <w:tcPr>
            <w:tcW w:w="816"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37,</w:t>
            </w:r>
            <w:r>
              <w:rPr>
                <w:rFonts w:eastAsia="Times New Roman" w:cs="Times New Roman"/>
                <w:b/>
                <w:bCs/>
                <w:color w:val="000000"/>
                <w:sz w:val="20"/>
                <w:szCs w:val="20"/>
              </w:rPr>
              <w:t>1</w:t>
            </w:r>
            <w:r w:rsidRPr="00B83605">
              <w:rPr>
                <w:rFonts w:eastAsia="Times New Roman" w:cs="Times New Roman"/>
                <w:b/>
                <w:bCs/>
                <w:color w:val="000000"/>
                <w:sz w:val="20"/>
                <w:szCs w:val="20"/>
              </w:rPr>
              <w:t>%</w:t>
            </w:r>
          </w:p>
        </w:tc>
        <w:tc>
          <w:tcPr>
            <w:tcW w:w="408"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40,6%</w:t>
            </w:r>
          </w:p>
        </w:tc>
        <w:tc>
          <w:tcPr>
            <w:tcW w:w="816"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3</w:t>
            </w:r>
            <w:r>
              <w:rPr>
                <w:rFonts w:eastAsia="Times New Roman" w:cs="Times New Roman"/>
                <w:b/>
                <w:bCs/>
                <w:color w:val="000000"/>
                <w:sz w:val="20"/>
                <w:szCs w:val="20"/>
              </w:rPr>
              <w:t>8</w:t>
            </w:r>
            <w:r w:rsidRPr="00B83605">
              <w:rPr>
                <w:rFonts w:eastAsia="Times New Roman" w:cs="Times New Roman"/>
                <w:b/>
                <w:bCs/>
                <w:color w:val="000000"/>
                <w:sz w:val="20"/>
                <w:szCs w:val="20"/>
              </w:rPr>
              <w:t>,</w:t>
            </w:r>
            <w:r>
              <w:rPr>
                <w:rFonts w:eastAsia="Times New Roman" w:cs="Times New Roman"/>
                <w:b/>
                <w:bCs/>
                <w:color w:val="000000"/>
                <w:sz w:val="20"/>
                <w:szCs w:val="20"/>
              </w:rPr>
              <w:t>4</w:t>
            </w:r>
            <w:r w:rsidRPr="00B83605">
              <w:rPr>
                <w:rFonts w:eastAsia="Times New Roman" w:cs="Times New Roman"/>
                <w:b/>
                <w:bCs/>
                <w:color w:val="000000"/>
                <w:sz w:val="20"/>
                <w:szCs w:val="20"/>
              </w:rPr>
              <w:t>%</w:t>
            </w:r>
          </w:p>
        </w:tc>
        <w:tc>
          <w:tcPr>
            <w:tcW w:w="408"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40,4%</w:t>
            </w:r>
          </w:p>
        </w:tc>
        <w:tc>
          <w:tcPr>
            <w:tcW w:w="816"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b/>
                <w:bCs/>
                <w:color w:val="000000"/>
                <w:sz w:val="20"/>
                <w:szCs w:val="20"/>
              </w:rPr>
            </w:pPr>
            <w:r>
              <w:rPr>
                <w:rFonts w:eastAsia="Times New Roman" w:cs="Times New Roman"/>
                <w:b/>
                <w:bCs/>
                <w:color w:val="000000"/>
                <w:sz w:val="20"/>
                <w:szCs w:val="20"/>
              </w:rPr>
              <w:t>39</w:t>
            </w:r>
            <w:r w:rsidRPr="00B83605">
              <w:rPr>
                <w:rFonts w:eastAsia="Times New Roman" w:cs="Times New Roman"/>
                <w:b/>
                <w:bCs/>
                <w:color w:val="000000"/>
                <w:sz w:val="20"/>
                <w:szCs w:val="20"/>
              </w:rPr>
              <w:t>,</w:t>
            </w:r>
            <w:r>
              <w:rPr>
                <w:rFonts w:eastAsia="Times New Roman" w:cs="Times New Roman"/>
                <w:b/>
                <w:bCs/>
                <w:color w:val="000000"/>
                <w:sz w:val="20"/>
                <w:szCs w:val="20"/>
              </w:rPr>
              <w:t>1</w:t>
            </w:r>
            <w:r w:rsidRPr="00B83605">
              <w:rPr>
                <w:rFonts w:eastAsia="Times New Roman" w:cs="Times New Roman"/>
                <w:b/>
                <w:bCs/>
                <w:color w:val="000000"/>
                <w:sz w:val="20"/>
                <w:szCs w:val="20"/>
              </w:rPr>
              <w:t>%</w:t>
            </w:r>
          </w:p>
        </w:tc>
        <w:tc>
          <w:tcPr>
            <w:tcW w:w="408"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41,6%</w:t>
            </w:r>
          </w:p>
        </w:tc>
      </w:tr>
      <w:tr w:rsidR="00D313DF" w:rsidRPr="00B83605" w:rsidTr="00206BD2">
        <w:trPr>
          <w:trHeight w:val="285"/>
        </w:trPr>
        <w:tc>
          <w:tcPr>
            <w:tcW w:w="1327" w:type="pct"/>
            <w:tcBorders>
              <w:top w:val="nil"/>
              <w:left w:val="nil"/>
              <w:bottom w:val="nil"/>
              <w:right w:val="nil"/>
            </w:tcBorders>
            <w:shd w:val="clear" w:color="auto" w:fill="auto"/>
            <w:vAlign w:val="center"/>
            <w:hideMark/>
          </w:tcPr>
          <w:p w:rsidR="00D313DF" w:rsidRPr="00B83605" w:rsidRDefault="00D313DF" w:rsidP="00206BD2">
            <w:pPr>
              <w:spacing w:after="0"/>
              <w:jc w:val="left"/>
              <w:rPr>
                <w:rFonts w:eastAsia="Times New Roman" w:cs="Times New Roman"/>
                <w:b/>
                <w:bCs/>
                <w:color w:val="000000"/>
                <w:sz w:val="20"/>
                <w:szCs w:val="20"/>
              </w:rPr>
            </w:pPr>
            <w:r w:rsidRPr="00B83605">
              <w:rPr>
                <w:rFonts w:eastAsia="Times New Roman" w:cs="Times New Roman"/>
                <w:b/>
                <w:bCs/>
                <w:color w:val="000000"/>
                <w:sz w:val="20"/>
                <w:szCs w:val="20"/>
              </w:rPr>
              <w:t xml:space="preserve">Общ баланс </w:t>
            </w:r>
          </w:p>
        </w:tc>
        <w:tc>
          <w:tcPr>
            <w:tcW w:w="816"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-2,9%</w:t>
            </w:r>
          </w:p>
        </w:tc>
        <w:tc>
          <w:tcPr>
            <w:tcW w:w="408"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-3,0%</w:t>
            </w:r>
          </w:p>
        </w:tc>
        <w:tc>
          <w:tcPr>
            <w:tcW w:w="816"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-2,9%</w:t>
            </w:r>
          </w:p>
        </w:tc>
        <w:tc>
          <w:tcPr>
            <w:tcW w:w="408"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-3,0%</w:t>
            </w:r>
          </w:p>
        </w:tc>
        <w:tc>
          <w:tcPr>
            <w:tcW w:w="816"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-3,0%</w:t>
            </w:r>
          </w:p>
        </w:tc>
        <w:tc>
          <w:tcPr>
            <w:tcW w:w="408" w:type="pct"/>
            <w:tcBorders>
              <w:top w:val="nil"/>
              <w:left w:val="nil"/>
              <w:bottom w:val="nil"/>
              <w:right w:val="nil"/>
            </w:tcBorders>
            <w:shd w:val="clear" w:color="auto" w:fill="auto"/>
            <w:noWrap/>
            <w:vAlign w:val="center"/>
            <w:hideMark/>
          </w:tcPr>
          <w:p w:rsidR="00D313DF" w:rsidRPr="00B83605" w:rsidRDefault="00D313DF" w:rsidP="00206BD2">
            <w:pPr>
              <w:spacing w:after="0"/>
              <w:jc w:val="center"/>
              <w:rPr>
                <w:rFonts w:eastAsia="Times New Roman" w:cs="Times New Roman"/>
                <w:b/>
                <w:bCs/>
                <w:color w:val="000000"/>
                <w:sz w:val="20"/>
                <w:szCs w:val="20"/>
              </w:rPr>
            </w:pPr>
            <w:r w:rsidRPr="00B83605">
              <w:rPr>
                <w:rFonts w:eastAsia="Times New Roman" w:cs="Times New Roman"/>
                <w:b/>
                <w:bCs/>
                <w:color w:val="000000"/>
                <w:sz w:val="20"/>
                <w:szCs w:val="20"/>
              </w:rPr>
              <w:t>-3,2%</w:t>
            </w:r>
          </w:p>
        </w:tc>
      </w:tr>
      <w:tr w:rsidR="00D313DF" w:rsidRPr="00B83605" w:rsidTr="00206BD2">
        <w:trPr>
          <w:trHeight w:val="525"/>
        </w:trPr>
        <w:tc>
          <w:tcPr>
            <w:tcW w:w="1327" w:type="pct"/>
            <w:tcBorders>
              <w:top w:val="nil"/>
              <w:left w:val="nil"/>
              <w:bottom w:val="single" w:sz="8" w:space="0" w:color="auto"/>
              <w:right w:val="nil"/>
            </w:tcBorders>
            <w:shd w:val="clear" w:color="auto" w:fill="auto"/>
            <w:vAlign w:val="center"/>
            <w:hideMark/>
          </w:tcPr>
          <w:p w:rsidR="00D313DF" w:rsidRPr="00B83605" w:rsidRDefault="00D313DF" w:rsidP="00206BD2">
            <w:pPr>
              <w:spacing w:after="0"/>
              <w:jc w:val="left"/>
              <w:rPr>
                <w:rFonts w:eastAsia="Times New Roman" w:cs="Times New Roman"/>
                <w:color w:val="000000"/>
                <w:sz w:val="20"/>
                <w:szCs w:val="20"/>
              </w:rPr>
            </w:pPr>
            <w:r w:rsidRPr="00B83605">
              <w:rPr>
                <w:rFonts w:eastAsia="Times New Roman" w:cs="Times New Roman"/>
                <w:color w:val="000000"/>
                <w:sz w:val="20"/>
                <w:szCs w:val="20"/>
              </w:rPr>
              <w:t>Правителствено потребление (изменение на годишна база)</w:t>
            </w:r>
          </w:p>
        </w:tc>
        <w:tc>
          <w:tcPr>
            <w:tcW w:w="816" w:type="pct"/>
            <w:tcBorders>
              <w:top w:val="nil"/>
              <w:left w:val="nil"/>
              <w:bottom w:val="single" w:sz="8" w:space="0" w:color="auto"/>
              <w:right w:val="nil"/>
            </w:tcBorders>
            <w:shd w:val="clear" w:color="auto" w:fill="auto"/>
            <w:noWrap/>
            <w:vAlign w:val="center"/>
            <w:hideMark/>
          </w:tcPr>
          <w:p w:rsidR="00D313DF" w:rsidRPr="00B83605" w:rsidRDefault="00D313DF" w:rsidP="00206BD2">
            <w:pPr>
              <w:spacing w:after="0"/>
              <w:jc w:val="center"/>
              <w:rPr>
                <w:rFonts w:eastAsia="Times New Roman" w:cs="Times New Roman"/>
                <w:color w:val="000000"/>
                <w:sz w:val="20"/>
                <w:szCs w:val="20"/>
              </w:rPr>
            </w:pPr>
            <w:r w:rsidRPr="00B83605">
              <w:rPr>
                <w:rFonts w:eastAsia="Times New Roman" w:cs="Times New Roman"/>
                <w:color w:val="000000"/>
                <w:sz w:val="20"/>
                <w:szCs w:val="20"/>
              </w:rPr>
              <w:t>8,8%</w:t>
            </w:r>
          </w:p>
        </w:tc>
        <w:tc>
          <w:tcPr>
            <w:tcW w:w="408" w:type="pct"/>
            <w:tcBorders>
              <w:top w:val="nil"/>
              <w:left w:val="nil"/>
              <w:bottom w:val="single" w:sz="8" w:space="0" w:color="auto"/>
              <w:right w:val="nil"/>
            </w:tcBorders>
            <w:shd w:val="clear" w:color="auto" w:fill="auto"/>
            <w:noWrap/>
            <w:vAlign w:val="center"/>
            <w:hideMark/>
          </w:tcPr>
          <w:p w:rsidR="00D313DF" w:rsidRPr="00B83605" w:rsidRDefault="00D313DF" w:rsidP="00206BD2">
            <w:pPr>
              <w:spacing w:after="0"/>
              <w:jc w:val="center"/>
              <w:rPr>
                <w:rFonts w:eastAsia="Times New Roman" w:cs="Times New Roman"/>
                <w:color w:val="000000"/>
                <w:sz w:val="20"/>
                <w:szCs w:val="20"/>
              </w:rPr>
            </w:pPr>
            <w:r w:rsidRPr="00B83605">
              <w:rPr>
                <w:rFonts w:eastAsia="Times New Roman" w:cs="Times New Roman"/>
                <w:color w:val="000000"/>
                <w:sz w:val="20"/>
                <w:szCs w:val="20"/>
              </w:rPr>
              <w:t>3,8%</w:t>
            </w:r>
          </w:p>
        </w:tc>
        <w:tc>
          <w:tcPr>
            <w:tcW w:w="816" w:type="pct"/>
            <w:tcBorders>
              <w:top w:val="nil"/>
              <w:left w:val="nil"/>
              <w:bottom w:val="single" w:sz="8" w:space="0" w:color="auto"/>
              <w:right w:val="nil"/>
            </w:tcBorders>
            <w:shd w:val="clear" w:color="auto" w:fill="auto"/>
            <w:noWrap/>
            <w:vAlign w:val="center"/>
            <w:hideMark/>
          </w:tcPr>
          <w:p w:rsidR="00D313DF" w:rsidRPr="00B83605" w:rsidRDefault="00D313DF" w:rsidP="00206BD2">
            <w:pPr>
              <w:spacing w:after="0"/>
              <w:jc w:val="center"/>
              <w:rPr>
                <w:rFonts w:eastAsia="Times New Roman" w:cs="Times New Roman"/>
                <w:color w:val="000000"/>
                <w:sz w:val="20"/>
                <w:szCs w:val="20"/>
              </w:rPr>
            </w:pPr>
            <w:r w:rsidRPr="00B83605">
              <w:rPr>
                <w:rFonts w:eastAsia="Times New Roman" w:cs="Times New Roman"/>
                <w:color w:val="000000"/>
                <w:sz w:val="20"/>
                <w:szCs w:val="20"/>
              </w:rPr>
              <w:t>6,6%</w:t>
            </w:r>
          </w:p>
        </w:tc>
        <w:tc>
          <w:tcPr>
            <w:tcW w:w="408" w:type="pct"/>
            <w:tcBorders>
              <w:top w:val="nil"/>
              <w:left w:val="nil"/>
              <w:bottom w:val="single" w:sz="8" w:space="0" w:color="auto"/>
              <w:right w:val="nil"/>
            </w:tcBorders>
            <w:shd w:val="clear" w:color="auto" w:fill="auto"/>
            <w:noWrap/>
            <w:vAlign w:val="center"/>
            <w:hideMark/>
          </w:tcPr>
          <w:p w:rsidR="00D313DF" w:rsidRPr="00B83605" w:rsidRDefault="00D313DF" w:rsidP="00206BD2">
            <w:pPr>
              <w:spacing w:after="0"/>
              <w:jc w:val="center"/>
              <w:rPr>
                <w:rFonts w:eastAsia="Times New Roman" w:cs="Times New Roman"/>
                <w:color w:val="000000"/>
                <w:sz w:val="20"/>
                <w:szCs w:val="20"/>
              </w:rPr>
            </w:pPr>
            <w:r w:rsidRPr="00B83605">
              <w:rPr>
                <w:rFonts w:eastAsia="Times New Roman" w:cs="Times New Roman"/>
                <w:color w:val="000000"/>
                <w:sz w:val="20"/>
                <w:szCs w:val="20"/>
              </w:rPr>
              <w:t>5,2%</w:t>
            </w:r>
          </w:p>
        </w:tc>
        <w:tc>
          <w:tcPr>
            <w:tcW w:w="816" w:type="pct"/>
            <w:tcBorders>
              <w:top w:val="nil"/>
              <w:left w:val="nil"/>
              <w:bottom w:val="single" w:sz="8" w:space="0" w:color="auto"/>
              <w:right w:val="nil"/>
            </w:tcBorders>
            <w:shd w:val="clear" w:color="auto" w:fill="auto"/>
            <w:noWrap/>
            <w:vAlign w:val="center"/>
            <w:hideMark/>
          </w:tcPr>
          <w:p w:rsidR="00D313DF" w:rsidRPr="00B83605" w:rsidRDefault="00D313DF" w:rsidP="00206BD2">
            <w:pPr>
              <w:spacing w:after="0"/>
              <w:jc w:val="center"/>
              <w:rPr>
                <w:rFonts w:eastAsia="Times New Roman" w:cs="Times New Roman"/>
                <w:color w:val="000000"/>
                <w:sz w:val="20"/>
                <w:szCs w:val="20"/>
              </w:rPr>
            </w:pPr>
            <w:r w:rsidRPr="00B83605">
              <w:rPr>
                <w:rFonts w:eastAsia="Times New Roman" w:cs="Times New Roman"/>
                <w:color w:val="000000"/>
                <w:sz w:val="20"/>
                <w:szCs w:val="20"/>
              </w:rPr>
              <w:t>4,2%</w:t>
            </w:r>
          </w:p>
        </w:tc>
        <w:tc>
          <w:tcPr>
            <w:tcW w:w="408" w:type="pct"/>
            <w:tcBorders>
              <w:top w:val="nil"/>
              <w:left w:val="nil"/>
              <w:bottom w:val="single" w:sz="8" w:space="0" w:color="auto"/>
              <w:right w:val="nil"/>
            </w:tcBorders>
            <w:shd w:val="clear" w:color="auto" w:fill="auto"/>
            <w:noWrap/>
            <w:vAlign w:val="center"/>
            <w:hideMark/>
          </w:tcPr>
          <w:p w:rsidR="00D313DF" w:rsidRPr="00B83605" w:rsidRDefault="00D313DF" w:rsidP="00206BD2">
            <w:pPr>
              <w:spacing w:after="0"/>
              <w:jc w:val="center"/>
              <w:rPr>
                <w:rFonts w:eastAsia="Times New Roman" w:cs="Times New Roman"/>
                <w:color w:val="000000"/>
                <w:sz w:val="20"/>
                <w:szCs w:val="20"/>
              </w:rPr>
            </w:pPr>
            <w:r w:rsidRPr="00B83605">
              <w:rPr>
                <w:rFonts w:eastAsia="Times New Roman" w:cs="Times New Roman"/>
                <w:color w:val="000000"/>
                <w:sz w:val="20"/>
                <w:szCs w:val="20"/>
              </w:rPr>
              <w:t>5,1%</w:t>
            </w:r>
          </w:p>
        </w:tc>
      </w:tr>
    </w:tbl>
    <w:p w:rsidR="00262669" w:rsidRDefault="00BF37A9" w:rsidP="00B60042">
      <w:pPr>
        <w:spacing w:before="120" w:after="120"/>
        <w:ind w:left="1411" w:hanging="1411"/>
        <w:jc w:val="right"/>
        <w:rPr>
          <w:sz w:val="18"/>
          <w:szCs w:val="18"/>
        </w:rPr>
      </w:pPr>
      <w:r w:rsidRPr="007C00B6">
        <w:rPr>
          <w:sz w:val="18"/>
          <w:szCs w:val="18"/>
        </w:rPr>
        <w:t>Източник: ЕК, МФ, НСИ</w:t>
      </w:r>
    </w:p>
    <w:p w:rsidR="00E97396" w:rsidRDefault="00E97396" w:rsidP="00B60042">
      <w:pPr>
        <w:spacing w:before="120" w:after="120"/>
        <w:ind w:left="1411" w:hanging="1411"/>
        <w:jc w:val="right"/>
        <w:rPr>
          <w:rFonts w:eastAsia="Times New Roman" w:cs="Times New Roman"/>
          <w:sz w:val="18"/>
          <w:szCs w:val="18"/>
        </w:rPr>
      </w:pPr>
    </w:p>
    <w:p w:rsidR="00DD0DC1" w:rsidRPr="00802354" w:rsidRDefault="00DD0DC1" w:rsidP="00B60042">
      <w:pPr>
        <w:spacing w:before="120" w:after="120"/>
        <w:ind w:left="1411" w:hanging="1411"/>
        <w:jc w:val="right"/>
        <w:rPr>
          <w:rFonts w:eastAsia="Times New Roman" w:cs="Times New Roman"/>
          <w:sz w:val="18"/>
          <w:szCs w:val="18"/>
        </w:rPr>
      </w:pPr>
    </w:p>
    <w:p w:rsidR="00E1730E" w:rsidRPr="00006A45" w:rsidRDefault="00531E97" w:rsidP="00E1730E">
      <w:pPr>
        <w:pStyle w:val="Heading3"/>
        <w:ind w:left="0"/>
        <w:rPr>
          <w:rStyle w:val="Strong"/>
          <w:b/>
          <w:bCs/>
        </w:rPr>
      </w:pPr>
      <w:r>
        <w:rPr>
          <w:rStyle w:val="Strong"/>
          <w:b/>
          <w:bCs/>
        </w:rPr>
        <w:t>К</w:t>
      </w:r>
      <w:r w:rsidR="00E1730E" w:rsidRPr="00006A45">
        <w:rPr>
          <w:rStyle w:val="Strong"/>
          <w:b/>
          <w:bCs/>
        </w:rPr>
        <w:t>онсолидиран дълг на сектор „държавно управление“</w:t>
      </w:r>
    </w:p>
    <w:p w:rsidR="004A2A3B" w:rsidRPr="00DB4A77" w:rsidRDefault="004A2A3B" w:rsidP="004A2A3B">
      <w:pPr>
        <w:rPr>
          <w:rFonts w:cs="Times New Roman"/>
          <w:szCs w:val="24"/>
        </w:rPr>
      </w:pPr>
      <w:r>
        <w:rPr>
          <w:rFonts w:cs="Times New Roman"/>
          <w:szCs w:val="24"/>
        </w:rPr>
        <w:t>Въз основа на</w:t>
      </w:r>
      <w:r w:rsidRPr="00DB4A77">
        <w:rPr>
          <w:rFonts w:cs="Times New Roman"/>
          <w:szCs w:val="24"/>
          <w:lang w:val="en-US"/>
        </w:rPr>
        <w:t xml:space="preserve"> </w:t>
      </w:r>
      <w:r w:rsidRPr="00DB4A77">
        <w:rPr>
          <w:rFonts w:cs="Times New Roman"/>
          <w:szCs w:val="24"/>
        </w:rPr>
        <w:t xml:space="preserve">последните </w:t>
      </w:r>
      <w:r>
        <w:t xml:space="preserve">официално оповестени </w:t>
      </w:r>
      <w:r w:rsidRPr="00DB4A77">
        <w:rPr>
          <w:rFonts w:cs="Times New Roman"/>
          <w:szCs w:val="24"/>
        </w:rPr>
        <w:t xml:space="preserve">от Евростат годишни данни от </w:t>
      </w:r>
      <w:r>
        <w:rPr>
          <w:rFonts w:cs="Times New Roman"/>
          <w:szCs w:val="24"/>
        </w:rPr>
        <w:t>октомврийските</w:t>
      </w:r>
      <w:r w:rsidRPr="00DB4A77">
        <w:rPr>
          <w:rFonts w:cs="Times New Roman"/>
          <w:szCs w:val="24"/>
        </w:rPr>
        <w:t xml:space="preserve"> Нотификационни таблици за дефицита/излишъка и дълга на България, в края на 2022 г. дългът на сектор „Държавно управление“ отбелязва ръст в номинално изражение спрямо нивото от предходната година, но като дял от БВП показателят се подобрява. Стойността на дълга на сектора достига до 37,</w:t>
      </w:r>
      <w:r>
        <w:rPr>
          <w:rFonts w:cs="Times New Roman"/>
          <w:szCs w:val="24"/>
        </w:rPr>
        <w:t>9</w:t>
      </w:r>
      <w:r w:rsidRPr="00DB4A77">
        <w:rPr>
          <w:rFonts w:cs="Times New Roman"/>
          <w:szCs w:val="24"/>
        </w:rPr>
        <w:t xml:space="preserve"> млрд. лв. в края на 2022 г. (при 33,3 млрд. лв. в края на 2021 г.), а като дял от БВП </w:t>
      </w:r>
      <w:r>
        <w:rPr>
          <w:rFonts w:cs="Times New Roman"/>
          <w:szCs w:val="24"/>
        </w:rPr>
        <w:t>отбелязва спад с 1,3 пр.п.</w:t>
      </w:r>
      <w:r w:rsidRPr="00DB4A77">
        <w:rPr>
          <w:rFonts w:cs="Times New Roman"/>
          <w:szCs w:val="24"/>
        </w:rPr>
        <w:t xml:space="preserve"> </w:t>
      </w:r>
      <w:r>
        <w:rPr>
          <w:rFonts w:cs="Times New Roman"/>
          <w:szCs w:val="24"/>
        </w:rPr>
        <w:t>до</w:t>
      </w:r>
      <w:r w:rsidRPr="00DB4A77">
        <w:rPr>
          <w:rFonts w:cs="Times New Roman"/>
          <w:szCs w:val="24"/>
        </w:rPr>
        <w:t xml:space="preserve"> ниво от 22,</w:t>
      </w:r>
      <w:r>
        <w:rPr>
          <w:rFonts w:cs="Times New Roman"/>
          <w:szCs w:val="24"/>
        </w:rPr>
        <w:t>6</w:t>
      </w:r>
      <w:r w:rsidRPr="00DB4A77">
        <w:rPr>
          <w:rFonts w:cs="Times New Roman"/>
          <w:szCs w:val="24"/>
        </w:rPr>
        <w:t>% (при 23,9% към 31.12.2021 г.)</w:t>
      </w:r>
      <w:r w:rsidRPr="00DB4A77">
        <w:rPr>
          <w:rFonts w:cs="Times New Roman"/>
          <w:szCs w:val="24"/>
          <w:lang w:val="en-US"/>
        </w:rPr>
        <w:t>.</w:t>
      </w:r>
      <w:r w:rsidRPr="00DB4A77">
        <w:rPr>
          <w:rFonts w:cs="Times New Roman"/>
          <w:szCs w:val="24"/>
        </w:rPr>
        <w:t xml:space="preserve"> При отделните компоненти, формиращи дълга на сектора, най-значителен ръст отчита дългът на подсектор „Централно управление“, като основен принос за това има държавният дълг. </w:t>
      </w:r>
    </w:p>
    <w:p w:rsidR="006D0A5D" w:rsidRDefault="004A2A3B" w:rsidP="006A0EBD">
      <w:pPr>
        <w:rPr>
          <w:rFonts w:cs="Times New Roman"/>
          <w:szCs w:val="24"/>
        </w:rPr>
      </w:pPr>
      <w:r>
        <w:rPr>
          <w:rFonts w:cs="Times New Roman"/>
          <w:szCs w:val="24"/>
        </w:rPr>
        <w:t>Съгласно</w:t>
      </w:r>
      <w:r w:rsidRPr="00DB4A77">
        <w:rPr>
          <w:rFonts w:cs="Times New Roman"/>
          <w:szCs w:val="24"/>
        </w:rPr>
        <w:t xml:space="preserve"> </w:t>
      </w:r>
      <w:r>
        <w:rPr>
          <w:rFonts w:cs="Times New Roman"/>
          <w:szCs w:val="24"/>
        </w:rPr>
        <w:t>публикуваните</w:t>
      </w:r>
      <w:r w:rsidRPr="00DB4A77">
        <w:rPr>
          <w:rFonts w:cs="Times New Roman"/>
          <w:szCs w:val="24"/>
        </w:rPr>
        <w:t xml:space="preserve"> данни Република България се нарежда на</w:t>
      </w:r>
      <w:r>
        <w:rPr>
          <w:rFonts w:cs="Times New Roman"/>
          <w:szCs w:val="24"/>
        </w:rPr>
        <w:t xml:space="preserve"> </w:t>
      </w:r>
      <w:r w:rsidRPr="00DB4A77">
        <w:rPr>
          <w:rFonts w:cs="Times New Roman"/>
          <w:szCs w:val="24"/>
        </w:rPr>
        <w:t>второ място</w:t>
      </w:r>
      <w:r w:rsidRPr="00DB4A77">
        <w:rPr>
          <w:rFonts w:cs="Times New Roman"/>
          <w:szCs w:val="24"/>
          <w:lang w:val="en-US"/>
        </w:rPr>
        <w:t xml:space="preserve"> </w:t>
      </w:r>
      <w:r w:rsidRPr="00DB4A77">
        <w:rPr>
          <w:rFonts w:cs="Times New Roman"/>
          <w:szCs w:val="24"/>
        </w:rPr>
        <w:t>сред държавите-членки на ЕС по ниво на съотношението „дълг/БВП“ за 2022 г., като средните нива за страните в Еврозоната и на ниво ЕС представляват съответно 91,</w:t>
      </w:r>
      <w:r>
        <w:rPr>
          <w:rFonts w:cs="Times New Roman"/>
          <w:szCs w:val="24"/>
        </w:rPr>
        <w:t>0</w:t>
      </w:r>
      <w:r w:rsidRPr="00DB4A77">
        <w:rPr>
          <w:rFonts w:cs="Times New Roman"/>
          <w:szCs w:val="24"/>
        </w:rPr>
        <w:t>% и 8</w:t>
      </w:r>
      <w:r>
        <w:rPr>
          <w:rFonts w:cs="Times New Roman"/>
          <w:szCs w:val="24"/>
        </w:rPr>
        <w:t>3</w:t>
      </w:r>
      <w:r w:rsidRPr="00DB4A77">
        <w:rPr>
          <w:rFonts w:cs="Times New Roman"/>
          <w:szCs w:val="24"/>
        </w:rPr>
        <w:t>,</w:t>
      </w:r>
      <w:r>
        <w:rPr>
          <w:rFonts w:cs="Times New Roman"/>
          <w:szCs w:val="24"/>
        </w:rPr>
        <w:t>5</w:t>
      </w:r>
      <w:r w:rsidRPr="00DB4A77">
        <w:rPr>
          <w:rFonts w:cs="Times New Roman"/>
          <w:szCs w:val="24"/>
        </w:rPr>
        <w:t>%</w:t>
      </w:r>
      <w:r w:rsidRPr="00DB4A77">
        <w:rPr>
          <w:rFonts w:cs="Times New Roman"/>
          <w:szCs w:val="24"/>
          <w:lang w:val="en-US"/>
        </w:rPr>
        <w:t>.</w:t>
      </w:r>
      <w:r>
        <w:rPr>
          <w:rFonts w:cs="Times New Roman"/>
          <w:szCs w:val="24"/>
          <w:lang w:val="en-US"/>
        </w:rPr>
        <w:t xml:space="preserve"> </w:t>
      </w:r>
      <w:r w:rsidRPr="002F43D6">
        <w:rPr>
          <w:rFonts w:cs="Times New Roman"/>
          <w:szCs w:val="24"/>
        </w:rPr>
        <w:t xml:space="preserve">Тази </w:t>
      </w:r>
      <w:r>
        <w:rPr>
          <w:rFonts w:cs="Times New Roman"/>
          <w:szCs w:val="24"/>
        </w:rPr>
        <w:t>позиция се запазва и к</w:t>
      </w:r>
      <w:r w:rsidRPr="00FC4A76">
        <w:rPr>
          <w:rFonts w:cs="Times New Roman"/>
          <w:szCs w:val="24"/>
        </w:rPr>
        <w:t xml:space="preserve">ъм края на </w:t>
      </w:r>
      <w:r w:rsidR="00DB7FB8">
        <w:rPr>
          <w:rFonts w:cs="Times New Roman"/>
          <w:szCs w:val="24"/>
        </w:rPr>
        <w:t>второто</w:t>
      </w:r>
      <w:r w:rsidRPr="00FC4A76">
        <w:rPr>
          <w:rFonts w:cs="Times New Roman"/>
          <w:szCs w:val="24"/>
        </w:rPr>
        <w:t xml:space="preserve"> тримесечие на 2023 г.</w:t>
      </w:r>
      <w:r>
        <w:rPr>
          <w:rFonts w:cs="Times New Roman"/>
          <w:szCs w:val="24"/>
        </w:rPr>
        <w:t>, като</w:t>
      </w:r>
      <w:r w:rsidRPr="00FC4A76">
        <w:rPr>
          <w:rFonts w:cs="Times New Roman"/>
          <w:szCs w:val="24"/>
        </w:rPr>
        <w:t xml:space="preserve"> съотношение</w:t>
      </w:r>
      <w:r>
        <w:rPr>
          <w:rFonts w:cs="Times New Roman"/>
          <w:szCs w:val="24"/>
        </w:rPr>
        <w:t>то на</w:t>
      </w:r>
      <w:r w:rsidRPr="00FC4A76">
        <w:rPr>
          <w:rFonts w:cs="Times New Roman"/>
          <w:szCs w:val="24"/>
        </w:rPr>
        <w:t xml:space="preserve"> дълг</w:t>
      </w:r>
      <w:r>
        <w:rPr>
          <w:rFonts w:cs="Times New Roman"/>
          <w:szCs w:val="24"/>
        </w:rPr>
        <w:t>а</w:t>
      </w:r>
      <w:r w:rsidRPr="00FC4A76">
        <w:rPr>
          <w:rFonts w:cs="Times New Roman"/>
          <w:szCs w:val="24"/>
        </w:rPr>
        <w:t xml:space="preserve"> на сектор „Държавно управление“ към БВП </w:t>
      </w:r>
      <w:r>
        <w:rPr>
          <w:rFonts w:cs="Times New Roman"/>
          <w:szCs w:val="24"/>
        </w:rPr>
        <w:t>възлиза на</w:t>
      </w:r>
      <w:r w:rsidRPr="00FC4A76">
        <w:rPr>
          <w:rFonts w:cs="Times New Roman"/>
          <w:szCs w:val="24"/>
        </w:rPr>
        <w:t xml:space="preserve"> 2</w:t>
      </w:r>
      <w:r w:rsidR="00DB7FB8">
        <w:rPr>
          <w:rFonts w:cs="Times New Roman"/>
          <w:szCs w:val="24"/>
        </w:rPr>
        <w:t>1</w:t>
      </w:r>
      <w:r w:rsidRPr="00FC4A76">
        <w:rPr>
          <w:rFonts w:cs="Times New Roman"/>
          <w:szCs w:val="24"/>
        </w:rPr>
        <w:t>,5%, при средно за ЕС - 83,</w:t>
      </w:r>
      <w:r w:rsidR="00DB7FB8">
        <w:rPr>
          <w:rFonts w:cs="Times New Roman"/>
          <w:szCs w:val="24"/>
        </w:rPr>
        <w:t>1</w:t>
      </w:r>
      <w:r w:rsidRPr="00FC4A76">
        <w:rPr>
          <w:rFonts w:cs="Times New Roman"/>
          <w:szCs w:val="24"/>
        </w:rPr>
        <w:t>%.</w:t>
      </w:r>
    </w:p>
    <w:p w:rsidR="004A2A3B" w:rsidRPr="004A2A3B" w:rsidRDefault="0087105F" w:rsidP="004A2A3B">
      <w:pPr>
        <w:pStyle w:val="Caption"/>
        <w:spacing w:after="60"/>
      </w:pPr>
      <w:r w:rsidRPr="00006A45">
        <w:t xml:space="preserve">Граф. </w:t>
      </w:r>
      <w:fldSimple w:instr=" STYLEREF 1 \s ">
        <w:r w:rsidR="005A69ED">
          <w:rPr>
            <w:noProof/>
          </w:rPr>
          <w:t>II</w:t>
        </w:r>
      </w:fldSimple>
      <w:r w:rsidRPr="00006A45">
        <w:noBreakHyphen/>
      </w:r>
      <w:fldSimple w:instr=" SEQ Граф. \* ARABIC \s 1 ">
        <w:r w:rsidR="005A69ED">
          <w:rPr>
            <w:noProof/>
          </w:rPr>
          <w:t>1</w:t>
        </w:r>
      </w:fldSimple>
      <w:r w:rsidRPr="00006A45">
        <w:t>:</w:t>
      </w:r>
      <w:r w:rsidRPr="00006A45">
        <w:tab/>
        <w:t>Консолидиран дълг на сектор „Държавно управление“</w:t>
      </w:r>
      <w:r w:rsidR="004A2A3B">
        <w:rPr>
          <w:b w:val="0"/>
        </w:rPr>
        <w:t>/</w:t>
      </w:r>
      <w:r w:rsidR="004A2A3B" w:rsidRPr="004A2A3B">
        <w:t>БВП на страните-членки на ЕС към второ</w:t>
      </w:r>
      <w:r w:rsidR="006C517D">
        <w:t>то</w:t>
      </w:r>
      <w:r w:rsidR="004A2A3B" w:rsidRPr="004A2A3B">
        <w:t xml:space="preserve"> тримесечие на 202</w:t>
      </w:r>
      <w:r w:rsidR="00DB7FB8">
        <w:t>3</w:t>
      </w:r>
      <w:r w:rsidR="004A2A3B" w:rsidRPr="004A2A3B">
        <w:t xml:space="preserve"> г.</w:t>
      </w:r>
    </w:p>
    <w:p w:rsidR="007930E7" w:rsidRDefault="007930E7" w:rsidP="007930E7">
      <w:pPr>
        <w:pStyle w:val="Caption"/>
        <w:spacing w:after="60"/>
        <w:ind w:left="0" w:firstLine="0"/>
      </w:pPr>
    </w:p>
    <w:p w:rsidR="00317784" w:rsidRDefault="004A2A3B" w:rsidP="004A2A3B">
      <w:r>
        <w:rPr>
          <w:noProof/>
        </w:rPr>
        <w:drawing>
          <wp:inline distT="0" distB="0" distL="0" distR="0" wp14:anchorId="6A3D4CD9" wp14:editId="4CBA1353">
            <wp:extent cx="5785485" cy="3310255"/>
            <wp:effectExtent l="0" t="0" r="5715"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85485" cy="3310255"/>
                    </a:xfrm>
                    <a:prstGeom prst="rect">
                      <a:avLst/>
                    </a:prstGeom>
                    <a:noFill/>
                  </pic:spPr>
                </pic:pic>
              </a:graphicData>
            </a:graphic>
          </wp:inline>
        </w:drawing>
      </w:r>
    </w:p>
    <w:p w:rsidR="0087105F" w:rsidRDefault="00DC6E2B" w:rsidP="00DC6E2B">
      <w:pPr>
        <w:jc w:val="right"/>
        <w:rPr>
          <w:rFonts w:eastAsia="Batang" w:cs="Times New Roman"/>
          <w:sz w:val="16"/>
          <w:szCs w:val="16"/>
        </w:rPr>
      </w:pPr>
      <w:r>
        <w:rPr>
          <w:rFonts w:eastAsia="Batang" w:cs="Times New Roman"/>
          <w:sz w:val="18"/>
          <w:szCs w:val="18"/>
        </w:rPr>
        <w:t>Източник</w:t>
      </w:r>
      <w:r w:rsidRPr="00317784">
        <w:rPr>
          <w:rFonts w:eastAsia="Batang" w:cs="Times New Roman"/>
          <w:sz w:val="18"/>
          <w:szCs w:val="18"/>
        </w:rPr>
        <w:t xml:space="preserve">: </w:t>
      </w:r>
      <w:r w:rsidRPr="007C00B6">
        <w:rPr>
          <w:rFonts w:eastAsia="Batang" w:cs="Times New Roman"/>
          <w:sz w:val="18"/>
          <w:szCs w:val="18"/>
        </w:rPr>
        <w:t>Евростат, МФ</w:t>
      </w:r>
      <w:r w:rsidR="00802354">
        <w:rPr>
          <w:rFonts w:eastAsia="Batang" w:cs="Times New Roman"/>
          <w:sz w:val="16"/>
          <w:szCs w:val="16"/>
        </w:rPr>
        <w:t xml:space="preserve"> </w:t>
      </w:r>
    </w:p>
    <w:p w:rsidR="004A2A3B" w:rsidRDefault="004A2A3B" w:rsidP="004A2A3B">
      <w:pPr>
        <w:rPr>
          <w:rFonts w:cs="Times New Roman"/>
          <w:szCs w:val="24"/>
        </w:rPr>
      </w:pPr>
      <w:r w:rsidRPr="002F43D6">
        <w:rPr>
          <w:rFonts w:cs="Times New Roman"/>
          <w:szCs w:val="24"/>
        </w:rPr>
        <w:t>Ниското</w:t>
      </w:r>
      <w:r w:rsidRPr="00566F26">
        <w:rPr>
          <w:rFonts w:cs="Times New Roman"/>
          <w:szCs w:val="24"/>
        </w:rPr>
        <w:t xml:space="preserve"> ниво на </w:t>
      </w:r>
      <w:r>
        <w:t xml:space="preserve">дълга на Република България спрямо БВП, </w:t>
      </w:r>
      <w:r>
        <w:rPr>
          <w:rFonts w:cs="Times New Roman"/>
          <w:szCs w:val="24"/>
        </w:rPr>
        <w:t>съпоставено</w:t>
      </w:r>
      <w:r w:rsidRPr="00566F26">
        <w:rPr>
          <w:rFonts w:cs="Times New Roman"/>
          <w:szCs w:val="24"/>
        </w:rPr>
        <w:t xml:space="preserve"> с това на повечето страни в ЕС и на държави със сходен кредитен рейтинг, се </w:t>
      </w:r>
      <w:r>
        <w:rPr>
          <w:rFonts w:cs="Times New Roman"/>
          <w:szCs w:val="24"/>
        </w:rPr>
        <w:t>възприема положително и е отчетено от</w:t>
      </w:r>
      <w:r w:rsidRPr="00566F26">
        <w:rPr>
          <w:rFonts w:cs="Times New Roman"/>
          <w:szCs w:val="24"/>
        </w:rPr>
        <w:t xml:space="preserve"> анализатори</w:t>
      </w:r>
      <w:r>
        <w:rPr>
          <w:rFonts w:cs="Times New Roman"/>
          <w:szCs w:val="24"/>
        </w:rPr>
        <w:t>те</w:t>
      </w:r>
      <w:r w:rsidRPr="00566F26">
        <w:rPr>
          <w:rFonts w:cs="Times New Roman"/>
          <w:szCs w:val="24"/>
        </w:rPr>
        <w:t xml:space="preserve"> </w:t>
      </w:r>
      <w:r>
        <w:rPr>
          <w:rFonts w:cs="Times New Roman"/>
          <w:szCs w:val="24"/>
        </w:rPr>
        <w:t>на водещите</w:t>
      </w:r>
      <w:r w:rsidRPr="00566F26">
        <w:rPr>
          <w:rFonts w:cs="Times New Roman"/>
          <w:szCs w:val="24"/>
        </w:rPr>
        <w:t xml:space="preserve"> международни рейтингови агенции</w:t>
      </w:r>
      <w:r>
        <w:rPr>
          <w:rFonts w:cs="Times New Roman"/>
          <w:szCs w:val="24"/>
          <w:lang w:val="en-US"/>
        </w:rPr>
        <w:t>,</w:t>
      </w:r>
      <w:r w:rsidRPr="00566F26">
        <w:rPr>
          <w:rFonts w:cs="Times New Roman"/>
          <w:szCs w:val="24"/>
        </w:rPr>
        <w:t xml:space="preserve"> като едно от ключовите предимства</w:t>
      </w:r>
      <w:r w:rsidRPr="004F1764">
        <w:rPr>
          <w:rFonts w:cs="Times New Roman"/>
          <w:szCs w:val="24"/>
        </w:rPr>
        <w:t xml:space="preserve"> </w:t>
      </w:r>
      <w:r>
        <w:rPr>
          <w:rFonts w:cs="Times New Roman"/>
          <w:szCs w:val="24"/>
        </w:rPr>
        <w:t xml:space="preserve">при оценката на </w:t>
      </w:r>
      <w:r w:rsidRPr="00CD2D54">
        <w:rPr>
          <w:rFonts w:cs="Times New Roman"/>
          <w:szCs w:val="24"/>
        </w:rPr>
        <w:t>кредитоспособността</w:t>
      </w:r>
      <w:r>
        <w:rPr>
          <w:rFonts w:cs="Times New Roman"/>
          <w:szCs w:val="24"/>
          <w:lang w:val="en-US"/>
        </w:rPr>
        <w:t xml:space="preserve"> </w:t>
      </w:r>
      <w:r>
        <w:rPr>
          <w:rFonts w:cs="Times New Roman"/>
          <w:szCs w:val="24"/>
        </w:rPr>
        <w:t>на страната</w:t>
      </w:r>
      <w:r w:rsidRPr="008D6FF7">
        <w:rPr>
          <w:rFonts w:cs="Times New Roman"/>
          <w:szCs w:val="24"/>
        </w:rPr>
        <w:t>.</w:t>
      </w:r>
      <w:r w:rsidRPr="00566F26">
        <w:rPr>
          <w:rFonts w:cs="Times New Roman"/>
          <w:szCs w:val="24"/>
        </w:rPr>
        <w:t xml:space="preserve"> </w:t>
      </w:r>
    </w:p>
    <w:p w:rsidR="004A2A3B" w:rsidRPr="00DB4A77" w:rsidRDefault="004A2A3B" w:rsidP="004A2A3B">
      <w:pPr>
        <w:rPr>
          <w:rFonts w:cs="Times New Roman"/>
          <w:szCs w:val="24"/>
        </w:rPr>
      </w:pPr>
      <w:r w:rsidRPr="00526DAC">
        <w:rPr>
          <w:rFonts w:cs="Times New Roman"/>
          <w:szCs w:val="24"/>
        </w:rPr>
        <w:t xml:space="preserve">За текущата 2023 г. се очаква </w:t>
      </w:r>
      <w:r>
        <w:rPr>
          <w:rFonts w:cs="Times New Roman"/>
          <w:szCs w:val="24"/>
        </w:rPr>
        <w:t xml:space="preserve">да продължи </w:t>
      </w:r>
      <w:r w:rsidRPr="00125CEA">
        <w:rPr>
          <w:rFonts w:cs="Times New Roman"/>
          <w:szCs w:val="24"/>
        </w:rPr>
        <w:t>нарастване</w:t>
      </w:r>
      <w:r>
        <w:rPr>
          <w:rFonts w:cs="Times New Roman"/>
          <w:szCs w:val="24"/>
        </w:rPr>
        <w:t>то</w:t>
      </w:r>
      <w:r w:rsidRPr="00125CEA">
        <w:rPr>
          <w:rFonts w:cs="Times New Roman"/>
          <w:szCs w:val="24"/>
        </w:rPr>
        <w:t xml:space="preserve"> в абсолютна стойност на дълга на сектор „Държавно управление“</w:t>
      </w:r>
      <w:r>
        <w:rPr>
          <w:rFonts w:cs="Times New Roman"/>
          <w:szCs w:val="24"/>
        </w:rPr>
        <w:t>,</w:t>
      </w:r>
      <w:r w:rsidRPr="00125CEA">
        <w:rPr>
          <w:rFonts w:cs="Times New Roman"/>
          <w:szCs w:val="24"/>
        </w:rPr>
        <w:t xml:space="preserve"> достиг</w:t>
      </w:r>
      <w:r>
        <w:rPr>
          <w:rFonts w:cs="Times New Roman"/>
          <w:szCs w:val="24"/>
        </w:rPr>
        <w:t>айки</w:t>
      </w:r>
      <w:r w:rsidRPr="00125CEA">
        <w:rPr>
          <w:rFonts w:cs="Times New Roman"/>
          <w:szCs w:val="24"/>
        </w:rPr>
        <w:t xml:space="preserve"> до 42,9 млрд. лв</w:t>
      </w:r>
      <w:r w:rsidRPr="004A2A3B">
        <w:rPr>
          <w:rFonts w:cs="Times New Roman"/>
          <w:szCs w:val="24"/>
        </w:rPr>
        <w:t>., а като</w:t>
      </w:r>
      <w:r w:rsidRPr="00125CEA">
        <w:rPr>
          <w:rFonts w:cs="Times New Roman"/>
          <w:szCs w:val="24"/>
        </w:rPr>
        <w:t xml:space="preserve"> съотношение</w:t>
      </w:r>
      <w:r w:rsidRPr="00DB4A77">
        <w:rPr>
          <w:rFonts w:cs="Times New Roman"/>
          <w:szCs w:val="24"/>
        </w:rPr>
        <w:t xml:space="preserve"> към БВП </w:t>
      </w:r>
      <w:r>
        <w:rPr>
          <w:rFonts w:cs="Times New Roman"/>
          <w:szCs w:val="24"/>
        </w:rPr>
        <w:t xml:space="preserve">да възлезе на </w:t>
      </w:r>
      <w:r w:rsidRPr="00DB4A77">
        <w:rPr>
          <w:rFonts w:cs="Times New Roman"/>
          <w:szCs w:val="24"/>
        </w:rPr>
        <w:t>ниво от 2</w:t>
      </w:r>
      <w:r>
        <w:rPr>
          <w:rFonts w:cs="Times New Roman"/>
          <w:szCs w:val="24"/>
          <w:lang w:val="en-US"/>
        </w:rPr>
        <w:t>2</w:t>
      </w:r>
      <w:r w:rsidRPr="00DB4A77">
        <w:rPr>
          <w:rFonts w:cs="Times New Roman"/>
          <w:szCs w:val="24"/>
        </w:rPr>
        <w:t>,</w:t>
      </w:r>
      <w:r>
        <w:rPr>
          <w:rFonts w:cs="Times New Roman"/>
          <w:szCs w:val="24"/>
          <w:lang w:val="en-US"/>
        </w:rPr>
        <w:t>4</w:t>
      </w:r>
      <w:r w:rsidRPr="00DB4A77">
        <w:rPr>
          <w:rFonts w:cs="Times New Roman"/>
          <w:szCs w:val="24"/>
        </w:rPr>
        <w:t xml:space="preserve">%. </w:t>
      </w:r>
    </w:p>
    <w:p w:rsidR="004A2A3B" w:rsidRPr="00DB4A77" w:rsidRDefault="00DB7FB8" w:rsidP="004A2A3B">
      <w:pPr>
        <w:rPr>
          <w:rFonts w:cs="Times New Roman"/>
          <w:szCs w:val="24"/>
        </w:rPr>
      </w:pPr>
      <w:r w:rsidRPr="00DB7FB8">
        <w:rPr>
          <w:rFonts w:cs="Times New Roman"/>
          <w:szCs w:val="24"/>
        </w:rPr>
        <w:t xml:space="preserve">Отчитайки рисковете от нестабилната геополитическа ситуация, които създават предпоставки за висока степен на несигурност по отношение на макроикономическите и фискални развития и въз основа на допусканията за необходимото ново дългово финансиране, в средносрочна перспектива се прогнозира нарастване в нивото на консолидирания дълг на сектор „Държавно управление“ както в номинално изражение, така и като дял от БВП. Планира се дългът на сектора, представен в абсолютна стойност, да достигне до 49,9 млрд. лв. в края на 2024 г., до 57,7 млрд. лв. в края на 2025 г. и 66,8 млрд. лв. в края на 2026 г. При тези допускания се предвижда ръст средно за прогнозния период от около 8,0 млрд. лв. годишно. </w:t>
      </w:r>
      <w:r w:rsidRPr="00DB7FB8">
        <w:rPr>
          <w:rFonts w:cs="Times New Roman"/>
          <w:bCs/>
          <w:iCs/>
          <w:szCs w:val="24"/>
        </w:rPr>
        <w:t>Общата дългова задлъжнялост на сектор „Държавно управление”, съотнесена спрямо БВП,</w:t>
      </w:r>
      <w:r w:rsidRPr="00DB7FB8" w:rsidDel="003974C4">
        <w:rPr>
          <w:rFonts w:cs="Times New Roman"/>
          <w:szCs w:val="24"/>
        </w:rPr>
        <w:t xml:space="preserve"> </w:t>
      </w:r>
      <w:r w:rsidRPr="00DB7FB8">
        <w:rPr>
          <w:rFonts w:cs="Times New Roman"/>
          <w:szCs w:val="24"/>
        </w:rPr>
        <w:t xml:space="preserve">също се очаква да се увеличи до 24,2% през 2024 г., 26,5% през 2025 г. и 28,9% през 2026 г., със средногодишен темп на нарастване за периода 2024-2026 г. от 2,2 </w:t>
      </w:r>
      <w:r>
        <w:rPr>
          <w:rFonts w:cs="Times New Roman"/>
          <w:szCs w:val="24"/>
        </w:rPr>
        <w:t>пр.</w:t>
      </w:r>
      <w:r w:rsidR="00206BD2">
        <w:rPr>
          <w:rFonts w:cs="Times New Roman"/>
          <w:szCs w:val="24"/>
        </w:rPr>
        <w:t xml:space="preserve">п. </w:t>
      </w:r>
    </w:p>
    <w:p w:rsidR="004A2A3B" w:rsidRDefault="004A2A3B" w:rsidP="004A2A3B">
      <w:pPr>
        <w:rPr>
          <w:rFonts w:cs="Times New Roman"/>
          <w:szCs w:val="24"/>
        </w:rPr>
      </w:pPr>
      <w:r>
        <w:rPr>
          <w:rFonts w:cs="Times New Roman"/>
          <w:szCs w:val="24"/>
        </w:rPr>
        <w:t>П</w:t>
      </w:r>
      <w:r w:rsidRPr="00DB4A77">
        <w:rPr>
          <w:rFonts w:cs="Times New Roman"/>
          <w:szCs w:val="24"/>
        </w:rPr>
        <w:t xml:space="preserve">рез целия период водещо влияние </w:t>
      </w:r>
      <w:r>
        <w:rPr>
          <w:rFonts w:cs="Times New Roman"/>
          <w:szCs w:val="24"/>
        </w:rPr>
        <w:t xml:space="preserve">ще продължи да </w:t>
      </w:r>
      <w:r w:rsidRPr="00DB4A77">
        <w:rPr>
          <w:rFonts w:cs="Times New Roman"/>
          <w:szCs w:val="24"/>
        </w:rPr>
        <w:t xml:space="preserve">оказва дългът на подсектор „Централно управление“ и в частност държавният дълг, като негов основен компонент. </w:t>
      </w:r>
      <w:r w:rsidRPr="00277D7D">
        <w:rPr>
          <w:rFonts w:cs="Times New Roman"/>
          <w:szCs w:val="24"/>
        </w:rPr>
        <w:t>Дълговата задлъжнялост на единиците, включени в обхвата подсектора</w:t>
      </w:r>
      <w:r>
        <w:rPr>
          <w:rFonts w:cs="Times New Roman"/>
          <w:szCs w:val="24"/>
        </w:rPr>
        <w:t>,</w:t>
      </w:r>
      <w:r w:rsidRPr="00277D7D">
        <w:rPr>
          <w:rFonts w:cs="Times New Roman"/>
          <w:szCs w:val="24"/>
        </w:rPr>
        <w:t xml:space="preserve"> продължават да заемат сравнително нисък дял и имат минимално влияние върху общият размер на дълга на сектора. </w:t>
      </w:r>
      <w:r w:rsidRPr="00DB4A77">
        <w:rPr>
          <w:rFonts w:cs="Times New Roman"/>
          <w:szCs w:val="24"/>
        </w:rPr>
        <w:t xml:space="preserve">Въздействието на дълга на другите два подсектора „Местно управление“ и „Социалноосигурителни фондове“ </w:t>
      </w:r>
      <w:r>
        <w:rPr>
          <w:rFonts w:cs="Times New Roman"/>
          <w:szCs w:val="24"/>
        </w:rPr>
        <w:t>с</w:t>
      </w:r>
      <w:r w:rsidRPr="00DB4A77">
        <w:rPr>
          <w:rFonts w:cs="Times New Roman"/>
          <w:szCs w:val="24"/>
        </w:rPr>
        <w:t>е</w:t>
      </w:r>
      <w:r>
        <w:rPr>
          <w:rFonts w:cs="Times New Roman"/>
          <w:szCs w:val="24"/>
        </w:rPr>
        <w:t xml:space="preserve"> запазва</w:t>
      </w:r>
      <w:r w:rsidRPr="00DB4A77">
        <w:rPr>
          <w:rFonts w:cs="Times New Roman"/>
          <w:szCs w:val="24"/>
        </w:rPr>
        <w:t xml:space="preserve"> минимално. </w:t>
      </w:r>
    </w:p>
    <w:p w:rsidR="004A2A3B" w:rsidRDefault="004A2A3B" w:rsidP="004A2A3B">
      <w:pPr>
        <w:rPr>
          <w:rFonts w:cs="Times New Roman"/>
          <w:szCs w:val="24"/>
        </w:rPr>
      </w:pPr>
      <w:r>
        <w:rPr>
          <w:rFonts w:asciiTheme="majorBidi" w:hAnsiTheme="majorBidi" w:cstheme="majorBidi"/>
          <w:szCs w:val="24"/>
        </w:rPr>
        <w:t xml:space="preserve">В средносрочна перспектива дългът на подсектор „Местно управление“ не се предвижда да претърпи съществени промени спрямо отчетеното в края на 2022 г. ниво от около </w:t>
      </w:r>
      <w:r>
        <w:rPr>
          <w:rFonts w:asciiTheme="majorBidi" w:hAnsiTheme="majorBidi" w:cstheme="majorBidi"/>
          <w:szCs w:val="24"/>
          <w:lang w:val="en-US"/>
        </w:rPr>
        <w:t>1,</w:t>
      </w:r>
      <w:r>
        <w:rPr>
          <w:rFonts w:asciiTheme="majorBidi" w:hAnsiTheme="majorBidi" w:cstheme="majorBidi"/>
          <w:szCs w:val="24"/>
        </w:rPr>
        <w:t>4</w:t>
      </w:r>
      <w:r>
        <w:rPr>
          <w:rFonts w:asciiTheme="majorBidi" w:hAnsiTheme="majorBidi" w:cstheme="majorBidi"/>
          <w:szCs w:val="24"/>
          <w:lang w:val="en-US"/>
        </w:rPr>
        <w:t xml:space="preserve"> </w:t>
      </w:r>
      <w:r>
        <w:rPr>
          <w:rFonts w:asciiTheme="majorBidi" w:hAnsiTheme="majorBidi" w:cstheme="majorBidi"/>
          <w:szCs w:val="24"/>
        </w:rPr>
        <w:t>млрд. лв. (0,8% от БВП), като се прогнозира слаб ръст в края на 2023 г. до около 1,7 млрд. лв</w:t>
      </w:r>
      <w:r>
        <w:rPr>
          <w:rFonts w:asciiTheme="majorBidi" w:hAnsiTheme="majorBidi" w:cstheme="majorBidi"/>
          <w:szCs w:val="24"/>
          <w:lang w:val="en-US"/>
        </w:rPr>
        <w:t>.</w:t>
      </w:r>
      <w:r>
        <w:rPr>
          <w:rFonts w:asciiTheme="majorBidi" w:hAnsiTheme="majorBidi" w:cstheme="majorBidi"/>
          <w:szCs w:val="24"/>
        </w:rPr>
        <w:t xml:space="preserve"> (</w:t>
      </w:r>
      <w:r w:rsidR="00076550">
        <w:rPr>
          <w:rFonts w:asciiTheme="majorBidi" w:hAnsiTheme="majorBidi" w:cstheme="majorBidi"/>
          <w:szCs w:val="24"/>
          <w:lang w:val="en-US"/>
        </w:rPr>
        <w:t>0,</w:t>
      </w:r>
      <w:r>
        <w:rPr>
          <w:rFonts w:asciiTheme="majorBidi" w:hAnsiTheme="majorBidi" w:cstheme="majorBidi"/>
          <w:szCs w:val="24"/>
          <w:lang w:val="en-US"/>
        </w:rPr>
        <w:t>9</w:t>
      </w:r>
      <w:r>
        <w:rPr>
          <w:rFonts w:asciiTheme="majorBidi" w:hAnsiTheme="majorBidi" w:cstheme="majorBidi"/>
          <w:szCs w:val="24"/>
        </w:rPr>
        <w:t>% от БВП), запазвайки тези стойности до края на разглеждания период. Подсектор „Социалноосигурителни фондове“ няма дългови задължения и не се предвижда да поема нови през следващите прогнозни години, но продължава да оказва влияние в посока редуциране дълга на сектора, вследствие придобиването на финансови активи под формата на ДЦК, издадени от подсектор „Централно управление“ (около 370 млн. лв. към края на второ</w:t>
      </w:r>
      <w:r w:rsidR="00B207CE">
        <w:rPr>
          <w:rFonts w:asciiTheme="majorBidi" w:hAnsiTheme="majorBidi" w:cstheme="majorBidi"/>
          <w:szCs w:val="24"/>
        </w:rPr>
        <w:t>то</w:t>
      </w:r>
      <w:r>
        <w:rPr>
          <w:rFonts w:asciiTheme="majorBidi" w:hAnsiTheme="majorBidi" w:cstheme="majorBidi"/>
          <w:szCs w:val="24"/>
        </w:rPr>
        <w:t xml:space="preserve"> тримесечие на 2023 г.).</w:t>
      </w:r>
    </w:p>
    <w:p w:rsidR="004A2A3B" w:rsidRDefault="004A2A3B" w:rsidP="004A2A3B">
      <w:pPr>
        <w:pStyle w:val="Caption"/>
        <w:spacing w:after="60"/>
      </w:pPr>
      <w:r w:rsidRPr="00006A45">
        <w:t xml:space="preserve">Граф. </w:t>
      </w:r>
      <w:fldSimple w:instr=" STYLEREF 1 \s ">
        <w:r w:rsidR="005A69ED">
          <w:rPr>
            <w:noProof/>
          </w:rPr>
          <w:t>II</w:t>
        </w:r>
      </w:fldSimple>
      <w:r w:rsidRPr="00006A45">
        <w:noBreakHyphen/>
      </w:r>
      <w:fldSimple w:instr=" SEQ Граф. \* ARABIC \s 1 ">
        <w:r w:rsidR="005A69ED">
          <w:rPr>
            <w:noProof/>
          </w:rPr>
          <w:t>2</w:t>
        </w:r>
      </w:fldSimple>
      <w:r w:rsidRPr="00006A45">
        <w:t>:</w:t>
      </w:r>
      <w:r w:rsidRPr="00006A45">
        <w:tab/>
        <w:t>Консолидиран дълг на сектор „Държавно управление“</w:t>
      </w:r>
    </w:p>
    <w:p w:rsidR="00807984" w:rsidRPr="00807984" w:rsidRDefault="00807984" w:rsidP="00807984"/>
    <w:p w:rsidR="00DB7FB8" w:rsidRDefault="00807984" w:rsidP="00EB28A6">
      <w:r>
        <w:rPr>
          <w:noProof/>
        </w:rPr>
        <w:drawing>
          <wp:inline distT="0" distB="0" distL="0" distR="0" wp14:anchorId="19842B13" wp14:editId="7E753C29">
            <wp:extent cx="5759450" cy="3714750"/>
            <wp:effectExtent l="0" t="0" r="12700" b="0"/>
            <wp:docPr id="29" name="Chart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DD2CAA" w:rsidRDefault="00DD2CAA" w:rsidP="00DD2CAA">
      <w:pPr>
        <w:jc w:val="right"/>
        <w:rPr>
          <w:rFonts w:eastAsia="Batang" w:cs="Times New Roman"/>
          <w:sz w:val="16"/>
          <w:szCs w:val="16"/>
        </w:rPr>
      </w:pPr>
      <w:r>
        <w:rPr>
          <w:rFonts w:eastAsia="Batang" w:cs="Times New Roman"/>
          <w:sz w:val="18"/>
          <w:szCs w:val="18"/>
        </w:rPr>
        <w:t>Източник</w:t>
      </w:r>
      <w:r w:rsidRPr="00317784">
        <w:rPr>
          <w:rFonts w:eastAsia="Batang" w:cs="Times New Roman"/>
          <w:sz w:val="18"/>
          <w:szCs w:val="18"/>
        </w:rPr>
        <w:t xml:space="preserve">: </w:t>
      </w:r>
      <w:r w:rsidRPr="007C00B6">
        <w:rPr>
          <w:rFonts w:eastAsia="Batang" w:cs="Times New Roman"/>
          <w:sz w:val="18"/>
          <w:szCs w:val="18"/>
        </w:rPr>
        <w:t>Евростат, МФ</w:t>
      </w:r>
      <w:r>
        <w:rPr>
          <w:rFonts w:eastAsia="Batang" w:cs="Times New Roman"/>
          <w:sz w:val="16"/>
          <w:szCs w:val="16"/>
        </w:rPr>
        <w:t xml:space="preserve"> </w:t>
      </w:r>
    </w:p>
    <w:p w:rsidR="00DB7FB8" w:rsidRDefault="00DB7FB8" w:rsidP="00DD2CAA">
      <w:pPr>
        <w:jc w:val="right"/>
        <w:rPr>
          <w:rFonts w:eastAsia="Batang" w:cs="Times New Roman"/>
          <w:sz w:val="16"/>
          <w:szCs w:val="16"/>
        </w:rPr>
      </w:pPr>
    </w:p>
    <w:p w:rsidR="0087105F" w:rsidRPr="00006A45" w:rsidRDefault="0087105F" w:rsidP="0087105F">
      <w:pPr>
        <w:pStyle w:val="Heading3"/>
        <w:ind w:left="0"/>
        <w:rPr>
          <w:rStyle w:val="Strong"/>
          <w:b/>
          <w:bCs/>
        </w:rPr>
      </w:pPr>
      <w:r w:rsidRPr="00006A45">
        <w:rPr>
          <w:rStyle w:val="Strong"/>
          <w:b/>
          <w:bCs/>
        </w:rPr>
        <w:t>Условни задължения с потенциално значително въздействие върху сектор „Държавно управление“</w:t>
      </w:r>
    </w:p>
    <w:p w:rsidR="00A36136" w:rsidRPr="00F17001" w:rsidRDefault="00A36136" w:rsidP="00A36136">
      <w:pPr>
        <w:rPr>
          <w:rFonts w:eastAsia="Calibri"/>
          <w:noProof/>
          <w:szCs w:val="24"/>
        </w:rPr>
      </w:pPr>
      <w:r w:rsidRPr="00F17001">
        <w:rPr>
          <w:rFonts w:eastAsia="Calibri"/>
          <w:noProof/>
          <w:szCs w:val="24"/>
        </w:rPr>
        <w:t>Съгласно изискванията на чл. 73, т. 8 от Закона за публичните финанси, средносрочната бюджетна прогноза и нейната актуализация следва да съдържа</w:t>
      </w:r>
      <w:r>
        <w:rPr>
          <w:rFonts w:eastAsia="Calibri"/>
          <w:noProof/>
          <w:szCs w:val="24"/>
        </w:rPr>
        <w:t>т</w:t>
      </w:r>
      <w:r w:rsidRPr="00F17001">
        <w:rPr>
          <w:rFonts w:eastAsia="Calibri"/>
          <w:noProof/>
          <w:szCs w:val="24"/>
        </w:rPr>
        <w:t xml:space="preserve"> информация за условните задължения с потенциално значително въздействие върху сектор „Държавно управление“, включително на равнище подсектори. Това се прави и в контекста на засиленото икономическо управление на ЕС, в съответствие с чл. 14, параграф 3 от Директива 2011/85/ЕС относно изискванията за бюджетните рамки на държавите членки</w:t>
      </w:r>
      <w:r w:rsidRPr="00F17001">
        <w:rPr>
          <w:rFonts w:eastAsia="Calibri"/>
          <w:noProof/>
          <w:szCs w:val="24"/>
          <w:vertAlign w:val="superscript"/>
        </w:rPr>
        <w:footnoteReference w:id="14"/>
      </w:r>
      <w:r w:rsidRPr="00F17001">
        <w:rPr>
          <w:rFonts w:eastAsia="Calibri"/>
          <w:noProof/>
          <w:szCs w:val="24"/>
        </w:rPr>
        <w:t xml:space="preserve">. </w:t>
      </w:r>
    </w:p>
    <w:p w:rsidR="00A36136" w:rsidRPr="00F17001" w:rsidRDefault="00A36136" w:rsidP="00A36136">
      <w:pPr>
        <w:rPr>
          <w:rFonts w:eastAsia="Calibri"/>
          <w:noProof/>
          <w:szCs w:val="24"/>
        </w:rPr>
      </w:pPr>
      <w:r w:rsidRPr="00F17001">
        <w:rPr>
          <w:rFonts w:eastAsia="Calibri"/>
          <w:noProof/>
          <w:szCs w:val="24"/>
        </w:rPr>
        <w:t xml:space="preserve">Високите стойности на условните задължения биха могли да бъдат индикатор за нежелано равнище на риск. Поради това наблюдението и оценката на условните задължения с потенциално значително въздействие върху сектор „Държавно управление“ е важно за поддържането на фискалната устойчивост и управлението на фискалните рискове. </w:t>
      </w:r>
    </w:p>
    <w:p w:rsidR="00A36136" w:rsidRPr="00F17001" w:rsidRDefault="00A36136" w:rsidP="00A36136">
      <w:pPr>
        <w:rPr>
          <w:rFonts w:eastAsia="Calibri"/>
          <w:noProof/>
          <w:szCs w:val="24"/>
        </w:rPr>
      </w:pPr>
      <w:r w:rsidRPr="00F17001">
        <w:rPr>
          <w:rFonts w:eastAsia="Calibri"/>
          <w:noProof/>
          <w:szCs w:val="24"/>
        </w:rPr>
        <w:t>Задълженията се наричат условни, тъй като по своята същност те са само потенциални, а не действителни. Това са задължения, които зависят от настъпването на определено събитие в бъдеще или настоящи задължения, при които няма вероятност за извършване на плащането към държавата или сумата на възможното плащане не може да бъде изчислена по надежден начин.</w:t>
      </w:r>
    </w:p>
    <w:p w:rsidR="00A36136" w:rsidRPr="00F17001" w:rsidRDefault="00A36136" w:rsidP="00A36136">
      <w:pPr>
        <w:rPr>
          <w:rFonts w:eastAsia="Calibri"/>
          <w:noProof/>
          <w:szCs w:val="24"/>
        </w:rPr>
      </w:pPr>
      <w:r w:rsidRPr="00F17001">
        <w:rPr>
          <w:rFonts w:eastAsia="Calibri"/>
          <w:noProof/>
          <w:szCs w:val="24"/>
        </w:rPr>
        <w:t>Условните задължения включват:</w:t>
      </w:r>
    </w:p>
    <w:p w:rsidR="00A36136" w:rsidRPr="00F17001" w:rsidRDefault="00A36136" w:rsidP="00A36136">
      <w:pPr>
        <w:numPr>
          <w:ilvl w:val="0"/>
          <w:numId w:val="10"/>
        </w:numPr>
        <w:rPr>
          <w:rFonts w:eastAsia="Calibri"/>
          <w:noProof/>
          <w:szCs w:val="24"/>
        </w:rPr>
      </w:pPr>
      <w:r w:rsidRPr="00F17001">
        <w:rPr>
          <w:rFonts w:eastAsia="Calibri"/>
          <w:noProof/>
          <w:szCs w:val="24"/>
        </w:rPr>
        <w:t>задължения, произтичащи от дейността на публичните дружества;</w:t>
      </w:r>
    </w:p>
    <w:p w:rsidR="00A36136" w:rsidRPr="00F17001" w:rsidRDefault="00A36136" w:rsidP="00A36136">
      <w:pPr>
        <w:numPr>
          <w:ilvl w:val="0"/>
          <w:numId w:val="10"/>
        </w:numPr>
        <w:rPr>
          <w:rFonts w:eastAsia="Calibri"/>
          <w:noProof/>
          <w:szCs w:val="24"/>
        </w:rPr>
      </w:pPr>
      <w:r w:rsidRPr="00F17001">
        <w:rPr>
          <w:rFonts w:eastAsia="Calibri"/>
          <w:noProof/>
          <w:szCs w:val="24"/>
        </w:rPr>
        <w:t>гарантиран дълг на сектор „Държавно управление“;</w:t>
      </w:r>
    </w:p>
    <w:p w:rsidR="00A36136" w:rsidRPr="00F17001" w:rsidRDefault="00A36136" w:rsidP="00A36136">
      <w:pPr>
        <w:numPr>
          <w:ilvl w:val="0"/>
          <w:numId w:val="10"/>
        </w:numPr>
        <w:rPr>
          <w:rFonts w:eastAsia="Calibri"/>
          <w:noProof/>
          <w:szCs w:val="24"/>
        </w:rPr>
      </w:pPr>
      <w:r w:rsidRPr="00F17001">
        <w:rPr>
          <w:rFonts w:eastAsia="Calibri"/>
          <w:noProof/>
          <w:szCs w:val="24"/>
        </w:rPr>
        <w:t>необслужвани кредити;</w:t>
      </w:r>
    </w:p>
    <w:p w:rsidR="009E7E69" w:rsidRDefault="00A36136" w:rsidP="00F17001">
      <w:pPr>
        <w:numPr>
          <w:ilvl w:val="0"/>
          <w:numId w:val="10"/>
        </w:numPr>
        <w:rPr>
          <w:rFonts w:eastAsia="Calibri"/>
          <w:noProof/>
          <w:szCs w:val="24"/>
        </w:rPr>
      </w:pPr>
      <w:r w:rsidRPr="00F17001">
        <w:rPr>
          <w:rFonts w:eastAsia="Calibri"/>
          <w:noProof/>
          <w:szCs w:val="24"/>
        </w:rPr>
        <w:t>задължения, свързани с публично-частни партньорства.</w:t>
      </w:r>
    </w:p>
    <w:p w:rsidR="00DD0DC1" w:rsidRPr="00DD0DC1" w:rsidRDefault="00DD0DC1" w:rsidP="00DD0DC1">
      <w:pPr>
        <w:ind w:left="720"/>
        <w:rPr>
          <w:rFonts w:eastAsia="Calibri"/>
          <w:noProof/>
          <w:szCs w:val="24"/>
        </w:rPr>
      </w:pPr>
    </w:p>
    <w:p w:rsidR="0087105F" w:rsidRDefault="0087105F" w:rsidP="0005037E">
      <w:pPr>
        <w:pStyle w:val="Caption"/>
      </w:pPr>
      <w:r w:rsidRPr="00006A45">
        <w:t xml:space="preserve">Граф. </w:t>
      </w:r>
      <w:fldSimple w:instr=" STYLEREF 1 \s ">
        <w:r w:rsidR="005A69ED">
          <w:rPr>
            <w:noProof/>
          </w:rPr>
          <w:t>II</w:t>
        </w:r>
      </w:fldSimple>
      <w:r w:rsidRPr="00006A45">
        <w:noBreakHyphen/>
      </w:r>
      <w:fldSimple w:instr=" SEQ Граф. \* ARABIC \s 1 ">
        <w:r w:rsidR="005A69ED">
          <w:rPr>
            <w:noProof/>
          </w:rPr>
          <w:t>3</w:t>
        </w:r>
      </w:fldSimple>
      <w:r w:rsidRPr="00006A45">
        <w:t>:</w:t>
      </w:r>
      <w:r w:rsidRPr="00006A45">
        <w:tab/>
        <w:t>Разпределение на условните задължения на сектор „</w:t>
      </w:r>
      <w:r w:rsidR="0005037E">
        <w:t xml:space="preserve">Държавно управление“, % от БВП </w:t>
      </w:r>
    </w:p>
    <w:p w:rsidR="00125A5B" w:rsidRDefault="00385119" w:rsidP="0087105F">
      <w:pPr>
        <w:jc w:val="center"/>
        <w:rPr>
          <w:noProof/>
        </w:rPr>
      </w:pPr>
      <w:r>
        <w:rPr>
          <w:noProof/>
        </w:rPr>
        <w:drawing>
          <wp:inline distT="0" distB="0" distL="0" distR="0" wp14:anchorId="7291DCF0" wp14:editId="60D5E0B1">
            <wp:extent cx="5362575" cy="375285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62575" cy="3752850"/>
                    </a:xfrm>
                    <a:prstGeom prst="rect">
                      <a:avLst/>
                    </a:prstGeom>
                    <a:noFill/>
                  </pic:spPr>
                </pic:pic>
              </a:graphicData>
            </a:graphic>
          </wp:inline>
        </w:drawing>
      </w:r>
    </w:p>
    <w:p w:rsidR="0087105F" w:rsidRPr="00006A45" w:rsidRDefault="0087105F" w:rsidP="0087105F">
      <w:pPr>
        <w:ind w:firstLine="7513"/>
        <w:jc w:val="right"/>
        <w:rPr>
          <w:rFonts w:eastAsia="Calibri"/>
          <w:noProof/>
          <w:sz w:val="18"/>
          <w:szCs w:val="18"/>
        </w:rPr>
      </w:pPr>
      <w:r w:rsidRPr="00006A45">
        <w:rPr>
          <w:rFonts w:eastAsia="Calibri"/>
          <w:noProof/>
          <w:sz w:val="18"/>
          <w:szCs w:val="18"/>
        </w:rPr>
        <w:t xml:space="preserve">Източник: </w:t>
      </w:r>
      <w:r w:rsidRPr="00F17001">
        <w:rPr>
          <w:rFonts w:eastAsia="Calibri"/>
          <w:noProof/>
          <w:sz w:val="18"/>
          <w:szCs w:val="18"/>
        </w:rPr>
        <w:t>НСИ</w:t>
      </w:r>
      <w:r w:rsidRPr="00006A45">
        <w:rPr>
          <w:rFonts w:eastAsia="Calibri"/>
          <w:noProof/>
          <w:sz w:val="18"/>
          <w:szCs w:val="18"/>
        </w:rPr>
        <w:t xml:space="preserve"> </w:t>
      </w:r>
    </w:p>
    <w:p w:rsidR="00A36136" w:rsidRPr="00F17001" w:rsidRDefault="00A36136" w:rsidP="00A36136">
      <w:pPr>
        <w:rPr>
          <w:rFonts w:eastAsia="Calibri"/>
          <w:noProof/>
          <w:szCs w:val="24"/>
        </w:rPr>
      </w:pPr>
      <w:r w:rsidRPr="00F17001">
        <w:rPr>
          <w:rFonts w:eastAsia="Calibri"/>
          <w:noProof/>
          <w:szCs w:val="24"/>
        </w:rPr>
        <w:t>Общите условни задължения на сектор „Държавно управление“ за 2021 г. възлизат на 12,06% от БВП, като най-високо е нивото на задълженията, произтичащи от дейността на публичните дружества. Техният размер е 11,64% от БВП (</w:t>
      </w:r>
      <w:r w:rsidRPr="00734673">
        <w:rPr>
          <w:rFonts w:eastAsia="Calibri"/>
          <w:noProof/>
          <w:szCs w:val="24"/>
        </w:rPr>
        <w:t>16,18</w:t>
      </w:r>
      <w:r w:rsidRPr="00F17001">
        <w:rPr>
          <w:rFonts w:eastAsia="Calibri"/>
          <w:noProof/>
          <w:szCs w:val="24"/>
        </w:rPr>
        <w:t xml:space="preserve"> млрд. лв.), като задълженията на финансовите предприятия са </w:t>
      </w:r>
      <w:r w:rsidR="009A7F5D">
        <w:rPr>
          <w:rFonts w:eastAsia="Calibri"/>
          <w:noProof/>
          <w:szCs w:val="24"/>
        </w:rPr>
        <w:t xml:space="preserve">само 1,55%, а на нефинансовите </w:t>
      </w:r>
      <w:r w:rsidRPr="00F17001">
        <w:rPr>
          <w:rFonts w:eastAsia="Calibri"/>
          <w:noProof/>
          <w:szCs w:val="24"/>
        </w:rPr>
        <w:t xml:space="preserve">- 10,09% от БВП. </w:t>
      </w:r>
    </w:p>
    <w:p w:rsidR="00A36136" w:rsidRPr="00F17001" w:rsidRDefault="00A36136" w:rsidP="00A36136">
      <w:pPr>
        <w:rPr>
          <w:rFonts w:eastAsia="Calibri"/>
          <w:noProof/>
          <w:szCs w:val="24"/>
        </w:rPr>
      </w:pPr>
      <w:r w:rsidRPr="00F17001">
        <w:rPr>
          <w:rFonts w:eastAsia="Calibri"/>
          <w:noProof/>
          <w:szCs w:val="24"/>
        </w:rPr>
        <w:t xml:space="preserve">От тях под наблюдение, във връзка с потенциално значително влияние върху условните задължения на сектор „Държавно управление“, са всички държавни и общински предприятия с общ размер на задълженията към 31.12.2021 г. над 0,1% от БВП, които не са част от консолидираната фискална програма и не попадат в обхвата на сектор „Държавно управление“. </w:t>
      </w:r>
      <w:r w:rsidRPr="002655DF">
        <w:rPr>
          <w:rFonts w:eastAsia="Calibri"/>
          <w:noProof/>
          <w:szCs w:val="24"/>
        </w:rPr>
        <w:t xml:space="preserve">Тези предприятия представят отчет и прогнози за приходите и разходите, както и за активите и пасивите си до 2026 г. На база на получената информация за четиригодишния период 2023-2026 г. се прогнозира намаление с </w:t>
      </w:r>
      <w:r w:rsidRPr="002655DF">
        <w:rPr>
          <w:rFonts w:eastAsia="Calibri"/>
          <w:bCs/>
          <w:noProof/>
          <w:szCs w:val="24"/>
        </w:rPr>
        <w:t>21,8</w:t>
      </w:r>
      <w:r>
        <w:rPr>
          <w:rFonts w:eastAsia="Calibri"/>
          <w:bCs/>
          <w:noProof/>
          <w:szCs w:val="24"/>
          <w:lang w:val="en-US"/>
        </w:rPr>
        <w:t>0</w:t>
      </w:r>
      <w:r w:rsidRPr="002655DF">
        <w:rPr>
          <w:rFonts w:eastAsia="Calibri"/>
          <w:noProof/>
          <w:szCs w:val="24"/>
        </w:rPr>
        <w:t xml:space="preserve">% на задълженията на публичните предприятия от нефинансовия сектор, обект на наблюдение. Отчетеният към 31.12.2022 г. размер на дългосрочните и краткосрочните неконсолидирани задължения на тези дружества е общо </w:t>
      </w:r>
      <w:r>
        <w:rPr>
          <w:rFonts w:eastAsia="Calibri"/>
          <w:bCs/>
          <w:noProof/>
          <w:szCs w:val="24"/>
          <w:lang w:val="en-US"/>
        </w:rPr>
        <w:t>10,8</w:t>
      </w:r>
      <w:r w:rsidRPr="002655DF">
        <w:rPr>
          <w:rFonts w:eastAsia="Calibri"/>
          <w:bCs/>
          <w:noProof/>
          <w:szCs w:val="24"/>
        </w:rPr>
        <w:t xml:space="preserve"> </w:t>
      </w:r>
      <w:r w:rsidRPr="002655DF">
        <w:rPr>
          <w:rFonts w:eastAsia="Calibri"/>
          <w:noProof/>
          <w:szCs w:val="24"/>
        </w:rPr>
        <w:t xml:space="preserve">млрд. лв., като към 31.12.2026 г. прогнозите са същите да са в размер на </w:t>
      </w:r>
      <w:r>
        <w:rPr>
          <w:rFonts w:eastAsia="Calibri"/>
          <w:bCs/>
          <w:noProof/>
          <w:szCs w:val="24"/>
          <w:lang w:val="en-US"/>
        </w:rPr>
        <w:t>7,5</w:t>
      </w:r>
      <w:r w:rsidRPr="002655DF">
        <w:rPr>
          <w:rFonts w:eastAsia="Calibri"/>
          <w:bCs/>
          <w:noProof/>
          <w:szCs w:val="24"/>
        </w:rPr>
        <w:t xml:space="preserve"> </w:t>
      </w:r>
      <w:r w:rsidRPr="002655DF">
        <w:rPr>
          <w:rFonts w:eastAsia="Calibri"/>
          <w:noProof/>
          <w:szCs w:val="24"/>
        </w:rPr>
        <w:t>млрд. лв.</w:t>
      </w:r>
    </w:p>
    <w:p w:rsidR="00A36136" w:rsidRPr="00F17001" w:rsidRDefault="00A36136" w:rsidP="00A36136">
      <w:pPr>
        <w:rPr>
          <w:rFonts w:eastAsia="Calibri"/>
          <w:noProof/>
          <w:szCs w:val="24"/>
        </w:rPr>
      </w:pPr>
      <w:r w:rsidRPr="00F17001">
        <w:rPr>
          <w:rFonts w:eastAsia="Calibri"/>
          <w:noProof/>
          <w:szCs w:val="24"/>
        </w:rPr>
        <w:t xml:space="preserve">Сумарният коефициент на задлъжнялост се понижава от </w:t>
      </w:r>
      <w:r>
        <w:rPr>
          <w:rFonts w:eastAsia="Calibri"/>
          <w:bCs/>
          <w:noProof/>
          <w:szCs w:val="24"/>
        </w:rPr>
        <w:t>0,71</w:t>
      </w:r>
      <w:r w:rsidRPr="00F17001">
        <w:rPr>
          <w:rFonts w:eastAsia="Calibri"/>
          <w:bCs/>
          <w:noProof/>
          <w:szCs w:val="24"/>
        </w:rPr>
        <w:t xml:space="preserve"> </w:t>
      </w:r>
      <w:r>
        <w:rPr>
          <w:rFonts w:eastAsia="Calibri"/>
          <w:noProof/>
          <w:szCs w:val="24"/>
        </w:rPr>
        <w:t>към 31.12.2022 г. до 0,47</w:t>
      </w:r>
      <w:r w:rsidRPr="00F17001">
        <w:rPr>
          <w:rFonts w:eastAsia="Calibri"/>
          <w:noProof/>
          <w:szCs w:val="24"/>
        </w:rPr>
        <w:t xml:space="preserve"> в края на периода през 2026 г. Сумарното съотношение на дълга на тези дружества спрямо активите им намалява </w:t>
      </w:r>
      <w:r>
        <w:rPr>
          <w:rFonts w:eastAsia="Calibri"/>
          <w:bCs/>
          <w:noProof/>
          <w:szCs w:val="24"/>
        </w:rPr>
        <w:t>от 0,33 през 2022 г.</w:t>
      </w:r>
      <w:r w:rsidRPr="00F17001">
        <w:rPr>
          <w:rFonts w:eastAsia="Calibri"/>
          <w:noProof/>
          <w:szCs w:val="24"/>
        </w:rPr>
        <w:t xml:space="preserve"> до 0,3</w:t>
      </w:r>
      <w:r>
        <w:rPr>
          <w:rFonts w:eastAsia="Calibri"/>
          <w:noProof/>
          <w:szCs w:val="24"/>
        </w:rPr>
        <w:t>1 през 2026 г.</w:t>
      </w:r>
      <w:r w:rsidRPr="00F17001">
        <w:rPr>
          <w:rFonts w:eastAsia="Calibri"/>
          <w:noProof/>
          <w:szCs w:val="24"/>
        </w:rPr>
        <w:t xml:space="preserve"> Коефициентът </w:t>
      </w:r>
      <w:r>
        <w:rPr>
          <w:rFonts w:eastAsia="Calibri"/>
          <w:noProof/>
          <w:szCs w:val="24"/>
        </w:rPr>
        <w:t xml:space="preserve">им </w:t>
      </w:r>
      <w:r w:rsidRPr="00F17001">
        <w:rPr>
          <w:rFonts w:eastAsia="Calibri"/>
          <w:noProof/>
          <w:szCs w:val="24"/>
        </w:rPr>
        <w:t xml:space="preserve">на ликвидност нараства от </w:t>
      </w:r>
      <w:r>
        <w:rPr>
          <w:rFonts w:eastAsia="Calibri"/>
          <w:noProof/>
          <w:szCs w:val="24"/>
          <w:lang w:val="en-US"/>
        </w:rPr>
        <w:t>2,09</w:t>
      </w:r>
      <w:r w:rsidRPr="00F17001">
        <w:rPr>
          <w:rFonts w:eastAsia="Calibri"/>
          <w:noProof/>
          <w:szCs w:val="24"/>
        </w:rPr>
        <w:t xml:space="preserve"> през 202</w:t>
      </w:r>
      <w:r>
        <w:rPr>
          <w:rFonts w:eastAsia="Calibri"/>
          <w:noProof/>
          <w:szCs w:val="24"/>
          <w:lang w:val="en-US"/>
        </w:rPr>
        <w:t>2</w:t>
      </w:r>
      <w:r w:rsidRPr="00F17001">
        <w:rPr>
          <w:rFonts w:eastAsia="Calibri"/>
          <w:noProof/>
          <w:szCs w:val="24"/>
        </w:rPr>
        <w:t xml:space="preserve"> г. до 3,</w:t>
      </w:r>
      <w:r>
        <w:rPr>
          <w:rFonts w:eastAsia="Calibri"/>
          <w:noProof/>
          <w:szCs w:val="24"/>
        </w:rPr>
        <w:t>34</w:t>
      </w:r>
      <w:r w:rsidRPr="00F17001">
        <w:rPr>
          <w:rFonts w:eastAsia="Calibri"/>
          <w:noProof/>
          <w:szCs w:val="24"/>
        </w:rPr>
        <w:t xml:space="preserve"> през 2026 г.  </w:t>
      </w:r>
    </w:p>
    <w:p w:rsidR="00A36136" w:rsidRPr="00F17001" w:rsidRDefault="00A36136" w:rsidP="00A36136">
      <w:pPr>
        <w:rPr>
          <w:rFonts w:eastAsia="Calibri"/>
          <w:noProof/>
          <w:szCs w:val="24"/>
        </w:rPr>
      </w:pPr>
      <w:r w:rsidRPr="00F17001">
        <w:rPr>
          <w:rFonts w:eastAsia="Calibri"/>
          <w:noProof/>
          <w:szCs w:val="24"/>
        </w:rPr>
        <w:t>Нивото на задълженията на държавните предприятия с потенциално значително въздействие върху сектор „Държавно управление“ е по-ниско в сравнение със средното ниво на задлъжнялост в ЕС, което е 36,6% за 2021 г.</w:t>
      </w:r>
      <w:r w:rsidRPr="00F17001">
        <w:rPr>
          <w:rFonts w:eastAsia="Calibri"/>
          <w:noProof/>
          <w:szCs w:val="24"/>
          <w:vertAlign w:val="superscript"/>
        </w:rPr>
        <w:footnoteReference w:id="15"/>
      </w:r>
    </w:p>
    <w:p w:rsidR="00125A5B" w:rsidRDefault="0087105F" w:rsidP="00F17001">
      <w:pPr>
        <w:pStyle w:val="Caption"/>
        <w:spacing w:before="240" w:after="240"/>
      </w:pPr>
      <w:r w:rsidRPr="00006A45">
        <w:t xml:space="preserve">Граф. </w:t>
      </w:r>
      <w:fldSimple w:instr=" STYLEREF 1 \s ">
        <w:r w:rsidR="005A69ED">
          <w:rPr>
            <w:noProof/>
          </w:rPr>
          <w:t>II</w:t>
        </w:r>
      </w:fldSimple>
      <w:r w:rsidRPr="00006A45">
        <w:noBreakHyphen/>
      </w:r>
      <w:fldSimple w:instr=" SEQ Граф. \* ARABIC \s 1 ">
        <w:r w:rsidR="005A69ED">
          <w:rPr>
            <w:noProof/>
          </w:rPr>
          <w:t>4</w:t>
        </w:r>
      </w:fldSimple>
      <w:r w:rsidRPr="00006A45">
        <w:t>:</w:t>
      </w:r>
      <w:r w:rsidRPr="00006A45">
        <w:tab/>
        <w:t xml:space="preserve">Задължения на държавно контролирани предприятия, класифицирани извън сектор „Държавно управление“, % от БВП </w:t>
      </w:r>
    </w:p>
    <w:p w:rsidR="00F17001" w:rsidRDefault="00385119" w:rsidP="00385119">
      <w:pPr>
        <w:jc w:val="center"/>
      </w:pPr>
      <w:r>
        <w:rPr>
          <w:noProof/>
        </w:rPr>
        <w:drawing>
          <wp:inline distT="0" distB="0" distL="0" distR="0" wp14:anchorId="0819C9BC" wp14:editId="605CE632">
            <wp:extent cx="5255260" cy="4041775"/>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55260" cy="4041775"/>
                    </a:xfrm>
                    <a:prstGeom prst="rect">
                      <a:avLst/>
                    </a:prstGeom>
                    <a:noFill/>
                  </pic:spPr>
                </pic:pic>
              </a:graphicData>
            </a:graphic>
          </wp:inline>
        </w:drawing>
      </w:r>
    </w:p>
    <w:p w:rsidR="0087105F" w:rsidRPr="00006A45" w:rsidRDefault="0087105F" w:rsidP="0087105F">
      <w:pPr>
        <w:ind w:firstLine="7513"/>
        <w:rPr>
          <w:rFonts w:eastAsia="Calibri"/>
          <w:noProof/>
          <w:sz w:val="18"/>
          <w:szCs w:val="18"/>
        </w:rPr>
      </w:pPr>
      <w:r w:rsidRPr="00F17001">
        <w:rPr>
          <w:rFonts w:eastAsia="Calibri"/>
          <w:noProof/>
          <w:sz w:val="18"/>
          <w:szCs w:val="18"/>
        </w:rPr>
        <w:t>Източник: НСИ</w:t>
      </w:r>
      <w:r w:rsidRPr="00006A45">
        <w:rPr>
          <w:rFonts w:eastAsia="Calibri"/>
          <w:noProof/>
          <w:sz w:val="18"/>
          <w:szCs w:val="18"/>
        </w:rPr>
        <w:t xml:space="preserve"> </w:t>
      </w:r>
    </w:p>
    <w:p w:rsidR="0009030F" w:rsidRDefault="00A65D6E" w:rsidP="0009030F">
      <w:pPr>
        <w:rPr>
          <w:rFonts w:eastAsia="Calibri"/>
          <w:lang w:eastAsia="en-US"/>
        </w:rPr>
      </w:pPr>
      <w:r w:rsidRPr="00076550">
        <w:rPr>
          <w:rFonts w:eastAsia="Calibri"/>
          <w:b/>
          <w:lang w:eastAsia="en-US"/>
        </w:rPr>
        <w:t>Гарантираният дълг на сектор „Държавно управление“</w:t>
      </w:r>
      <w:r w:rsidRPr="00076550">
        <w:rPr>
          <w:rFonts w:eastAsia="Calibri"/>
          <w:lang w:eastAsia="en-US"/>
        </w:rPr>
        <w:t xml:space="preserve"> към края на 2023 г. се очаква да възлезе на 767 млн. лв. или 0,4% от БВП, като отбелязва ръст в номинално изражение спрямо нивото отчетено в края на 2022 г. (603,9 млн. лв. или 0,4% от БВП). Увеличението е следствие от извършваните регулярни операции по договорените гарантирани заеми. </w:t>
      </w:r>
      <w:r>
        <w:rPr>
          <w:rFonts w:eastAsia="Calibri"/>
          <w:lang w:eastAsia="en-US"/>
        </w:rPr>
        <w:t>Дългът се формира основно от издадените гаранции от подсектор „Централно управление“ с дял от 99,7%. Подсектор „Местно</w:t>
      </w:r>
      <w:r w:rsidR="00C92E12">
        <w:rPr>
          <w:rFonts w:eastAsia="Calibri"/>
          <w:lang w:eastAsia="en-US"/>
        </w:rPr>
        <w:t xml:space="preserve"> управление“ заема около 0,3</w:t>
      </w:r>
      <w:r>
        <w:rPr>
          <w:rFonts w:eastAsia="Calibri"/>
          <w:lang w:eastAsia="en-US"/>
        </w:rPr>
        <w:t xml:space="preserve">%, а подсектор „Социалноосигурителни фондове“ не може да издава гаранции. </w:t>
      </w:r>
    </w:p>
    <w:p w:rsidR="00A65D6E" w:rsidRPr="008B21AC" w:rsidRDefault="00A65D6E" w:rsidP="0009030F">
      <w:pPr>
        <w:rPr>
          <w:rFonts w:eastAsia="Calibri"/>
          <w:lang w:eastAsia="en-US"/>
        </w:rPr>
      </w:pPr>
      <w:r>
        <w:rPr>
          <w:rFonts w:eastAsia="Calibri"/>
        </w:rPr>
        <w:t>При допускане за издаване на предвидените в закона нови държавни гаранции</w:t>
      </w:r>
      <w:r w:rsidRPr="007D38E6">
        <w:rPr>
          <w:rFonts w:eastAsia="Times New Roman"/>
        </w:rPr>
        <w:t xml:space="preserve"> </w:t>
      </w:r>
      <w:r>
        <w:rPr>
          <w:rFonts w:eastAsia="Times New Roman"/>
        </w:rPr>
        <w:t>за подкрепа на стратегически проекти в енергийния сектор, за</w:t>
      </w:r>
      <w:r w:rsidRPr="000D44C2">
        <w:rPr>
          <w:rFonts w:eastAsia="Times New Roman"/>
        </w:rPr>
        <w:t xml:space="preserve"> енергийна ефективност и зеления преход на МСП</w:t>
      </w:r>
      <w:r>
        <w:rPr>
          <w:rFonts w:eastAsia="Times New Roman"/>
        </w:rPr>
        <w:t>, както</w:t>
      </w:r>
      <w:r>
        <w:rPr>
          <w:rFonts w:eastAsia="Calibri"/>
        </w:rPr>
        <w:t xml:space="preserve"> и усвояването на средствата от заемите в пълен размер през 2024 г., се очаква номиналният размер на гарантирания дълг на сектор „Държавно управление“ да се увеличи значително, достигайки в номинално изражение до 4,8 млрд. лв., а като съотношение спрямо прогнозния БВП да възлезе на около 2,3%. През следващите години от прогнозния период</w:t>
      </w:r>
      <w:r w:rsidRPr="005079B8">
        <w:rPr>
          <w:rFonts w:eastAsia="Calibri"/>
        </w:rPr>
        <w:t xml:space="preserve"> </w:t>
      </w:r>
      <w:r>
        <w:rPr>
          <w:rFonts w:eastAsia="Calibri"/>
        </w:rPr>
        <w:t>се допуска</w:t>
      </w:r>
      <w:r w:rsidRPr="005079B8">
        <w:rPr>
          <w:rFonts w:eastAsia="Calibri"/>
        </w:rPr>
        <w:t xml:space="preserve"> </w:t>
      </w:r>
      <w:r>
        <w:rPr>
          <w:rFonts w:eastAsia="Calibri"/>
        </w:rPr>
        <w:t>увеличаване на гарантираният дълг в номинално изражения вследствие на планирани усвоявания по заемните споразумения, а като съотношение от БВП се допуска незначително намаляване до 2,2% от БВП</w:t>
      </w:r>
      <w:r w:rsidRPr="005079B8">
        <w:rPr>
          <w:rFonts w:eastAsia="Calibri"/>
        </w:rPr>
        <w:t xml:space="preserve"> </w:t>
      </w:r>
      <w:r>
        <w:rPr>
          <w:rFonts w:eastAsia="Calibri"/>
        </w:rPr>
        <w:t xml:space="preserve">към края на 2026 г, </w:t>
      </w:r>
      <w:r w:rsidRPr="008B21AC">
        <w:rPr>
          <w:rFonts w:eastAsia="Calibri"/>
        </w:rPr>
        <w:t>вследствие на прогнозата за ръст на брутния вътрешен продукт с 3% спрямо предходната година.</w:t>
      </w:r>
    </w:p>
    <w:p w:rsidR="00A65D6E" w:rsidRDefault="00A65D6E" w:rsidP="00A65D6E">
      <w:pPr>
        <w:rPr>
          <w:rFonts w:eastAsia="Times New Roman" w:cs="Times New Roman"/>
        </w:rPr>
      </w:pPr>
      <w:r>
        <w:rPr>
          <w:rFonts w:eastAsia="Times New Roman" w:cs="Times New Roman"/>
        </w:rPr>
        <w:t xml:space="preserve">В края на 2024 г. доминиращ дял с 86% в отрасловата структура на гарантираният дълг се </w:t>
      </w:r>
      <w:r w:rsidR="00DB7FB8">
        <w:rPr>
          <w:rFonts w:eastAsia="Times New Roman" w:cs="Times New Roman"/>
        </w:rPr>
        <w:t>очаква</w:t>
      </w:r>
      <w:r>
        <w:rPr>
          <w:rFonts w:eastAsia="Times New Roman" w:cs="Times New Roman"/>
        </w:rPr>
        <w:t xml:space="preserve"> да заемат гаранциите на сектор „Енергетика“, следвани от издадените </w:t>
      </w:r>
      <w:r w:rsidRPr="000D44C2">
        <w:rPr>
          <w:rFonts w:eastAsia="Times New Roman" w:cs="Times New Roman"/>
          <w:bCs/>
          <w:szCs w:val="24"/>
        </w:rPr>
        <w:t xml:space="preserve">гаранции </w:t>
      </w:r>
      <w:r>
        <w:rPr>
          <w:rFonts w:eastAsia="Times New Roman" w:cs="Times New Roman"/>
          <w:szCs w:val="24"/>
        </w:rPr>
        <w:t xml:space="preserve">по инструментите на ЕС, </w:t>
      </w:r>
      <w:r>
        <w:rPr>
          <w:rFonts w:eastAsia="Times New Roman" w:cs="Times New Roman"/>
        </w:rPr>
        <w:t>създадени вследствие на избухването на COVID-19 - SURE</w:t>
      </w:r>
      <w:r>
        <w:rPr>
          <w:rStyle w:val="FootnoteReference"/>
          <w:rFonts w:eastAsia="Times New Roman"/>
        </w:rPr>
        <w:footnoteReference w:id="16"/>
      </w:r>
      <w:r>
        <w:rPr>
          <w:rFonts w:eastAsia="Times New Roman" w:cs="Times New Roman"/>
        </w:rPr>
        <w:t xml:space="preserve"> и Паневропейския гаранционен фонд, както и </w:t>
      </w:r>
      <w:r w:rsidRPr="00DA027B">
        <w:rPr>
          <w:rFonts w:eastAsia="Times New Roman" w:cs="Times New Roman"/>
        </w:rPr>
        <w:t>във връзка с предложението на Европейската комисия относно предоставянето на макрофинансова помощ на ЕС за Украйна под формата на помощи и заеми</w:t>
      </w:r>
      <w:r>
        <w:rPr>
          <w:rFonts w:eastAsia="Times New Roman" w:cs="Times New Roman"/>
        </w:rPr>
        <w:t xml:space="preserve">, с дял от 8%. </w:t>
      </w:r>
      <w:r>
        <w:rPr>
          <w:rFonts w:eastAsia="Times New Roman" w:cs="Times New Roman"/>
          <w:szCs w:val="24"/>
        </w:rPr>
        <w:t>Издадените гаранции</w:t>
      </w:r>
      <w:r w:rsidRPr="00AE4672">
        <w:rPr>
          <w:rFonts w:eastAsia="Times New Roman" w:cs="Times New Roman"/>
          <w:bCs/>
          <w:szCs w:val="24"/>
        </w:rPr>
        <w:t xml:space="preserve"> </w:t>
      </w:r>
      <w:r>
        <w:rPr>
          <w:rFonts w:eastAsia="Times New Roman" w:cs="Times New Roman"/>
          <w:bCs/>
          <w:szCs w:val="24"/>
        </w:rPr>
        <w:t xml:space="preserve">на Българската банка за развитие ЕАД </w:t>
      </w:r>
      <w:r>
        <w:rPr>
          <w:rFonts w:eastAsia="Times New Roman" w:cs="Times New Roman"/>
          <w:szCs w:val="24"/>
        </w:rPr>
        <w:t xml:space="preserve">предвидени за изпълнение на </w:t>
      </w:r>
      <w:r w:rsidRPr="000D44C2">
        <w:rPr>
          <w:rFonts w:eastAsia="Times New Roman" w:cs="Times New Roman"/>
          <w:szCs w:val="24"/>
        </w:rPr>
        <w:t>устойчиви инвестиции</w:t>
      </w:r>
      <w:r>
        <w:rPr>
          <w:rFonts w:eastAsia="Times New Roman" w:cs="Times New Roman"/>
          <w:szCs w:val="24"/>
        </w:rPr>
        <w:t>,</w:t>
      </w:r>
      <w:r w:rsidRPr="000D44C2">
        <w:rPr>
          <w:rFonts w:eastAsia="Times New Roman" w:cs="Times New Roman"/>
          <w:szCs w:val="24"/>
        </w:rPr>
        <w:t xml:space="preserve"> енергийна ефективност и зеления преход на МСП</w:t>
      </w:r>
      <w:r>
        <w:rPr>
          <w:rFonts w:eastAsia="Times New Roman" w:cs="Times New Roman"/>
          <w:szCs w:val="24"/>
        </w:rPr>
        <w:t xml:space="preserve"> - </w:t>
      </w:r>
      <w:r>
        <w:rPr>
          <w:rFonts w:eastAsia="Times New Roman" w:cs="Times New Roman"/>
        </w:rPr>
        <w:t>заемат дял от 5%. Останалите около 1% заемат предоставените гаранции по реда на Закона за кредитиране на студенти и докторанти, по изпълнявани други междуправителствени споразумения и издадените общински гаранции.</w:t>
      </w:r>
    </w:p>
    <w:p w:rsidR="00A36136" w:rsidRPr="00F17001" w:rsidRDefault="00A36136" w:rsidP="00A36136">
      <w:pPr>
        <w:rPr>
          <w:rFonts w:eastAsia="Calibri" w:cs="Times New Roman"/>
          <w:b/>
          <w:szCs w:val="24"/>
          <w:lang w:eastAsia="en-US"/>
        </w:rPr>
      </w:pPr>
      <w:r w:rsidRPr="00F17001">
        <w:rPr>
          <w:rFonts w:eastAsia="Calibri" w:cs="Times New Roman"/>
          <w:szCs w:val="24"/>
          <w:lang w:eastAsia="en-US"/>
        </w:rPr>
        <w:t>Необслужваните заеми към сектор „Държавно управление“ са само в сектор „Централно управление“ и се запазват на ниво под 0,1% от БВП през последните пет години. Размерът им за 2021 г. е 0,02% от БВП, което е под средното за ЕС ниво от 1,05% от БВП.</w:t>
      </w:r>
    </w:p>
    <w:p w:rsidR="00A65D6E" w:rsidRPr="00A36136" w:rsidRDefault="00A36136" w:rsidP="00460CD6">
      <w:pPr>
        <w:rPr>
          <w:rFonts w:eastAsia="Calibri" w:cs="Times New Roman"/>
          <w:szCs w:val="24"/>
          <w:lang w:eastAsia="en-US"/>
        </w:rPr>
      </w:pPr>
      <w:r w:rsidRPr="00F17001">
        <w:rPr>
          <w:rFonts w:eastAsia="Calibri" w:cs="Times New Roman"/>
          <w:szCs w:val="24"/>
          <w:lang w:eastAsia="en-US"/>
        </w:rPr>
        <w:t xml:space="preserve">Коригирана капиталова стойност на извънбалансовите </w:t>
      </w:r>
      <w:r w:rsidRPr="00F17001">
        <w:rPr>
          <w:rFonts w:eastAsia="Calibri" w:cs="Times New Roman"/>
          <w:b/>
          <w:szCs w:val="24"/>
          <w:lang w:eastAsia="en-US"/>
        </w:rPr>
        <w:t>публично-частни партньорства</w:t>
      </w:r>
      <w:r w:rsidRPr="00F17001">
        <w:rPr>
          <w:rFonts w:eastAsia="Calibri" w:cs="Times New Roman"/>
          <w:szCs w:val="24"/>
          <w:lang w:eastAsia="en-US"/>
        </w:rPr>
        <w:t xml:space="preserve"> (ПЧП) не се докладва, тъй като към момента в България няма ПЧП, които да отговарят на дефиницията на ЕСС 2010 за ПЧП. Методологията ЕСС 2010 препоръчва да се използва терминът ПЧП само за тези договори, където правителството е основният купувач на услугата.</w:t>
      </w:r>
    </w:p>
    <w:p w:rsidR="001C6BEC" w:rsidRPr="00006A45" w:rsidRDefault="003A06A0" w:rsidP="001C6BEC">
      <w:pPr>
        <w:pStyle w:val="Heading3"/>
        <w:ind w:left="0"/>
        <w:rPr>
          <w:rStyle w:val="Strong"/>
          <w:b/>
          <w:bCs/>
        </w:rPr>
      </w:pPr>
      <w:r>
        <w:rPr>
          <w:rStyle w:val="Strong"/>
          <w:b/>
          <w:bCs/>
        </w:rPr>
        <w:t>О</w:t>
      </w:r>
      <w:r w:rsidR="001C6BEC" w:rsidRPr="00006A45">
        <w:rPr>
          <w:rStyle w:val="Strong"/>
          <w:b/>
          <w:bCs/>
        </w:rPr>
        <w:t>ценка на международни организации и рейтингови агенции за икономическите и финансови перспективи на българия</w:t>
      </w:r>
    </w:p>
    <w:p w:rsidR="00FB33D1" w:rsidRPr="003E67D8" w:rsidRDefault="00FB33D1" w:rsidP="00FB33D1">
      <w:pPr>
        <w:shd w:val="clear" w:color="auto" w:fill="FFFFFF"/>
        <w:spacing w:after="150"/>
        <w:rPr>
          <w:rFonts w:eastAsia="Calibri" w:cs="Times New Roman"/>
          <w:szCs w:val="24"/>
          <w:lang w:eastAsia="en-US"/>
        </w:rPr>
      </w:pPr>
      <w:r>
        <w:rPr>
          <w:rFonts w:eastAsia="Calibri" w:cs="Times New Roman"/>
          <w:szCs w:val="24"/>
          <w:lang w:eastAsia="en-US"/>
        </w:rPr>
        <w:t>В края на м. октомври м</w:t>
      </w:r>
      <w:r w:rsidRPr="003E67D8">
        <w:rPr>
          <w:rFonts w:eastAsia="Calibri" w:cs="Times New Roman"/>
          <w:szCs w:val="24"/>
          <w:lang w:eastAsia="en-US"/>
        </w:rPr>
        <w:t xml:space="preserve">еждународната рейтингова агенция </w:t>
      </w:r>
      <w:r w:rsidRPr="00395727">
        <w:rPr>
          <w:rFonts w:eastAsia="Calibri" w:cs="Times New Roman"/>
          <w:b/>
          <w:szCs w:val="24"/>
          <w:lang w:eastAsia="en-US"/>
        </w:rPr>
        <w:t>Fitch Ratings</w:t>
      </w:r>
      <w:r w:rsidRPr="003E67D8">
        <w:rPr>
          <w:rFonts w:eastAsia="Calibri" w:cs="Times New Roman"/>
          <w:szCs w:val="24"/>
          <w:lang w:eastAsia="en-US"/>
        </w:rPr>
        <w:t xml:space="preserve"> потвърди дългосрочния кредитен рейтинг на България в чуждестранна и местн</w:t>
      </w:r>
      <w:r w:rsidR="005118ED">
        <w:rPr>
          <w:rFonts w:eastAsia="Calibri" w:cs="Times New Roman"/>
          <w:szCs w:val="24"/>
          <w:lang w:eastAsia="en-US"/>
        </w:rPr>
        <w:t>а валута „BBB“</w:t>
      </w:r>
      <w:r w:rsidRPr="003E67D8">
        <w:rPr>
          <w:rFonts w:eastAsia="Calibri" w:cs="Times New Roman"/>
          <w:szCs w:val="24"/>
          <w:lang w:eastAsia="en-US"/>
        </w:rPr>
        <w:t xml:space="preserve"> с положителна перспектива.</w:t>
      </w:r>
    </w:p>
    <w:p w:rsidR="00FB33D1" w:rsidRPr="003E67D8" w:rsidRDefault="00FB33D1" w:rsidP="00FB33D1">
      <w:pPr>
        <w:shd w:val="clear" w:color="auto" w:fill="FFFFFF"/>
        <w:spacing w:after="150"/>
        <w:rPr>
          <w:rFonts w:eastAsia="Calibri" w:cs="Times New Roman"/>
          <w:szCs w:val="24"/>
          <w:lang w:eastAsia="en-US"/>
        </w:rPr>
      </w:pPr>
      <w:r w:rsidRPr="003E67D8">
        <w:rPr>
          <w:rFonts w:eastAsia="Calibri" w:cs="Times New Roman"/>
          <w:szCs w:val="24"/>
          <w:lang w:eastAsia="en-US"/>
        </w:rPr>
        <w:t>Рейтингът на България е подкрепен от силната външна и фискална позиция на страната в сравнение с държавите със същия рейтинг, надеждната политическа рамка от членството в ЕС и дългогодишното функциониране на режима на паричен съвет. От друга страна, ниският дял на инвестициите спрямо БВП и неблагоприятните демографски фактори тежат на потенциалния икономически растеж и на публичните финанси в дългосрочен период.</w:t>
      </w:r>
    </w:p>
    <w:p w:rsidR="00FB33D1" w:rsidRPr="003E67D8" w:rsidRDefault="00FB33D1" w:rsidP="00FB33D1">
      <w:pPr>
        <w:shd w:val="clear" w:color="auto" w:fill="FFFFFF"/>
        <w:spacing w:after="150"/>
        <w:rPr>
          <w:rFonts w:eastAsia="Calibri" w:cs="Times New Roman"/>
          <w:szCs w:val="24"/>
          <w:lang w:eastAsia="en-US"/>
        </w:rPr>
      </w:pPr>
      <w:r w:rsidRPr="003E67D8">
        <w:rPr>
          <w:rFonts w:eastAsia="Calibri" w:cs="Times New Roman"/>
          <w:szCs w:val="24"/>
          <w:lang w:eastAsia="en-US"/>
        </w:rPr>
        <w:t>Положителната перспектива отразява плановете за членство на страната в еврозоната, което може да доведе до по-нататъшни подобрения в показателите за външната позиция на страната. Въпреки забавянето на процеса по присъединяване към еврозоната, анализаторите от рейтинговата агенция считат, че съществува широка политическа ангажираност за приемане на еврото през 2025 г. След сформирането на новото правителство парламентът е приел всички оставащи ангажименти след влизането на страната в ERM II, а изменението на закона за централната банка се очаква да бъде одобрено до края на 2023 г.</w:t>
      </w:r>
    </w:p>
    <w:p w:rsidR="00FB33D1" w:rsidRPr="003E67D8" w:rsidRDefault="00FB33D1" w:rsidP="00FB33D1">
      <w:pPr>
        <w:shd w:val="clear" w:color="auto" w:fill="FFFFFF"/>
        <w:spacing w:after="150"/>
        <w:rPr>
          <w:rFonts w:eastAsia="Calibri" w:cs="Times New Roman"/>
          <w:szCs w:val="24"/>
          <w:lang w:eastAsia="en-US"/>
        </w:rPr>
      </w:pPr>
      <w:r w:rsidRPr="003E67D8">
        <w:rPr>
          <w:rFonts w:eastAsia="Calibri" w:cs="Times New Roman"/>
          <w:szCs w:val="24"/>
          <w:lang w:eastAsia="en-US"/>
        </w:rPr>
        <w:t>Темпът на инфлация (ХИПЦ) в България следва тенденция на понижение, но остава значително над този в трите държави-членки на ЕС с най-ниска инфлация и в момента не отговаря на критерия за ценова стабилност. Предвид значителната несигурност по отношение на инфлационните процеси, за Fitch Ratings остава под въпрос изпълнението на критерия за ценова стабилност в средата на 2024 г. (ключовата дата за приемане в еврозоната през 2025 г.). България вероятно ще изпълни всички други номинални критерии за приемане на еврото (публични финанси, лихвен процент и валутен курс). Анализаторите от агенцията считат, че приемането на еврото е в подкрепа на рейтинга, тъй като при равни други условия това би подобрило оценката за рейтинга на страната с около две степени.</w:t>
      </w:r>
    </w:p>
    <w:p w:rsidR="00FB33D1" w:rsidRPr="003E67D8" w:rsidRDefault="00FB33D1" w:rsidP="00FB33D1">
      <w:pPr>
        <w:shd w:val="clear" w:color="auto" w:fill="FFFFFF"/>
        <w:spacing w:after="150"/>
        <w:rPr>
          <w:rFonts w:eastAsia="Calibri" w:cs="Times New Roman"/>
          <w:szCs w:val="24"/>
          <w:lang w:eastAsia="en-US"/>
        </w:rPr>
      </w:pPr>
      <w:r w:rsidRPr="003E67D8">
        <w:rPr>
          <w:rFonts w:eastAsia="Calibri" w:cs="Times New Roman"/>
          <w:szCs w:val="24"/>
          <w:lang w:eastAsia="en-US"/>
        </w:rPr>
        <w:t>След отчетения растеж през първото полугодие на 2023 г., въпреки забавянето на външното търсене, високата инфлация и повишената несигурност, Fitch повиши прогнозата си за р</w:t>
      </w:r>
      <w:r w:rsidR="00395727">
        <w:rPr>
          <w:rFonts w:eastAsia="Calibri" w:cs="Times New Roman"/>
          <w:szCs w:val="24"/>
          <w:lang w:eastAsia="en-US"/>
        </w:rPr>
        <w:t>ъста на БВП за тази година до 1,9% (от 1,</w:t>
      </w:r>
      <w:r w:rsidRPr="003E67D8">
        <w:rPr>
          <w:rFonts w:eastAsia="Calibri" w:cs="Times New Roman"/>
          <w:szCs w:val="24"/>
          <w:lang w:eastAsia="en-US"/>
        </w:rPr>
        <w:t>3%, очакван през май). Очакванията са потреблението на домакинствата да бъде подкрепено от по-високите бюджетни разходи, стабилния пазар на труда, намаляване на склонността за спестяване и силния ръст на кредитите. Ръстът на инвестициите се очаква постепенно да се подобри през второто полугодие на 2023 г. с нарастването на трансферите от ЕС. Ра</w:t>
      </w:r>
      <w:r w:rsidR="00395727">
        <w:rPr>
          <w:rFonts w:eastAsia="Calibri" w:cs="Times New Roman"/>
          <w:szCs w:val="24"/>
          <w:lang w:eastAsia="en-US"/>
        </w:rPr>
        <w:t>стежът на БВП ще се ускори до 2,</w:t>
      </w:r>
      <w:r w:rsidRPr="003E67D8">
        <w:rPr>
          <w:rFonts w:eastAsia="Calibri" w:cs="Times New Roman"/>
          <w:szCs w:val="24"/>
          <w:lang w:eastAsia="en-US"/>
        </w:rPr>
        <w:t>8% през 2024 г. и 3% през 2025 г., като по-слабото частно потребление ще бъде балансирано от по-силни инвестиции, подкрепени от трансферите от ЕС. От рейтинговата агенция отчитат и ангажираността на правителството за прилагане на свързаните с Механизма за възстановяване и устойчивост реформи след подаденото второ искане за плаща</w:t>
      </w:r>
      <w:r w:rsidR="00395727">
        <w:rPr>
          <w:rFonts w:eastAsia="Calibri" w:cs="Times New Roman"/>
          <w:szCs w:val="24"/>
          <w:lang w:eastAsia="en-US"/>
        </w:rPr>
        <w:t>не в размер на 724</w:t>
      </w:r>
      <w:r w:rsidR="001B216B">
        <w:rPr>
          <w:rFonts w:eastAsia="Calibri" w:cs="Times New Roman"/>
          <w:szCs w:val="24"/>
          <w:lang w:eastAsia="en-US"/>
        </w:rPr>
        <w:t>,0</w:t>
      </w:r>
      <w:r w:rsidR="00395727">
        <w:rPr>
          <w:rFonts w:eastAsia="Calibri" w:cs="Times New Roman"/>
          <w:szCs w:val="24"/>
          <w:lang w:eastAsia="en-US"/>
        </w:rPr>
        <w:t xml:space="preserve"> млн. евро (0,</w:t>
      </w:r>
      <w:r w:rsidRPr="003E67D8">
        <w:rPr>
          <w:rFonts w:eastAsia="Calibri" w:cs="Times New Roman"/>
          <w:szCs w:val="24"/>
          <w:lang w:eastAsia="en-US"/>
        </w:rPr>
        <w:t>8% от БВП за 2023 г.).</w:t>
      </w:r>
    </w:p>
    <w:p w:rsidR="00FB33D1" w:rsidRPr="003E67D8" w:rsidRDefault="00FB33D1" w:rsidP="00FB33D1">
      <w:pPr>
        <w:shd w:val="clear" w:color="auto" w:fill="FFFFFF"/>
        <w:spacing w:after="150"/>
        <w:rPr>
          <w:rFonts w:eastAsia="Calibri" w:cs="Times New Roman"/>
          <w:szCs w:val="24"/>
          <w:lang w:eastAsia="en-US"/>
        </w:rPr>
      </w:pPr>
      <w:r w:rsidRPr="003E67D8">
        <w:rPr>
          <w:rFonts w:eastAsia="Calibri" w:cs="Times New Roman"/>
          <w:szCs w:val="24"/>
          <w:lang w:eastAsia="en-US"/>
        </w:rPr>
        <w:t>Fitch прогнозира, че общата инфлация, според ХИПЦ, ще продължи постепенно да се забавя, докато базисната инфлация ще намалява по-бавно поради силното частно потребление, затегнатите условия на пазара на труда и вторичните ефекти. Агенцията оча</w:t>
      </w:r>
      <w:r w:rsidR="00395727">
        <w:rPr>
          <w:rFonts w:eastAsia="Calibri" w:cs="Times New Roman"/>
          <w:szCs w:val="24"/>
          <w:lang w:eastAsia="en-US"/>
        </w:rPr>
        <w:t>ква средногодишна инфлация от 9,</w:t>
      </w:r>
      <w:r w:rsidRPr="003E67D8">
        <w:rPr>
          <w:rFonts w:eastAsia="Calibri" w:cs="Times New Roman"/>
          <w:szCs w:val="24"/>
          <w:lang w:eastAsia="en-US"/>
        </w:rPr>
        <w:t xml:space="preserve">1% през 2023 </w:t>
      </w:r>
      <w:r w:rsidR="00395727">
        <w:rPr>
          <w:rFonts w:eastAsia="Calibri" w:cs="Times New Roman"/>
          <w:szCs w:val="24"/>
          <w:lang w:eastAsia="en-US"/>
        </w:rPr>
        <w:t>г., 4,6% през 2024 г. и 2,</w:t>
      </w:r>
      <w:r w:rsidRPr="003E67D8">
        <w:rPr>
          <w:rFonts w:eastAsia="Calibri" w:cs="Times New Roman"/>
          <w:szCs w:val="24"/>
          <w:lang w:eastAsia="en-US"/>
        </w:rPr>
        <w:t>9% през 2025 г. Прогнозата за инфлацията остава обект на значителна несигурност, произтичаща главно от динамиката на цените на суровините и проявлението на вторичните ефекти.</w:t>
      </w:r>
    </w:p>
    <w:p w:rsidR="00FB33D1" w:rsidRPr="003E67D8" w:rsidRDefault="00FB33D1" w:rsidP="00FB33D1">
      <w:pPr>
        <w:shd w:val="clear" w:color="auto" w:fill="FFFFFF"/>
        <w:spacing w:after="150"/>
        <w:rPr>
          <w:rFonts w:eastAsia="Calibri" w:cs="Times New Roman"/>
          <w:szCs w:val="24"/>
          <w:lang w:eastAsia="en-US"/>
        </w:rPr>
      </w:pPr>
      <w:r w:rsidRPr="003E67D8">
        <w:rPr>
          <w:rFonts w:eastAsia="Calibri" w:cs="Times New Roman"/>
          <w:szCs w:val="24"/>
          <w:lang w:eastAsia="en-US"/>
        </w:rPr>
        <w:t>Прогнозира се</w:t>
      </w:r>
      <w:r w:rsidR="00395727">
        <w:rPr>
          <w:rFonts w:eastAsia="Calibri" w:cs="Times New Roman"/>
          <w:szCs w:val="24"/>
          <w:lang w:eastAsia="en-US"/>
        </w:rPr>
        <w:t xml:space="preserve"> бюджетен дефицит в размер на 2,</w:t>
      </w:r>
      <w:r w:rsidRPr="003E67D8">
        <w:rPr>
          <w:rFonts w:eastAsia="Calibri" w:cs="Times New Roman"/>
          <w:szCs w:val="24"/>
          <w:lang w:eastAsia="en-US"/>
        </w:rPr>
        <w:t>6% от БВП през 2023 г., в резултат от по-ниски от планирани</w:t>
      </w:r>
      <w:r w:rsidR="001B216B">
        <w:rPr>
          <w:rFonts w:eastAsia="Calibri" w:cs="Times New Roman"/>
          <w:szCs w:val="24"/>
          <w:lang w:eastAsia="en-US"/>
        </w:rPr>
        <w:t>те</w:t>
      </w:r>
      <w:r w:rsidRPr="003E67D8">
        <w:rPr>
          <w:rFonts w:eastAsia="Calibri" w:cs="Times New Roman"/>
          <w:szCs w:val="24"/>
          <w:lang w:eastAsia="en-US"/>
        </w:rPr>
        <w:t xml:space="preserve"> разходи за мерки за енергийна подкрепа, по-високи социални и капиталови разходи и увеличения на заплатите в публичния сектор. Въпреки постигната</w:t>
      </w:r>
      <w:r w:rsidR="001B216B">
        <w:rPr>
          <w:rFonts w:eastAsia="Calibri" w:cs="Times New Roman"/>
          <w:szCs w:val="24"/>
          <w:lang w:eastAsia="en-US"/>
        </w:rPr>
        <w:t>та</w:t>
      </w:r>
      <w:r w:rsidRPr="003E67D8">
        <w:rPr>
          <w:rFonts w:eastAsia="Calibri" w:cs="Times New Roman"/>
          <w:szCs w:val="24"/>
          <w:lang w:eastAsia="en-US"/>
        </w:rPr>
        <w:t xml:space="preserve"> фискална предпазливост, очакванията са настоящото правителство да поддържа малко по-високи дефицити в средносрочен план, за да повиши публичните инвестиции и социалните трансфери за намаляване на неравенството. </w:t>
      </w:r>
      <w:r w:rsidR="00395727">
        <w:rPr>
          <w:rFonts w:eastAsia="Calibri" w:cs="Times New Roman"/>
          <w:szCs w:val="24"/>
          <w:lang w:eastAsia="en-US"/>
        </w:rPr>
        <w:t>Очаква се бюджетен дефицит от 2,8% от БВП през 2024 г. и 3,</w:t>
      </w:r>
      <w:r w:rsidRPr="003E67D8">
        <w:rPr>
          <w:rFonts w:eastAsia="Calibri" w:cs="Times New Roman"/>
          <w:szCs w:val="24"/>
          <w:lang w:eastAsia="en-US"/>
        </w:rPr>
        <w:t>5% от БВП през 2025 г.</w:t>
      </w:r>
    </w:p>
    <w:p w:rsidR="00FB33D1" w:rsidRPr="003E67D8" w:rsidRDefault="00FB33D1" w:rsidP="00FB33D1">
      <w:pPr>
        <w:shd w:val="clear" w:color="auto" w:fill="FFFFFF"/>
        <w:spacing w:after="150"/>
        <w:rPr>
          <w:rFonts w:eastAsia="Calibri" w:cs="Times New Roman"/>
          <w:szCs w:val="24"/>
          <w:lang w:eastAsia="en-US"/>
        </w:rPr>
      </w:pPr>
      <w:r w:rsidRPr="003E67D8">
        <w:rPr>
          <w:rFonts w:eastAsia="Calibri" w:cs="Times New Roman"/>
          <w:szCs w:val="24"/>
          <w:lang w:eastAsia="en-US"/>
        </w:rPr>
        <w:t>Въпреки по-големите фискални дефицити, нивото на държавния дълг на България ще остане много по-ниско в сравнение със страните от ЕС, както и с държавите със същия рейтинг. Прогнозира се съотношението на общия държавен дълг към БВП да остане под 30% до 2027 г.</w:t>
      </w:r>
    </w:p>
    <w:p w:rsidR="00FB33D1" w:rsidRPr="003E67D8" w:rsidRDefault="00FB33D1" w:rsidP="00FB33D1">
      <w:pPr>
        <w:shd w:val="clear" w:color="auto" w:fill="FFFFFF"/>
        <w:spacing w:after="150"/>
        <w:rPr>
          <w:rFonts w:eastAsia="Calibri" w:cs="Times New Roman"/>
          <w:szCs w:val="24"/>
          <w:lang w:eastAsia="en-US"/>
        </w:rPr>
      </w:pPr>
      <w:r w:rsidRPr="00954E8F">
        <w:rPr>
          <w:rFonts w:eastAsia="Calibri" w:cs="Times New Roman"/>
          <w:i/>
          <w:szCs w:val="24"/>
          <w:lang w:eastAsia="en-US"/>
        </w:rPr>
        <w:t>Основни</w:t>
      </w:r>
      <w:r w:rsidR="00F54958">
        <w:rPr>
          <w:rFonts w:eastAsia="Calibri" w:cs="Times New Roman"/>
          <w:i/>
          <w:szCs w:val="24"/>
          <w:lang w:eastAsia="en-US"/>
        </w:rPr>
        <w:t>те</w:t>
      </w:r>
      <w:r w:rsidRPr="00954E8F">
        <w:rPr>
          <w:rFonts w:eastAsia="Calibri" w:cs="Times New Roman"/>
          <w:i/>
          <w:szCs w:val="24"/>
          <w:lang w:eastAsia="en-US"/>
        </w:rPr>
        <w:t xml:space="preserve"> фактори, които биха могли да доведат до положителни действия</w:t>
      </w:r>
      <w:r w:rsidRPr="003E67D8">
        <w:rPr>
          <w:rFonts w:eastAsia="Calibri" w:cs="Times New Roman"/>
          <w:szCs w:val="24"/>
          <w:lang w:eastAsia="en-US"/>
        </w:rPr>
        <w:t xml:space="preserve"> по рейтинга, са напредък </w:t>
      </w:r>
      <w:r w:rsidR="00D74A0E">
        <w:rPr>
          <w:rFonts w:eastAsia="Calibri" w:cs="Times New Roman"/>
          <w:szCs w:val="24"/>
          <w:lang w:eastAsia="en-US"/>
        </w:rPr>
        <w:t xml:space="preserve">в </w:t>
      </w:r>
      <w:r w:rsidRPr="003E67D8">
        <w:rPr>
          <w:rFonts w:eastAsia="Calibri" w:cs="Times New Roman"/>
          <w:szCs w:val="24"/>
          <w:lang w:eastAsia="en-US"/>
        </w:rPr>
        <w:t xml:space="preserve"> присъединяването към еврозоната, включително увереност, че България отговаря на критериите за членство и срока за приемане на еврото; подобряване на потенциала за растеж на икономиката, например чрез въвеждане на структурни и управленски реформи за подобряване на бизнес средата и/или ефективно използване на средствата от ЕС.</w:t>
      </w:r>
    </w:p>
    <w:p w:rsidR="00FB33D1" w:rsidRPr="003E67D8" w:rsidRDefault="00FB33D1" w:rsidP="00FB33D1">
      <w:pPr>
        <w:shd w:val="clear" w:color="auto" w:fill="FFFFFF"/>
        <w:spacing w:after="150"/>
        <w:rPr>
          <w:rFonts w:eastAsia="Calibri" w:cs="Times New Roman"/>
          <w:szCs w:val="24"/>
          <w:lang w:eastAsia="en-US"/>
        </w:rPr>
      </w:pPr>
      <w:r w:rsidRPr="00954E8F">
        <w:rPr>
          <w:rFonts w:eastAsia="Calibri" w:cs="Times New Roman"/>
          <w:i/>
          <w:szCs w:val="24"/>
          <w:lang w:eastAsia="en-US"/>
        </w:rPr>
        <w:t>Фактори</w:t>
      </w:r>
      <w:r w:rsidR="001B216B">
        <w:rPr>
          <w:rFonts w:eastAsia="Calibri" w:cs="Times New Roman"/>
          <w:i/>
          <w:szCs w:val="24"/>
          <w:lang w:eastAsia="en-US"/>
        </w:rPr>
        <w:t>те</w:t>
      </w:r>
      <w:r w:rsidRPr="00954E8F">
        <w:rPr>
          <w:rFonts w:eastAsia="Calibri" w:cs="Times New Roman"/>
          <w:i/>
          <w:szCs w:val="24"/>
          <w:lang w:eastAsia="en-US"/>
        </w:rPr>
        <w:t>, които биха могли да доведат до негативни действия</w:t>
      </w:r>
      <w:r w:rsidRPr="003E67D8">
        <w:rPr>
          <w:rFonts w:eastAsia="Calibri" w:cs="Times New Roman"/>
          <w:szCs w:val="24"/>
          <w:lang w:eastAsia="en-US"/>
        </w:rPr>
        <w:t xml:space="preserve"> по рейтинга, са липса на напредък в присъединяването към еврозоната поради постоянна политическа нестабилност или неизпълнение на критериите за конвергенция; перспективи за </w:t>
      </w:r>
      <w:r w:rsidR="00954E8F">
        <w:rPr>
          <w:rFonts w:eastAsia="Calibri" w:cs="Times New Roman"/>
          <w:szCs w:val="24"/>
          <w:lang w:eastAsia="en-US"/>
        </w:rPr>
        <w:t>по-нисък</w:t>
      </w:r>
      <w:r w:rsidR="001B216B">
        <w:rPr>
          <w:rFonts w:eastAsia="Calibri" w:cs="Times New Roman"/>
          <w:szCs w:val="24"/>
          <w:lang w:eastAsia="en-US"/>
        </w:rPr>
        <w:t xml:space="preserve"> </w:t>
      </w:r>
      <w:r w:rsidRPr="003E67D8">
        <w:rPr>
          <w:rFonts w:eastAsia="Calibri" w:cs="Times New Roman"/>
          <w:szCs w:val="24"/>
          <w:lang w:eastAsia="en-US"/>
        </w:rPr>
        <w:t>растеж в средносрочен период, предизвикани например от значителен неблагоприятен макроикономически шок или инфлация, която се е задържала на високи нива.</w:t>
      </w:r>
    </w:p>
    <w:p w:rsidR="00FB33D1" w:rsidRPr="003E67D8" w:rsidRDefault="00FB33D1" w:rsidP="00FB33D1">
      <w:pPr>
        <w:rPr>
          <w:rFonts w:eastAsia="Calibri" w:cs="Times New Roman"/>
          <w:szCs w:val="24"/>
          <w:lang w:eastAsia="en-US"/>
        </w:rPr>
      </w:pPr>
      <w:r w:rsidRPr="003E67D8">
        <w:rPr>
          <w:rFonts w:eastAsia="Calibri" w:cs="Times New Roman"/>
          <w:szCs w:val="24"/>
          <w:lang w:eastAsia="en-US"/>
        </w:rPr>
        <w:t xml:space="preserve">В края на м. ноември 2022 г. международната рейтингова агенция </w:t>
      </w:r>
      <w:r w:rsidRPr="003E67D8">
        <w:rPr>
          <w:rFonts w:eastAsia="Calibri" w:cs="Times New Roman"/>
          <w:b/>
          <w:szCs w:val="24"/>
          <w:lang w:eastAsia="en-US"/>
        </w:rPr>
        <w:t xml:space="preserve">S&amp;P Global Ratings </w:t>
      </w:r>
      <w:r w:rsidRPr="003E67D8">
        <w:rPr>
          <w:rFonts w:eastAsia="Calibri" w:cs="Times New Roman"/>
          <w:szCs w:val="24"/>
          <w:lang w:eastAsia="en-US"/>
        </w:rPr>
        <w:t>препотвърди дългосрочния и краткосрочния кредитен рейтинг на България в чуждестранна и местна валута „BBB/A-2“ със стабилна перспектива. Тя отразява от една страна по-слабите очаквания за икономическия растеж на България в краткосрочен план и повишената вътрешна политическа несигурност, а от друга – ниският нетен държавен дълг на страната и ниските разходи за лихви. Според S&amp;P Global Ratings това помага на България, като играе ролята на буфер, който прави нейните публични финанси по-малко чувствителни към бързо повишаващите се лихвени проценти в световен план. България в момента има висока инфлация, което според S&amp;P Global Ratings може да представлява предизвикателство пред членството й в еврозоната от 2024 г.</w:t>
      </w:r>
    </w:p>
    <w:p w:rsidR="00FB33D1" w:rsidRPr="003E67D8" w:rsidRDefault="00FB33D1" w:rsidP="00FB33D1">
      <w:pPr>
        <w:rPr>
          <w:rFonts w:eastAsia="Calibri" w:cs="Times New Roman"/>
          <w:szCs w:val="24"/>
          <w:lang w:eastAsia="en-US"/>
        </w:rPr>
      </w:pPr>
      <w:r w:rsidRPr="003E67D8">
        <w:rPr>
          <w:rFonts w:eastAsia="Calibri" w:cs="Times New Roman"/>
          <w:szCs w:val="24"/>
          <w:lang w:eastAsia="en-US"/>
        </w:rPr>
        <w:t>От S&amp;P Global Ratings очакват растежът на БВП на България да отслабне значително през следващите месеци. Въпреки че икономиката остана устойчива през 2022 г. на последствията от конфликта Русия-Украйна, отколкото са били първоначалните очаквания на рейтинговата агенция, остават някои предизвикателства. Очакванията са да отслабне външното търсене от основните търговски партньори на България в ЕС и потреблението да намалее, тъй като продължителната висока инфлация, която оценяват на близо 10% средно през 2023 г., ще се отрази на реалните заплати. Положително влияние върху икономиката ще имат проектите, финансирани със средства от ЕС. От S&amp;P Global Ratings прогнозират реален растеж през 2023 г. по-нисък от 1%, което е значително забавяне спрямо очакванията им от 3% през 2022 г.</w:t>
      </w:r>
    </w:p>
    <w:p w:rsidR="00FB33D1" w:rsidRPr="003E67D8" w:rsidRDefault="00FB33D1" w:rsidP="00FB33D1">
      <w:pPr>
        <w:rPr>
          <w:rFonts w:eastAsia="Calibri" w:cs="Times New Roman"/>
          <w:szCs w:val="24"/>
          <w:lang w:eastAsia="en-US"/>
        </w:rPr>
      </w:pPr>
      <w:r w:rsidRPr="003E67D8">
        <w:rPr>
          <w:rFonts w:eastAsia="Calibri" w:cs="Times New Roman"/>
          <w:szCs w:val="24"/>
          <w:lang w:eastAsia="en-US"/>
        </w:rPr>
        <w:t>Според S&amp;P Global Ratings България постепенно напредва в усилията си за влизане в еврозоната, но остава неясно дали ще получи членство от 01.01.2024 г. поради някои пречки. Успешното присъединяване на България към еврозоната ще елиминира остатъчния валутен риск спрямо еврото в икономиката, ще подобри достъпа на страната до европейските капиталови пазари и ще осигури на местните търговски банки пряк достъп до ресурсите на ЕЦБ. В момента обаче България е с висока инфлация (близо 15%), което според рейтинговата агенция може да усложни задачата за покриване на критериите за конвергенция през следващата година. Вътрешнополитическата несигурност също продължи с наличието на служебно правителство след последните предсрочни избори през октомври 2022 г., което усложни процеса на подготовка за присъединяване към еврозоната.</w:t>
      </w:r>
    </w:p>
    <w:p w:rsidR="00FB33D1" w:rsidRPr="003E67D8" w:rsidRDefault="00FB33D1" w:rsidP="00FB33D1">
      <w:pPr>
        <w:rPr>
          <w:rFonts w:eastAsia="Calibri" w:cs="Times New Roman"/>
          <w:szCs w:val="24"/>
          <w:lang w:eastAsia="en-US"/>
        </w:rPr>
      </w:pPr>
      <w:r w:rsidRPr="003E67D8">
        <w:rPr>
          <w:rFonts w:eastAsia="Calibri" w:cs="Times New Roman"/>
          <w:i/>
          <w:szCs w:val="24"/>
          <w:lang w:eastAsia="en-US"/>
        </w:rPr>
        <w:t>Рейтинговата агенция би повишила кредитния рейтинг</w:t>
      </w:r>
      <w:r w:rsidRPr="003E67D8">
        <w:rPr>
          <w:rFonts w:eastAsia="Calibri" w:cs="Times New Roman"/>
          <w:szCs w:val="24"/>
          <w:lang w:eastAsia="en-US"/>
        </w:rPr>
        <w:t xml:space="preserve"> при присъединяването на страната към еврозоната, както и при съществено подобрение във външната позиция на България. От S&amp;P отбелязват, че </w:t>
      </w:r>
      <w:r w:rsidRPr="003E67D8">
        <w:rPr>
          <w:rFonts w:eastAsia="Calibri" w:cs="Times New Roman"/>
          <w:i/>
          <w:szCs w:val="24"/>
          <w:lang w:eastAsia="en-US"/>
        </w:rPr>
        <w:t>биха понижили рейтинга</w:t>
      </w:r>
      <w:r w:rsidRPr="003E67D8">
        <w:rPr>
          <w:rFonts w:eastAsia="Calibri" w:cs="Times New Roman"/>
          <w:szCs w:val="24"/>
          <w:lang w:eastAsia="en-US"/>
        </w:rPr>
        <w:t>, ако икономическите перспективи на България се влошат значително спрямо сегашните им очаквания, което може да стане например поради по-силни косвени ефекти от забавяне на глобалния растеж, значително влошаване на ситуацията с регионалната сигурност или прекъсване на вноса на енергийни суровини от Русия, застрашаващо наличието на достатъчно предлагане на енергийни доставки за икономиката на България.</w:t>
      </w:r>
    </w:p>
    <w:p w:rsidR="00FB33D1" w:rsidRPr="003E67D8" w:rsidRDefault="00FB33D1" w:rsidP="00FB33D1">
      <w:pPr>
        <w:rPr>
          <w:rFonts w:eastAsia="Calibri" w:cs="Times New Roman"/>
          <w:szCs w:val="24"/>
          <w:lang w:eastAsia="en-US"/>
        </w:rPr>
      </w:pPr>
      <w:r w:rsidRPr="003E67D8">
        <w:rPr>
          <w:rFonts w:eastAsia="Calibri" w:cs="Times New Roman"/>
          <w:szCs w:val="24"/>
          <w:lang w:eastAsia="en-US"/>
        </w:rPr>
        <w:t xml:space="preserve">Последната официално оповестена оценка на </w:t>
      </w:r>
      <w:r w:rsidRPr="003E67D8">
        <w:rPr>
          <w:rFonts w:eastAsia="Calibri" w:cs="Times New Roman"/>
          <w:b/>
          <w:szCs w:val="24"/>
          <w:lang w:eastAsia="en-US"/>
        </w:rPr>
        <w:t>Moody’s</w:t>
      </w:r>
      <w:r w:rsidRPr="003E67D8">
        <w:rPr>
          <w:rFonts w:eastAsia="Calibri" w:cs="Times New Roman"/>
          <w:szCs w:val="24"/>
          <w:lang w:eastAsia="en-US"/>
        </w:rPr>
        <w:t xml:space="preserve"> за България е от началото на м. февруари 2023 г., когато агенцията потвърди дългосрочния рейтинг на България в чуждестранна и местна валута на „Baa1“ със стабилна перспектива. Потвърждаването на рейтинга „Baa1“ на България се дължи на следните ключови фактори: очакванията, че енергийна криза в Европа няма да отслаби съществено икономическата и фискалната позиция на страната; подкрепата за кредитния профил на България, произтичаща от перспективата за приемане на еврото, въпреки риска от забавяне на приемането след 2024 г. и рисковете за ефективността и напредъка на правителството по ключови приоритети, произтичащи от продължителния вътрешнополитически застой в страната.</w:t>
      </w:r>
    </w:p>
    <w:p w:rsidR="00FB33D1" w:rsidRPr="003E67D8" w:rsidRDefault="00FB33D1" w:rsidP="00FB33D1">
      <w:pPr>
        <w:rPr>
          <w:rFonts w:eastAsia="Calibri" w:cs="Times New Roman"/>
          <w:szCs w:val="24"/>
          <w:lang w:eastAsia="en-US"/>
        </w:rPr>
      </w:pPr>
      <w:r w:rsidRPr="003E67D8">
        <w:rPr>
          <w:rFonts w:eastAsia="Calibri" w:cs="Times New Roman"/>
          <w:szCs w:val="24"/>
          <w:lang w:eastAsia="en-US"/>
        </w:rPr>
        <w:t>Стабилната перспектива отразява очакванията на Moody’s за относително слаба флуктуация на основните икономически и фискални показатели на страната през следващите 12 до 18 месеца. Тя също така отразява баланса на рисковете между потенциалните отрицателни ефекти върху кредитния профил, произтичащи от политическата ситуация в страната, и потенциалните положителни ефекти от евентуалното приемане на еврото.</w:t>
      </w:r>
    </w:p>
    <w:p w:rsidR="00FB33D1" w:rsidRPr="003E67D8" w:rsidRDefault="00FB33D1" w:rsidP="00FB33D1">
      <w:pPr>
        <w:rPr>
          <w:rFonts w:eastAsia="Calibri" w:cs="Times New Roman"/>
          <w:szCs w:val="24"/>
          <w:lang w:eastAsia="en-US"/>
        </w:rPr>
      </w:pPr>
      <w:r w:rsidRPr="003E67D8">
        <w:rPr>
          <w:rFonts w:eastAsia="Calibri" w:cs="Times New Roman"/>
          <w:szCs w:val="24"/>
          <w:lang w:eastAsia="en-US"/>
        </w:rPr>
        <w:t xml:space="preserve">Рейтинговата агенция </w:t>
      </w:r>
      <w:r w:rsidRPr="003E67D8">
        <w:rPr>
          <w:rFonts w:eastAsia="Calibri" w:cs="Times New Roman"/>
          <w:i/>
          <w:szCs w:val="24"/>
          <w:lang w:eastAsia="en-US"/>
        </w:rPr>
        <w:t>би повишила кредитния рейтинг</w:t>
      </w:r>
      <w:r w:rsidRPr="003E67D8">
        <w:rPr>
          <w:rFonts w:eastAsia="Calibri" w:cs="Times New Roman"/>
          <w:szCs w:val="24"/>
          <w:lang w:eastAsia="en-US"/>
        </w:rPr>
        <w:t xml:space="preserve"> при наличието на подобрение в перспективите за растежа в дългосрочен план, произтичащи от подобрения в инфраструктурата и институционалната среда, както и присъединяването на страната към еврозоната. Moody’s отбелязват, че </w:t>
      </w:r>
      <w:r w:rsidRPr="003E67D8">
        <w:rPr>
          <w:rFonts w:eastAsia="Calibri" w:cs="Times New Roman"/>
          <w:i/>
          <w:szCs w:val="24"/>
          <w:lang w:eastAsia="en-US"/>
        </w:rPr>
        <w:t>биха понижили рейтинга</w:t>
      </w:r>
      <w:r w:rsidRPr="003E67D8">
        <w:rPr>
          <w:rFonts w:eastAsia="Calibri" w:cs="Times New Roman"/>
          <w:szCs w:val="24"/>
          <w:lang w:eastAsia="en-US"/>
        </w:rPr>
        <w:t xml:space="preserve"> при трайно влошаване на силната бюджетна позиция на страната; перспективите пред дългосрочния икономически растеж, както и при неуспех в завършването на процеса по присъединяването към еврозоната.</w:t>
      </w:r>
    </w:p>
    <w:p w:rsidR="005D7401" w:rsidRDefault="005D7401" w:rsidP="005D7401">
      <w:pPr>
        <w:rPr>
          <w:rFonts w:eastAsia="Calibri" w:cs="Times New Roman"/>
          <w:szCs w:val="24"/>
          <w:lang w:eastAsia="en-US"/>
        </w:rPr>
      </w:pPr>
      <w:r w:rsidRPr="003E67D8">
        <w:rPr>
          <w:rFonts w:eastAsia="Calibri" w:cs="Times New Roman"/>
          <w:szCs w:val="24"/>
          <w:lang w:eastAsia="en-US"/>
        </w:rPr>
        <w:t xml:space="preserve">В </w:t>
      </w:r>
      <w:r>
        <w:rPr>
          <w:rFonts w:eastAsia="Calibri" w:cs="Times New Roman"/>
          <w:szCs w:val="24"/>
          <w:lang w:eastAsia="en-US"/>
        </w:rPr>
        <w:t>есенната</w:t>
      </w:r>
      <w:r w:rsidRPr="003E67D8">
        <w:rPr>
          <w:rFonts w:eastAsia="Calibri" w:cs="Times New Roman"/>
          <w:szCs w:val="24"/>
          <w:lang w:eastAsia="en-US"/>
        </w:rPr>
        <w:t xml:space="preserve"> си икономическа прогноза от 2023 г. </w:t>
      </w:r>
      <w:r w:rsidRPr="003E67D8">
        <w:rPr>
          <w:rFonts w:eastAsia="Calibri" w:cs="Times New Roman"/>
          <w:b/>
          <w:szCs w:val="24"/>
          <w:lang w:eastAsia="en-US"/>
        </w:rPr>
        <w:t>Европейската комисия</w:t>
      </w:r>
      <w:r w:rsidRPr="003E67D8">
        <w:rPr>
          <w:rFonts w:eastAsia="Calibri" w:cs="Times New Roman"/>
          <w:szCs w:val="24"/>
          <w:lang w:eastAsia="en-US"/>
        </w:rPr>
        <w:t xml:space="preserve"> прогнозира,</w:t>
      </w:r>
      <w:r>
        <w:rPr>
          <w:rFonts w:eastAsia="Calibri" w:cs="Times New Roman"/>
          <w:szCs w:val="24"/>
          <w:lang w:eastAsia="en-US"/>
        </w:rPr>
        <w:t xml:space="preserve"> че след намаляването на дефицита до 2,9% от БВП през 2022 г., той леко ще се увеличи до 3% от БВП през 2023 г. Правителството е приело увеличения на заплатите и пенсиите през предходните години, които ще имат бюджетен ефект от около 4% от БВП през 2023 г. Тяхното въздействие се избягва чрез компенсиращи мерки, като увеличаване на събираемостта на данъците и определяне на 100% дивидент за държавните предприятия. В същото време, други развития са допринесли за задържането на дефицита като частичното отпадане на мерките за смекчаване на въздействието на високите енергийни цени, като тези, които остават през 2023 г. са напълно финансирани от солидарната вноска от енергийния сектор. Общият (нетен) бюджетен ефект на енергийните мерки се прогнозира на 0,8% от БВП за 2023 г. Приходите също така са били облагодетелствани от увеличенията на доходите, по-високото потребление и растящите цени.</w:t>
      </w:r>
    </w:p>
    <w:p w:rsidR="005D7401" w:rsidRPr="003E67D8" w:rsidRDefault="005D7401" w:rsidP="005D7401">
      <w:pPr>
        <w:rPr>
          <w:rFonts w:eastAsia="Calibri" w:cs="Times New Roman"/>
          <w:szCs w:val="24"/>
          <w:lang w:eastAsia="en-US"/>
        </w:rPr>
      </w:pPr>
      <w:r>
        <w:rPr>
          <w:rFonts w:eastAsia="Calibri" w:cs="Times New Roman"/>
          <w:szCs w:val="24"/>
          <w:lang w:eastAsia="en-US"/>
        </w:rPr>
        <w:t>През 2024 г. се прогнозира дефицитът на сектор „Държавно управление“ да остане 3% от БВП. Увеличението на данъчните приходи</w:t>
      </w:r>
      <w:r w:rsidR="005838B6">
        <w:rPr>
          <w:rFonts w:eastAsia="Calibri" w:cs="Times New Roman"/>
          <w:szCs w:val="24"/>
          <w:lang w:eastAsia="en-US"/>
        </w:rPr>
        <w:t xml:space="preserve"> </w:t>
      </w:r>
      <w:r>
        <w:rPr>
          <w:rFonts w:eastAsia="Calibri" w:cs="Times New Roman"/>
          <w:szCs w:val="24"/>
          <w:lang w:eastAsia="en-US"/>
        </w:rPr>
        <w:t>ще се забави в съответствие с икономическата перспектива, но се очаква позитивен ефект от мерките за подкрепа на събираемостта и от пълното отпадане на енергийните мерки. Публичните инвестиции се очаква да останат стабилни, но очакваното въздействие върху дефицита ще бъде ограничено благодарение на по-високите приходи от ЕС, в частност ПВУ. През 2025 г. дефицитът се очаква да бъде 3,2% от БВП, основно поради доставките на военно оборудване с общ временен разход около 0,7% от БВП.</w:t>
      </w:r>
    </w:p>
    <w:p w:rsidR="00C92E12" w:rsidRDefault="00C92E12" w:rsidP="00FB33D1">
      <w:pPr>
        <w:rPr>
          <w:rFonts w:eastAsia="Calibri" w:cs="Times New Roman"/>
          <w:szCs w:val="24"/>
          <w:lang w:eastAsia="en-US"/>
        </w:rPr>
      </w:pPr>
      <w:r w:rsidRPr="003E67D8">
        <w:rPr>
          <w:rFonts w:eastAsia="Calibri" w:cs="Times New Roman"/>
          <w:szCs w:val="24"/>
          <w:lang w:eastAsia="en-US"/>
        </w:rPr>
        <w:t xml:space="preserve">В публикувания през м. </w:t>
      </w:r>
      <w:r>
        <w:rPr>
          <w:rFonts w:eastAsia="Calibri" w:cs="Times New Roman"/>
          <w:szCs w:val="24"/>
          <w:lang w:eastAsia="en-US"/>
        </w:rPr>
        <w:t>октомври</w:t>
      </w:r>
      <w:r w:rsidRPr="003E67D8">
        <w:rPr>
          <w:rFonts w:eastAsia="Calibri" w:cs="Times New Roman"/>
          <w:szCs w:val="24"/>
          <w:lang w:eastAsia="en-US"/>
        </w:rPr>
        <w:t xml:space="preserve"> 2023 г. икономически преглед на световната икономика </w:t>
      </w:r>
      <w:r w:rsidRPr="003E67D8">
        <w:rPr>
          <w:rFonts w:eastAsia="Calibri" w:cs="Times New Roman"/>
          <w:b/>
          <w:szCs w:val="24"/>
          <w:lang w:eastAsia="en-US"/>
        </w:rPr>
        <w:t>МВФ</w:t>
      </w:r>
      <w:r w:rsidRPr="003E67D8">
        <w:rPr>
          <w:rFonts w:eastAsia="Calibri" w:cs="Times New Roman"/>
          <w:szCs w:val="24"/>
          <w:lang w:eastAsia="en-US"/>
        </w:rPr>
        <w:t xml:space="preserve"> по</w:t>
      </w:r>
      <w:r>
        <w:rPr>
          <w:rFonts w:eastAsia="Calibri" w:cs="Times New Roman"/>
          <w:szCs w:val="24"/>
          <w:lang w:eastAsia="en-US"/>
        </w:rPr>
        <w:t>виши</w:t>
      </w:r>
      <w:r w:rsidR="00D20ECF">
        <w:rPr>
          <w:rFonts w:eastAsia="Calibri" w:cs="Times New Roman"/>
          <w:szCs w:val="24"/>
          <w:lang w:eastAsia="en-US"/>
        </w:rPr>
        <w:t xml:space="preserve"> </w:t>
      </w:r>
      <w:r w:rsidRPr="003E67D8">
        <w:rPr>
          <w:rFonts w:eastAsia="Calibri" w:cs="Times New Roman"/>
          <w:szCs w:val="24"/>
          <w:lang w:eastAsia="en-US"/>
        </w:rPr>
        <w:t>оценката си за икономическия ръст на България през 2023 г. до 1,</w:t>
      </w:r>
      <w:r>
        <w:rPr>
          <w:rFonts w:eastAsia="Calibri" w:cs="Times New Roman"/>
          <w:szCs w:val="24"/>
          <w:lang w:eastAsia="en-US"/>
        </w:rPr>
        <w:t>7</w:t>
      </w:r>
      <w:r w:rsidRPr="003E67D8">
        <w:rPr>
          <w:rFonts w:eastAsia="Calibri" w:cs="Times New Roman"/>
          <w:szCs w:val="24"/>
          <w:lang w:eastAsia="en-US"/>
        </w:rPr>
        <w:t xml:space="preserve">% спрямо предишната от </w:t>
      </w:r>
      <w:r>
        <w:rPr>
          <w:rFonts w:eastAsia="Calibri" w:cs="Times New Roman"/>
          <w:szCs w:val="24"/>
          <w:lang w:eastAsia="en-US"/>
        </w:rPr>
        <w:t>1,4</w:t>
      </w:r>
      <w:r w:rsidRPr="003E67D8">
        <w:rPr>
          <w:rFonts w:eastAsia="Calibri" w:cs="Times New Roman"/>
          <w:szCs w:val="24"/>
          <w:lang w:eastAsia="en-US"/>
        </w:rPr>
        <w:t xml:space="preserve">% от м. </w:t>
      </w:r>
      <w:r>
        <w:rPr>
          <w:rFonts w:eastAsia="Calibri" w:cs="Times New Roman"/>
          <w:szCs w:val="24"/>
          <w:lang w:eastAsia="en-US"/>
        </w:rPr>
        <w:t>април</w:t>
      </w:r>
      <w:r w:rsidRPr="003E67D8">
        <w:rPr>
          <w:rFonts w:eastAsia="Calibri" w:cs="Times New Roman"/>
          <w:szCs w:val="24"/>
          <w:lang w:eastAsia="en-US"/>
        </w:rPr>
        <w:t xml:space="preserve"> 202</w:t>
      </w:r>
      <w:r>
        <w:rPr>
          <w:rFonts w:eastAsia="Calibri" w:cs="Times New Roman"/>
          <w:szCs w:val="24"/>
          <w:lang w:eastAsia="en-US"/>
        </w:rPr>
        <w:t>3</w:t>
      </w:r>
      <w:r w:rsidRPr="003E67D8">
        <w:rPr>
          <w:rFonts w:eastAsia="Calibri" w:cs="Times New Roman"/>
          <w:szCs w:val="24"/>
          <w:lang w:eastAsia="en-US"/>
        </w:rPr>
        <w:t xml:space="preserve"> г. За 2024 г. прогнозата за ръст</w:t>
      </w:r>
      <w:r>
        <w:rPr>
          <w:rFonts w:eastAsia="Calibri" w:cs="Times New Roman"/>
          <w:szCs w:val="24"/>
          <w:lang w:val="en-US" w:eastAsia="en-US"/>
        </w:rPr>
        <w:t xml:space="preserve">а на </w:t>
      </w:r>
      <w:r>
        <w:rPr>
          <w:rFonts w:eastAsia="Calibri" w:cs="Times New Roman"/>
          <w:szCs w:val="24"/>
          <w:lang w:eastAsia="en-US"/>
        </w:rPr>
        <w:t>БВП</w:t>
      </w:r>
      <w:r w:rsidRPr="003E67D8">
        <w:rPr>
          <w:rFonts w:eastAsia="Calibri" w:cs="Times New Roman"/>
          <w:szCs w:val="24"/>
          <w:lang w:eastAsia="en-US"/>
        </w:rPr>
        <w:t xml:space="preserve"> от </w:t>
      </w:r>
      <w:r>
        <w:rPr>
          <w:rFonts w:eastAsia="Calibri" w:cs="Times New Roman"/>
          <w:szCs w:val="24"/>
          <w:lang w:eastAsia="en-US"/>
        </w:rPr>
        <w:t>3,5</w:t>
      </w:r>
      <w:r w:rsidRPr="003E67D8">
        <w:rPr>
          <w:rFonts w:eastAsia="Calibri" w:cs="Times New Roman"/>
          <w:szCs w:val="24"/>
          <w:lang w:eastAsia="en-US"/>
        </w:rPr>
        <w:t xml:space="preserve">% от м. </w:t>
      </w:r>
      <w:r>
        <w:rPr>
          <w:rFonts w:eastAsia="Calibri" w:cs="Times New Roman"/>
          <w:szCs w:val="24"/>
          <w:lang w:eastAsia="en-US"/>
        </w:rPr>
        <w:t>април</w:t>
      </w:r>
      <w:r w:rsidRPr="003E67D8">
        <w:rPr>
          <w:rFonts w:eastAsia="Calibri" w:cs="Times New Roman"/>
          <w:szCs w:val="24"/>
          <w:lang w:eastAsia="en-US"/>
        </w:rPr>
        <w:t xml:space="preserve"> 202</w:t>
      </w:r>
      <w:r>
        <w:rPr>
          <w:rFonts w:eastAsia="Calibri" w:cs="Times New Roman"/>
          <w:szCs w:val="24"/>
          <w:lang w:eastAsia="en-US"/>
        </w:rPr>
        <w:t>3</w:t>
      </w:r>
      <w:r w:rsidRPr="003E67D8">
        <w:rPr>
          <w:rFonts w:eastAsia="Calibri" w:cs="Times New Roman"/>
          <w:szCs w:val="24"/>
          <w:lang w:eastAsia="en-US"/>
        </w:rPr>
        <w:t xml:space="preserve"> г. е </w:t>
      </w:r>
      <w:r>
        <w:rPr>
          <w:rFonts w:eastAsia="Calibri" w:cs="Times New Roman"/>
          <w:szCs w:val="24"/>
          <w:lang w:eastAsia="en-US"/>
        </w:rPr>
        <w:t>понижена</w:t>
      </w:r>
      <w:r w:rsidRPr="003E67D8">
        <w:rPr>
          <w:rFonts w:eastAsia="Calibri" w:cs="Times New Roman"/>
          <w:szCs w:val="24"/>
          <w:lang w:eastAsia="en-US"/>
        </w:rPr>
        <w:t xml:space="preserve"> до 3,</w:t>
      </w:r>
      <w:r>
        <w:rPr>
          <w:rFonts w:eastAsia="Calibri" w:cs="Times New Roman"/>
          <w:szCs w:val="24"/>
          <w:lang w:eastAsia="en-US"/>
        </w:rPr>
        <w:t>2</w:t>
      </w:r>
      <w:r w:rsidRPr="003E67D8">
        <w:rPr>
          <w:rFonts w:eastAsia="Calibri" w:cs="Times New Roman"/>
          <w:szCs w:val="24"/>
          <w:lang w:eastAsia="en-US"/>
        </w:rPr>
        <w:t>%.</w:t>
      </w:r>
      <w:r>
        <w:rPr>
          <w:rFonts w:eastAsia="Calibri" w:cs="Times New Roman"/>
          <w:szCs w:val="24"/>
          <w:lang w:eastAsia="en-US"/>
        </w:rPr>
        <w:t xml:space="preserve"> </w:t>
      </w:r>
      <w:r w:rsidR="003D1836">
        <w:rPr>
          <w:rFonts w:eastAsia="Calibri" w:cs="Times New Roman"/>
          <w:szCs w:val="24"/>
          <w:lang w:eastAsia="en-US"/>
        </w:rPr>
        <w:t xml:space="preserve">За </w:t>
      </w:r>
      <w:r>
        <w:rPr>
          <w:rFonts w:eastAsia="Calibri" w:cs="Times New Roman"/>
          <w:szCs w:val="24"/>
          <w:lang w:eastAsia="en-US"/>
        </w:rPr>
        <w:t xml:space="preserve">периода 2025-2026 г. очакванията на </w:t>
      </w:r>
      <w:r w:rsidR="008254F9">
        <w:rPr>
          <w:rFonts w:eastAsia="Calibri" w:cs="Times New Roman"/>
          <w:szCs w:val="24"/>
          <w:lang w:eastAsia="en-US"/>
        </w:rPr>
        <w:t>МВФ</w:t>
      </w:r>
      <w:r>
        <w:rPr>
          <w:rFonts w:eastAsia="Calibri" w:cs="Times New Roman"/>
          <w:szCs w:val="24"/>
          <w:lang w:eastAsia="en-US"/>
        </w:rPr>
        <w:t xml:space="preserve"> са за икономически растеж от 3% на годишна база.</w:t>
      </w:r>
    </w:p>
    <w:p w:rsidR="00FB33D1" w:rsidRPr="003E67D8" w:rsidRDefault="00FB33D1" w:rsidP="00FB33D1">
      <w:pPr>
        <w:rPr>
          <w:rFonts w:eastAsia="Calibri" w:cs="Times New Roman"/>
          <w:szCs w:val="24"/>
          <w:lang w:eastAsia="en-US"/>
        </w:rPr>
      </w:pPr>
      <w:r w:rsidRPr="003E67D8">
        <w:rPr>
          <w:rFonts w:eastAsia="Calibri" w:cs="Times New Roman"/>
          <w:szCs w:val="24"/>
          <w:lang w:eastAsia="en-US"/>
        </w:rPr>
        <w:t xml:space="preserve">Изготвеният от </w:t>
      </w:r>
      <w:r w:rsidRPr="003E67D8">
        <w:rPr>
          <w:rFonts w:eastAsia="Calibri" w:cs="Times New Roman"/>
          <w:b/>
          <w:szCs w:val="24"/>
          <w:lang w:eastAsia="en-US"/>
        </w:rPr>
        <w:t>Организацията за икономическо сътрудничество и развитие (ОИСР)</w:t>
      </w:r>
      <w:r w:rsidRPr="003E67D8">
        <w:rPr>
          <w:rFonts w:eastAsia="Calibri" w:cs="Times New Roman"/>
          <w:szCs w:val="24"/>
          <w:lang w:eastAsia="en-US"/>
        </w:rPr>
        <w:t xml:space="preserve"> </w:t>
      </w:r>
      <w:r w:rsidR="00C61B91">
        <w:rPr>
          <w:rFonts w:eastAsia="Calibri" w:cs="Times New Roman"/>
          <w:szCs w:val="24"/>
          <w:lang w:eastAsia="en-US"/>
        </w:rPr>
        <w:t>доклад „</w:t>
      </w:r>
      <w:r w:rsidRPr="003E67D8">
        <w:rPr>
          <w:rFonts w:eastAsia="Calibri" w:cs="Times New Roman"/>
          <w:szCs w:val="24"/>
          <w:lang w:eastAsia="en-US"/>
        </w:rPr>
        <w:t>Икономически преглед на България</w:t>
      </w:r>
      <w:r w:rsidR="00C61B91">
        <w:rPr>
          <w:rFonts w:eastAsia="Calibri" w:cs="Times New Roman"/>
          <w:szCs w:val="24"/>
          <w:lang w:eastAsia="en-US"/>
        </w:rPr>
        <w:t>“</w:t>
      </w:r>
      <w:r w:rsidRPr="003E67D8">
        <w:rPr>
          <w:rFonts w:eastAsia="Calibri" w:cs="Times New Roman"/>
          <w:szCs w:val="24"/>
          <w:lang w:eastAsia="en-US"/>
        </w:rPr>
        <w:t xml:space="preserve"> беше представен на 4 април 2023 г. в София. Икономическият преглед на страната ни е задължителна стъпка по пътя на присъединяването на Република България към О</w:t>
      </w:r>
      <w:r w:rsidR="004837F8">
        <w:rPr>
          <w:rFonts w:eastAsia="Calibri" w:cs="Times New Roman"/>
          <w:szCs w:val="24"/>
          <w:lang w:eastAsia="en-US"/>
        </w:rPr>
        <w:t>ИСР</w:t>
      </w:r>
      <w:r w:rsidRPr="003E67D8">
        <w:rPr>
          <w:rFonts w:eastAsia="Calibri" w:cs="Times New Roman"/>
          <w:szCs w:val="24"/>
          <w:lang w:eastAsia="en-US"/>
        </w:rPr>
        <w:t>. Икономически</w:t>
      </w:r>
      <w:r w:rsidR="00C61B91">
        <w:rPr>
          <w:rFonts w:eastAsia="Calibri" w:cs="Times New Roman"/>
          <w:szCs w:val="24"/>
          <w:lang w:eastAsia="en-US"/>
        </w:rPr>
        <w:t>те</w:t>
      </w:r>
      <w:r w:rsidRPr="003E67D8">
        <w:rPr>
          <w:rFonts w:eastAsia="Calibri" w:cs="Times New Roman"/>
          <w:szCs w:val="24"/>
          <w:lang w:eastAsia="en-US"/>
        </w:rPr>
        <w:t xml:space="preserve"> преглед</w:t>
      </w:r>
      <w:r w:rsidR="00C61B91">
        <w:rPr>
          <w:rFonts w:eastAsia="Calibri" w:cs="Times New Roman"/>
          <w:szCs w:val="24"/>
          <w:lang w:eastAsia="en-US"/>
        </w:rPr>
        <w:t>и</w:t>
      </w:r>
      <w:r w:rsidRPr="003E67D8">
        <w:rPr>
          <w:rFonts w:eastAsia="Calibri" w:cs="Times New Roman"/>
          <w:szCs w:val="24"/>
          <w:lang w:eastAsia="en-US"/>
        </w:rPr>
        <w:t xml:space="preserve"> имат важно значение в процеса на присъединяване към ОИСР предвид цялостната картина на икономическото и социално развитие на страната, която съдържат. </w:t>
      </w:r>
      <w:r w:rsidR="00C61B91" w:rsidRPr="00C61B91">
        <w:rPr>
          <w:rFonts w:eastAsia="Calibri" w:cs="Times New Roman"/>
          <w:szCs w:val="24"/>
          <w:lang w:eastAsia="en-US"/>
        </w:rPr>
        <w:t>Прегледът съдържа препоръки, които целят да подпомогнат перспективите за икономическо развитие на страната, като част от тях ще бъдат обект на по-задълбочена оценка от страна на съответните тематични комитети на ОИСР в рамките на процеса на присъединяване.</w:t>
      </w:r>
      <w:r w:rsidR="008441A7">
        <w:rPr>
          <w:rFonts w:eastAsia="Calibri" w:cs="Times New Roman"/>
          <w:szCs w:val="24"/>
          <w:lang w:eastAsia="en-US"/>
        </w:rPr>
        <w:t xml:space="preserve"> </w:t>
      </w:r>
      <w:r w:rsidRPr="003E67D8">
        <w:rPr>
          <w:rFonts w:eastAsia="Calibri" w:cs="Times New Roman"/>
          <w:szCs w:val="24"/>
          <w:lang w:eastAsia="en-US"/>
        </w:rPr>
        <w:t xml:space="preserve">Оценките на ОИСР </w:t>
      </w:r>
      <w:r w:rsidR="00C61B91" w:rsidRPr="00C61B91">
        <w:rPr>
          <w:rFonts w:eastAsia="Calibri" w:cs="Times New Roman"/>
          <w:szCs w:val="24"/>
          <w:lang w:eastAsia="en-US"/>
        </w:rPr>
        <w:t xml:space="preserve">в доклада за икономическия преглед от 2023 г. </w:t>
      </w:r>
      <w:r w:rsidRPr="003E67D8">
        <w:rPr>
          <w:rFonts w:eastAsia="Calibri" w:cs="Times New Roman"/>
          <w:szCs w:val="24"/>
          <w:lang w:eastAsia="en-US"/>
        </w:rPr>
        <w:t xml:space="preserve">показват, че след силен икономически растеж в момента страната е изправена пред предизвикателства, голяма част от които са сходни с тези на други държави, но някои са свързани и с определени национални специфики. Процесът на присъединяване би следвало да има положителен трансформиращ ефект и реформите, които страната ни ще трябва да предприеме, ще допринесат за повишаване на икономическото и социално благополучие. </w:t>
      </w:r>
    </w:p>
    <w:p w:rsidR="00FB33D1" w:rsidRPr="00FB33D1" w:rsidRDefault="00FB33D1" w:rsidP="00304A36">
      <w:pPr>
        <w:rPr>
          <w:rFonts w:eastAsia="Calibri" w:cs="Times New Roman"/>
          <w:szCs w:val="24"/>
          <w:lang w:eastAsia="en-US"/>
        </w:rPr>
      </w:pPr>
      <w:r w:rsidRPr="003E67D8">
        <w:rPr>
          <w:rFonts w:eastAsia="Calibri" w:cs="Times New Roman"/>
          <w:szCs w:val="24"/>
          <w:lang w:eastAsia="en-US"/>
        </w:rPr>
        <w:t>В областта на публичните финанси препоръките са за затягане на фискалната политика, ако инфлацията остане висока, а основната фискална позиция е по-слаба. По отношение на мерките за подпомагане на домакинствата и фирмите се препоръчва да са по-целенасочени към най-уязвимите и да се гарантира, че те стимулират спестяването на енергия. Акцентира се върху повишаване на ефективността на прилагането и събирането на корпоративните данъци, данъците върху добавената стойност и данъците върху собствеността, както и върху създаване на по-интегрирана средносрочна и дългосрочна фискална стратегия, която да обвързва разходите и ресурсите. Също така е от значение оценката на средносрочните и дългосрочните нужди от инфраструктура и други капиталови разходи и изготвяне на стратегия за публични инвестиции въз основа на анализ на разходите и ползите.</w:t>
      </w:r>
    </w:p>
    <w:p w:rsidR="00FB33D1" w:rsidRDefault="00FB33D1" w:rsidP="00304A36">
      <w:pPr>
        <w:rPr>
          <w:rFonts w:eastAsia="Calibri" w:cs="Times New Roman"/>
          <w:szCs w:val="24"/>
          <w:highlight w:val="yellow"/>
          <w:lang w:eastAsia="en-US"/>
        </w:rPr>
      </w:pPr>
    </w:p>
    <w:p w:rsidR="007303A2" w:rsidRDefault="007303A2" w:rsidP="005F2BFC">
      <w:pPr>
        <w:rPr>
          <w:rFonts w:eastAsia="Calibri" w:cs="Times New Roman"/>
          <w:szCs w:val="24"/>
          <w:lang w:eastAsia="en-US"/>
        </w:rPr>
      </w:pPr>
    </w:p>
    <w:p w:rsidR="003D69EC" w:rsidRDefault="003D69EC" w:rsidP="00FC36AE">
      <w:pPr>
        <w:spacing w:after="120"/>
        <w:rPr>
          <w:rFonts w:eastAsia="Calibri" w:cs="Times New Roman"/>
          <w:szCs w:val="24"/>
          <w:lang w:eastAsia="en-US"/>
        </w:rPr>
      </w:pPr>
    </w:p>
    <w:p w:rsidR="00C3380E" w:rsidRDefault="00C3380E" w:rsidP="002B1A92">
      <w:pPr>
        <w:pStyle w:val="Heading1"/>
        <w:rPr>
          <w:color w:val="auto"/>
        </w:rPr>
        <w:sectPr w:rsidR="00C3380E" w:rsidSect="002D7CED">
          <w:headerReference w:type="default" r:id="rId21"/>
          <w:footerReference w:type="even" r:id="rId22"/>
          <w:headerReference w:type="first" r:id="rId23"/>
          <w:type w:val="oddPage"/>
          <w:pgSz w:w="11906" w:h="16838" w:code="9"/>
          <w:pgMar w:top="1418" w:right="1418" w:bottom="851" w:left="1418" w:header="708" w:footer="708" w:gutter="0"/>
          <w:cols w:space="708"/>
          <w:titlePg/>
          <w:docGrid w:linePitch="360"/>
        </w:sectPr>
      </w:pPr>
      <w:bookmarkStart w:id="232" w:name="_Toc464459725"/>
      <w:bookmarkStart w:id="233" w:name="_Toc464460680"/>
      <w:bookmarkStart w:id="234" w:name="_Toc464463079"/>
      <w:bookmarkStart w:id="235" w:name="_Toc464464906"/>
      <w:bookmarkStart w:id="236" w:name="_Toc464465412"/>
      <w:bookmarkStart w:id="237" w:name="_Toc464465600"/>
      <w:bookmarkStart w:id="238" w:name="_Toc464466425"/>
      <w:bookmarkStart w:id="239" w:name="_Toc464466669"/>
      <w:bookmarkStart w:id="240" w:name="_Toc464466727"/>
      <w:bookmarkStart w:id="241" w:name="_Toc464470231"/>
      <w:bookmarkStart w:id="242" w:name="_Toc464644981"/>
      <w:bookmarkStart w:id="243" w:name="_Toc464646363"/>
    </w:p>
    <w:bookmarkStart w:id="244" w:name="_Toc151557299"/>
    <w:p w:rsidR="00DC3B68" w:rsidRDefault="00C3380E" w:rsidP="002B1A92">
      <w:pPr>
        <w:pStyle w:val="Heading1"/>
      </w:pPr>
      <w:r w:rsidRPr="00710C44">
        <w:rPr>
          <w:noProof/>
        </w:rPr>
        <mc:AlternateContent>
          <mc:Choice Requires="wps">
            <w:drawing>
              <wp:anchor distT="0" distB="0" distL="114300" distR="114300" simplePos="0" relativeHeight="251652608" behindDoc="1" locked="0" layoutInCell="1" allowOverlap="1" wp14:anchorId="66F7EF24" wp14:editId="509E3642">
                <wp:simplePos x="0" y="0"/>
                <wp:positionH relativeFrom="column">
                  <wp:posOffset>-909955</wp:posOffset>
                </wp:positionH>
                <wp:positionV relativeFrom="paragraph">
                  <wp:posOffset>-938530</wp:posOffset>
                </wp:positionV>
                <wp:extent cx="7604201" cy="2152650"/>
                <wp:effectExtent l="0" t="0" r="0" b="0"/>
                <wp:wrapNone/>
                <wp:docPr id="676" name="Rectangle 676"/>
                <wp:cNvGraphicFramePr/>
                <a:graphic xmlns:a="http://schemas.openxmlformats.org/drawingml/2006/main">
                  <a:graphicData uri="http://schemas.microsoft.com/office/word/2010/wordprocessingShape">
                    <wps:wsp>
                      <wps:cNvSpPr/>
                      <wps:spPr>
                        <a:xfrm>
                          <a:off x="0" y="0"/>
                          <a:ext cx="7604201" cy="2152650"/>
                        </a:xfrm>
                        <a:prstGeom prst="rect">
                          <a:avLst/>
                        </a:prstGeom>
                        <a:solidFill>
                          <a:schemeClr val="accent3">
                            <a:lumMod val="20000"/>
                            <a:lumOff val="8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B413D3" id="Rectangle 676" o:spid="_x0000_s1026" style="position:absolute;margin-left:-71.65pt;margin-top:-73.9pt;width:598.75pt;height:169.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yT7rQIAANIFAAAOAAAAZHJzL2Uyb0RvYy54bWysVEtPGzEQvlfqf7B8L5ts86ARGxSBqCpR&#10;QEDF2Xjt7Eq2x7WdbNJf37G9WVIKl6qXXc975pvH2flOK7IVzrdgKjo+GVEiDIe6NeuK/ni8+nRK&#10;iQ/M1EyBERXdC0/Plx8/nHV2IUpoQNXCEXRi/KKzFW1CsIui8LwRmvkTsMKgUILTLCDp1kXtWIfe&#10;tSrK0WhWdOBq64AL75F7mYV0mfxLKXi4ldKLQFRFMbeQvi59n+O3WJ6xxdox27S8T4P9QxaatQaD&#10;Dq4uWWBk49q/XOmWO/AgwwkHXYCULRepBqxmPHpVzUPDrEi1IDjeDjD5/+eW32zvHGnris7mM0oM&#10;09ike4SNmbUSJDIRos76BWo+2DvXUx6fsd6ddDr+sRKyS7DuB1jFLhCOzPlsNMHqKOEoK8fTcjZN&#10;wBcv5tb58FWAJvFRUYcJJDjZ9toHDImqB5UYzYNq66tWqUTEWREXypEtwy4zzoUJn5O52ujvUGc+&#10;Tsuo7zeycSoy+/TAxhBp6qKnFPCPIMqQDue7nKOPGNRADJ8zUwb1I0QZlPQKeyWinjL3QiK+CEOZ&#10;DIcYx9mOs6hhtcjs6btZJYfRs8T4g+/ewVtIjGMDsbheP5qKtBiDca7oncSy8WCRIoMJg7FuDbi3&#10;KlNhiJz1DyBlaCJKz1Dvcfoc5LX0ll+12P9r5sMdc7iHuLF4W8ItfqQCbAD0L0oacL/e4kd9XA+U&#10;UtLhXlfU/9wwJyhR3wwuzpfxZBIPQSIm03mJhDuWPB9LzEZfAA4VDi9ml55RP6jDUzrQT3iCVjEq&#10;ipjhGLuiPLgDcRHyvcEjxsVqldRw+S0L1+bB8ug8ohrn+3H3xJztlyDg/tzA4QawxatdyLrR0sBq&#10;E0C2aVFecO3xxsOR+t8fuXiZjumk9XKKl78BAAD//wMAUEsDBBQABgAIAAAAIQBazm4Z5AAAAA4B&#10;AAAPAAAAZHJzL2Rvd25yZXYueG1sTI9BT4NAEIXvJv6HzZh4axcoSkWWpjbprTGx2oTetuwIRHaW&#10;sFsK/nq3XvT2XubLm/ey1ahbNmBvG0MCwnkADKk0qqFKwMf7drYEZp0kJVtDKGBCC6v89iaTqTIX&#10;esNh7yrmQ8imUkDtXJdybssatbRz0yH526fptXTe9hVXvbz4cN3yKAgeuZYN+Q+17HBTY/m1P2sB&#10;m2Q9FUm8Kw5DedwVL6/b6fjdCnF/N66fgTkc3R8M1/q+OuS+08mcSVnWCpiF8WLh2V+V+BVXJniI&#10;I2Anr57CCHie8f8z8h8AAAD//wMAUEsBAi0AFAAGAAgAAAAhALaDOJL+AAAA4QEAABMAAAAAAAAA&#10;AAAAAAAAAAAAAFtDb250ZW50X1R5cGVzXS54bWxQSwECLQAUAAYACAAAACEAOP0h/9YAAACUAQAA&#10;CwAAAAAAAAAAAAAAAAAvAQAAX3JlbHMvLnJlbHNQSwECLQAUAAYACAAAACEAE3sk+60CAADSBQAA&#10;DgAAAAAAAAAAAAAAAAAuAgAAZHJzL2Uyb0RvYy54bWxQSwECLQAUAAYACAAAACEAWs5uGeQAAAAO&#10;AQAADwAAAAAAAAAAAAAAAAAHBQAAZHJzL2Rvd25yZXYueG1sUEsFBgAAAAAEAAQA8wAAABgGAAAA&#10;AA==&#10;" fillcolor="#f8cec7 [662]" stroked="f" strokeweight="1pt"/>
            </w:pict>
          </mc:Fallback>
        </mc:AlternateContent>
      </w:r>
      <w:r w:rsidR="00710C44" w:rsidRPr="00710C44">
        <w:rPr>
          <w:noProof/>
        </w:rPr>
        <mc:AlternateContent>
          <mc:Choice Requires="wps">
            <w:drawing>
              <wp:anchor distT="0" distB="0" distL="114300" distR="114300" simplePos="0" relativeHeight="251655680" behindDoc="0" locked="0" layoutInCell="1" allowOverlap="1" wp14:anchorId="60945751" wp14:editId="35E6BA5C">
                <wp:simplePos x="0" y="0"/>
                <wp:positionH relativeFrom="column">
                  <wp:posOffset>-861695</wp:posOffset>
                </wp:positionH>
                <wp:positionV relativeFrom="paragraph">
                  <wp:posOffset>1215314</wp:posOffset>
                </wp:positionV>
                <wp:extent cx="7560310" cy="0"/>
                <wp:effectExtent l="0" t="0" r="21590" b="19050"/>
                <wp:wrapNone/>
                <wp:docPr id="687" name="Straight Connector 687"/>
                <wp:cNvGraphicFramePr/>
                <a:graphic xmlns:a="http://schemas.openxmlformats.org/drawingml/2006/main">
                  <a:graphicData uri="http://schemas.microsoft.com/office/word/2010/wordprocessingShape">
                    <wps:wsp>
                      <wps:cNvCnPr/>
                      <wps:spPr>
                        <a:xfrm>
                          <a:off x="0" y="0"/>
                          <a:ext cx="7560310" cy="0"/>
                        </a:xfrm>
                        <a:prstGeom prst="line">
                          <a:avLst/>
                        </a:prstGeom>
                        <a:ln>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E79B73E" id="Straight Connector 687" o:spid="_x0000_s1026" style="position:absolute;z-index:251655680;visibility:visible;mso-wrap-style:square;mso-wrap-distance-left:9pt;mso-wrap-distance-top:0;mso-wrap-distance-right:9pt;mso-wrap-distance-bottom:0;mso-position-horizontal:absolute;mso-position-horizontal-relative:text;mso-position-vertical:absolute;mso-position-vertical-relative:text" from="-67.85pt,95.7pt" to="527.45pt,9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a3/0wEAAAsEAAAOAAAAZHJzL2Uyb0RvYy54bWysU8tu2zAQvBfoPxC815IS1AkEyzk4SC9F&#10;azTNBzDU0iLAF5asJf99l5StBGmBokUvKy25M5wdLjd3kzXsCBi1dx1vVjVn4KTvtTt0/On7w4db&#10;zmISrhfGO+j4CSK/275/txlDC1d+8KYHZETiYjuGjg8phbaqohzAirjyARxtKo9WJErxUPUoRmK3&#10;prqq63U1euwDegkx0ur9vMm3hV8pkOmrUhESMx0nbalELPE5x2q7Ee0BRRi0PMsQ/6DCCu3o0IXq&#10;XiTBfqD+hcpqiT56lVbS28orpSWUHqibpn7TzeMgApReyJwYFpvi/6OVX457ZLrv+Pr2hjMnLF3S&#10;Y0KhD0NiO+8cWeiR5V3yagyxJcjO7fGcxbDH3Pik0OYvtcSm4u9p8RemxCQt3nxc19cNXYO87FUv&#10;wIAxfQJvWf7puNEuty5acfwcEx1GpZeSvGxcjtEb3T9oY0qShwZ2BtlR0HULKcGl6yybsK8qKcvo&#10;Kjczyy9/6WRgZv4GiiwhwU1RUIbxLW9z5jWOqjNMkYoFWP8ZeK7PUCiD+jfgBVFO9i4tYKudx9+d&#10;nqaLZDXXXxyY+84WPPv+VC62WEMTV5w7v4480q/zAn95w9ufAAAA//8DAFBLAwQUAAYACAAAACEA&#10;y5fMyOIAAAANAQAADwAAAGRycy9kb3ducmV2LnhtbEyPy07DMBBF90j8gzVI7FonfdA2xKkQohs2&#10;qAUVlm48xGntcRQ7TeDrcSUkWM7coztn8vVgDTtj62tHAtJxAgypdKqmSsDb62a0BOaDJCWNIxTw&#10;hR7WxfVVLjPletrieRcqFkvIZ1KADqHJOPelRiv92DVIMft0rZUhjm3FVSv7WG4NnyTJHbeypnhB&#10;ywYfNZanXWcFmPeXp+Xp++M4fW46ven9ZDjurRC3N8PDPbCAQ/iD4aIf1aGITgfXkfLMCBil0/ki&#10;sjFZpTNgFySZz1bADr8rXuT8/xfFDwAAAP//AwBQSwECLQAUAAYACAAAACEAtoM4kv4AAADhAQAA&#10;EwAAAAAAAAAAAAAAAAAAAAAAW0NvbnRlbnRfVHlwZXNdLnhtbFBLAQItABQABgAIAAAAIQA4/SH/&#10;1gAAAJQBAAALAAAAAAAAAAAAAAAAAC8BAABfcmVscy8ucmVsc1BLAQItABQABgAIAAAAIQAXja3/&#10;0wEAAAsEAAAOAAAAAAAAAAAAAAAAAC4CAABkcnMvZTJvRG9jLnhtbFBLAQItABQABgAIAAAAIQDL&#10;l8zI4gAAAA0BAAAPAAAAAAAAAAAAAAAAAC0EAABkcnMvZG93bnJldi54bWxQSwUGAAAAAAQABADz&#10;AAAAPAUAAAAA&#10;" strokecolor="#b32c16 [3206]"/>
            </w:pict>
          </mc:Fallback>
        </mc:AlternateContent>
      </w:r>
      <w:bookmarkStart w:id="245" w:name="_Toc465205512"/>
      <w:r w:rsidR="007B7BDC">
        <w:br/>
      </w:r>
      <w:r w:rsidR="00886C3C">
        <w:rPr>
          <w:color w:val="auto"/>
        </w:rPr>
        <w:t>Приоритети на п</w:t>
      </w:r>
      <w:r w:rsidR="007B7BDC" w:rsidRPr="00710C44">
        <w:rPr>
          <w:color w:val="auto"/>
        </w:rPr>
        <w:t>олитики</w:t>
      </w:r>
      <w:r w:rsidR="00886C3C">
        <w:rPr>
          <w:color w:val="auto"/>
        </w:rPr>
        <w:t>те</w:t>
      </w:r>
      <w:r w:rsidR="007B7BDC" w:rsidRPr="00710C44">
        <w:rPr>
          <w:color w:val="auto"/>
        </w:rPr>
        <w:t xml:space="preserve"> и о</w:t>
      </w:r>
      <w:r w:rsidR="002A37C0">
        <w:rPr>
          <w:color w:val="auto"/>
        </w:rPr>
        <w:t>с</w:t>
      </w:r>
      <w:r w:rsidR="00886C3C">
        <w:rPr>
          <w:color w:val="auto"/>
        </w:rPr>
        <w:t>новни допускания за периода 2024</w:t>
      </w:r>
      <w:r w:rsidR="007B7BDC" w:rsidRPr="00710C44">
        <w:rPr>
          <w:color w:val="auto"/>
        </w:rPr>
        <w:t>-20</w:t>
      </w:r>
      <w:r w:rsidR="007B7BDC" w:rsidRPr="00664F93">
        <w:rPr>
          <w:color w:val="auto"/>
          <w:lang w:val="ru-RU"/>
        </w:rPr>
        <w:t>2</w:t>
      </w:r>
      <w:r w:rsidR="00886C3C">
        <w:rPr>
          <w:color w:val="auto"/>
          <w:lang w:val="ru-RU"/>
        </w:rPr>
        <w:t>6</w:t>
      </w:r>
      <w:r w:rsidR="007B7BDC" w:rsidRPr="00710C44">
        <w:rPr>
          <w:color w:val="auto"/>
        </w:rPr>
        <w:t> г</w:t>
      </w:r>
      <w:r w:rsidR="002B1A92">
        <w:rPr>
          <w:color w:val="auto"/>
        </w:rPr>
        <w:t>.</w:t>
      </w:r>
      <w:bookmarkEnd w:id="244"/>
    </w:p>
    <w:p w:rsidR="00083361" w:rsidRPr="00AA3F66" w:rsidRDefault="00083361" w:rsidP="00DE2BDB">
      <w:pPr>
        <w:pStyle w:val="Heading2"/>
      </w:pPr>
      <w:bookmarkStart w:id="246" w:name="_Toc464224783"/>
      <w:bookmarkStart w:id="247" w:name="_Toc464225433"/>
      <w:bookmarkStart w:id="248" w:name="_Toc464458980"/>
      <w:bookmarkStart w:id="249" w:name="_Toc464463080"/>
      <w:bookmarkStart w:id="250" w:name="_Toc464464907"/>
      <w:bookmarkStart w:id="251" w:name="_Toc464465413"/>
      <w:bookmarkStart w:id="252" w:name="_Toc464465601"/>
      <w:bookmarkStart w:id="253" w:name="_Toc464466426"/>
      <w:bookmarkStart w:id="254" w:name="_Toc464466670"/>
      <w:bookmarkStart w:id="255" w:name="_Toc464644982"/>
      <w:bookmarkStart w:id="256" w:name="_Toc465205513"/>
      <w:bookmarkStart w:id="257" w:name="_Toc151557300"/>
      <w:bookmarkEnd w:id="232"/>
      <w:bookmarkEnd w:id="233"/>
      <w:bookmarkEnd w:id="234"/>
      <w:bookmarkEnd w:id="235"/>
      <w:bookmarkEnd w:id="236"/>
      <w:bookmarkEnd w:id="237"/>
      <w:bookmarkEnd w:id="238"/>
      <w:bookmarkEnd w:id="239"/>
      <w:bookmarkEnd w:id="240"/>
      <w:bookmarkEnd w:id="241"/>
      <w:bookmarkEnd w:id="242"/>
      <w:bookmarkEnd w:id="243"/>
      <w:bookmarkEnd w:id="245"/>
      <w:r w:rsidRPr="00AA3F66">
        <w:t>ПОЛИТИКИ В ПРИХОДИТЕ ЗА ПЕРИОДА</w:t>
      </w:r>
      <w:r w:rsidR="00886C3C" w:rsidRPr="00AA3F66">
        <w:t xml:space="preserve"> 2024</w:t>
      </w:r>
      <w:r w:rsidR="001228E3" w:rsidRPr="00AA3F66">
        <w:t>-202</w:t>
      </w:r>
      <w:r w:rsidR="00886C3C" w:rsidRPr="00AA3F66">
        <w:t>6</w:t>
      </w:r>
      <w:r w:rsidR="00AA3035" w:rsidRPr="00AA3F66">
        <w:t> г.</w:t>
      </w:r>
      <w:bookmarkEnd w:id="246"/>
      <w:bookmarkEnd w:id="247"/>
      <w:bookmarkEnd w:id="248"/>
      <w:bookmarkEnd w:id="249"/>
      <w:bookmarkEnd w:id="250"/>
      <w:bookmarkEnd w:id="251"/>
      <w:bookmarkEnd w:id="252"/>
      <w:bookmarkEnd w:id="253"/>
      <w:bookmarkEnd w:id="254"/>
      <w:bookmarkEnd w:id="255"/>
      <w:bookmarkEnd w:id="256"/>
      <w:bookmarkEnd w:id="257"/>
    </w:p>
    <w:p w:rsidR="00DB2A9A" w:rsidRPr="00AA3F66" w:rsidRDefault="00DB2A9A" w:rsidP="00DB2A9A">
      <w:pPr>
        <w:rPr>
          <w:szCs w:val="24"/>
        </w:rPr>
      </w:pPr>
      <w:r w:rsidRPr="00AA3F66">
        <w:rPr>
          <w:szCs w:val="24"/>
        </w:rPr>
        <w:t>През периода 2024-2026 г. данъчната политика ще е ориентирана към постигане на макроикономическа и бюджетна стабилност в средносрочен и дългосрочен план и осигуряване на необходимия финансов ресурс за изпълнение на разходните политики на правителството. Политиката в областта на данъците се характеризира с предвидимост, като същевременно се насърчава развитието на бизнеса и инвестиционната активност, стимулират се иновациите, енергийната ефективност и заетостта. Основните цели на данъчната политика за периода отново са насочени към поддържане на икономическия растеж, подобряване на бизнес средата, борбата с данъчните злоупотреби и повишаване на фискалната устойчивост в дългосрочен план. Запазват се основните приоритети, свързани с подобряване на събираемостта на приходите, предотвратяване на възможности</w:t>
      </w:r>
      <w:r w:rsidR="00CF7E10" w:rsidRPr="00AA3F66">
        <w:rPr>
          <w:szCs w:val="24"/>
        </w:rPr>
        <w:t>те</w:t>
      </w:r>
      <w:r w:rsidRPr="00AA3F66">
        <w:rPr>
          <w:szCs w:val="24"/>
        </w:rPr>
        <w:t xml:space="preserve"> за укриване и невнасяне на данъци и осигуровки и намаляване на административната тежест и разходите за бизнеса и гражданите. В международен аспект данъчната политика на страната е насочена в подкрепа на функционирането на единния пазар на ЕС, успешното осъществяване на цифровата трансформация на обществото и икономиката в Европа и на дейностите по справяне с климат</w:t>
      </w:r>
      <w:r w:rsidR="006E459E">
        <w:rPr>
          <w:szCs w:val="24"/>
        </w:rPr>
        <w:t>ичните промени</w:t>
      </w:r>
      <w:r w:rsidRPr="00AA3F66">
        <w:rPr>
          <w:szCs w:val="24"/>
        </w:rPr>
        <w:t xml:space="preserve"> и</w:t>
      </w:r>
      <w:r w:rsidR="002633CC">
        <w:rPr>
          <w:szCs w:val="24"/>
        </w:rPr>
        <w:t xml:space="preserve"> опазване на</w:t>
      </w:r>
      <w:r w:rsidRPr="00AA3F66">
        <w:rPr>
          <w:szCs w:val="24"/>
        </w:rPr>
        <w:t xml:space="preserve"> околната среда. Ситуацията, свързана със скока на цените както на нефта, природния газ, електрическата енергия и горивата, така и на цените на основни хранителни продукти,  продължава да е сериозно предизвикателство за бизнеса и гражданите. Променлива величина остава ефектът от протичащите процеси във външноикономически план, включително от военния конфликт в Украйна.</w:t>
      </w:r>
    </w:p>
    <w:p w:rsidR="00DB2A9A" w:rsidRPr="00AA3F66" w:rsidRDefault="00DB2A9A" w:rsidP="00DB2A9A">
      <w:pPr>
        <w:rPr>
          <w:szCs w:val="24"/>
        </w:rPr>
      </w:pPr>
      <w:r w:rsidRPr="00AA3F66">
        <w:rPr>
          <w:szCs w:val="24"/>
        </w:rPr>
        <w:t>Във връзка с присъединяването на Република България към Приобщаващата рамка на ОИСР за въвеждане на мерките по проекта за свиване на данъчната основа и прехвърлянето на печалби (Решение на МС по т. 37 от протокол № 13 от заседанието на МС, проведено на 30 март 2016 г.), ще продължи работата, свързана с участие в дейностите за въвеждането на вече договорените от ОИСР четири минимални стандарта и други елементи на пакета от мерки по Проекта „Свиване на данъчната основа и прехвърлянето на печалби” (Base Erosion and Profit Shifting - BEPS). Въвеждането на минималните стандарти е свързано и с изпълнението на задълженията на България като държава</w:t>
      </w:r>
      <w:r w:rsidR="002633CC">
        <w:rPr>
          <w:szCs w:val="24"/>
        </w:rPr>
        <w:t>-</w:t>
      </w:r>
      <w:r w:rsidRPr="00AA3F66">
        <w:rPr>
          <w:szCs w:val="24"/>
        </w:rPr>
        <w:t>членка на ЕС.</w:t>
      </w:r>
    </w:p>
    <w:p w:rsidR="00DB2A9A" w:rsidRPr="00AA3F66" w:rsidRDefault="00DB2A9A" w:rsidP="00DB2A9A">
      <w:pPr>
        <w:spacing w:after="100"/>
        <w:rPr>
          <w:szCs w:val="24"/>
        </w:rPr>
      </w:pPr>
      <w:r w:rsidRPr="00AA3F66">
        <w:rPr>
          <w:szCs w:val="24"/>
        </w:rPr>
        <w:t xml:space="preserve">През прогнозния период МФ ще продължи да участва в дейностите, свързани с обсъждането, анализа и оценката на въздействие от планираните от ОИСР мерки за справяне с данъчните предизвикателства, породени от дигитализацията на икономиката и нерешени проблеми, свързани с прехвърлянето на печалби: Стълб 1 (преразпределение на данъчни права) и Стълб 2 (минимално данъчно облагане на печалбата на многонационалните предприятия). Очаква се реформата да осигури в световен мащаб повишаване на приходите от корпоративни данъци, значително намаляване на прехвърлянето на печалби и повишаване на данъчната сигурност. </w:t>
      </w:r>
    </w:p>
    <w:p w:rsidR="00DB2A9A" w:rsidRPr="00AA3F66" w:rsidRDefault="00DB2A9A" w:rsidP="00DB2A9A">
      <w:pPr>
        <w:spacing w:after="100"/>
        <w:rPr>
          <w:szCs w:val="24"/>
        </w:rPr>
      </w:pPr>
      <w:r w:rsidRPr="00AA3F66">
        <w:t xml:space="preserve">В съответствие с целите и действията на Република България по присъединяването към ОИСР, в областта на фискалните въпроси България се присъедини </w:t>
      </w:r>
      <w:r w:rsidRPr="00AA3F66">
        <w:rPr>
          <w:b/>
          <w:i/>
        </w:rPr>
        <w:t xml:space="preserve">към </w:t>
      </w:r>
      <w:r w:rsidRPr="00AA3F66">
        <w:rPr>
          <w:b/>
          <w:bCs/>
          <w:i/>
        </w:rPr>
        <w:t>Глобалната статистическа база данни за приходите (Global Revenue Statistics Database)</w:t>
      </w:r>
      <w:r w:rsidRPr="00AA3F66">
        <w:rPr>
          <w:bCs/>
        </w:rPr>
        <w:t xml:space="preserve"> на организацията и</w:t>
      </w:r>
      <w:r w:rsidRPr="00AA3F66">
        <w:t xml:space="preserve"> от 2020 г. предоставя годишна информация за данъчните приходи, като в онлайн базата на ОИСР вече са налични данни за периода 1995-2022 година</w:t>
      </w:r>
      <w:r w:rsidRPr="00AA3F66">
        <w:rPr>
          <w:bCs/>
        </w:rPr>
        <w:t>.</w:t>
      </w:r>
    </w:p>
    <w:p w:rsidR="00DB2A9A" w:rsidRPr="00AA3F66" w:rsidRDefault="00DB2A9A" w:rsidP="00DB2A9A">
      <w:pPr>
        <w:rPr>
          <w:szCs w:val="24"/>
        </w:rPr>
      </w:pPr>
      <w:r w:rsidRPr="00AA3F66">
        <w:rPr>
          <w:szCs w:val="24"/>
        </w:rPr>
        <w:t>Водещият приоритет на ЕК за действия за справяне с предизвикателствата, свързани с климата и околната среда, предполага ангажирането на България през прогнозния период с предприемането на мерки в данъчното законодателство за постигане на поставените от ЕС цели в области като облагането на енергийните продукти и насърчаване използването на екологосъобразни превозни средства.</w:t>
      </w:r>
    </w:p>
    <w:p w:rsidR="00DB2A9A" w:rsidRPr="00AA3F66" w:rsidRDefault="00DB2A9A" w:rsidP="00DB2A9A">
      <w:pPr>
        <w:rPr>
          <w:szCs w:val="24"/>
        </w:rPr>
      </w:pPr>
      <w:r w:rsidRPr="00AA3F66">
        <w:rPr>
          <w:szCs w:val="24"/>
        </w:rPr>
        <w:t>За изпълнение на приоритетните цели на данъчната политика се извършват нормативни промени и действия на приходните администрации в областта на събирането и контрола. Постигането на по-добра ефективност при изпълнение на мерките е в пряка връзка със засилването на междуинституционалното сътрудничество, координация и ефективен обмен на информация както на национално ниво, така и на ниво ЕС и трети страни.</w:t>
      </w:r>
    </w:p>
    <w:p w:rsidR="00DB2A9A" w:rsidRPr="00AA3F66" w:rsidRDefault="00DB2A9A" w:rsidP="00CA7B0C">
      <w:pPr>
        <w:rPr>
          <w:szCs w:val="24"/>
        </w:rPr>
      </w:pPr>
      <w:r w:rsidRPr="00AA3F66">
        <w:rPr>
          <w:szCs w:val="24"/>
        </w:rPr>
        <w:t>Прогнозните данъчни приходи за периода 2024-2026 г. са базирани на основните показатели от есенната макроикономическа прогноза на Министерството на финансите и планираните законодателни изменения на данъчните закони, разпоредбите и срока на действие на ЗДБРБ за 2023 г. и на резултатите от прилаганите мерки от страна на приходните агенции за подобряване на събираемостта.</w:t>
      </w:r>
    </w:p>
    <w:p w:rsidR="00083361" w:rsidRDefault="0010274F" w:rsidP="006E7543">
      <w:pPr>
        <w:pStyle w:val="Caption"/>
        <w:spacing w:after="240"/>
        <w:rPr>
          <w:color w:val="C00000"/>
        </w:rPr>
      </w:pPr>
      <w:r w:rsidRPr="00AA3F66">
        <w:t xml:space="preserve">Граф. </w:t>
      </w:r>
      <w:fldSimple w:instr=" STYLEREF 1 \s ">
        <w:r w:rsidR="005A69ED">
          <w:rPr>
            <w:noProof/>
          </w:rPr>
          <w:t>III</w:t>
        </w:r>
      </w:fldSimple>
      <w:r w:rsidR="005D7434" w:rsidRPr="00AA3F66">
        <w:noBreakHyphen/>
      </w:r>
      <w:fldSimple w:instr=" SEQ Граф. \* ARABIC \s 1 ">
        <w:r w:rsidR="005A69ED">
          <w:rPr>
            <w:noProof/>
          </w:rPr>
          <w:t>1</w:t>
        </w:r>
      </w:fldSimple>
      <w:r w:rsidR="00083361" w:rsidRPr="00AA3F66">
        <w:t xml:space="preserve">: </w:t>
      </w:r>
      <w:r w:rsidRPr="00AA3F66">
        <w:tab/>
      </w:r>
      <w:r w:rsidR="00083361" w:rsidRPr="00AA3F66">
        <w:t xml:space="preserve">Структура на приходите по КФП в % за периода </w:t>
      </w:r>
      <w:r w:rsidR="00DB2A9A" w:rsidRPr="00AA3F66">
        <w:t>2023</w:t>
      </w:r>
      <w:r w:rsidR="00083361" w:rsidRPr="00AA3F66">
        <w:t>-20</w:t>
      </w:r>
      <w:r w:rsidR="001228E3" w:rsidRPr="00AA3F66">
        <w:t>2</w:t>
      </w:r>
      <w:r w:rsidR="00DB2A9A" w:rsidRPr="00AA3F66">
        <w:t>6</w:t>
      </w:r>
      <w:r w:rsidR="00AA3035" w:rsidRPr="00AA3F66">
        <w:t> г.</w:t>
      </w:r>
      <w:r w:rsidR="00083361" w:rsidRPr="00AA3F66">
        <w:t xml:space="preserve"> </w:t>
      </w:r>
      <w:r w:rsidR="00083361" w:rsidRPr="00AA3F66">
        <w:rPr>
          <w:vertAlign w:val="superscript"/>
        </w:rPr>
        <w:footnoteReference w:id="17"/>
      </w:r>
      <w:r w:rsidR="002D4936" w:rsidRPr="00AA3F66">
        <w:rPr>
          <w:color w:val="C00000"/>
        </w:rPr>
        <w:t xml:space="preserve"> </w:t>
      </w:r>
    </w:p>
    <w:p w:rsidR="0033491E" w:rsidRPr="00BC76AA" w:rsidRDefault="00BC76AA" w:rsidP="0033491E">
      <w:r>
        <w:rPr>
          <w:b/>
          <w:i/>
          <w:noProof/>
          <w:sz w:val="18"/>
          <w:szCs w:val="18"/>
        </w:rPr>
        <w:drawing>
          <wp:inline distT="0" distB="0" distL="0" distR="0" wp14:anchorId="6F881F87" wp14:editId="542E8284">
            <wp:extent cx="5759450" cy="2588895"/>
            <wp:effectExtent l="0" t="0" r="12700" b="1905"/>
            <wp:docPr id="1" name="Object 5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bookmarkStart w:id="258" w:name="_Toc464224784"/>
      <w:bookmarkStart w:id="259" w:name="_Toc464225434"/>
      <w:bookmarkStart w:id="260" w:name="_Toc464458981"/>
      <w:bookmarkStart w:id="261" w:name="_Toc464463081"/>
      <w:bookmarkStart w:id="262" w:name="_Toc464464908"/>
      <w:bookmarkStart w:id="263" w:name="_Toc464465414"/>
      <w:bookmarkStart w:id="264" w:name="_Toc464465602"/>
      <w:bookmarkStart w:id="265" w:name="_Toc464466427"/>
      <w:bookmarkStart w:id="266" w:name="_Toc464466671"/>
      <w:bookmarkStart w:id="267" w:name="_Toc464644983"/>
      <w:bookmarkStart w:id="268" w:name="_Toc465070464"/>
      <w:bookmarkStart w:id="269" w:name="_Toc465205514"/>
    </w:p>
    <w:p w:rsidR="00FA1998" w:rsidRPr="00AA3F66" w:rsidRDefault="00FA1998" w:rsidP="007D051C">
      <w:pPr>
        <w:spacing w:after="0"/>
        <w:jc w:val="right"/>
      </w:pPr>
      <w:r w:rsidRPr="00AA3F66">
        <w:rPr>
          <w:rFonts w:eastAsia="Batang" w:cs="Times New Roman"/>
          <w:sz w:val="18"/>
          <w:szCs w:val="18"/>
        </w:rPr>
        <w:t>Източник: МФ</w:t>
      </w:r>
    </w:p>
    <w:p w:rsidR="00C32A62" w:rsidRPr="00AA3F66" w:rsidRDefault="00820B71" w:rsidP="00C32A62">
      <w:pPr>
        <w:pStyle w:val="Heading3"/>
        <w:ind w:left="0"/>
      </w:pPr>
      <w:bookmarkStart w:id="270" w:name="_Toc464224787"/>
      <w:bookmarkStart w:id="271" w:name="_Toc464225437"/>
      <w:bookmarkStart w:id="272" w:name="_Toc464458984"/>
      <w:bookmarkStart w:id="273" w:name="_Toc464463084"/>
      <w:bookmarkStart w:id="274" w:name="_Toc464464911"/>
      <w:bookmarkStart w:id="275" w:name="_Toc464465417"/>
      <w:bookmarkStart w:id="276" w:name="_Toc464465605"/>
      <w:bookmarkStart w:id="277" w:name="_Toc464466430"/>
      <w:bookmarkStart w:id="278" w:name="_Toc464466674"/>
      <w:bookmarkStart w:id="279" w:name="_Toc464644986"/>
      <w:bookmarkStart w:id="280" w:name="_Toc465205517"/>
      <w:bookmarkEnd w:id="258"/>
      <w:bookmarkEnd w:id="259"/>
      <w:bookmarkEnd w:id="260"/>
      <w:bookmarkEnd w:id="261"/>
      <w:bookmarkEnd w:id="262"/>
      <w:bookmarkEnd w:id="263"/>
      <w:bookmarkEnd w:id="264"/>
      <w:bookmarkEnd w:id="265"/>
      <w:bookmarkEnd w:id="266"/>
      <w:bookmarkEnd w:id="267"/>
      <w:bookmarkEnd w:id="268"/>
      <w:bookmarkEnd w:id="269"/>
      <w:r w:rsidRPr="00AA3F66">
        <w:t>Данъчна политика</w:t>
      </w:r>
    </w:p>
    <w:p w:rsidR="00C40B06" w:rsidRPr="00AA3F66" w:rsidRDefault="00C40B06" w:rsidP="00C40B06">
      <w:pPr>
        <w:rPr>
          <w:szCs w:val="24"/>
        </w:rPr>
      </w:pPr>
      <w:r w:rsidRPr="00AA3F66">
        <w:rPr>
          <w:szCs w:val="24"/>
        </w:rPr>
        <w:t xml:space="preserve">Прогнозите за данъчните приходи за периода 2024-2026 г. са съобразени с основните приоритети в данъчната политика в средносрочен план, свързани с реализиране на мерки за подобряване на събираемостта, стимулиране на икономическото развитие, намаляване на административната тежест и въвеждане в националното законодателство на разпоредби от европейското право в областта на данъците. </w:t>
      </w:r>
    </w:p>
    <w:p w:rsidR="00C40B06" w:rsidRPr="00AA3F66" w:rsidRDefault="00C40B06" w:rsidP="00C40B06">
      <w:r w:rsidRPr="00AA3F66">
        <w:t xml:space="preserve">Продължава изпълнението на доказалите ефективността си </w:t>
      </w:r>
      <w:r w:rsidRPr="00AA3F66">
        <w:rPr>
          <w:b/>
          <w:i/>
          <w:color w:val="852010" w:themeColor="accent3" w:themeShade="BF"/>
        </w:rPr>
        <w:t>постоянни мерки в областта на данъчната политика</w:t>
      </w:r>
      <w:r w:rsidRPr="00AA3F66">
        <w:t xml:space="preserve"> за повишаване на бюджетните приходи и борба с данъчните измами</w:t>
      </w:r>
      <w:r w:rsidRPr="00AA3F66">
        <w:rPr>
          <w:b/>
        </w:rPr>
        <w:t>:</w:t>
      </w:r>
    </w:p>
    <w:p w:rsidR="00C40B06" w:rsidRPr="00AA3F66" w:rsidRDefault="00C40B06" w:rsidP="00C40B06">
      <w:pPr>
        <w:numPr>
          <w:ilvl w:val="0"/>
          <w:numId w:val="17"/>
        </w:numPr>
        <w:ind w:left="0" w:firstLine="360"/>
      </w:pPr>
      <w:r w:rsidRPr="00AA3F66">
        <w:t>Механизъм за обратно начисляване на ДДС при доставки на стоки и услуги, посочени в приложение № 2 към глава деветнадесета „а“ от ЗДДС. Срокът за прилагане на механизма при доставки на зърнени и технически култури и при доставки по прехвърляне на квоти за емисии на парникови газове е удължен до 31.12.2026 г.;</w:t>
      </w:r>
    </w:p>
    <w:p w:rsidR="00C40B06" w:rsidRPr="00AA3F66" w:rsidRDefault="00C40B06" w:rsidP="00C40B06">
      <w:pPr>
        <w:numPr>
          <w:ilvl w:val="0"/>
          <w:numId w:val="17"/>
        </w:numPr>
        <w:ind w:left="0" w:firstLine="360"/>
      </w:pPr>
      <w:r w:rsidRPr="00AA3F66">
        <w:t>Фискален контрол върху движението на стоки с висок фискален риск (СВФР) на територията на Република България;</w:t>
      </w:r>
    </w:p>
    <w:p w:rsidR="00C40B06" w:rsidRPr="00AA3F66" w:rsidRDefault="00C40B06" w:rsidP="00C40B06">
      <w:pPr>
        <w:numPr>
          <w:ilvl w:val="0"/>
          <w:numId w:val="17"/>
        </w:numPr>
        <w:rPr>
          <w:bCs/>
        </w:rPr>
      </w:pPr>
      <w:r w:rsidRPr="00AA3F66">
        <w:t xml:space="preserve">Подобряване на ефективността на контрола върху акцизните стоки; </w:t>
      </w:r>
    </w:p>
    <w:p w:rsidR="00C40B06" w:rsidRPr="00AA3F66" w:rsidRDefault="00C40B06" w:rsidP="00C40B06">
      <w:pPr>
        <w:numPr>
          <w:ilvl w:val="0"/>
          <w:numId w:val="17"/>
        </w:numPr>
        <w:rPr>
          <w:bCs/>
        </w:rPr>
      </w:pPr>
      <w:r w:rsidRPr="00AA3F66">
        <w:t>Насърчаване на доброволното спазване на законодателството;</w:t>
      </w:r>
    </w:p>
    <w:p w:rsidR="00C40B06" w:rsidRPr="00AA3F66" w:rsidRDefault="00C40B06" w:rsidP="00C40B06">
      <w:pPr>
        <w:numPr>
          <w:ilvl w:val="0"/>
          <w:numId w:val="17"/>
        </w:numPr>
        <w:ind w:left="0" w:firstLine="360"/>
      </w:pPr>
      <w:r w:rsidRPr="00AA3F66">
        <w:t xml:space="preserve">Повишен контрол и събираемост на текущи и просрочени задължения, включително чрез прилагане на механизма, при който плащанията по договори от разпоредители с бюджет над определен размер да бъдат извършвани само след потвърждение от приходните администрации, че получателите нямат публични задължения. </w:t>
      </w:r>
    </w:p>
    <w:p w:rsidR="00C40B06" w:rsidRPr="00AA3F66" w:rsidRDefault="00C40B06" w:rsidP="00C40B06">
      <w:pPr>
        <w:rPr>
          <w:bCs/>
        </w:rPr>
      </w:pPr>
      <w:r w:rsidRPr="00AA3F66">
        <w:rPr>
          <w:bCs/>
        </w:rPr>
        <w:t xml:space="preserve">При прогнозиране на постъпленията от данъци са взети предвид </w:t>
      </w:r>
      <w:r w:rsidRPr="00AA3F66">
        <w:rPr>
          <w:b/>
          <w:bCs/>
          <w:i/>
          <w:color w:val="852010" w:themeColor="accent3" w:themeShade="BF"/>
        </w:rPr>
        <w:t>приетите изменения и предложените промени в данъчното законодателство</w:t>
      </w:r>
      <w:r w:rsidRPr="00AA3F66">
        <w:rPr>
          <w:bCs/>
        </w:rPr>
        <w:t xml:space="preserve">, както следва: </w:t>
      </w:r>
    </w:p>
    <w:p w:rsidR="00C40B06" w:rsidRPr="00AA3F66" w:rsidRDefault="00C40B06" w:rsidP="00C40B06">
      <w:pPr>
        <w:numPr>
          <w:ilvl w:val="0"/>
          <w:numId w:val="68"/>
        </w:numPr>
        <w:tabs>
          <w:tab w:val="left" w:pos="993"/>
        </w:tabs>
        <w:ind w:left="0" w:firstLine="709"/>
        <w:rPr>
          <w:bCs/>
          <w:iCs/>
        </w:rPr>
      </w:pPr>
      <w:r w:rsidRPr="00AA3F66">
        <w:rPr>
          <w:b/>
          <w:bCs/>
          <w:iCs/>
        </w:rPr>
        <w:t>Увеличен</w:t>
      </w:r>
      <w:r w:rsidRPr="00AA3F66">
        <w:rPr>
          <w:b/>
        </w:rPr>
        <w:t xml:space="preserve"> </w:t>
      </w:r>
      <w:r w:rsidRPr="00AA3F66">
        <w:rPr>
          <w:b/>
          <w:bCs/>
          <w:iCs/>
        </w:rPr>
        <w:t>размер</w:t>
      </w:r>
      <w:r w:rsidRPr="00AA3F66">
        <w:rPr>
          <w:b/>
        </w:rPr>
        <w:t xml:space="preserve"> на прага </w:t>
      </w:r>
      <w:r w:rsidRPr="00AA3F66">
        <w:rPr>
          <w:b/>
          <w:bCs/>
          <w:iCs/>
        </w:rPr>
        <w:t>за задължително регистриране</w:t>
      </w:r>
      <w:r w:rsidRPr="00AA3F66">
        <w:rPr>
          <w:b/>
        </w:rPr>
        <w:t xml:space="preserve"> по </w:t>
      </w:r>
      <w:r w:rsidRPr="00AA3F66">
        <w:rPr>
          <w:b/>
          <w:bCs/>
          <w:iCs/>
        </w:rPr>
        <w:t>ЗДДС</w:t>
      </w:r>
      <w:r w:rsidR="00971EC7" w:rsidRPr="00AA3F66">
        <w:rPr>
          <w:bCs/>
          <w:iCs/>
        </w:rPr>
        <w:t xml:space="preserve"> от                   50 000 лв. на 100 000 лв.</w:t>
      </w:r>
      <w:r w:rsidRPr="00AA3F66">
        <w:rPr>
          <w:bCs/>
          <w:iCs/>
        </w:rPr>
        <w:t xml:space="preserve"> Решението на ЕС за разрешаване на Република България да въведе дерогация от Директива 2006/112/ЕО на Съвета от 28 ноември 2006 година относно общата система на данъка върху добавената стойност e прието от Съвета на ЕС на 14.11.2022 г. и е публикувано в Официален вестник на ЕС на 17.11.2022 г. (L 297/69). Промяната е в сила от 1 януари 2023 г. Предложено е ново повишаване на прага за регистрация по ЗДДС от 100 000 на 166 000 лв. от 01.01.2025 г.;</w:t>
      </w:r>
    </w:p>
    <w:p w:rsidR="00C40B06" w:rsidRPr="00AA3F66" w:rsidRDefault="00C40B06" w:rsidP="00C40B06">
      <w:pPr>
        <w:numPr>
          <w:ilvl w:val="0"/>
          <w:numId w:val="68"/>
        </w:numPr>
        <w:tabs>
          <w:tab w:val="left" w:pos="993"/>
        </w:tabs>
        <w:ind w:left="0" w:firstLine="709"/>
        <w:rPr>
          <w:bCs/>
        </w:rPr>
      </w:pPr>
      <w:r w:rsidRPr="00AA3F66">
        <w:rPr>
          <w:bCs/>
        </w:rPr>
        <w:t xml:space="preserve">Повишени са </w:t>
      </w:r>
      <w:r w:rsidRPr="00AA3F66">
        <w:rPr>
          <w:b/>
          <w:bCs/>
        </w:rPr>
        <w:t>нормативно признатите разходи</w:t>
      </w:r>
      <w:r w:rsidRPr="00AA3F66">
        <w:rPr>
          <w:bCs/>
        </w:rPr>
        <w:t xml:space="preserve"> за дейността от упражняване на свободна професия като адвокат (от 25% на 40%), които от своя страна намаляват облагаемия доход от упражняване на конкретната дейност. Промяната се прилага от 1 януари 2023 г.;</w:t>
      </w:r>
    </w:p>
    <w:p w:rsidR="00C40B06" w:rsidRPr="00AA3F66" w:rsidRDefault="00C40B06" w:rsidP="00C40B06">
      <w:pPr>
        <w:numPr>
          <w:ilvl w:val="0"/>
          <w:numId w:val="68"/>
        </w:numPr>
        <w:tabs>
          <w:tab w:val="left" w:pos="993"/>
        </w:tabs>
        <w:ind w:left="0" w:firstLine="709"/>
        <w:rPr>
          <w:bCs/>
        </w:rPr>
      </w:pPr>
      <w:r w:rsidRPr="00AA3F66">
        <w:rPr>
          <w:bCs/>
        </w:rPr>
        <w:t xml:space="preserve">По отношение на </w:t>
      </w:r>
      <w:r w:rsidRPr="00AA3F66">
        <w:rPr>
          <w:b/>
          <w:bCs/>
        </w:rPr>
        <w:t>облагането с акциз на тютюна и тютюневите изделия</w:t>
      </w:r>
      <w:r w:rsidRPr="00AA3F66">
        <w:rPr>
          <w:bCs/>
        </w:rPr>
        <w:t xml:space="preserve"> е въведен акцизен календар за поетапно увеличаване на ставките за период от четири години в ЗАДС - в сила от 1 март 2023 г., както и график за увеличаване на акцизните ставки на заместителите на тютюна и на течностите за електронни цигари, независимо дали съдържат никотин (в сила от </w:t>
      </w:r>
      <w:r w:rsidR="00BB2DE2">
        <w:rPr>
          <w:bCs/>
        </w:rPr>
        <w:t>0</w:t>
      </w:r>
      <w:r w:rsidRPr="00AA3F66">
        <w:rPr>
          <w:bCs/>
        </w:rPr>
        <w:t>1.08.2023 г.). Дадена е дефиниция за „течност за електронна цигара, съдържаща никотин“ като същата става част от тютюневите изделия (нов чл. 12б от ЗАДС)</w:t>
      </w:r>
      <w:r w:rsidRPr="00AA3F66">
        <w:rPr>
          <w:bCs/>
          <w:iCs/>
        </w:rPr>
        <w:t>;</w:t>
      </w:r>
      <w:r w:rsidRPr="00AA3F66">
        <w:t xml:space="preserve"> </w:t>
      </w:r>
    </w:p>
    <w:p w:rsidR="00C40B06" w:rsidRPr="00AA3F66" w:rsidRDefault="00C40B06" w:rsidP="00C40B06">
      <w:pPr>
        <w:numPr>
          <w:ilvl w:val="0"/>
          <w:numId w:val="68"/>
        </w:numPr>
        <w:tabs>
          <w:tab w:val="left" w:pos="993"/>
        </w:tabs>
        <w:ind w:left="0" w:firstLine="709"/>
        <w:rPr>
          <w:bCs/>
        </w:rPr>
      </w:pPr>
      <w:r w:rsidRPr="00AA3F66">
        <w:rPr>
          <w:bCs/>
        </w:rPr>
        <w:t xml:space="preserve">Общата годишна квота за </w:t>
      </w:r>
      <w:r w:rsidRPr="00AA3F66">
        <w:rPr>
          <w:b/>
          <w:bCs/>
        </w:rPr>
        <w:t>предоставяне на ваучери за храна</w:t>
      </w:r>
      <w:r w:rsidRPr="00AA3F66">
        <w:rPr>
          <w:bCs/>
        </w:rPr>
        <w:t xml:space="preserve"> по чл. 209, ал. 7 от ЗКПО е 1,4 млрд. лв. за 2023 г. като е предложено запазване на този размер и за 2024 година; </w:t>
      </w:r>
    </w:p>
    <w:p w:rsidR="00C40B06" w:rsidRPr="00AA3F66" w:rsidRDefault="00C40B06" w:rsidP="00C40B06">
      <w:pPr>
        <w:pStyle w:val="ListParagraph"/>
        <w:numPr>
          <w:ilvl w:val="0"/>
          <w:numId w:val="68"/>
        </w:numPr>
        <w:tabs>
          <w:tab w:val="left" w:pos="993"/>
        </w:tabs>
        <w:ind w:left="0" w:firstLine="709"/>
        <w:rPr>
          <w:bCs/>
        </w:rPr>
      </w:pPr>
      <w:r w:rsidRPr="00AA3F66">
        <w:rPr>
          <w:bCs/>
        </w:rPr>
        <w:t>Ползване в увеличен размер на данъчните облекчения по чл. 22в и 22г от ЗДДФЛ (за деца и за деца с увреждания) през 2023 г. и през 2024 г., както следва: 6 000 лв. годишно за едно ненавършило пълнолетие дете, 12 000 лв. - за две ненавършили пълнолетие деца, 18 000 лв. - за три и повече ненавършили пълнолетие деца и съответно, за деца с увреждания в размер на 12 000 лв. годишно, с възможност за авансово ползване през годината;</w:t>
      </w:r>
    </w:p>
    <w:p w:rsidR="00C40B06" w:rsidRPr="00AA3F66" w:rsidRDefault="00C40B06" w:rsidP="00971EC7">
      <w:pPr>
        <w:pStyle w:val="ListParagraph"/>
        <w:numPr>
          <w:ilvl w:val="0"/>
          <w:numId w:val="68"/>
        </w:numPr>
        <w:tabs>
          <w:tab w:val="left" w:pos="993"/>
        </w:tabs>
        <w:ind w:left="0" w:firstLine="709"/>
        <w:rPr>
          <w:bCs/>
        </w:rPr>
      </w:pPr>
      <w:r w:rsidRPr="00AA3F66">
        <w:rPr>
          <w:bCs/>
        </w:rPr>
        <w:t xml:space="preserve">Прилагане на въведената </w:t>
      </w:r>
      <w:r w:rsidRPr="00AA3F66">
        <w:rPr>
          <w:b/>
          <w:bCs/>
        </w:rPr>
        <w:t>временна солидарна вноска</w:t>
      </w:r>
      <w:r w:rsidRPr="00AA3F66">
        <w:rPr>
          <w:bCs/>
        </w:rPr>
        <w:t xml:space="preserve">, която се внася за генерираните свръхпечалби от дружествата и местата на стопанска дейност от Съюза, извършващи дейност в отраслите на суровия нефт, природния газ, въглищата и нефтопреработването. Редът и начинът за прилагане на Глава III от Регламент (ЕС) 2022/1854 на Съвета от 6 октомври 2022 г. относно спешна намеса за справяне с високите цени на енергията са уредени в ЗКПО. </w:t>
      </w:r>
      <w:r w:rsidR="00971EC7" w:rsidRPr="00AA3F66">
        <w:rPr>
          <w:bCs/>
        </w:rPr>
        <w:t xml:space="preserve">Ставката на тази вноска е 33 на сто за периода </w:t>
      </w:r>
      <w:r w:rsidR="00AE2DEC">
        <w:rPr>
          <w:bCs/>
        </w:rPr>
        <w:t xml:space="preserve">                </w:t>
      </w:r>
      <w:r w:rsidR="00971EC7" w:rsidRPr="00AA3F66">
        <w:rPr>
          <w:bCs/>
        </w:rPr>
        <w:t xml:space="preserve">1 януари – 12 октомври 2023 г. и 50 на сто за периода 13 октомври – 31 декември 2023 г., върху основата за определяне на временната солидарна вноска. Основата за вноската се определя съгласно изискванията на член 15 от Регламент (ЕС) 2022/1854 въз основа на средната стойност на облагаемите печалби от 2018 г. до 2021 г. Временната солидарна вноска се внася за данъчните печалби за 2022 г. и за 2023 г. Задължените лица могат да правят авансови плащания за временната солидарна вноска; </w:t>
      </w:r>
    </w:p>
    <w:p w:rsidR="00C40B06" w:rsidRPr="00AA3F66" w:rsidRDefault="00C40B06" w:rsidP="00C40B06">
      <w:pPr>
        <w:pStyle w:val="ListParagraph"/>
        <w:numPr>
          <w:ilvl w:val="0"/>
          <w:numId w:val="68"/>
        </w:numPr>
        <w:tabs>
          <w:tab w:val="left" w:pos="993"/>
        </w:tabs>
        <w:ind w:left="0" w:firstLine="709"/>
        <w:rPr>
          <w:bCs/>
        </w:rPr>
      </w:pPr>
      <w:r w:rsidRPr="00AA3F66">
        <w:rPr>
          <w:bCs/>
        </w:rPr>
        <w:t xml:space="preserve">Като антиинфлационни мерки, на основание ЗДДС, се прилагат </w:t>
      </w:r>
      <w:r w:rsidRPr="00AA3F66">
        <w:rPr>
          <w:b/>
          <w:bCs/>
        </w:rPr>
        <w:t>нулева ставка на ДДС за доставки на хляб и брашно</w:t>
      </w:r>
      <w:r w:rsidRPr="00AA3F66">
        <w:rPr>
          <w:bCs/>
        </w:rPr>
        <w:t xml:space="preserve"> с място на изпълнение на територията на страната, при внос и при облагаеми вътреобщностни придобивания. Предложено е у</w:t>
      </w:r>
      <w:r w:rsidRPr="00AA3F66">
        <w:rPr>
          <w:bCs/>
          <w:iCs/>
        </w:rPr>
        <w:t>дължаване на срока до 30.06.2024 г. за прилагане на мярката;</w:t>
      </w:r>
    </w:p>
    <w:p w:rsidR="00C40B06" w:rsidRPr="00AA3F66" w:rsidRDefault="00C40B06" w:rsidP="00C40B06">
      <w:pPr>
        <w:pStyle w:val="ListParagraph"/>
        <w:numPr>
          <w:ilvl w:val="0"/>
          <w:numId w:val="68"/>
        </w:numPr>
        <w:tabs>
          <w:tab w:val="left" w:pos="993"/>
        </w:tabs>
        <w:ind w:left="0" w:firstLine="709"/>
        <w:rPr>
          <w:bCs/>
        </w:rPr>
      </w:pPr>
      <w:r w:rsidRPr="00AA3F66">
        <w:rPr>
          <w:b/>
          <w:bCs/>
        </w:rPr>
        <w:t>Намалената ставка на ДДС от 9% за доставки на природен газ и централно отопление</w:t>
      </w:r>
      <w:r w:rsidRPr="00AA3F66">
        <w:rPr>
          <w:bCs/>
        </w:rPr>
        <w:t xml:space="preserve"> с място на изпълнение на територията на страната, при внос и при облагаеми вътреобщностни придобивания се прилага до 01.07.2023 г.;</w:t>
      </w:r>
    </w:p>
    <w:p w:rsidR="00C40B06" w:rsidRPr="00AA3F66" w:rsidRDefault="00C40B06" w:rsidP="00C40B06">
      <w:pPr>
        <w:pStyle w:val="ListParagraph"/>
        <w:numPr>
          <w:ilvl w:val="0"/>
          <w:numId w:val="68"/>
        </w:numPr>
        <w:tabs>
          <w:tab w:val="left" w:pos="993"/>
        </w:tabs>
        <w:ind w:left="0" w:firstLine="709"/>
        <w:rPr>
          <w:bCs/>
        </w:rPr>
      </w:pPr>
      <w:r w:rsidRPr="00AA3F66">
        <w:rPr>
          <w:bCs/>
        </w:rPr>
        <w:t xml:space="preserve">В сила от 1 януари 2023 г., като постоянна мярка е установена </w:t>
      </w:r>
      <w:r w:rsidRPr="00AA3F66">
        <w:rPr>
          <w:b/>
          <w:bCs/>
        </w:rPr>
        <w:t>намалената данъчна ставка на ДДС (от 9%) за доставка на книги</w:t>
      </w:r>
      <w:r w:rsidRPr="00AA3F66">
        <w:rPr>
          <w:bCs/>
        </w:rPr>
        <w:t xml:space="preserve">, </w:t>
      </w:r>
      <w:r w:rsidRPr="00AE2DEC">
        <w:rPr>
          <w:b/>
          <w:bCs/>
        </w:rPr>
        <w:t xml:space="preserve">на храна, подходяща за бебета или за малки деца </w:t>
      </w:r>
      <w:r w:rsidRPr="00AA3F66">
        <w:rPr>
          <w:bCs/>
        </w:rPr>
        <w:t xml:space="preserve">и на бебешки пелени и подобни хигиенни артикули по приложение № 4 на </w:t>
      </w:r>
      <w:r w:rsidR="00AE2DEC">
        <w:rPr>
          <w:bCs/>
        </w:rPr>
        <w:t>ЗДДС</w:t>
      </w:r>
      <w:r w:rsidRPr="00AA3F66">
        <w:rPr>
          <w:bCs/>
        </w:rPr>
        <w:t>;</w:t>
      </w:r>
    </w:p>
    <w:p w:rsidR="00C40B06" w:rsidRPr="00AA3F66" w:rsidRDefault="00C40B06" w:rsidP="00C40B06">
      <w:pPr>
        <w:pStyle w:val="ListParagraph"/>
        <w:numPr>
          <w:ilvl w:val="0"/>
          <w:numId w:val="68"/>
        </w:numPr>
        <w:tabs>
          <w:tab w:val="left" w:pos="993"/>
        </w:tabs>
        <w:ind w:left="0" w:firstLine="709"/>
        <w:rPr>
          <w:bCs/>
        </w:rPr>
      </w:pPr>
      <w:r w:rsidRPr="00AA3F66" w:rsidDel="00CD2ED2">
        <w:rPr>
          <w:bCs/>
        </w:rPr>
        <w:t>Удължен е до 31.12.2023 г. с</w:t>
      </w:r>
      <w:r w:rsidRPr="00AA3F66">
        <w:rPr>
          <w:bCs/>
        </w:rPr>
        <w:t xml:space="preserve">рокът на действие на </w:t>
      </w:r>
      <w:r w:rsidRPr="00AA3F66">
        <w:rPr>
          <w:b/>
          <w:bCs/>
        </w:rPr>
        <w:t>намалената данъчна ставка на ДДС за доставка на услуга за използване на спортни съоръжения и обща туристическа услуга</w:t>
      </w:r>
      <w:r w:rsidRPr="00AA3F66">
        <w:rPr>
          <w:bCs/>
        </w:rPr>
        <w:t>;</w:t>
      </w:r>
    </w:p>
    <w:p w:rsidR="00C40B06" w:rsidRPr="00AA3F66" w:rsidRDefault="00C40B06" w:rsidP="00C40B06">
      <w:pPr>
        <w:pStyle w:val="ListParagraph"/>
        <w:numPr>
          <w:ilvl w:val="0"/>
          <w:numId w:val="68"/>
        </w:numPr>
        <w:tabs>
          <w:tab w:val="left" w:pos="993"/>
        </w:tabs>
        <w:ind w:left="0" w:firstLine="709"/>
        <w:rPr>
          <w:bCs/>
        </w:rPr>
      </w:pPr>
      <w:r w:rsidRPr="00AA3F66">
        <w:rPr>
          <w:bCs/>
        </w:rPr>
        <w:t xml:space="preserve">Предложено е удължаване на срока до 31.12.2024 г.  за прилагане на </w:t>
      </w:r>
      <w:r w:rsidRPr="00AA3F66">
        <w:rPr>
          <w:b/>
          <w:bCs/>
        </w:rPr>
        <w:t>намалената ставка 9% на ДДС за доставките на ресторантьорски и кетъринг услуги</w:t>
      </w:r>
      <w:r w:rsidRPr="00AA3F66">
        <w:rPr>
          <w:bCs/>
        </w:rPr>
        <w:t>;</w:t>
      </w:r>
    </w:p>
    <w:p w:rsidR="00C40B06" w:rsidRPr="00AA3F66" w:rsidRDefault="00C40B06" w:rsidP="00C40B06">
      <w:pPr>
        <w:pStyle w:val="ListParagraph"/>
        <w:numPr>
          <w:ilvl w:val="0"/>
          <w:numId w:val="68"/>
        </w:numPr>
        <w:tabs>
          <w:tab w:val="left" w:pos="993"/>
        </w:tabs>
        <w:ind w:left="0" w:firstLine="709"/>
        <w:rPr>
          <w:bCs/>
          <w:iCs/>
        </w:rPr>
      </w:pPr>
      <w:r w:rsidRPr="00AA3F66">
        <w:rPr>
          <w:bCs/>
          <w:iCs/>
        </w:rPr>
        <w:t xml:space="preserve">Прилагане (до 31 юли 2023 г.) като антиинфлационни мерки на: режим за </w:t>
      </w:r>
      <w:r w:rsidRPr="00AA3F66">
        <w:rPr>
          <w:b/>
          <w:bCs/>
          <w:iCs/>
        </w:rPr>
        <w:t>възстановяване на платения акциз за електрическа енергия</w:t>
      </w:r>
      <w:r w:rsidRPr="00AA3F66">
        <w:rPr>
          <w:bCs/>
          <w:iCs/>
        </w:rPr>
        <w:t xml:space="preserve"> по реда на чл. 24ж от ЗАДС; </w:t>
      </w:r>
      <w:r w:rsidRPr="00AA3F66">
        <w:rPr>
          <w:b/>
          <w:bCs/>
          <w:iCs/>
        </w:rPr>
        <w:t>нулеви акцизни ставки върху моторните горива</w:t>
      </w:r>
      <w:r w:rsidRPr="00AA3F66">
        <w:rPr>
          <w:bCs/>
          <w:iCs/>
        </w:rPr>
        <w:t xml:space="preserve"> – за втечнен нефтен газ и природен газ; </w:t>
      </w:r>
      <w:r w:rsidRPr="00AA3F66">
        <w:rPr>
          <w:b/>
          <w:bCs/>
          <w:iCs/>
        </w:rPr>
        <w:t>нулева акцизна ставка за произведената топлинна енергия</w:t>
      </w:r>
      <w:r w:rsidRPr="00AA3F66">
        <w:rPr>
          <w:bCs/>
          <w:iCs/>
        </w:rPr>
        <w:t xml:space="preserve"> за енергийните продукти, използвани за осъществяване на комбинирано производство на топлинна и електрическа енергия; </w:t>
      </w:r>
      <w:r w:rsidRPr="00AA3F66">
        <w:rPr>
          <w:b/>
          <w:bCs/>
          <w:iCs/>
        </w:rPr>
        <w:t>нулева акцизна ставка за електрическата енергия</w:t>
      </w:r>
      <w:r w:rsidRPr="00AA3F66">
        <w:rPr>
          <w:bCs/>
          <w:iCs/>
        </w:rPr>
        <w:t>, при условие че произведената електроенергия е от слънчева, вятърна енергия, от енергията на вълните, приливите или с геотермален произход; от хидравличен произход, произведена в хидроелектрически инсталации; генерирана от биомаса или от продукти, произведени от биомаса; генерирана от метан, изпускан в изоставени въглищни мини и генерирана от горивните клетки;</w:t>
      </w:r>
    </w:p>
    <w:p w:rsidR="00C40B06" w:rsidRPr="00AA3F66" w:rsidRDefault="00C40B06" w:rsidP="00C40B06">
      <w:pPr>
        <w:pStyle w:val="ListParagraph"/>
        <w:numPr>
          <w:ilvl w:val="0"/>
          <w:numId w:val="68"/>
        </w:numPr>
        <w:tabs>
          <w:tab w:val="left" w:pos="993"/>
        </w:tabs>
        <w:ind w:left="0" w:firstLine="709"/>
        <w:rPr>
          <w:bCs/>
          <w:iCs/>
        </w:rPr>
      </w:pPr>
      <w:r w:rsidRPr="00AA3F66">
        <w:rPr>
          <w:bCs/>
          <w:iCs/>
        </w:rPr>
        <w:t xml:space="preserve">На 06.06.2023 г. е постановено положително решение на ЕК относно съответствие с Насоките за регионална държавна помощ (2021/C 153/01) за прилагане на нова схема на </w:t>
      </w:r>
      <w:r w:rsidRPr="00AA3F66">
        <w:rPr>
          <w:b/>
          <w:bCs/>
          <w:iCs/>
        </w:rPr>
        <w:t>данъчното облекчение, представляващо държавна помощ за регионално развитие</w:t>
      </w:r>
      <w:r w:rsidRPr="00AA3F66">
        <w:rPr>
          <w:bCs/>
          <w:iCs/>
        </w:rPr>
        <w:t>, с което започна преотстъпването на корпоративен данък съгласно чл. 184 във връзка с чл. 189 от ЗКПО, което да се прилага в срок до 31 декември 2027 г. Данъчната преференция се предоставя с цел да насърчи икономическата активност за МСП, като ги стимулира да инвестират в материални и нематериални активи в предприятия, намиращи се в общини с безработица, по-висока от средната за страната, като се очаква така да се запазят или увеличат нивата на заетост в тези общини;</w:t>
      </w:r>
    </w:p>
    <w:p w:rsidR="00C40B06" w:rsidRPr="00AA3F66" w:rsidRDefault="00C40B06" w:rsidP="00C40B06">
      <w:pPr>
        <w:numPr>
          <w:ilvl w:val="0"/>
          <w:numId w:val="68"/>
        </w:numPr>
        <w:tabs>
          <w:tab w:val="left" w:pos="993"/>
        </w:tabs>
        <w:ind w:left="0" w:firstLine="709"/>
        <w:rPr>
          <w:bCs/>
        </w:rPr>
      </w:pPr>
      <w:r w:rsidRPr="00AA3F66">
        <w:rPr>
          <w:bCs/>
        </w:rPr>
        <w:t xml:space="preserve">Въвеждане в ДОПК на </w:t>
      </w:r>
      <w:r w:rsidRPr="00AA3F66">
        <w:rPr>
          <w:b/>
          <w:bCs/>
        </w:rPr>
        <w:t>задължително предварително деклариране на данни за превозите на стоки с висок фискален риск</w:t>
      </w:r>
      <w:r w:rsidRPr="00AA3F66">
        <w:rPr>
          <w:bCs/>
        </w:rPr>
        <w:t xml:space="preserve"> на територията на Република България с цел надграждане и усъвършенстване на фискалния контрол (ДВ, бр. 66 от 2023 г.);</w:t>
      </w:r>
    </w:p>
    <w:p w:rsidR="00C40B06" w:rsidRPr="00AA3F66" w:rsidRDefault="00C40B06" w:rsidP="00C40B06">
      <w:pPr>
        <w:numPr>
          <w:ilvl w:val="0"/>
          <w:numId w:val="68"/>
        </w:numPr>
        <w:tabs>
          <w:tab w:val="left" w:pos="993"/>
        </w:tabs>
        <w:ind w:left="0" w:firstLine="709"/>
        <w:rPr>
          <w:bCs/>
        </w:rPr>
      </w:pPr>
      <w:r w:rsidRPr="00AA3F66">
        <w:rPr>
          <w:bCs/>
        </w:rPr>
        <w:t xml:space="preserve">Прието е, когато се </w:t>
      </w:r>
      <w:r w:rsidRPr="00AA3F66">
        <w:rPr>
          <w:b/>
          <w:bCs/>
        </w:rPr>
        <w:t>изплаща трудово възнаграждение</w:t>
      </w:r>
      <w:r w:rsidRPr="00AA3F66">
        <w:rPr>
          <w:bCs/>
        </w:rPr>
        <w:t xml:space="preserve"> от работодател, със 100 или повече наети лица (с изключение на лицата, с които е сключен трудов договор за краткотрайна сезонна селскостопанска работа), по чл. 3, ал. 1, т. 3 от Закона за ограничаване на плащанията в брой, изплащането му да се извършва само чрез превод или внасяне по платежна сметка в посочена от работника или служителя банка в страната (ДВ, бр. 66 от 2023 г.);</w:t>
      </w:r>
    </w:p>
    <w:p w:rsidR="00C40B06" w:rsidRPr="00AA3F66" w:rsidRDefault="00C40B06" w:rsidP="00C40B06">
      <w:pPr>
        <w:numPr>
          <w:ilvl w:val="0"/>
          <w:numId w:val="68"/>
        </w:numPr>
        <w:tabs>
          <w:tab w:val="left" w:pos="993"/>
        </w:tabs>
        <w:ind w:left="0" w:firstLine="709"/>
        <w:rPr>
          <w:bCs/>
        </w:rPr>
      </w:pPr>
      <w:r w:rsidRPr="00AA3F66">
        <w:rPr>
          <w:bCs/>
        </w:rPr>
        <w:t xml:space="preserve">Деклариране (с декларацията по чл. 55, ал. 1 от ЗДДФЛ и чл. 201, ал. 1 от ЗКПО, в срок до края на месеца, следващ тримесечието) на данни от текущата счетоводна отчетност за </w:t>
      </w:r>
      <w:r w:rsidRPr="00AA3F66">
        <w:rPr>
          <w:b/>
          <w:bCs/>
        </w:rPr>
        <w:t>наличните парични средства в касите</w:t>
      </w:r>
      <w:r w:rsidRPr="00AA3F66">
        <w:rPr>
          <w:bCs/>
        </w:rPr>
        <w:t>, размерът на вземанията (включително от предоставени заеми) от собственици физически лица, работници, служители, лица, наети по договор за управление и контрол, и подотчетни лица, когато в края на календарно тримесечие общата сума на наличностите и вземанията надхвърля   50 000 лв. (ДВ, бр. 66 от 2023 г.);</w:t>
      </w:r>
    </w:p>
    <w:p w:rsidR="00C40B06" w:rsidRPr="00AA3F66" w:rsidRDefault="00C40B06" w:rsidP="00C40B06">
      <w:pPr>
        <w:numPr>
          <w:ilvl w:val="0"/>
          <w:numId w:val="68"/>
        </w:numPr>
        <w:tabs>
          <w:tab w:val="left" w:pos="993"/>
        </w:tabs>
        <w:ind w:left="0" w:firstLine="709"/>
      </w:pPr>
      <w:r w:rsidRPr="00AA3F66">
        <w:rPr>
          <w:bCs/>
        </w:rPr>
        <w:t xml:space="preserve"> С цел да се разреши проблемът с измамите с ДДС при електронната търговия, чрез засилване на сътрудничеството между данъчните органи и доставчиците на платежни услуги, както и във връзка с </w:t>
      </w:r>
      <w:r w:rsidR="00D47593" w:rsidRPr="00BD28EB">
        <w:rPr>
          <w:b/>
          <w:bCs/>
        </w:rPr>
        <w:t>изисквания</w:t>
      </w:r>
      <w:r w:rsidR="005D4FD5" w:rsidRPr="00BD28EB">
        <w:rPr>
          <w:b/>
          <w:bCs/>
        </w:rPr>
        <w:t>та</w:t>
      </w:r>
      <w:r w:rsidR="00D47593" w:rsidRPr="00BD28EB">
        <w:rPr>
          <w:b/>
          <w:bCs/>
        </w:rPr>
        <w:t xml:space="preserve"> за</w:t>
      </w:r>
      <w:r w:rsidR="00D47593" w:rsidRPr="00BD28EB">
        <w:rPr>
          <w:b/>
        </w:rPr>
        <w:t xml:space="preserve"> доставчиците на платежни услуги</w:t>
      </w:r>
      <w:r w:rsidR="005D4FD5">
        <w:t>,</w:t>
      </w:r>
      <w:r w:rsidR="00D47593" w:rsidRPr="00AA3F66">
        <w:rPr>
          <w:bCs/>
        </w:rPr>
        <w:t xml:space="preserve"> </w:t>
      </w:r>
      <w:r w:rsidR="005D4FD5">
        <w:rPr>
          <w:bCs/>
        </w:rPr>
        <w:t>въведени</w:t>
      </w:r>
      <w:r w:rsidR="005D4FD5" w:rsidRPr="00AA3F66">
        <w:rPr>
          <w:bCs/>
        </w:rPr>
        <w:t xml:space="preserve"> </w:t>
      </w:r>
      <w:r w:rsidRPr="00AA3F66">
        <w:rPr>
          <w:bCs/>
        </w:rPr>
        <w:t xml:space="preserve">с разпоредбите на Директива (ЕС) 2020/284 на Съвета от 18 февруари 2020 година за изменение на Директива 2006/112/ЕО по отношение на въвеждането на определени </w:t>
      </w:r>
      <w:r w:rsidRPr="00BD28EB">
        <w:rPr>
          <w:bCs/>
        </w:rPr>
        <w:t>изисквания за доставчиците на платежни услуги</w:t>
      </w:r>
      <w:r w:rsidRPr="00AA3F66">
        <w:rPr>
          <w:bCs/>
        </w:rPr>
        <w:t xml:space="preserve"> (Директива (ЕС) 2020/284</w:t>
      </w:r>
      <w:r w:rsidR="002B1C4C" w:rsidRPr="00AA3F66">
        <w:rPr>
          <w:bCs/>
        </w:rPr>
        <w:t>)</w:t>
      </w:r>
      <w:r w:rsidRPr="00AA3F66">
        <w:t xml:space="preserve">, са направени съответните изменения и в ЗДДС (ЗИД на ЗДДС, обн., ДВ, бр. 102 от 2022 г., в сила от </w:t>
      </w:r>
      <w:r w:rsidR="00BB2DE2">
        <w:t>0</w:t>
      </w:r>
      <w:r w:rsidRPr="00AA3F66">
        <w:t xml:space="preserve">1.01.2023 г.). Директива </w:t>
      </w:r>
      <w:r w:rsidR="002B1C4C" w:rsidRPr="00AA3F66">
        <w:t xml:space="preserve">(ЕС) </w:t>
      </w:r>
      <w:r w:rsidRPr="00AA3F66">
        <w:t xml:space="preserve">2020/284 има за цел да допълни законодателния ДДС пакет за облагане на електронната търговия, който влезе в сила на 1 юли 2021 година. Директива </w:t>
      </w:r>
      <w:r w:rsidR="002B1C4C" w:rsidRPr="00AA3F66">
        <w:t xml:space="preserve">(ЕС) </w:t>
      </w:r>
      <w:r w:rsidRPr="00AA3F66">
        <w:t xml:space="preserve">2020/284 съдържа задължения за доставчиците на платежни услуги да предават определена информация за трансграничните плащания, произхождащи от държави членки и за бенефициента („получателя”) на тези презгранични плащания, с цел правилното отчитане и облагане с ДДС на електронната търговия в ЕС; </w:t>
      </w:r>
    </w:p>
    <w:p w:rsidR="00F4519D" w:rsidRPr="00AA3F66" w:rsidRDefault="00F4519D" w:rsidP="00F4519D">
      <w:pPr>
        <w:pStyle w:val="ListParagraph"/>
        <w:numPr>
          <w:ilvl w:val="0"/>
          <w:numId w:val="68"/>
        </w:numPr>
        <w:tabs>
          <w:tab w:val="left" w:pos="993"/>
        </w:tabs>
        <w:ind w:left="0" w:firstLine="709"/>
      </w:pPr>
      <w:r w:rsidRPr="00AA3F66">
        <w:rPr>
          <w:b/>
        </w:rPr>
        <w:t>Разширен е обхватът на доходите, за които се предоставя информация със справката по чл. 73, ал. 1 от ЗДДФЛ</w:t>
      </w:r>
      <w:r w:rsidRPr="00AA3F66">
        <w:t xml:space="preserve"> с някои необлагаеми доходи (ЗИД на ЗДДФЛ, обн., ДВ, бр. 102 от 2022 г., в сила от </w:t>
      </w:r>
      <w:r w:rsidR="00BB2DE2">
        <w:t>0</w:t>
      </w:r>
      <w:r w:rsidRPr="00AA3F66">
        <w:t>1.01.2023 г.). Добавени са, независимо от размера им, доходите от допълнително пенсионно осигуряване и други доходи, които въпреки че са освободени от облагане се получават регулярно от физическите лица и са от значение за коректното определяне на разполагаемия доход. Добавени са различните помощи от социално подпомагане, държавни и национални награди, стипендии (с изключение на стипендиите, които се предоставят от училищата в полза на ученици и студенти), ренти и потребителски дивиденти. Предложено е в сила от 2024 г. обхватът да бъде разширен и да бъдат добавени дневните командировъчни пари, еднократните помощи за лечение, направените от работодателя социални разходи за допълнително доброволно осигуряване и други;</w:t>
      </w:r>
    </w:p>
    <w:p w:rsidR="00C40B06" w:rsidRPr="00AA3F66" w:rsidRDefault="00C40B06" w:rsidP="00C40B06">
      <w:pPr>
        <w:pStyle w:val="ListParagraph"/>
        <w:numPr>
          <w:ilvl w:val="0"/>
          <w:numId w:val="68"/>
        </w:numPr>
        <w:tabs>
          <w:tab w:val="left" w:pos="993"/>
        </w:tabs>
        <w:ind w:left="0" w:firstLine="709"/>
      </w:pPr>
      <w:r w:rsidRPr="00AA3F66">
        <w:t xml:space="preserve">Предоставена е възможност на </w:t>
      </w:r>
      <w:r w:rsidRPr="00AA3F66">
        <w:rPr>
          <w:b/>
        </w:rPr>
        <w:t>местните физически лица да декларират в годишната данъчна декларация придобитите през годината доходи, които са освободени от облагане</w:t>
      </w:r>
      <w:r w:rsidRPr="00AA3F66">
        <w:t xml:space="preserve"> по силата на закона, придобитите доходи облагаеми с окончателен данък, полученото имущество по наследство, завет и дарение, както и полученото имущество с възстановено право на собственост по реда на нормативен акт. До промяната, доходите, облагаеми с окончателен данък, не се включваха в годишната данъчна декларация по чл. 50 от ЗДДФЛ, независимо от желанието на лицата;</w:t>
      </w:r>
    </w:p>
    <w:p w:rsidR="00C40B06" w:rsidRPr="00AA3F66" w:rsidRDefault="00C40B06" w:rsidP="00C40B06">
      <w:pPr>
        <w:pStyle w:val="ListParagraph"/>
        <w:numPr>
          <w:ilvl w:val="0"/>
          <w:numId w:val="68"/>
        </w:numPr>
        <w:tabs>
          <w:tab w:val="left" w:pos="993"/>
        </w:tabs>
        <w:ind w:left="0" w:firstLine="709"/>
      </w:pPr>
      <w:r w:rsidRPr="00AA3F66">
        <w:t xml:space="preserve">Приети са промени в ДОПК (обн., ДВ, бр. 100 от 2022 г., в сила от </w:t>
      </w:r>
      <w:r w:rsidR="00BB2DE2">
        <w:t>0</w:t>
      </w:r>
      <w:r w:rsidRPr="00AA3F66">
        <w:t xml:space="preserve">1.01.2023 г.), с които се </w:t>
      </w:r>
      <w:r w:rsidRPr="00AA3F66">
        <w:rPr>
          <w:b/>
        </w:rPr>
        <w:t>подобрява цялостната уредба на обмена на информация и административното сътрудничество и се разширява обхватът на автоматичния обмен на информация</w:t>
      </w:r>
      <w:r w:rsidRPr="00AA3F66">
        <w:t>, като се включва и информацията, предоставяна от операторите на цифрови платформи за продавачи, извършващи дейност чрез тези платформи. Развитието на цифровизацията на икономиката и възможностите за укриване на доходи, особено в случаите, когато дейността се извършва чрез цифрови платформи, установени в други юрисдикции, мотивира разширяването на обхвата на автоматичния обмен на информация за данъчни цели по отношение на доходите, реализирани чрез такива платформи, и техните получатели. Промените са в съответствие с изискванията на Директива (ЕС) 2021/514 и в отговор на направени изменения в Директива 2011/16/ЕС на Съвета от 15 февруари 2011 г. относно административното сътрудничество в областта на данъчното облагане и прецизиране в тази връзка на националните законодателства на държавите членки по еднозначен начин, които от своя страна гарантират правна сигурност и яснота на правилата в областта на административното сътрудничество и обмена на информация;</w:t>
      </w:r>
    </w:p>
    <w:p w:rsidR="00C40B06" w:rsidRPr="00AA3F66" w:rsidRDefault="00C40B06" w:rsidP="00C40B06">
      <w:pPr>
        <w:pStyle w:val="ListParagraph"/>
        <w:numPr>
          <w:ilvl w:val="0"/>
          <w:numId w:val="68"/>
        </w:numPr>
        <w:tabs>
          <w:tab w:val="left" w:pos="993"/>
        </w:tabs>
        <w:spacing w:after="240"/>
        <w:ind w:left="0" w:firstLine="706"/>
        <w:rPr>
          <w:bCs/>
        </w:rPr>
      </w:pPr>
      <w:r w:rsidRPr="00AA3F66">
        <w:rPr>
          <w:bCs/>
          <w:iCs/>
        </w:rPr>
        <w:t xml:space="preserve">В съответствие с решенията на Съда на Европейския съюз са направени промени в ЗДДС за </w:t>
      </w:r>
      <w:r w:rsidRPr="00AA3F66">
        <w:rPr>
          <w:b/>
          <w:bCs/>
          <w:iCs/>
        </w:rPr>
        <w:t>намаляване на данъчната основа на доставката при пълно или частично неплащане</w:t>
      </w:r>
      <w:r w:rsidRPr="00AA3F66">
        <w:rPr>
          <w:bCs/>
          <w:iCs/>
        </w:rPr>
        <w:t xml:space="preserve">, което може да стане несъбираемо, с оглед на предвидената възможност в разпоредбата на чл. 90, параграф 1 от Директива 2006/112/ЕО на Съвета от 28 ноември 2006 г. относно общата система на данъка върху добавената стойност (Директивата за ДДС). Промяната е въведена със ЗИД на </w:t>
      </w:r>
      <w:r w:rsidR="00AE2DEC">
        <w:rPr>
          <w:bCs/>
          <w:iCs/>
        </w:rPr>
        <w:t>в ЗДДС</w:t>
      </w:r>
      <w:r w:rsidRPr="00AA3F66">
        <w:rPr>
          <w:bCs/>
          <w:iCs/>
        </w:rPr>
        <w:t xml:space="preserve">, обн., ДВ, бр. 102 от 2022 г., в сила от </w:t>
      </w:r>
      <w:r w:rsidR="00BB2DE2">
        <w:rPr>
          <w:bCs/>
          <w:iCs/>
        </w:rPr>
        <w:t>0</w:t>
      </w:r>
      <w:r w:rsidRPr="00AA3F66">
        <w:rPr>
          <w:bCs/>
          <w:iCs/>
        </w:rPr>
        <w:t>1.01.2023 година.</w:t>
      </w:r>
    </w:p>
    <w:p w:rsidR="00C40B06" w:rsidRPr="00AA3F66" w:rsidRDefault="00C40B06" w:rsidP="00C40B06">
      <w:pPr>
        <w:ind w:firstLine="709"/>
        <w:rPr>
          <w:b/>
          <w:bCs/>
          <w:iCs/>
        </w:rPr>
      </w:pPr>
      <w:r w:rsidRPr="00AA3F66">
        <w:rPr>
          <w:bCs/>
          <w:iCs/>
          <w:color w:val="000000" w:themeColor="text1"/>
        </w:rPr>
        <w:t>Предложени са още и следните мерки в данъчното законодателство</w:t>
      </w:r>
      <w:r w:rsidRPr="00AA3F66">
        <w:rPr>
          <w:b/>
          <w:bCs/>
          <w:iCs/>
        </w:rPr>
        <w:t xml:space="preserve">, </w:t>
      </w:r>
      <w:r w:rsidRPr="00AA3F66">
        <w:rPr>
          <w:bCs/>
          <w:iCs/>
        </w:rPr>
        <w:t>ефектите от които са взети предвид при прогнозиране на приходите от данъци</w:t>
      </w:r>
      <w:r w:rsidRPr="00AA3F66">
        <w:rPr>
          <w:b/>
          <w:bCs/>
          <w:iCs/>
        </w:rPr>
        <w:t>:</w:t>
      </w:r>
    </w:p>
    <w:p w:rsidR="00C40B06" w:rsidRPr="00AA3F66" w:rsidRDefault="00C40B06" w:rsidP="00C40B06">
      <w:pPr>
        <w:pStyle w:val="ListParagraph"/>
        <w:numPr>
          <w:ilvl w:val="0"/>
          <w:numId w:val="69"/>
        </w:numPr>
        <w:tabs>
          <w:tab w:val="left" w:pos="993"/>
        </w:tabs>
        <w:ind w:left="0" w:firstLine="698"/>
        <w:rPr>
          <w:bCs/>
          <w:iCs/>
        </w:rPr>
      </w:pPr>
      <w:r w:rsidRPr="00AA3F66">
        <w:rPr>
          <w:b/>
          <w:i/>
        </w:rPr>
        <w:t xml:space="preserve">Въвеждане на </w:t>
      </w:r>
      <w:r w:rsidR="00F4519D" w:rsidRPr="00AA3F66">
        <w:rPr>
          <w:b/>
          <w:bCs/>
          <w:i/>
        </w:rPr>
        <w:t xml:space="preserve">минимално ефективно корпоративно данъчно облагане на многонационални групи предприятия и на големи национални групи предприятия  </w:t>
      </w:r>
      <w:r w:rsidR="00F4519D" w:rsidRPr="00AA3F66">
        <w:t xml:space="preserve"> </w:t>
      </w:r>
      <w:r w:rsidRPr="00AA3F66">
        <w:t>в съответствие с Директива (ЕС) 2022/2523 на Съвета за от 14 декември 2022 година за гарантиране на глобално минимално равнище на данъчно облагане на многонационалните групи от предприятия и големите национални групи в Съюза. С разпоредбите на Директива (ЕС) 2022/2523 се въвежда рамка за глобалното минимално равнище от 15 на сто на данъчно облагане на ниво ЕС на многонационална група предприятия. С директивата се въвежда система от две взаимосвързани правила, насочени към определяне и събиране на допълнителен данък в една държава членка, винаги когато ефективната корпоративна данъчна ставка на дружествата от дадена многонационална група предприятия в тази държава членка е по-ниска от 15 на сто. Всички дружества, които са част от многонационални или национални групи предприятия с годишни приходи в консолидираните финансови отчети на крайното образувание майка на групата през поне две от четирите данъчни години, непосредствено предшестващи текущата данъчна година, от най-малко 750</w:t>
      </w:r>
      <w:r w:rsidR="00517521">
        <w:t>,0</w:t>
      </w:r>
      <w:r w:rsidRPr="00AA3F66">
        <w:t xml:space="preserve"> млн. евро, които се намират в държава-членка на ЕС, в която се облагат с ниска данъчна ставка, т.е. по-ниска от 15 на сто, каквато е и България, ще подлежат на облагане с този допълнителен данък. Допълнителният данък за тези дружества ще се дължи от крайното предприятие майка или някое от междинните предприятия майки на групата и ще се събира от държавата членка, в която е разположено</w:t>
      </w:r>
      <w:r w:rsidR="00F4519D" w:rsidRPr="00AA3F66">
        <w:t xml:space="preserve">. За да се даде възможност на държавите членки да използват приходите от допълнителния данък, дължими по отношение на облагани с ниска данъчна ставка съставни образувания, намиращи се на тяхна територия, Директива (ЕС) 2022/2523 предоставя възможност за избор на държавите членки да въведат национален допълнителен данък. Предвид това в страната се предлага да се въведе национален допълнителен данък, съгласно който съставните образувания на една </w:t>
      </w:r>
      <w:r w:rsidR="00F4519D" w:rsidRPr="00AA3F66">
        <w:rPr>
          <w:bCs/>
        </w:rPr>
        <w:t>многонационална група предприятия</w:t>
      </w:r>
      <w:r w:rsidR="00F4519D" w:rsidRPr="00AA3F66">
        <w:t>, които се намират в Република България,</w:t>
      </w:r>
      <w:r w:rsidR="00F4519D" w:rsidRPr="00AA3F66">
        <w:rPr>
          <w:bCs/>
        </w:rPr>
        <w:t xml:space="preserve"> или на голяма национална група предприятия</w:t>
      </w:r>
      <w:r w:rsidR="00F4519D" w:rsidRPr="00AA3F66">
        <w:t>, се предвижда да подлежат на облагане с национален допълнителен данък</w:t>
      </w:r>
      <w:r w:rsidRPr="00AA3F66">
        <w:t>;</w:t>
      </w:r>
    </w:p>
    <w:p w:rsidR="00C40B06" w:rsidRPr="00AA3F66" w:rsidRDefault="00C40B06" w:rsidP="00C40B06">
      <w:pPr>
        <w:pStyle w:val="ListParagraph"/>
        <w:numPr>
          <w:ilvl w:val="0"/>
          <w:numId w:val="69"/>
        </w:numPr>
        <w:tabs>
          <w:tab w:val="left" w:pos="993"/>
        </w:tabs>
        <w:ind w:left="0" w:firstLine="698"/>
        <w:rPr>
          <w:bCs/>
          <w:iCs/>
        </w:rPr>
      </w:pPr>
      <w:r w:rsidRPr="00AA3F66">
        <w:t xml:space="preserve">Предложения във връзка с въвеждането на </w:t>
      </w:r>
      <w:r w:rsidRPr="00AA3F66">
        <w:rPr>
          <w:b/>
        </w:rPr>
        <w:t>нова схема за държавна помощ за земеделски стопани</w:t>
      </w:r>
      <w:r w:rsidRPr="00AA3F66">
        <w:t>, които са свързани с изменение на правната уредба за прилагане на държавна помощ за земеделски стопани под формата на данъчно облекчение по чл. 189б от ЗКПО и чл. 48, ал. 6 от ЗДДФЛ, съобразно условията на Регламент (ЕС) № 2022/2472 на Комисията от 14 декември 2022 година относно деклариране на някои категории помощи в секторите на селското и горското стопанство и в селските райони за съвместими с вътрешния пазар в приложение на членове 107 и 108 от ДФЕС</w:t>
      </w:r>
      <w:r w:rsidR="00B02EEC">
        <w:rPr>
          <w:rStyle w:val="FootnoteReference"/>
        </w:rPr>
        <w:footnoteReference w:id="18"/>
      </w:r>
      <w:r w:rsidRPr="00AA3F66">
        <w:t xml:space="preserve"> (Регламент (ЕС) № 2022/2472). Новият регламент за групово освобождаване в земеделието - Регламент (ЕС) № 2022/2472 се прилага от 1 януари 2023 г. до 31 декември 2029 година. Регламентът предвижда промяна в интензитета и прага за уведомяване по помощта за инвестиции в земеделски стопанства във връзка с първичното селскостопанско производство, предвид което е разработена нова схема за държавна помощ, която да е в съответствие с новите правила на Регламент (ЕС) № 2022/2472 и за прилагането на която следва да се получи одобрение от Комисията;</w:t>
      </w:r>
    </w:p>
    <w:p w:rsidR="00C40B06" w:rsidRPr="00AA3F66" w:rsidRDefault="00C40B06" w:rsidP="00C40B06">
      <w:pPr>
        <w:pStyle w:val="ListParagraph"/>
        <w:numPr>
          <w:ilvl w:val="0"/>
          <w:numId w:val="69"/>
        </w:numPr>
        <w:tabs>
          <w:tab w:val="left" w:pos="993"/>
        </w:tabs>
        <w:ind w:left="0" w:firstLine="698"/>
      </w:pPr>
      <w:r w:rsidRPr="00AA3F66">
        <w:t xml:space="preserve">Предложени са промени в ЗДДФЛ за въвеждане на </w:t>
      </w:r>
      <w:r w:rsidRPr="00AA3F66">
        <w:rPr>
          <w:b/>
        </w:rPr>
        <w:t>нормативно признати разходи</w:t>
      </w:r>
      <w:r w:rsidRPr="00AA3F66">
        <w:t xml:space="preserve"> в размер на 10 на сто при определянето на облагаемия доход от продажба или замяна на финансови активи и чуждестранна валута. Предложено е и виртуалните валути да бъдат изрично посочени като финансов актив; </w:t>
      </w:r>
    </w:p>
    <w:p w:rsidR="00C40B06" w:rsidRPr="00AA3F66" w:rsidRDefault="00C40B06" w:rsidP="00C40B06">
      <w:pPr>
        <w:pStyle w:val="ListParagraph"/>
        <w:numPr>
          <w:ilvl w:val="0"/>
          <w:numId w:val="69"/>
        </w:numPr>
        <w:tabs>
          <w:tab w:val="left" w:pos="993"/>
        </w:tabs>
        <w:ind w:left="0" w:firstLine="698"/>
      </w:pPr>
      <w:r w:rsidRPr="00AA3F66">
        <w:t xml:space="preserve">Освобождаване от облагане на </w:t>
      </w:r>
      <w:r w:rsidRPr="00AA3F66">
        <w:rPr>
          <w:b/>
        </w:rPr>
        <w:t>доходите от продажба или замяна на движимо имущество, предадено на лица</w:t>
      </w:r>
      <w:r w:rsidRPr="00AA3F66">
        <w:t>, които имат право да извършват събиране, транспортиране, оползотворяване или обезвреждане на отпадъци в съответствие със Закона за управление на отпадъците;</w:t>
      </w:r>
    </w:p>
    <w:p w:rsidR="00C40B06" w:rsidRPr="00AA3F66" w:rsidRDefault="00C40B06" w:rsidP="00C40B06">
      <w:pPr>
        <w:pStyle w:val="ListParagraph"/>
        <w:numPr>
          <w:ilvl w:val="0"/>
          <w:numId w:val="69"/>
        </w:numPr>
        <w:tabs>
          <w:tab w:val="left" w:pos="993"/>
        </w:tabs>
        <w:ind w:left="0" w:firstLine="698"/>
      </w:pPr>
      <w:r w:rsidRPr="00AA3F66">
        <w:t xml:space="preserve">Въвеждане на </w:t>
      </w:r>
      <w:r w:rsidRPr="00AA3F66">
        <w:rPr>
          <w:b/>
        </w:rPr>
        <w:t xml:space="preserve">данъчно облекчение за приспадане от общата годишна данъчна основа по ЗДДФЛ на 0,5 на сто </w:t>
      </w:r>
      <w:r w:rsidRPr="00AA3F66">
        <w:t>от платения данък върху добавената стойност, но не повече от 100 лв. месечно, съгласно данните от фискални и системни бонове, регистрирани в Националната агенция за приходите;</w:t>
      </w:r>
    </w:p>
    <w:p w:rsidR="00C40B06" w:rsidRPr="00AA3F66" w:rsidRDefault="00C40B06" w:rsidP="00C40B06">
      <w:pPr>
        <w:pStyle w:val="ListParagraph"/>
        <w:numPr>
          <w:ilvl w:val="0"/>
          <w:numId w:val="69"/>
        </w:numPr>
        <w:tabs>
          <w:tab w:val="left" w:pos="993"/>
        </w:tabs>
        <w:ind w:left="0" w:firstLine="698"/>
      </w:pPr>
      <w:r w:rsidRPr="00AA3F66">
        <w:t xml:space="preserve">Въвеждане на алтернативен данък върху </w:t>
      </w:r>
      <w:r w:rsidRPr="00AA3F66">
        <w:rPr>
          <w:b/>
        </w:rPr>
        <w:t>доходите от дейността по събиране на диворастящи гъби и плодове</w:t>
      </w:r>
      <w:r w:rsidRPr="00AA3F66">
        <w:t>, с изключение на такива от лечебните растения, за лица, които не са търговци по смисъла на Търговския закон, като основната цел е да се изсветли сектора на събиране на диворастящи гъби и плодове;</w:t>
      </w:r>
    </w:p>
    <w:p w:rsidR="00C40B06" w:rsidRPr="00AA3F66" w:rsidRDefault="00C40B06" w:rsidP="00C40B06">
      <w:pPr>
        <w:pStyle w:val="ListParagraph"/>
        <w:numPr>
          <w:ilvl w:val="0"/>
          <w:numId w:val="69"/>
        </w:numPr>
        <w:tabs>
          <w:tab w:val="left" w:pos="993"/>
        </w:tabs>
        <w:ind w:left="0" w:firstLine="698"/>
        <w:rPr>
          <w:bCs/>
          <w:iCs/>
        </w:rPr>
      </w:pPr>
      <w:r w:rsidRPr="00AA3F66">
        <w:rPr>
          <w:rFonts w:cs="Times New Roman"/>
          <w:b/>
          <w:szCs w:val="24"/>
        </w:rPr>
        <w:t>Включване в обхвата на патентния данък</w:t>
      </w:r>
      <w:r w:rsidRPr="00AA3F66">
        <w:rPr>
          <w:b/>
          <w:bCs/>
          <w:iCs/>
        </w:rPr>
        <w:t xml:space="preserve"> на юридическите лица, осъществяващи дейност като заведения за хранене и развлечения</w:t>
      </w:r>
      <w:r w:rsidRPr="00AA3F66">
        <w:rPr>
          <w:bCs/>
          <w:iCs/>
        </w:rPr>
        <w:t xml:space="preserve"> с цел </w:t>
      </w:r>
      <w:r w:rsidRPr="00AA3F66">
        <w:rPr>
          <w:rFonts w:cs="Times New Roman"/>
          <w:szCs w:val="24"/>
        </w:rPr>
        <w:t>изсветляване на целия сектор на заведенията за хранене и развлечения;</w:t>
      </w:r>
    </w:p>
    <w:p w:rsidR="00C40B06" w:rsidRPr="00AA3F66" w:rsidRDefault="00C40B06" w:rsidP="00C40B06">
      <w:pPr>
        <w:pStyle w:val="ListParagraph"/>
        <w:numPr>
          <w:ilvl w:val="0"/>
          <w:numId w:val="69"/>
        </w:numPr>
        <w:tabs>
          <w:tab w:val="left" w:pos="993"/>
        </w:tabs>
        <w:ind w:left="0" w:firstLine="698"/>
        <w:rPr>
          <w:bCs/>
          <w:iCs/>
        </w:rPr>
      </w:pPr>
      <w:r w:rsidRPr="00AA3F66">
        <w:rPr>
          <w:bCs/>
          <w:iCs/>
        </w:rPr>
        <w:t xml:space="preserve">Като мярка за „изсветляване на сивата икономика“ в ЗДДС е предложена възможност получателят по доставка да не заплаща стойността на същата, когато доставчикът не издаде </w:t>
      </w:r>
      <w:r w:rsidRPr="00AA3F66">
        <w:rPr>
          <w:b/>
          <w:bCs/>
          <w:iCs/>
        </w:rPr>
        <w:t>касова бележка</w:t>
      </w:r>
      <w:r w:rsidRPr="00AA3F66">
        <w:rPr>
          <w:bCs/>
          <w:iCs/>
        </w:rPr>
        <w:t>;</w:t>
      </w:r>
    </w:p>
    <w:p w:rsidR="00C40B06" w:rsidRPr="00AA3F66" w:rsidRDefault="00C40B06" w:rsidP="00C40B06">
      <w:pPr>
        <w:pStyle w:val="ListParagraph"/>
        <w:numPr>
          <w:ilvl w:val="0"/>
          <w:numId w:val="69"/>
        </w:numPr>
        <w:tabs>
          <w:tab w:val="left" w:pos="993"/>
        </w:tabs>
        <w:ind w:left="0" w:firstLine="698"/>
        <w:rPr>
          <w:bCs/>
          <w:iCs/>
        </w:rPr>
      </w:pPr>
      <w:r w:rsidRPr="00AA3F66">
        <w:rPr>
          <w:bCs/>
          <w:iCs/>
        </w:rPr>
        <w:t xml:space="preserve">Уеднаквяване на размера на </w:t>
      </w:r>
      <w:r w:rsidRPr="00AA3F66">
        <w:rPr>
          <w:b/>
          <w:bCs/>
          <w:iCs/>
        </w:rPr>
        <w:t>оборота на данъчно задължените за патентен данък лица</w:t>
      </w:r>
      <w:r w:rsidRPr="00AA3F66">
        <w:rPr>
          <w:bCs/>
          <w:iCs/>
        </w:rPr>
        <w:t>, който размер е едно от условията за прилагане на патентен данък, с размера на прага за регистрация по ЗДДС (100 хил. лв.). С промяната ще се измени облагането на някои от дейностите на лицата с оборот между 50 и 100 хил. лв. – от облагане по общия ред на ЗДДФЛ към облагане с патентен данък.</w:t>
      </w:r>
    </w:p>
    <w:p w:rsidR="00C40B06" w:rsidRPr="00AA3F66" w:rsidRDefault="00C40B06" w:rsidP="00C40B06">
      <w:pPr>
        <w:rPr>
          <w:bCs/>
          <w:iCs/>
        </w:rPr>
      </w:pPr>
      <w:r w:rsidRPr="00AA3F66">
        <w:rPr>
          <w:bCs/>
          <w:iCs/>
        </w:rPr>
        <w:t xml:space="preserve">С цел </w:t>
      </w:r>
      <w:r w:rsidRPr="00AA3F66">
        <w:rPr>
          <w:b/>
          <w:bCs/>
          <w:i/>
          <w:iCs/>
        </w:rPr>
        <w:t>хармонизиране на българското законодателство с европейското</w:t>
      </w:r>
      <w:r w:rsidRPr="00AA3F66">
        <w:rPr>
          <w:bCs/>
          <w:iCs/>
        </w:rPr>
        <w:t xml:space="preserve"> са предложени и следните изменения в данъчните закони:</w:t>
      </w:r>
    </w:p>
    <w:p w:rsidR="00C40B06" w:rsidRPr="00AA3F66" w:rsidRDefault="00C40B06" w:rsidP="00C40B06">
      <w:pPr>
        <w:pStyle w:val="ListParagraph"/>
        <w:numPr>
          <w:ilvl w:val="0"/>
          <w:numId w:val="42"/>
        </w:numPr>
        <w:tabs>
          <w:tab w:val="left" w:pos="993"/>
        </w:tabs>
        <w:ind w:left="0" w:firstLine="709"/>
        <w:rPr>
          <w:bCs/>
          <w:iCs/>
        </w:rPr>
      </w:pPr>
      <w:r w:rsidRPr="00AA3F66">
        <w:rPr>
          <w:bCs/>
          <w:iCs/>
        </w:rPr>
        <w:t xml:space="preserve">Предложения за промени, свързани с привеждане на ЗАДС в съответствие с разпоредбите на Директива (EС) 2020/262 на Съвета от 19 декември 2019 година за определяне на общия режим на облагане с акциз (Директива 2020/262) и </w:t>
      </w:r>
      <w:r w:rsidRPr="00AA3F66">
        <w:rPr>
          <w:b/>
          <w:bCs/>
          <w:iCs/>
        </w:rPr>
        <w:t>Директива (ЕС) 2020/1151 на Съвета от 29 юли 2020 година</w:t>
      </w:r>
      <w:r w:rsidRPr="00AA3F66">
        <w:rPr>
          <w:bCs/>
          <w:iCs/>
        </w:rPr>
        <w:t xml:space="preserve"> за изменение на Директива 92/83/ЕИО за хармонизиране на структурата на акцизите върху алкохола и алкохолните напитки (Директива 2020/1151). С оглед замяната на Регламент 684/2009 с </w:t>
      </w:r>
      <w:r w:rsidRPr="00AA3F66">
        <w:rPr>
          <w:b/>
          <w:bCs/>
          <w:iCs/>
        </w:rPr>
        <w:t>Делегиран Регламент (ЕО) № 2022/1636</w:t>
      </w:r>
      <w:r w:rsidRPr="00AA3F66">
        <w:rPr>
          <w:bCs/>
          <w:iCs/>
        </w:rPr>
        <w:t xml:space="preserve"> са предложени изменения и в относимите разпоредби;</w:t>
      </w:r>
    </w:p>
    <w:p w:rsidR="00C40B06" w:rsidRPr="00AA3F66" w:rsidRDefault="00C40B06" w:rsidP="00C40B06">
      <w:pPr>
        <w:pStyle w:val="ListParagraph"/>
        <w:numPr>
          <w:ilvl w:val="0"/>
          <w:numId w:val="42"/>
        </w:numPr>
        <w:tabs>
          <w:tab w:val="left" w:pos="993"/>
        </w:tabs>
        <w:ind w:left="0" w:firstLine="709"/>
        <w:rPr>
          <w:szCs w:val="24"/>
        </w:rPr>
      </w:pPr>
      <w:r w:rsidRPr="00AA3F66">
        <w:rPr>
          <w:b/>
          <w:bCs/>
          <w:szCs w:val="24"/>
        </w:rPr>
        <w:t xml:space="preserve">Оптимизиране на разпоредбите, въвеждащи режима на данъчното облагане при напускане съгласно чл. 5 от Директива (ЕС) 2016/1164 на Съвета от 12 юли 2016 година за установяване на правила срещу практиките за избягване на данъци, които пряко засягат функционирането на вътрешния пазар. </w:t>
      </w:r>
      <w:r w:rsidRPr="00AA3F66">
        <w:rPr>
          <w:color w:val="000009"/>
          <w:szCs w:val="24"/>
        </w:rPr>
        <w:t>Промяната касае трансфера на активи/дейност към друга част на предприятието, разположена извън страната, които са част от общия режим за данъчно регулиране при трансфер между част на едно предприятие, разположена в страната, и друга част на същото предприятие, разположена извън страната. С предложената промяна се предотвратява възможност за съдебно оспорване от страна на ЕК и ще се постигне пълно съответствие с разпоредбата на чл. 5 от Директива (ЕС) 2016/1164 на Съвета от 12 юли 2016 година за установяване на правила срещу практиките за избягване на данъци, които пряко засягат функционирането на вътрешния пазар;</w:t>
      </w:r>
    </w:p>
    <w:p w:rsidR="00C40B06" w:rsidRPr="00AA3F66" w:rsidRDefault="00C40B06" w:rsidP="00C40B06">
      <w:pPr>
        <w:pStyle w:val="m"/>
        <w:numPr>
          <w:ilvl w:val="0"/>
          <w:numId w:val="42"/>
        </w:numPr>
        <w:tabs>
          <w:tab w:val="left" w:pos="993"/>
        </w:tabs>
        <w:ind w:left="0" w:firstLine="709"/>
        <w:jc w:val="both"/>
        <w:rPr>
          <w:szCs w:val="22"/>
        </w:rPr>
      </w:pPr>
      <w:r w:rsidRPr="00AA3F66">
        <w:rPr>
          <w:bCs/>
          <w:lang w:eastAsia="en-US"/>
        </w:rPr>
        <w:t xml:space="preserve">Въвеждане на </w:t>
      </w:r>
      <w:r w:rsidRPr="00AA3F66">
        <w:rPr>
          <w:b/>
          <w:bCs/>
          <w:lang w:eastAsia="en-US"/>
        </w:rPr>
        <w:t xml:space="preserve">отсрочено плащане на </w:t>
      </w:r>
      <w:r w:rsidR="00F4519D" w:rsidRPr="00AA3F66">
        <w:rPr>
          <w:b/>
          <w:bCs/>
          <w:lang w:eastAsia="en-US"/>
        </w:rPr>
        <w:t>ДДС</w:t>
      </w:r>
      <w:r w:rsidRPr="00AA3F66">
        <w:rPr>
          <w:b/>
          <w:bCs/>
          <w:lang w:eastAsia="en-US"/>
        </w:rPr>
        <w:t xml:space="preserve"> при централизирано оформяне при внос на стоки</w:t>
      </w:r>
      <w:r w:rsidRPr="00AA3F66">
        <w:rPr>
          <w:bCs/>
          <w:lang w:eastAsia="en-US"/>
        </w:rPr>
        <w:t>. Отсроченото плащане означава, че плащането на ДДС при внос на митницата се отлага за определен на национално равнище период. Това попада в обхвата на чл. 211, ал. 1 от Директива 2006/112/ЕО от 28 ноември 2006 година относно общата система на данъка върху добавената стойност (Директива 2006/112/ЕО). Предложените текстове целят регламентиране на отсроченото плащане в случаите на централизирано оформяне при внос, във връзка с внедряването в Митническата информационна система за внасяне на функционалността за централизирано оформяне при внос в края на октомври 2023 година.</w:t>
      </w:r>
    </w:p>
    <w:p w:rsidR="00C32A62" w:rsidRPr="00AA3F66" w:rsidRDefault="00C32A62" w:rsidP="00C32A62">
      <w:pPr>
        <w:pStyle w:val="Heading3"/>
        <w:spacing w:before="0" w:after="200"/>
        <w:ind w:left="0"/>
      </w:pPr>
      <w:bookmarkStart w:id="281" w:name="_Toc464224791"/>
      <w:bookmarkStart w:id="282" w:name="_Toc464225441"/>
      <w:bookmarkStart w:id="283" w:name="_Toc464458988"/>
      <w:bookmarkStart w:id="284" w:name="_Toc464459736"/>
      <w:bookmarkStart w:id="285" w:name="_Toc464460689"/>
      <w:bookmarkStart w:id="286" w:name="_Toc464463088"/>
      <w:bookmarkStart w:id="287" w:name="_Toc464464915"/>
      <w:bookmarkStart w:id="288" w:name="_Toc464465421"/>
      <w:bookmarkStart w:id="289" w:name="_Toc464465609"/>
      <w:bookmarkStart w:id="290" w:name="_Toc464466434"/>
      <w:bookmarkStart w:id="291" w:name="_Toc464466678"/>
      <w:bookmarkStart w:id="292" w:name="_Toc464644993"/>
      <w:bookmarkStart w:id="293" w:name="_Toc465070487"/>
      <w:bookmarkStart w:id="294" w:name="_Toc465205537"/>
      <w:r w:rsidRPr="00AA3F66">
        <w:t>Д</w:t>
      </w:r>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r w:rsidR="00820B71" w:rsidRPr="00AA3F66">
        <w:t>анъчни приходи</w:t>
      </w:r>
    </w:p>
    <w:p w:rsidR="00C32A62" w:rsidRPr="00AA3F66" w:rsidRDefault="00C32A62" w:rsidP="00C32A62">
      <w:pPr>
        <w:pStyle w:val="Heading4"/>
      </w:pPr>
      <w:r w:rsidRPr="00AA3F66">
        <w:t>Приходи от корпоративни данъци (вкл. данъци върху дивидентите, ликвидационните дялове и доходите на местни и чуждестранни юридически лица) и други данъци по ЗКПО</w:t>
      </w:r>
    </w:p>
    <w:p w:rsidR="00725353" w:rsidRPr="00AA3F66" w:rsidRDefault="00725353" w:rsidP="00725353">
      <w:pPr>
        <w:rPr>
          <w:rFonts w:eastAsia="Batang"/>
          <w:szCs w:val="24"/>
        </w:rPr>
      </w:pPr>
      <w:r w:rsidRPr="00AA3F66">
        <w:rPr>
          <w:rFonts w:eastAsia="Batang"/>
          <w:szCs w:val="24"/>
        </w:rPr>
        <w:t xml:space="preserve">Прогнозните приходи от корпоративни данъци и други данъци по ЗКПО за 2024 г. са </w:t>
      </w:r>
      <w:r w:rsidR="00F4519D" w:rsidRPr="00AA3F66">
        <w:rPr>
          <w:rFonts w:eastAsia="Batang"/>
          <w:szCs w:val="24"/>
        </w:rPr>
        <w:t xml:space="preserve">                </w:t>
      </w:r>
      <w:r w:rsidRPr="00AA3F66">
        <w:rPr>
          <w:rFonts w:eastAsia="Batang"/>
          <w:szCs w:val="24"/>
        </w:rPr>
        <w:t xml:space="preserve">6 191,0 млн. лв. </w:t>
      </w:r>
    </w:p>
    <w:p w:rsidR="00725353" w:rsidRPr="00AA3F66" w:rsidRDefault="00725353" w:rsidP="00725353">
      <w:pPr>
        <w:rPr>
          <w:rFonts w:eastAsia="Batang"/>
          <w:szCs w:val="24"/>
        </w:rPr>
      </w:pPr>
      <w:r w:rsidRPr="00AA3F66">
        <w:rPr>
          <w:rFonts w:eastAsia="Batang"/>
          <w:szCs w:val="24"/>
        </w:rPr>
        <w:t>В прогнозата са включени следните данъци по ЗКПО:</w:t>
      </w:r>
    </w:p>
    <w:p w:rsidR="00725353" w:rsidRPr="00AA3F66" w:rsidRDefault="00725353" w:rsidP="00725353">
      <w:pPr>
        <w:numPr>
          <w:ilvl w:val="0"/>
          <w:numId w:val="4"/>
        </w:numPr>
        <w:rPr>
          <w:rFonts w:eastAsia="Batang"/>
          <w:szCs w:val="24"/>
        </w:rPr>
      </w:pPr>
      <w:r w:rsidRPr="00AA3F66">
        <w:rPr>
          <w:rFonts w:eastAsia="Batang"/>
          <w:szCs w:val="24"/>
        </w:rPr>
        <w:t>Корпоративен данък (от финансови институции и нефинансови предприятия) –  5 816,0 млн. лв.;</w:t>
      </w:r>
    </w:p>
    <w:p w:rsidR="00725353" w:rsidRPr="00AA3F66" w:rsidRDefault="00725353" w:rsidP="00725353">
      <w:pPr>
        <w:numPr>
          <w:ilvl w:val="0"/>
          <w:numId w:val="4"/>
        </w:numPr>
        <w:rPr>
          <w:rFonts w:eastAsia="Batang"/>
          <w:szCs w:val="24"/>
        </w:rPr>
      </w:pPr>
      <w:r w:rsidRPr="00AA3F66">
        <w:rPr>
          <w:rFonts w:eastAsia="Batang"/>
          <w:szCs w:val="24"/>
        </w:rPr>
        <w:t>Данъци върху дивидентите, ликвидационните дялове и доходите на местни и чуждестранни юридически лица – 114,0 млн. лв.;</w:t>
      </w:r>
    </w:p>
    <w:p w:rsidR="00725353" w:rsidRPr="00AA3F66" w:rsidRDefault="00725353" w:rsidP="00725353">
      <w:pPr>
        <w:numPr>
          <w:ilvl w:val="0"/>
          <w:numId w:val="4"/>
        </w:numPr>
        <w:rPr>
          <w:rFonts w:eastAsia="Batang"/>
          <w:szCs w:val="24"/>
        </w:rPr>
      </w:pPr>
      <w:r w:rsidRPr="00AA3F66">
        <w:rPr>
          <w:rFonts w:eastAsia="Batang"/>
          <w:szCs w:val="24"/>
        </w:rPr>
        <w:t>Други данъци по ЗКПО – 261,0 млн. лв.</w:t>
      </w:r>
    </w:p>
    <w:p w:rsidR="00725353" w:rsidRPr="00AA3F66" w:rsidRDefault="00725353" w:rsidP="00725353">
      <w:pPr>
        <w:rPr>
          <w:rFonts w:eastAsia="Batang"/>
          <w:szCs w:val="24"/>
        </w:rPr>
      </w:pPr>
      <w:r w:rsidRPr="00AA3F66">
        <w:rPr>
          <w:rFonts w:eastAsia="Batang"/>
          <w:szCs w:val="24"/>
        </w:rPr>
        <w:t xml:space="preserve">Приходите от </w:t>
      </w:r>
      <w:r w:rsidRPr="00AA3F66">
        <w:rPr>
          <w:rFonts w:eastAsia="Batang"/>
          <w:i/>
          <w:szCs w:val="24"/>
        </w:rPr>
        <w:t>корпоративни данъци</w:t>
      </w:r>
      <w:r w:rsidRPr="00AA3F66">
        <w:rPr>
          <w:rFonts w:eastAsia="Batang"/>
          <w:szCs w:val="24"/>
        </w:rPr>
        <w:t xml:space="preserve"> (вкл. корпоративен данък и данъци върху дивидентите, ликвидационните дялове и доходите на местни и чуждестранни юридически лица) са прогнозирани на база показателя „бруто опериращ излишък/смесен доход“ от макрорамката на МФ, предварителните данни за изпълнението на приходите от тези данъци през 2023 г. и при отчитане на наличната информация относно: </w:t>
      </w:r>
    </w:p>
    <w:p w:rsidR="00725353" w:rsidRPr="00AA3F66" w:rsidRDefault="00725353" w:rsidP="00725353">
      <w:pPr>
        <w:numPr>
          <w:ilvl w:val="0"/>
          <w:numId w:val="9"/>
        </w:numPr>
        <w:rPr>
          <w:rFonts w:eastAsia="Batang"/>
          <w:szCs w:val="24"/>
        </w:rPr>
      </w:pPr>
      <w:r w:rsidRPr="00AA3F66">
        <w:rPr>
          <w:rFonts w:eastAsia="Batang"/>
          <w:szCs w:val="24"/>
        </w:rPr>
        <w:t>размер на декларираната облагаема печалба или загуба за 2022 г.;</w:t>
      </w:r>
    </w:p>
    <w:p w:rsidR="00725353" w:rsidRPr="00AA3F66" w:rsidRDefault="00725353" w:rsidP="00725353">
      <w:pPr>
        <w:numPr>
          <w:ilvl w:val="0"/>
          <w:numId w:val="9"/>
        </w:numPr>
        <w:rPr>
          <w:rFonts w:eastAsia="Batang"/>
          <w:szCs w:val="24"/>
        </w:rPr>
      </w:pPr>
      <w:r w:rsidRPr="00AA3F66">
        <w:rPr>
          <w:rFonts w:eastAsia="Batang"/>
          <w:szCs w:val="24"/>
        </w:rPr>
        <w:t>размер на авансовите вноски, които правят данъчно задължените лица, формирали данъчна печалба за предходната година;</w:t>
      </w:r>
    </w:p>
    <w:p w:rsidR="00725353" w:rsidRPr="00AA3F66" w:rsidRDefault="00725353" w:rsidP="00725353">
      <w:pPr>
        <w:numPr>
          <w:ilvl w:val="0"/>
          <w:numId w:val="9"/>
        </w:numPr>
        <w:rPr>
          <w:rFonts w:eastAsia="Batang"/>
          <w:szCs w:val="24"/>
        </w:rPr>
      </w:pPr>
      <w:r w:rsidRPr="00AA3F66">
        <w:rPr>
          <w:rFonts w:eastAsia="Batang"/>
          <w:szCs w:val="24"/>
        </w:rPr>
        <w:t>размер на изравнителната вноска по годишната данъчна декларация;</w:t>
      </w:r>
    </w:p>
    <w:p w:rsidR="00725353" w:rsidRPr="00AA3F66" w:rsidRDefault="00725353" w:rsidP="00725353">
      <w:pPr>
        <w:numPr>
          <w:ilvl w:val="0"/>
          <w:numId w:val="9"/>
        </w:numPr>
        <w:rPr>
          <w:rFonts w:eastAsia="Batang"/>
          <w:szCs w:val="24"/>
        </w:rPr>
      </w:pPr>
      <w:r w:rsidRPr="00AA3F66">
        <w:rPr>
          <w:rFonts w:eastAsia="Batang"/>
          <w:szCs w:val="24"/>
        </w:rPr>
        <w:t>сумата на данъка за възстановяване за надвнесен корпоративен данък по годишни данъчни декларации;</w:t>
      </w:r>
    </w:p>
    <w:p w:rsidR="00725353" w:rsidRPr="00AA3F66" w:rsidRDefault="00725353" w:rsidP="00725353">
      <w:pPr>
        <w:numPr>
          <w:ilvl w:val="0"/>
          <w:numId w:val="9"/>
        </w:numPr>
        <w:rPr>
          <w:rFonts w:eastAsia="Batang"/>
          <w:szCs w:val="24"/>
        </w:rPr>
      </w:pPr>
      <w:r w:rsidRPr="00AA3F66">
        <w:rPr>
          <w:rFonts w:eastAsia="Batang"/>
          <w:szCs w:val="24"/>
        </w:rPr>
        <w:t>дела на дружествата, ползващи преференцията за пренасяне на данъчни загуби;</w:t>
      </w:r>
    </w:p>
    <w:p w:rsidR="00725353" w:rsidRPr="00AA3F66" w:rsidRDefault="00725353" w:rsidP="00725353">
      <w:pPr>
        <w:numPr>
          <w:ilvl w:val="0"/>
          <w:numId w:val="9"/>
        </w:numPr>
        <w:rPr>
          <w:rFonts w:eastAsia="Batang"/>
          <w:szCs w:val="24"/>
        </w:rPr>
      </w:pPr>
      <w:r w:rsidRPr="00AA3F66">
        <w:rPr>
          <w:rFonts w:eastAsia="Batang"/>
          <w:szCs w:val="24"/>
        </w:rPr>
        <w:t>размер на плащанията по ревизионни актове и вноски за минали години;</w:t>
      </w:r>
    </w:p>
    <w:p w:rsidR="00725353" w:rsidRPr="00AA3F66" w:rsidRDefault="00725353" w:rsidP="00725353">
      <w:pPr>
        <w:numPr>
          <w:ilvl w:val="0"/>
          <w:numId w:val="9"/>
        </w:numPr>
        <w:rPr>
          <w:rFonts w:eastAsia="Batang"/>
          <w:szCs w:val="24"/>
        </w:rPr>
      </w:pPr>
      <w:r w:rsidRPr="00AA3F66">
        <w:rPr>
          <w:rFonts w:eastAsia="Batang"/>
          <w:szCs w:val="24"/>
        </w:rPr>
        <w:t>прилагане на възможността за допълнителна еднократна корекция на годишната данъчна декларация при откриване на счетоводни или други грешки и при отразяване на коригиращи събития по смисъла на приложимите счетоводни стандарти в срок до 30 септември на текущата година;</w:t>
      </w:r>
    </w:p>
    <w:p w:rsidR="00725353" w:rsidRPr="00AA3F66" w:rsidRDefault="00725353" w:rsidP="00725353">
      <w:pPr>
        <w:numPr>
          <w:ilvl w:val="0"/>
          <w:numId w:val="9"/>
        </w:numPr>
        <w:rPr>
          <w:rFonts w:eastAsia="Batang"/>
          <w:szCs w:val="24"/>
        </w:rPr>
      </w:pPr>
      <w:r w:rsidRPr="00AA3F66">
        <w:rPr>
          <w:rFonts w:eastAsia="Batang"/>
          <w:szCs w:val="24"/>
        </w:rPr>
        <w:t>предприетите активни действия от страна на Националната агенция за приходите за справяне със сивата икономика и подобряване на събираемостта на данъците;</w:t>
      </w:r>
    </w:p>
    <w:p w:rsidR="00725353" w:rsidRPr="00AA3F66" w:rsidRDefault="00725353" w:rsidP="00725353">
      <w:pPr>
        <w:numPr>
          <w:ilvl w:val="0"/>
          <w:numId w:val="9"/>
        </w:numPr>
        <w:rPr>
          <w:rFonts w:eastAsia="Batang"/>
          <w:szCs w:val="24"/>
        </w:rPr>
      </w:pPr>
      <w:r w:rsidRPr="00AA3F66">
        <w:rPr>
          <w:rFonts w:eastAsia="Batang"/>
          <w:szCs w:val="24"/>
        </w:rPr>
        <w:t>действието на въведената нова схема за държавна помощ за регионално развитие (чл. 189 от ЗКПО);</w:t>
      </w:r>
    </w:p>
    <w:p w:rsidR="00725353" w:rsidRPr="00AA3F66" w:rsidRDefault="00725353" w:rsidP="00725353">
      <w:pPr>
        <w:numPr>
          <w:ilvl w:val="0"/>
          <w:numId w:val="9"/>
        </w:numPr>
        <w:rPr>
          <w:rFonts w:eastAsia="Batang" w:cs="Times New Roman"/>
          <w:szCs w:val="24"/>
        </w:rPr>
      </w:pPr>
      <w:r w:rsidRPr="00AA3F66">
        <w:rPr>
          <w:rFonts w:eastAsia="Batang" w:cs="Times New Roman"/>
          <w:szCs w:val="24"/>
        </w:rPr>
        <w:t>ефектът от предложената нова схема за държавна помощ под формата на данъчно облекчение, представляващо държавна помощ за земеделските стопани, извършващи дейност в първичното селскостопанско производство по реда на ЗКПО (</w:t>
      </w:r>
      <w:r w:rsidRPr="00AA3F66">
        <w:rPr>
          <w:color w:val="000009"/>
          <w:sz w:val="23"/>
          <w:szCs w:val="23"/>
        </w:rPr>
        <w:t>чл. 189б от ЗКПО и чл. 48, ал. 6 от ЗДДФЛ)</w:t>
      </w:r>
      <w:r w:rsidRPr="00AA3F66">
        <w:rPr>
          <w:rFonts w:eastAsia="Batang" w:cs="Times New Roman"/>
          <w:szCs w:val="24"/>
        </w:rPr>
        <w:t>;</w:t>
      </w:r>
    </w:p>
    <w:p w:rsidR="00725353" w:rsidRPr="00AA3F66" w:rsidRDefault="00725353" w:rsidP="00725353">
      <w:pPr>
        <w:numPr>
          <w:ilvl w:val="0"/>
          <w:numId w:val="9"/>
        </w:numPr>
        <w:rPr>
          <w:rFonts w:eastAsia="Batang" w:cs="Times New Roman"/>
          <w:szCs w:val="24"/>
        </w:rPr>
      </w:pPr>
      <w:r w:rsidRPr="00AA3F66">
        <w:rPr>
          <w:rFonts w:cs="Times New Roman"/>
          <w:szCs w:val="24"/>
        </w:rPr>
        <w:t>ефектът</w:t>
      </w:r>
      <w:r w:rsidRPr="00AA3F66">
        <w:rPr>
          <w:rFonts w:cs="Times New Roman"/>
        </w:rPr>
        <w:t xml:space="preserve"> от въвеждането на национален допълнителен данък (domestic top-up tax) за дружествата от многонационални групи предприятия във връзка с Директива (ЕС) 2022/2523 на Съвета от 14 декември 2022 година за гарантиране на глобално минимално равнище на данъчно облагане на многонационалните групи от предприятия и големите национални групи в Съюза, който </w:t>
      </w:r>
      <w:r w:rsidRPr="00AA3F66">
        <w:rPr>
          <w:rFonts w:cs="Times New Roman"/>
          <w:szCs w:val="24"/>
        </w:rPr>
        <w:t>не се очаква да се прояви през</w:t>
      </w:r>
      <w:r w:rsidRPr="00AA3F66">
        <w:rPr>
          <w:rFonts w:cs="Times New Roman"/>
        </w:rPr>
        <w:t xml:space="preserve"> 2024 година;</w:t>
      </w:r>
    </w:p>
    <w:p w:rsidR="00725353" w:rsidRPr="00AA3F66" w:rsidRDefault="00725353" w:rsidP="00725353">
      <w:pPr>
        <w:numPr>
          <w:ilvl w:val="0"/>
          <w:numId w:val="9"/>
        </w:numPr>
        <w:rPr>
          <w:rFonts w:eastAsia="Batang" w:cs="Times New Roman"/>
          <w:szCs w:val="24"/>
        </w:rPr>
      </w:pPr>
      <w:r w:rsidRPr="00AA3F66">
        <w:rPr>
          <w:rFonts w:cs="Times New Roman"/>
        </w:rPr>
        <w:t>предложената промяна за облагане с патентен данък на юридическите лица, осъществяващи дейност като заведения за хранене и развлечения.</w:t>
      </w:r>
    </w:p>
    <w:p w:rsidR="00725353" w:rsidRPr="00AA3F66" w:rsidRDefault="00725353" w:rsidP="00725353">
      <w:pPr>
        <w:rPr>
          <w:rFonts w:eastAsia="Batang"/>
          <w:szCs w:val="24"/>
        </w:rPr>
      </w:pPr>
      <w:r w:rsidRPr="00AA3F66">
        <w:rPr>
          <w:rFonts w:eastAsia="Batang"/>
          <w:szCs w:val="24"/>
        </w:rPr>
        <w:t xml:space="preserve">По отношение на постъпленията от </w:t>
      </w:r>
      <w:r w:rsidRPr="00AA3F66">
        <w:rPr>
          <w:rFonts w:eastAsia="Batang"/>
          <w:i/>
          <w:szCs w:val="24"/>
        </w:rPr>
        <w:t>данъци върху дивидентите, ликвидационните дялове и доходите на юридически лица</w:t>
      </w:r>
      <w:r w:rsidRPr="00AA3F66">
        <w:rPr>
          <w:rFonts w:eastAsia="Batang"/>
          <w:szCs w:val="24"/>
        </w:rPr>
        <w:t xml:space="preserve"> прогнозите отчитат изпълнението на този данък през 2023 г. и предходните години, състоянието на икономиката, предприетите мерки от правителството, както и провежданите тематични кампании за контрол от страна на органите по приходите.</w:t>
      </w:r>
    </w:p>
    <w:p w:rsidR="00725353" w:rsidRPr="00AA3F66" w:rsidRDefault="00725353" w:rsidP="00C32A62">
      <w:pPr>
        <w:rPr>
          <w:rFonts w:eastAsia="Batang"/>
          <w:szCs w:val="24"/>
        </w:rPr>
      </w:pPr>
      <w:r w:rsidRPr="00AA3F66">
        <w:rPr>
          <w:rFonts w:eastAsia="Batang"/>
          <w:szCs w:val="24"/>
        </w:rPr>
        <w:t>Планираните приходи от корпоративни данъци и други данъци по ЗКПО са съответно 6 652,0 млн. лв. за 2025 г. и 7 292,0 млн. лв. за 2026 г.</w:t>
      </w:r>
    </w:p>
    <w:p w:rsidR="00C32A62" w:rsidRPr="00AA3F66" w:rsidRDefault="00C32A62" w:rsidP="00C32A62">
      <w:pPr>
        <w:pStyle w:val="Heading4"/>
      </w:pPr>
      <w:r w:rsidRPr="00AA3F66">
        <w:t>Приходи от ДДФЛ</w:t>
      </w:r>
    </w:p>
    <w:p w:rsidR="00725353" w:rsidRPr="00AA3F66" w:rsidRDefault="00725353" w:rsidP="00725353">
      <w:pPr>
        <w:rPr>
          <w:rFonts w:eastAsia="Batang"/>
          <w:szCs w:val="24"/>
        </w:rPr>
      </w:pPr>
      <w:r w:rsidRPr="00AA3F66">
        <w:rPr>
          <w:rFonts w:eastAsia="Batang"/>
          <w:szCs w:val="24"/>
        </w:rPr>
        <w:t>Прогнозните приходи от данъци върху доходите на физически лица за 2024 г. са в размер на 6 905,0 млн. лв. (без постъпленията от патентен данък и данък върху таксиметров превоз на пътници, постъпващи в местните бюджети).</w:t>
      </w:r>
    </w:p>
    <w:p w:rsidR="00725353" w:rsidRPr="00AA3F66" w:rsidRDefault="00725353" w:rsidP="00725353">
      <w:pPr>
        <w:rPr>
          <w:rFonts w:eastAsia="Batang"/>
          <w:szCs w:val="24"/>
        </w:rPr>
      </w:pPr>
      <w:r w:rsidRPr="00AA3F66">
        <w:rPr>
          <w:rFonts w:eastAsia="Batang"/>
          <w:szCs w:val="24"/>
        </w:rPr>
        <w:t xml:space="preserve">Прогнозата за постъпленията от ДДФЛ е изготвена, като са взети предвид следните фактори: </w:t>
      </w:r>
    </w:p>
    <w:p w:rsidR="00725353" w:rsidRPr="00AA3F66" w:rsidRDefault="00725353" w:rsidP="00725353">
      <w:pPr>
        <w:numPr>
          <w:ilvl w:val="0"/>
          <w:numId w:val="9"/>
        </w:numPr>
        <w:rPr>
          <w:rFonts w:eastAsia="Batang"/>
          <w:szCs w:val="24"/>
        </w:rPr>
      </w:pPr>
      <w:r w:rsidRPr="00AA3F66">
        <w:rPr>
          <w:rFonts w:eastAsia="Batang"/>
          <w:szCs w:val="24"/>
        </w:rPr>
        <w:t>номинален ръст на показателя компенсации на наетите лица, съгласно макроикономическата прогноза на МФ;</w:t>
      </w:r>
    </w:p>
    <w:p w:rsidR="00725353" w:rsidRPr="00AA3F66" w:rsidRDefault="00725353" w:rsidP="00725353">
      <w:pPr>
        <w:numPr>
          <w:ilvl w:val="0"/>
          <w:numId w:val="9"/>
        </w:numPr>
        <w:rPr>
          <w:rFonts w:eastAsia="Batang"/>
          <w:szCs w:val="24"/>
        </w:rPr>
      </w:pPr>
      <w:r w:rsidRPr="00AA3F66">
        <w:rPr>
          <w:rFonts w:eastAsia="Batang"/>
          <w:szCs w:val="24"/>
        </w:rPr>
        <w:t>прогнозен брой заети лица;</w:t>
      </w:r>
    </w:p>
    <w:p w:rsidR="00725353" w:rsidRPr="00AA3F66" w:rsidRDefault="00725353" w:rsidP="00725353">
      <w:pPr>
        <w:numPr>
          <w:ilvl w:val="0"/>
          <w:numId w:val="9"/>
        </w:numPr>
        <w:rPr>
          <w:rFonts w:eastAsia="Batang"/>
          <w:szCs w:val="24"/>
        </w:rPr>
      </w:pPr>
      <w:r w:rsidRPr="00AA3F66">
        <w:rPr>
          <w:rFonts w:eastAsia="Batang"/>
          <w:szCs w:val="24"/>
        </w:rPr>
        <w:t>ниво на безработицата;</w:t>
      </w:r>
    </w:p>
    <w:p w:rsidR="00725353" w:rsidRPr="00AA3F66" w:rsidRDefault="00725353" w:rsidP="00725353">
      <w:pPr>
        <w:numPr>
          <w:ilvl w:val="0"/>
          <w:numId w:val="9"/>
        </w:numPr>
        <w:rPr>
          <w:rFonts w:eastAsia="Batang"/>
          <w:szCs w:val="24"/>
        </w:rPr>
      </w:pPr>
      <w:r w:rsidRPr="00AA3F66">
        <w:rPr>
          <w:rFonts w:eastAsia="Batang"/>
          <w:szCs w:val="24"/>
        </w:rPr>
        <w:t>ефектите от увеличението на минималната работна заплата, на размера на минималните осигурителни доходи на наетите лица и самоосигуряващите се;</w:t>
      </w:r>
    </w:p>
    <w:p w:rsidR="00725353" w:rsidRPr="00AA3F66" w:rsidRDefault="00725353" w:rsidP="00725353">
      <w:pPr>
        <w:numPr>
          <w:ilvl w:val="0"/>
          <w:numId w:val="9"/>
        </w:numPr>
        <w:rPr>
          <w:rFonts w:eastAsia="Batang"/>
          <w:szCs w:val="24"/>
        </w:rPr>
      </w:pPr>
      <w:r w:rsidRPr="00AA3F66">
        <w:rPr>
          <w:rFonts w:eastAsia="Batang"/>
          <w:szCs w:val="24"/>
        </w:rPr>
        <w:t>влиянието на увеличението на разходите за персонал в държавния сектор и увеличението на заплатите на педагогическия персонал;</w:t>
      </w:r>
    </w:p>
    <w:p w:rsidR="00725353" w:rsidRPr="00AA3F66" w:rsidRDefault="00725353" w:rsidP="00725353">
      <w:pPr>
        <w:numPr>
          <w:ilvl w:val="0"/>
          <w:numId w:val="9"/>
        </w:numPr>
        <w:rPr>
          <w:rFonts w:eastAsia="Batang"/>
          <w:szCs w:val="24"/>
        </w:rPr>
      </w:pPr>
      <w:r w:rsidRPr="00AA3F66">
        <w:rPr>
          <w:rFonts w:eastAsia="Batang"/>
          <w:szCs w:val="24"/>
        </w:rPr>
        <w:t>отразено е влиянието върху ръста на приходите през прогнозния период на увеличения размер на данъчните облекчения за деца по чл. 22в и чл. 22г от ЗДДФЛ;</w:t>
      </w:r>
    </w:p>
    <w:p w:rsidR="00725353" w:rsidRPr="00AA3F66" w:rsidRDefault="00725353" w:rsidP="00725353">
      <w:pPr>
        <w:numPr>
          <w:ilvl w:val="0"/>
          <w:numId w:val="9"/>
        </w:numPr>
        <w:rPr>
          <w:rFonts w:eastAsia="Batang"/>
          <w:szCs w:val="24"/>
        </w:rPr>
      </w:pPr>
      <w:r w:rsidRPr="00AA3F66">
        <w:rPr>
          <w:rFonts w:eastAsia="Batang"/>
          <w:szCs w:val="24"/>
        </w:rPr>
        <w:t>ефектът от приспадане на 10 на сто нормативно признати разходи при определяне на облагаемия доход от продажба или замяна на финансови активи, в т.ч. и виртуални валути, както и от търговия с чуждестранна валута;</w:t>
      </w:r>
    </w:p>
    <w:p w:rsidR="00725353" w:rsidRPr="00AA3F66" w:rsidRDefault="00725353" w:rsidP="00725353">
      <w:pPr>
        <w:numPr>
          <w:ilvl w:val="0"/>
          <w:numId w:val="9"/>
        </w:numPr>
        <w:rPr>
          <w:rFonts w:eastAsia="Batang"/>
          <w:szCs w:val="24"/>
        </w:rPr>
      </w:pPr>
      <w:r w:rsidRPr="00AA3F66">
        <w:rPr>
          <w:rFonts w:eastAsia="Batang"/>
          <w:szCs w:val="24"/>
        </w:rPr>
        <w:t>ефектът от предложеното освобождаване от облагане на доходите от продажба или замяна на движимо имущество, предадено на лица, които имат право да извършват събиране, транспортиране, оползотворяване или обезвреждане на отпадъци в съответствие със Закона за управление на отпадъците (от 01.01.2024 г.);</w:t>
      </w:r>
    </w:p>
    <w:p w:rsidR="00725353" w:rsidRPr="00AA3F66" w:rsidRDefault="00725353" w:rsidP="00725353">
      <w:pPr>
        <w:numPr>
          <w:ilvl w:val="0"/>
          <w:numId w:val="9"/>
        </w:numPr>
        <w:rPr>
          <w:rFonts w:eastAsia="Batang"/>
          <w:szCs w:val="24"/>
        </w:rPr>
      </w:pPr>
      <w:r w:rsidRPr="00AA3F66">
        <w:rPr>
          <w:rFonts w:eastAsia="Batang"/>
          <w:szCs w:val="24"/>
        </w:rPr>
        <w:t>ефектът от предложеното увеличаване на прага за оборот (от 50 000 на 100 000) като едно от условията за прилагане на патентен данък;</w:t>
      </w:r>
    </w:p>
    <w:p w:rsidR="00725353" w:rsidRPr="00AA3F66" w:rsidRDefault="00725353" w:rsidP="00725353">
      <w:pPr>
        <w:numPr>
          <w:ilvl w:val="0"/>
          <w:numId w:val="9"/>
        </w:numPr>
        <w:rPr>
          <w:rFonts w:eastAsia="Batang"/>
          <w:szCs w:val="24"/>
        </w:rPr>
      </w:pPr>
      <w:r w:rsidRPr="00AA3F66">
        <w:rPr>
          <w:rFonts w:eastAsia="Batang"/>
          <w:szCs w:val="24"/>
        </w:rPr>
        <w:t>увеличен размер на данъчните облекчения по чл. 22в и 22г от ЗДДФЛ (за деца и за деца с увреждания) и през 2024 г.;</w:t>
      </w:r>
    </w:p>
    <w:p w:rsidR="00725353" w:rsidRPr="00AA3F66" w:rsidRDefault="00725353" w:rsidP="00725353">
      <w:pPr>
        <w:numPr>
          <w:ilvl w:val="0"/>
          <w:numId w:val="9"/>
        </w:numPr>
        <w:rPr>
          <w:rFonts w:eastAsia="Batang"/>
          <w:szCs w:val="24"/>
        </w:rPr>
      </w:pPr>
      <w:r w:rsidRPr="00AA3F66">
        <w:rPr>
          <w:rFonts w:eastAsia="Batang"/>
          <w:szCs w:val="24"/>
        </w:rPr>
        <w:t>отчетена е наличната информация относно ефектите от постоянните мерки на Националната агенция за приходите за спазване на данъчното законодателство и подобряване събираемостта на приходите, включително провежданите от агенцията тематични кампании за контрол.</w:t>
      </w:r>
    </w:p>
    <w:p w:rsidR="00725353" w:rsidRPr="00AA3F66" w:rsidRDefault="00725353" w:rsidP="00C32A62">
      <w:pPr>
        <w:rPr>
          <w:rFonts w:eastAsia="Batang"/>
          <w:szCs w:val="24"/>
        </w:rPr>
      </w:pPr>
      <w:r w:rsidRPr="00AA3F66" w:rsidDel="007F47F7">
        <w:rPr>
          <w:rFonts w:eastAsia="Batang"/>
          <w:szCs w:val="24"/>
        </w:rPr>
        <w:t>За 202</w:t>
      </w:r>
      <w:r w:rsidRPr="00AA3F66">
        <w:rPr>
          <w:rFonts w:eastAsia="Batang"/>
          <w:szCs w:val="24"/>
        </w:rPr>
        <w:t>5</w:t>
      </w:r>
      <w:r w:rsidRPr="00AA3F66" w:rsidDel="007F47F7">
        <w:rPr>
          <w:rFonts w:eastAsia="Batang"/>
          <w:szCs w:val="24"/>
        </w:rPr>
        <w:t xml:space="preserve"> г. </w:t>
      </w:r>
      <w:r w:rsidRPr="00AA3F66">
        <w:rPr>
          <w:rFonts w:eastAsia="Batang"/>
          <w:szCs w:val="24"/>
        </w:rPr>
        <w:t>прогнозните постъпления от ДДФЛ, без постъпленията от патентен данък и данък върху таксиметров превоз на пътници, са в размер на 7 505,0 млн. лв., а за 2026 г. достигат 8 035,0 млн. лв.</w:t>
      </w:r>
    </w:p>
    <w:p w:rsidR="00C32A62" w:rsidRPr="00AA3F66" w:rsidRDefault="00C32A62" w:rsidP="00C32A62">
      <w:pPr>
        <w:pStyle w:val="Heading4"/>
      </w:pPr>
      <w:r w:rsidRPr="00AA3F66">
        <w:t>Приходи от ДДС</w:t>
      </w:r>
    </w:p>
    <w:p w:rsidR="00725353" w:rsidRPr="00AA3F66" w:rsidRDefault="00725353" w:rsidP="00725353">
      <w:pPr>
        <w:rPr>
          <w:rFonts w:eastAsia="Batang"/>
          <w:szCs w:val="24"/>
        </w:rPr>
      </w:pPr>
      <w:r w:rsidRPr="00AA3F66">
        <w:rPr>
          <w:rFonts w:eastAsia="Batang"/>
          <w:szCs w:val="24"/>
        </w:rPr>
        <w:t>Прогнозните приходи от данъка върху добавената стойност за 2024 г. са 18 500,0 млн. лв. При прогнозиране на приходите от ДДС са взети предвид следните фактори:</w:t>
      </w:r>
    </w:p>
    <w:p w:rsidR="00725353" w:rsidRPr="00AA3F66" w:rsidRDefault="00725353" w:rsidP="00725353">
      <w:pPr>
        <w:numPr>
          <w:ilvl w:val="0"/>
          <w:numId w:val="9"/>
        </w:numPr>
        <w:rPr>
          <w:rFonts w:eastAsia="Batang"/>
          <w:szCs w:val="24"/>
        </w:rPr>
      </w:pPr>
      <w:r w:rsidRPr="00AA3F66">
        <w:rPr>
          <w:rFonts w:eastAsia="Batang"/>
          <w:szCs w:val="24"/>
        </w:rPr>
        <w:t>валутен курс (щ.д./лв.) - 1,85 лв. за целия период;</w:t>
      </w:r>
    </w:p>
    <w:p w:rsidR="00725353" w:rsidRPr="00AA3F66" w:rsidRDefault="00725353" w:rsidP="00725353">
      <w:pPr>
        <w:pStyle w:val="ListParagraph"/>
        <w:numPr>
          <w:ilvl w:val="0"/>
          <w:numId w:val="9"/>
        </w:numPr>
        <w:rPr>
          <w:rFonts w:eastAsia="Batang"/>
          <w:szCs w:val="24"/>
        </w:rPr>
      </w:pPr>
      <w:r w:rsidRPr="00AA3F66">
        <w:rPr>
          <w:rFonts w:eastAsia="Batang"/>
          <w:szCs w:val="24"/>
        </w:rPr>
        <w:t>ръст на показателите за внос и износ за периода 2024-2026 спрям</w:t>
      </w:r>
      <w:r w:rsidR="00F62022" w:rsidRPr="00AA3F66">
        <w:rPr>
          <w:rFonts w:eastAsia="Batang"/>
          <w:szCs w:val="24"/>
        </w:rPr>
        <w:t>о 2023 г. За вноса ръстът е 9,8% за 2024 г., 7,4% за 2025 г. и 5,5</w:t>
      </w:r>
      <w:r w:rsidRPr="00AA3F66">
        <w:rPr>
          <w:rFonts w:eastAsia="Batang"/>
          <w:szCs w:val="24"/>
        </w:rPr>
        <w:t>% за</w:t>
      </w:r>
      <w:r w:rsidR="00F62022" w:rsidRPr="00AA3F66">
        <w:rPr>
          <w:rFonts w:eastAsia="Batang"/>
          <w:szCs w:val="24"/>
        </w:rPr>
        <w:t xml:space="preserve"> 2026 г. За износа ръстът е 7,0% за 2024 г., 5,7% за 2025 г. и 5,3</w:t>
      </w:r>
      <w:r w:rsidRPr="00AA3F66">
        <w:rPr>
          <w:rFonts w:eastAsia="Batang"/>
          <w:szCs w:val="24"/>
        </w:rPr>
        <w:t>% за 2026 г.;</w:t>
      </w:r>
    </w:p>
    <w:p w:rsidR="00725353" w:rsidRPr="00AA3F66" w:rsidRDefault="00725353" w:rsidP="00725353">
      <w:pPr>
        <w:numPr>
          <w:ilvl w:val="0"/>
          <w:numId w:val="9"/>
        </w:numPr>
        <w:rPr>
          <w:rFonts w:eastAsia="Batang"/>
          <w:szCs w:val="24"/>
        </w:rPr>
      </w:pPr>
      <w:r w:rsidRPr="00AA3F66">
        <w:rPr>
          <w:rFonts w:eastAsia="Batang"/>
          <w:szCs w:val="24"/>
        </w:rPr>
        <w:t>повишаване на ефективно внесения данък за всяка година с ръста на потреблението за същия период в макрорамката на МФ;</w:t>
      </w:r>
    </w:p>
    <w:p w:rsidR="00725353" w:rsidRPr="00AA3F66" w:rsidRDefault="00725353" w:rsidP="00725353">
      <w:pPr>
        <w:numPr>
          <w:ilvl w:val="0"/>
          <w:numId w:val="9"/>
        </w:numPr>
        <w:rPr>
          <w:rFonts w:eastAsia="Batang"/>
          <w:szCs w:val="24"/>
        </w:rPr>
      </w:pPr>
      <w:r w:rsidRPr="00AA3F66">
        <w:rPr>
          <w:rFonts w:eastAsia="Batang"/>
          <w:szCs w:val="24"/>
        </w:rPr>
        <w:t>информация от Агенция „Митници“ за физическите обеми на стоките, пораждащи ДДС;</w:t>
      </w:r>
    </w:p>
    <w:p w:rsidR="00725353" w:rsidRPr="00AA3F66" w:rsidRDefault="00725353" w:rsidP="00725353">
      <w:pPr>
        <w:numPr>
          <w:ilvl w:val="0"/>
          <w:numId w:val="9"/>
        </w:numPr>
        <w:rPr>
          <w:rFonts w:eastAsia="Batang"/>
          <w:szCs w:val="24"/>
        </w:rPr>
      </w:pPr>
      <w:r w:rsidRPr="00AA3F66">
        <w:rPr>
          <w:rFonts w:eastAsia="Batang"/>
          <w:szCs w:val="24"/>
        </w:rPr>
        <w:t xml:space="preserve">прогнозна цена на суровия петрол; </w:t>
      </w:r>
    </w:p>
    <w:p w:rsidR="00725353" w:rsidRPr="00AA3F66" w:rsidRDefault="00725353" w:rsidP="00725353">
      <w:pPr>
        <w:numPr>
          <w:ilvl w:val="0"/>
          <w:numId w:val="9"/>
        </w:numPr>
        <w:rPr>
          <w:rFonts w:eastAsia="Batang"/>
          <w:szCs w:val="24"/>
        </w:rPr>
      </w:pPr>
      <w:r w:rsidRPr="00AA3F66">
        <w:rPr>
          <w:rFonts w:eastAsia="Batang"/>
          <w:szCs w:val="24"/>
        </w:rPr>
        <w:t xml:space="preserve">предложения удължен срок на действие на временните антикризисни мерки за намаление на ставката по ДДС за ресторантьорски и кетъринг услуги до 31.12.2024 г.; </w:t>
      </w:r>
    </w:p>
    <w:p w:rsidR="00725353" w:rsidRPr="00AA3F66" w:rsidRDefault="00725353" w:rsidP="00725353">
      <w:pPr>
        <w:numPr>
          <w:ilvl w:val="0"/>
          <w:numId w:val="9"/>
        </w:numPr>
        <w:rPr>
          <w:rFonts w:eastAsia="Batang"/>
          <w:szCs w:val="24"/>
        </w:rPr>
      </w:pPr>
      <w:r w:rsidRPr="00AA3F66">
        <w:rPr>
          <w:rFonts w:eastAsia="Batang"/>
          <w:szCs w:val="24"/>
        </w:rPr>
        <w:t>ефект от предложеното продължаване на действието на прилагане на нулевата ставка на ДДС за доставки на хляб и брашно до 30.06.2024 г.;</w:t>
      </w:r>
    </w:p>
    <w:p w:rsidR="00725353" w:rsidRPr="00AA3F66" w:rsidRDefault="00725353" w:rsidP="00725353">
      <w:pPr>
        <w:pStyle w:val="ListParagraph"/>
        <w:numPr>
          <w:ilvl w:val="0"/>
          <w:numId w:val="9"/>
        </w:numPr>
        <w:rPr>
          <w:rFonts w:eastAsia="Batang"/>
          <w:szCs w:val="24"/>
        </w:rPr>
      </w:pPr>
      <w:r w:rsidRPr="00AA3F66">
        <w:rPr>
          <w:rFonts w:eastAsia="Batang"/>
          <w:szCs w:val="24"/>
        </w:rPr>
        <w:t>ефект в ДДС от увеличаване на акцизните ставки за всички тютюневи изделия от въведения акцизен календар от 1 март 2023 г., както и от включването на течностите за електронни цигари, несъдържащи никотин, и заместителите на тютюна, съдържащи никотин в обхвата на акцизните стоки, заедно с график за увеличаване на акцизните ставки за тези продукти;</w:t>
      </w:r>
    </w:p>
    <w:p w:rsidR="00725353" w:rsidRPr="00AA3F66" w:rsidRDefault="00725353" w:rsidP="00725353">
      <w:pPr>
        <w:numPr>
          <w:ilvl w:val="0"/>
          <w:numId w:val="9"/>
        </w:numPr>
        <w:rPr>
          <w:rFonts w:eastAsia="Batang"/>
          <w:szCs w:val="24"/>
        </w:rPr>
      </w:pPr>
      <w:r w:rsidRPr="00AA3F66">
        <w:rPr>
          <w:rFonts w:eastAsia="Batang"/>
          <w:szCs w:val="24"/>
        </w:rPr>
        <w:t>положителен ефект от оптимизиране на контролната дейност върху движението на стоки с висок фискален риск на територията на Република България, която има за цел подобряване на събираемостта на данъците.</w:t>
      </w:r>
    </w:p>
    <w:p w:rsidR="00725353" w:rsidRPr="00AA3F66" w:rsidRDefault="00725353" w:rsidP="00725353">
      <w:pPr>
        <w:rPr>
          <w:rFonts w:eastAsia="Batang"/>
          <w:szCs w:val="24"/>
        </w:rPr>
      </w:pPr>
      <w:r w:rsidRPr="00AA3F66">
        <w:rPr>
          <w:rFonts w:eastAsia="Batang"/>
          <w:szCs w:val="24"/>
        </w:rPr>
        <w:t>Приходите от ДДС за отчетния период ще бъдат повлияни от промените в икономическата активност в страната, изменението на потреблението, вноса, износа, приетите законодателни изменения и въздействието на фактори, обусловени от промени във външната среда. За 2025 г. е отчетено влиянието на</w:t>
      </w:r>
      <w:r w:rsidR="00F4519D" w:rsidRPr="00AA3F66">
        <w:rPr>
          <w:rFonts w:eastAsia="Batang"/>
          <w:szCs w:val="24"/>
        </w:rPr>
        <w:t xml:space="preserve"> </w:t>
      </w:r>
      <w:r w:rsidRPr="00AA3F66">
        <w:rPr>
          <w:rFonts w:eastAsia="Batang"/>
          <w:szCs w:val="24"/>
        </w:rPr>
        <w:t>предложеното повишаване на прага за регистрация от 100 000 лв. на 166 000 лв. оборот по ЗДДС.</w:t>
      </w:r>
    </w:p>
    <w:p w:rsidR="00725353" w:rsidRPr="00AA3F66" w:rsidRDefault="00725353" w:rsidP="00C32A62">
      <w:pPr>
        <w:rPr>
          <w:rFonts w:eastAsia="Batang"/>
          <w:szCs w:val="24"/>
        </w:rPr>
      </w:pPr>
      <w:r w:rsidRPr="00AA3F66">
        <w:rPr>
          <w:rFonts w:eastAsia="Batang"/>
          <w:szCs w:val="24"/>
        </w:rPr>
        <w:t>За 2025 г. прогнозните постъпления от ДДС са в размер на 19 885,0 млн. лв., а за 2026 г. достигат 21 600,0 млн. лв.</w:t>
      </w:r>
    </w:p>
    <w:p w:rsidR="00C32A62" w:rsidRPr="00AA3F66" w:rsidRDefault="00C32A62" w:rsidP="00C32A62">
      <w:pPr>
        <w:pStyle w:val="Heading4"/>
      </w:pPr>
      <w:r w:rsidRPr="00AA3F66">
        <w:t>Приходи от акцизи</w:t>
      </w:r>
    </w:p>
    <w:p w:rsidR="00725353" w:rsidRPr="00AA3F66" w:rsidRDefault="00725353" w:rsidP="00725353">
      <w:pPr>
        <w:rPr>
          <w:rFonts w:eastAsia="Batang"/>
          <w:szCs w:val="24"/>
        </w:rPr>
      </w:pPr>
      <w:r w:rsidRPr="00AA3F66">
        <w:rPr>
          <w:rFonts w:eastAsia="Batang"/>
          <w:szCs w:val="24"/>
        </w:rPr>
        <w:t>Прогнозните приходи от акцизи за 2024 г. са 6 445,0 млн. лв.</w:t>
      </w:r>
    </w:p>
    <w:p w:rsidR="00725353" w:rsidRPr="00AA3F66" w:rsidRDefault="00725353" w:rsidP="00725353">
      <w:pPr>
        <w:rPr>
          <w:rFonts w:eastAsia="Batang"/>
          <w:szCs w:val="24"/>
        </w:rPr>
      </w:pPr>
      <w:r w:rsidRPr="00AA3F66">
        <w:rPr>
          <w:rFonts w:eastAsia="Batang"/>
          <w:szCs w:val="24"/>
        </w:rPr>
        <w:t xml:space="preserve">Приходите от акцизи се формират основно от две групи стоки - тютюневи изделия с относителен дял от 51,4% и горива с относителен дял от 42,3% в общата сума на касовите постъпления за 2022 г. Останалите акцизни стоки (вкл. алкохолни напитки, бира, електрическа енергия и други стоки) са с относителен дял в размер на 6,3%. </w:t>
      </w:r>
    </w:p>
    <w:p w:rsidR="00725353" w:rsidRPr="00AA3F66" w:rsidRDefault="00725353" w:rsidP="00725353">
      <w:pPr>
        <w:rPr>
          <w:rFonts w:eastAsia="Batang"/>
          <w:szCs w:val="24"/>
        </w:rPr>
      </w:pPr>
      <w:r w:rsidRPr="00AA3F66">
        <w:rPr>
          <w:rFonts w:eastAsia="Batang"/>
          <w:szCs w:val="24"/>
        </w:rPr>
        <w:t>При прогнозиране на приходите от акцизи освен допусканията за макроикономическите показатели е отчетено и влиянието на следните фактори:</w:t>
      </w:r>
    </w:p>
    <w:p w:rsidR="00725353" w:rsidRPr="00AA3F66" w:rsidRDefault="00725353" w:rsidP="00725353">
      <w:pPr>
        <w:numPr>
          <w:ilvl w:val="0"/>
          <w:numId w:val="9"/>
        </w:numPr>
        <w:rPr>
          <w:rFonts w:eastAsia="Batang"/>
          <w:szCs w:val="24"/>
        </w:rPr>
      </w:pPr>
      <w:r w:rsidRPr="00AA3F66">
        <w:rPr>
          <w:rFonts w:eastAsia="Batang"/>
          <w:szCs w:val="24"/>
        </w:rPr>
        <w:t>относителна устойчивост на структурата на потреблението на акцизните продукти в рамките на различните групи акцизни стоки;</w:t>
      </w:r>
    </w:p>
    <w:p w:rsidR="00725353" w:rsidRPr="00AA3F66" w:rsidRDefault="00725353" w:rsidP="00725353">
      <w:pPr>
        <w:numPr>
          <w:ilvl w:val="0"/>
          <w:numId w:val="9"/>
        </w:numPr>
        <w:rPr>
          <w:rFonts w:eastAsia="Batang"/>
          <w:szCs w:val="24"/>
        </w:rPr>
      </w:pPr>
      <w:r w:rsidRPr="00AA3F66">
        <w:rPr>
          <w:rFonts w:eastAsia="Batang"/>
          <w:szCs w:val="24"/>
        </w:rPr>
        <w:t>увеличаване на акцизните ставки за всички тютюневи изделия с въвеждане на акцизен календар за период от четири години напред, считано от 1 март 2023 г., с цел балансирано увеличение на минималното облагане с акциз на цигарите и другите категории тютюневи изделия, вкл. и течности за електронни цигари, съдържащи никотин;</w:t>
      </w:r>
    </w:p>
    <w:p w:rsidR="00725353" w:rsidRPr="00AA3F66" w:rsidRDefault="00725353" w:rsidP="00725353">
      <w:pPr>
        <w:pStyle w:val="ListParagraph"/>
        <w:numPr>
          <w:ilvl w:val="0"/>
          <w:numId w:val="9"/>
        </w:numPr>
        <w:rPr>
          <w:rFonts w:eastAsia="Batang"/>
          <w:szCs w:val="24"/>
        </w:rPr>
      </w:pPr>
      <w:r w:rsidRPr="00AA3F66">
        <w:rPr>
          <w:rFonts w:eastAsia="Batang"/>
          <w:szCs w:val="24"/>
        </w:rPr>
        <w:t>включване на течностите за електронни цигари, несъдържащи никотин, и заместителите на тютюна, съдържащи никотин в обхвата на акцизните стоки, заедно с график за увеличаване на акцизните ставки за тези продукти;</w:t>
      </w:r>
    </w:p>
    <w:p w:rsidR="00725353" w:rsidRPr="00AA3F66" w:rsidRDefault="00725353" w:rsidP="00725353">
      <w:pPr>
        <w:pStyle w:val="ListParagraph"/>
        <w:numPr>
          <w:ilvl w:val="0"/>
          <w:numId w:val="9"/>
        </w:numPr>
        <w:rPr>
          <w:rFonts w:eastAsia="Batang" w:cs="Times New Roman"/>
          <w:szCs w:val="24"/>
        </w:rPr>
      </w:pPr>
      <w:r w:rsidRPr="00AA3F66">
        <w:rPr>
          <w:rFonts w:eastAsia="Times New Roman" w:cs="Times New Roman"/>
          <w:bCs/>
          <w:szCs w:val="24"/>
        </w:rPr>
        <w:t>отпадане на временната мярка за освобождаване от акциз на електрическата енергия, втечнения нефтен газ и природния газ, използвани като моторно гориво, съгласно член 15 от Директива 2003/96/ЕО на Съвета от 27 октомври 2003 г. относно преструктурирането на правната рамка на Общността за данъчно облагане на енергийните продукти и електроенергията. Освобождаването действа през периода от 9 юли 2022 г. до 31 юли 2023 г.;</w:t>
      </w:r>
    </w:p>
    <w:p w:rsidR="00725353" w:rsidRPr="00AA3F66" w:rsidRDefault="00725353" w:rsidP="00725353">
      <w:pPr>
        <w:pStyle w:val="ListParagraph"/>
        <w:numPr>
          <w:ilvl w:val="0"/>
          <w:numId w:val="9"/>
        </w:numPr>
        <w:rPr>
          <w:rFonts w:eastAsia="Batang" w:cs="Times New Roman"/>
          <w:szCs w:val="24"/>
        </w:rPr>
      </w:pPr>
      <w:r w:rsidRPr="00AA3F66">
        <w:rPr>
          <w:rFonts w:eastAsia="Batang" w:cs="Times New Roman"/>
          <w:szCs w:val="24"/>
        </w:rPr>
        <w:t>предложеното въвеждане на облагане с акциз върху нагреваеми изделия със съдържание, различно от тютюн, на базата на растения, билки или плодове, независимо дали са обработени с никотин се очаква да доведе до незначителен ефект върху приходите от акцизи;</w:t>
      </w:r>
    </w:p>
    <w:p w:rsidR="00725353" w:rsidRPr="00AA3F66" w:rsidRDefault="00725353" w:rsidP="00725353">
      <w:pPr>
        <w:numPr>
          <w:ilvl w:val="0"/>
          <w:numId w:val="9"/>
        </w:numPr>
        <w:rPr>
          <w:rFonts w:eastAsia="Batang"/>
          <w:szCs w:val="24"/>
        </w:rPr>
      </w:pPr>
      <w:r w:rsidRPr="00AA3F66">
        <w:rPr>
          <w:rFonts w:eastAsia="Batang"/>
          <w:szCs w:val="24"/>
        </w:rPr>
        <w:t>положителен ефект от оптимизиране на контролната дейност върху търговията с акцизни стоки и подобряване на събираемостта на акцизите.</w:t>
      </w:r>
    </w:p>
    <w:p w:rsidR="00725353" w:rsidRPr="00AA3F66" w:rsidRDefault="00725353" w:rsidP="00C32A62">
      <w:pPr>
        <w:rPr>
          <w:rFonts w:eastAsia="Batang"/>
          <w:szCs w:val="24"/>
        </w:rPr>
      </w:pPr>
      <w:r w:rsidRPr="00AA3F66">
        <w:rPr>
          <w:rFonts w:eastAsia="Batang"/>
          <w:szCs w:val="24"/>
        </w:rPr>
        <w:t>За 2025 г. прогнозираните постъпления от акцизи са 6 835,0 млн. лв. и 7 273,0 млн. лв. за 2026 г.</w:t>
      </w:r>
    </w:p>
    <w:p w:rsidR="00C32A62" w:rsidRPr="00AA3F66" w:rsidRDefault="00C32A62" w:rsidP="00C32A62">
      <w:pPr>
        <w:pStyle w:val="Heading4"/>
      </w:pPr>
      <w:r w:rsidRPr="00AA3F66">
        <w:t>Приходи от мита</w:t>
      </w:r>
    </w:p>
    <w:p w:rsidR="00725353" w:rsidRPr="00AA3F66" w:rsidRDefault="00725353" w:rsidP="00725353">
      <w:pPr>
        <w:rPr>
          <w:rFonts w:eastAsia="Batang"/>
          <w:szCs w:val="24"/>
        </w:rPr>
      </w:pPr>
      <w:r w:rsidRPr="00AA3F66">
        <w:rPr>
          <w:rFonts w:eastAsia="Batang"/>
          <w:szCs w:val="24"/>
        </w:rPr>
        <w:t>Прогнозираните приходи от мита за 2024 г. са в размер на 370,0 млн. лв.</w:t>
      </w:r>
    </w:p>
    <w:p w:rsidR="00725353" w:rsidRPr="00AA3F66" w:rsidRDefault="00725353" w:rsidP="00725353">
      <w:pPr>
        <w:rPr>
          <w:rFonts w:eastAsia="Batang"/>
          <w:szCs w:val="24"/>
        </w:rPr>
      </w:pPr>
      <w:r w:rsidRPr="00AA3F66">
        <w:rPr>
          <w:rFonts w:eastAsia="Batang"/>
          <w:szCs w:val="24"/>
        </w:rPr>
        <w:t>На основание постигнатите договорености в рамките на Световната търговска организация за улесняване на търговията в последните повече от 10 години търговската политика на ЕС е все по-либерална, вследствие на което има все повече сключени споразумения за свободна търговия и споразумения за икономическо партньорство. На базата на тези споразумения стоките се оформят за внос в ЕС и в страната/групата страни партньор/партньори с намалени или нулеви ставки на митата.</w:t>
      </w:r>
    </w:p>
    <w:p w:rsidR="00725353" w:rsidRPr="00AA3F66" w:rsidRDefault="00725353" w:rsidP="00725353">
      <w:pPr>
        <w:rPr>
          <w:rFonts w:eastAsia="Batang"/>
          <w:szCs w:val="24"/>
        </w:rPr>
      </w:pPr>
      <w:r w:rsidRPr="00AA3F66">
        <w:rPr>
          <w:rFonts w:eastAsia="Batang"/>
          <w:szCs w:val="24"/>
        </w:rPr>
        <w:t xml:space="preserve">Към настоящия момент ЕС има сключени множество преференциални търговски договорености, в това число и Споразумението за търговия и сътрудничество между ЕС и Обединеното кралство. Следва да се има предвид и Схемата от общи тарифни преференции (СОТП), която позволява на износителите от развиващите се страни да плащат по-малки мита върху стоките си при внос в ЕС. Облекченият достъп до пазара на ЕС допринася за икономическия им растеж. Целта на СОТП е да окаже помощ на уязвими и слабо развити страни да постигнат устойчиво развитие чрез стимулиране на местното им производство и включването им в световната търговия. </w:t>
      </w:r>
    </w:p>
    <w:p w:rsidR="00725353" w:rsidRPr="00AA3F66" w:rsidRDefault="00725353" w:rsidP="00725353">
      <w:pPr>
        <w:rPr>
          <w:rFonts w:eastAsia="Batang"/>
          <w:szCs w:val="24"/>
        </w:rPr>
      </w:pPr>
      <w:r w:rsidRPr="00AA3F66">
        <w:rPr>
          <w:rFonts w:eastAsia="Batang"/>
          <w:szCs w:val="24"/>
        </w:rPr>
        <w:t>На фона на все по-либералната политика на ЕС, насочена към разширяване обхвата на споразуменията за свободна търговия и споразуменията за икономическо партньорство, данните за вноса на стоки в Република България през периода 2017-2022</w:t>
      </w:r>
      <w:r w:rsidRPr="00AA3F66">
        <w:rPr>
          <w:rStyle w:val="FootnoteReference"/>
          <w:rFonts w:eastAsia="Batang"/>
          <w:szCs w:val="24"/>
        </w:rPr>
        <w:footnoteReference w:id="19"/>
      </w:r>
      <w:r w:rsidRPr="00AA3F66">
        <w:rPr>
          <w:rFonts w:eastAsia="Batang"/>
          <w:szCs w:val="24"/>
        </w:rPr>
        <w:t xml:space="preserve"> г. показват устойчив ръст по отношение на стойностния обем на внесените стоки от трети страни, като ръста през 2022 г. спрямо същия период на предходната година е най-висок за последните пет години (58,8%) . </w:t>
      </w:r>
    </w:p>
    <w:p w:rsidR="00725353" w:rsidRPr="00AA3F66" w:rsidRDefault="00725353" w:rsidP="00725353">
      <w:pPr>
        <w:rPr>
          <w:rFonts w:eastAsia="Batang"/>
          <w:szCs w:val="24"/>
        </w:rPr>
      </w:pPr>
      <w:r w:rsidRPr="00AA3F66">
        <w:rPr>
          <w:rFonts w:eastAsia="Batang"/>
          <w:szCs w:val="24"/>
        </w:rPr>
        <w:t xml:space="preserve">Значително влияние върху динамиката на приходите от мита при внос на стоки от трети страни в </w:t>
      </w:r>
      <w:r w:rsidR="00BF01B9" w:rsidRPr="00AA3F66">
        <w:rPr>
          <w:rFonts w:eastAsia="Batang"/>
          <w:szCs w:val="24"/>
        </w:rPr>
        <w:t xml:space="preserve">прогнозния </w:t>
      </w:r>
      <w:r w:rsidRPr="00AA3F66">
        <w:rPr>
          <w:rFonts w:eastAsia="Batang"/>
          <w:szCs w:val="24"/>
        </w:rPr>
        <w:t>период ще оказват и ограничителните мерки с оглед на действията на Русия, дестабилизиращи положението в Украйна, както и временните мерки за либерализиране на търговията и солидарност с Украйна. Въздействие ще имат и приетите законодателни антикризисни мерки за смекчаване на икономическите последици за бизнеса от настъпилата нестабилност на цените на нефта, природния газ, електрическата енергия, горивата, хранителни продукти и други, както и мерките</w:t>
      </w:r>
      <w:r w:rsidRPr="00AA3F66">
        <w:rPr>
          <w:rFonts w:eastAsia="Batang"/>
          <w:iCs/>
          <w:szCs w:val="24"/>
        </w:rPr>
        <w:t xml:space="preserve"> за овладяване на инфлацията, породена от външни и вътрешни политически и икономически фактори</w:t>
      </w:r>
      <w:r w:rsidRPr="00AA3F66">
        <w:rPr>
          <w:rFonts w:eastAsia="Batang"/>
          <w:szCs w:val="24"/>
        </w:rPr>
        <w:t>.</w:t>
      </w:r>
    </w:p>
    <w:p w:rsidR="00725353" w:rsidRPr="00AA3F66" w:rsidRDefault="00725353" w:rsidP="00C32A62">
      <w:pPr>
        <w:rPr>
          <w:rFonts w:eastAsia="Batang"/>
          <w:szCs w:val="24"/>
        </w:rPr>
      </w:pPr>
      <w:r w:rsidRPr="00AA3F66">
        <w:rPr>
          <w:rFonts w:eastAsia="Batang"/>
          <w:szCs w:val="24"/>
        </w:rPr>
        <w:t>Кумулативното действие на посочените политики и макроикономически фактори определят устойчиво нарастване на приходите от мита по години за периода 2025-2026 г., както следва: 385,0 млн. лв. за 2025 г. и 400,0 млн. лв. за 2026 г.</w:t>
      </w:r>
    </w:p>
    <w:p w:rsidR="00C32A62" w:rsidRPr="00AA3F66" w:rsidRDefault="00C32A62" w:rsidP="00C32A62">
      <w:pPr>
        <w:pStyle w:val="Heading4"/>
      </w:pPr>
      <w:r w:rsidRPr="00AA3F66">
        <w:t>Приходи от данък върху застрахователните премии</w:t>
      </w:r>
    </w:p>
    <w:p w:rsidR="00725353" w:rsidRPr="00AA3F66" w:rsidRDefault="00725353" w:rsidP="00725353">
      <w:pPr>
        <w:rPr>
          <w:rFonts w:eastAsia="Batang"/>
          <w:szCs w:val="24"/>
        </w:rPr>
      </w:pPr>
      <w:r w:rsidRPr="00AA3F66">
        <w:rPr>
          <w:rFonts w:eastAsia="Batang"/>
          <w:szCs w:val="24"/>
        </w:rPr>
        <w:t>Прогнозните приходи от данък върху застрахователните премии за 2024 г. са 63,0 млн. лв. Допусканията за размера на приходите от данъка върху застрахователните премии са базирани на следните допускания:</w:t>
      </w:r>
    </w:p>
    <w:p w:rsidR="00725353" w:rsidRPr="00AA3F66" w:rsidRDefault="00725353" w:rsidP="00725353">
      <w:pPr>
        <w:numPr>
          <w:ilvl w:val="0"/>
          <w:numId w:val="9"/>
        </w:numPr>
        <w:rPr>
          <w:rFonts w:eastAsia="Batang"/>
          <w:szCs w:val="24"/>
        </w:rPr>
      </w:pPr>
      <w:r w:rsidRPr="00AA3F66">
        <w:rPr>
          <w:rFonts w:eastAsia="Batang"/>
          <w:szCs w:val="24"/>
        </w:rPr>
        <w:t>запазване на ставката от 2% за периода;</w:t>
      </w:r>
    </w:p>
    <w:p w:rsidR="00725353" w:rsidRPr="00AA3F66" w:rsidRDefault="00725353" w:rsidP="00725353">
      <w:pPr>
        <w:numPr>
          <w:ilvl w:val="0"/>
          <w:numId w:val="9"/>
        </w:numPr>
        <w:rPr>
          <w:rFonts w:eastAsia="Batang"/>
          <w:szCs w:val="24"/>
        </w:rPr>
      </w:pPr>
      <w:r w:rsidRPr="00AA3F66">
        <w:rPr>
          <w:rFonts w:eastAsia="Batang"/>
          <w:szCs w:val="24"/>
        </w:rPr>
        <w:t>запазване на динамиката на нарастване на брутните премийни приходи в общото застраховане;</w:t>
      </w:r>
    </w:p>
    <w:p w:rsidR="00725353" w:rsidRPr="00AA3F66" w:rsidRDefault="00725353" w:rsidP="00725353">
      <w:pPr>
        <w:numPr>
          <w:ilvl w:val="0"/>
          <w:numId w:val="9"/>
        </w:numPr>
        <w:rPr>
          <w:rFonts w:eastAsia="Batang"/>
          <w:szCs w:val="24"/>
        </w:rPr>
      </w:pPr>
      <w:r w:rsidRPr="00AA3F66">
        <w:rPr>
          <w:rFonts w:eastAsia="Batang"/>
          <w:szCs w:val="24"/>
        </w:rPr>
        <w:t>запазване на тенденцията за разширяване и обогатяване на застрахователните продукти.</w:t>
      </w:r>
    </w:p>
    <w:p w:rsidR="00725353" w:rsidRPr="00AA3F66" w:rsidRDefault="00725353" w:rsidP="00C32A62">
      <w:pPr>
        <w:rPr>
          <w:rFonts w:eastAsia="Batang"/>
          <w:szCs w:val="24"/>
        </w:rPr>
      </w:pPr>
      <w:r w:rsidRPr="00AA3F66">
        <w:rPr>
          <w:rFonts w:eastAsia="Batang"/>
          <w:szCs w:val="24"/>
        </w:rPr>
        <w:t>Очакваните приходи от застрахователни премии са 67,0 млн. лв. за 2025 г. и 70,5 млн. лв. за 2026 г.</w:t>
      </w:r>
    </w:p>
    <w:p w:rsidR="00725353" w:rsidRPr="00AA3F66" w:rsidRDefault="00725353" w:rsidP="00725353">
      <w:pPr>
        <w:pStyle w:val="Heading4"/>
      </w:pPr>
      <w:r w:rsidRPr="00AA3F66">
        <w:t xml:space="preserve">Приходи от други данъци </w:t>
      </w:r>
    </w:p>
    <w:p w:rsidR="004240F3" w:rsidRDefault="004240F3" w:rsidP="00C33F75">
      <w:pPr>
        <w:pStyle w:val="Heading4"/>
        <w:numPr>
          <w:ilvl w:val="0"/>
          <w:numId w:val="0"/>
        </w:numPr>
        <w:jc w:val="both"/>
        <w:rPr>
          <w:rFonts w:ascii="Times New Roman" w:eastAsia="Batang" w:hAnsi="Times New Roman" w:cstheme="minorBidi"/>
          <w:b w:val="0"/>
          <w:bCs w:val="0"/>
          <w:iCs w:val="0"/>
          <w:color w:val="auto"/>
          <w:szCs w:val="24"/>
        </w:rPr>
      </w:pPr>
      <w:r w:rsidRPr="004240F3">
        <w:rPr>
          <w:rFonts w:ascii="Times New Roman" w:eastAsia="Batang" w:hAnsi="Times New Roman" w:cstheme="minorBidi"/>
          <w:b w:val="0"/>
          <w:bCs w:val="0"/>
          <w:iCs w:val="0"/>
          <w:color w:val="auto"/>
          <w:szCs w:val="24"/>
        </w:rPr>
        <w:t>По този параграф на бюджета са включени приходите от временната солидарна вноска. Временната солидарна вноска по Регламент (ЕС) 2022/1854 на Съвета от 6 октомври 2022 година относно спешна намеса за справяне с високите цени на енергията се прилага за печалбата през 2022 г. и 2023 г., като е предвидено и авансово заплащане на вноските. С оглед на това, в прогнозата за 2024 г. е включен приход от вно</w:t>
      </w:r>
      <w:r>
        <w:rPr>
          <w:rFonts w:ascii="Times New Roman" w:eastAsia="Batang" w:hAnsi="Times New Roman" w:cstheme="minorBidi"/>
          <w:b w:val="0"/>
          <w:bCs w:val="0"/>
          <w:iCs w:val="0"/>
          <w:color w:val="auto"/>
          <w:szCs w:val="24"/>
        </w:rPr>
        <w:t>ската в размер на 15,9 млн. лв.</w:t>
      </w:r>
    </w:p>
    <w:p w:rsidR="00C32A62" w:rsidRPr="00AA3F66" w:rsidRDefault="00C32A62" w:rsidP="00C32A62">
      <w:pPr>
        <w:pStyle w:val="Heading3"/>
        <w:spacing w:before="0" w:after="200"/>
        <w:ind w:left="0"/>
        <w:rPr>
          <w:caps w:val="0"/>
        </w:rPr>
      </w:pPr>
      <w:bookmarkStart w:id="295" w:name="_Toc464463082"/>
      <w:bookmarkStart w:id="296" w:name="_Toc464464909"/>
      <w:bookmarkStart w:id="297" w:name="_Toc464465415"/>
      <w:bookmarkStart w:id="298" w:name="_Toc464465603"/>
      <w:bookmarkStart w:id="299" w:name="_Toc464466428"/>
      <w:bookmarkStart w:id="300" w:name="_Toc464466672"/>
      <w:bookmarkStart w:id="301" w:name="_Toc464644984"/>
      <w:bookmarkStart w:id="302" w:name="_Toc464224785"/>
      <w:bookmarkStart w:id="303" w:name="_Toc464225435"/>
      <w:bookmarkStart w:id="304" w:name="_Toc464458982"/>
      <w:bookmarkStart w:id="305" w:name="_Toc465070465"/>
      <w:bookmarkStart w:id="306" w:name="_Toc465205515"/>
      <w:r w:rsidRPr="00AA3F66">
        <w:t>О</w:t>
      </w:r>
      <w:bookmarkEnd w:id="295"/>
      <w:bookmarkEnd w:id="296"/>
      <w:bookmarkEnd w:id="297"/>
      <w:bookmarkEnd w:id="298"/>
      <w:bookmarkEnd w:id="299"/>
      <w:bookmarkEnd w:id="300"/>
      <w:bookmarkEnd w:id="301"/>
      <w:bookmarkEnd w:id="302"/>
      <w:bookmarkEnd w:id="303"/>
      <w:bookmarkEnd w:id="304"/>
      <w:bookmarkEnd w:id="305"/>
      <w:bookmarkEnd w:id="306"/>
      <w:r w:rsidR="00820B71" w:rsidRPr="00AA3F66">
        <w:t>сигурителна политика</w:t>
      </w:r>
    </w:p>
    <w:p w:rsidR="001A3BB8" w:rsidRPr="00AA3F66" w:rsidRDefault="001A3BB8" w:rsidP="001A3BB8">
      <w:pPr>
        <w:rPr>
          <w:rFonts w:eastAsia="Times New Roman"/>
        </w:rPr>
      </w:pPr>
      <w:bookmarkStart w:id="307" w:name="_Toc464224786"/>
      <w:bookmarkStart w:id="308" w:name="_Toc464225436"/>
      <w:bookmarkStart w:id="309" w:name="_Toc464458983"/>
      <w:bookmarkStart w:id="310" w:name="_Toc464463083"/>
      <w:bookmarkStart w:id="311" w:name="_Toc464464910"/>
      <w:bookmarkStart w:id="312" w:name="_Toc464465416"/>
      <w:bookmarkStart w:id="313" w:name="_Toc464465604"/>
      <w:bookmarkStart w:id="314" w:name="_Toc464466429"/>
      <w:bookmarkStart w:id="315" w:name="_Toc464466673"/>
      <w:bookmarkStart w:id="316" w:name="_Toc464644985"/>
      <w:bookmarkStart w:id="317" w:name="_Toc465070466"/>
      <w:bookmarkStart w:id="318" w:name="_Toc465205516"/>
      <w:r w:rsidRPr="00AA3F66">
        <w:rPr>
          <w:rFonts w:eastAsia="Times New Roman"/>
        </w:rPr>
        <w:t xml:space="preserve">За периода 2024-2026 г. по отношение на социално и здравноосигурителните вноски се предвижда: </w:t>
      </w:r>
    </w:p>
    <w:p w:rsidR="001A3BB8" w:rsidRPr="00AA3F66" w:rsidRDefault="001A3BB8" w:rsidP="00B30642">
      <w:pPr>
        <w:numPr>
          <w:ilvl w:val="0"/>
          <w:numId w:val="14"/>
        </w:numPr>
        <w:rPr>
          <w:rFonts w:eastAsia="Times New Roman"/>
        </w:rPr>
      </w:pPr>
      <w:r w:rsidRPr="00AA3F66">
        <w:rPr>
          <w:rFonts w:eastAsia="Times New Roman"/>
        </w:rPr>
        <w:t xml:space="preserve">Запазване размерите и съотношенията на осигурителните вноски за фондовете на държавното обществено осигуряване на нивото на 2023 г.; </w:t>
      </w:r>
    </w:p>
    <w:p w:rsidR="001E1F8A" w:rsidRPr="00AA3F66" w:rsidRDefault="001E1F8A" w:rsidP="001E1F8A">
      <w:pPr>
        <w:numPr>
          <w:ilvl w:val="0"/>
          <w:numId w:val="14"/>
        </w:numPr>
        <w:rPr>
          <w:rFonts w:eastAsia="Times New Roman"/>
        </w:rPr>
      </w:pPr>
      <w:r w:rsidRPr="00AA3F66">
        <w:rPr>
          <w:rFonts w:eastAsia="Times New Roman"/>
        </w:rPr>
        <w:t>Минималният осигурителен доход за самоосигуряващите се лица от 1 януари 2024 г. нараства от 780 лв. на 933 лв., а от 1 януари на съответната година за периода 2025-2026 г.  до нивото на минималната работна заплата, определена съгласно чл. 244 от Кодекса на труда;</w:t>
      </w:r>
    </w:p>
    <w:p w:rsidR="001E1F8A" w:rsidRPr="00AA3F66" w:rsidRDefault="001E1F8A" w:rsidP="001E1F8A">
      <w:pPr>
        <w:numPr>
          <w:ilvl w:val="0"/>
          <w:numId w:val="14"/>
        </w:numPr>
        <w:rPr>
          <w:rFonts w:eastAsia="Times New Roman"/>
        </w:rPr>
      </w:pPr>
      <w:r w:rsidRPr="00AA3F66">
        <w:rPr>
          <w:rFonts w:eastAsia="Times New Roman"/>
        </w:rPr>
        <w:t>Минималният осигурителен доход за земеделските стопани и тютюнопроизводителите от 1 януари 2024 г. нараства от 780 лв. на 933 лв., а от 1 януари на съответната година за периода 2025-2026 г.  до нивото на минималната работна заплата, определена съгласно чл. 244 от Кодекса на труда;</w:t>
      </w:r>
    </w:p>
    <w:p w:rsidR="0080730F" w:rsidRPr="00AA3F66" w:rsidRDefault="00C47A7A" w:rsidP="00B30642">
      <w:pPr>
        <w:numPr>
          <w:ilvl w:val="0"/>
          <w:numId w:val="14"/>
        </w:numPr>
        <w:rPr>
          <w:rFonts w:eastAsia="Times New Roman"/>
        </w:rPr>
      </w:pPr>
      <w:r w:rsidRPr="00AA3F66">
        <w:rPr>
          <w:rFonts w:eastAsia="Times New Roman"/>
        </w:rPr>
        <w:t>Максималният осигурителен доход за всички осигурени лица нараства за 2024 г. на 3 750 лв., за 2025 г. на 4 130 лв., за 2026 г. на 4 430 лв.;</w:t>
      </w:r>
    </w:p>
    <w:p w:rsidR="001A3BB8" w:rsidRPr="00AA3F66" w:rsidRDefault="001A3BB8" w:rsidP="00B30642">
      <w:pPr>
        <w:numPr>
          <w:ilvl w:val="0"/>
          <w:numId w:val="14"/>
        </w:numPr>
        <w:rPr>
          <w:rFonts w:eastAsia="Times New Roman"/>
        </w:rPr>
      </w:pPr>
      <w:r w:rsidRPr="00AA3F66">
        <w:rPr>
          <w:rFonts w:eastAsia="Times New Roman"/>
        </w:rPr>
        <w:t xml:space="preserve">Запазва се размерът на осигурителната вноска за Учителския пенсионен фонд – 4,3 на сто; </w:t>
      </w:r>
    </w:p>
    <w:p w:rsidR="001A3BB8" w:rsidRPr="00AA3F66" w:rsidRDefault="001A3BB8" w:rsidP="00B30642">
      <w:pPr>
        <w:numPr>
          <w:ilvl w:val="0"/>
          <w:numId w:val="14"/>
        </w:numPr>
        <w:rPr>
          <w:rFonts w:eastAsia="Times New Roman"/>
        </w:rPr>
      </w:pPr>
      <w:r w:rsidRPr="00AA3F66">
        <w:rPr>
          <w:rFonts w:eastAsia="Times New Roman"/>
        </w:rPr>
        <w:t>Не се правят вноски за фонд „Гарантирани вземания на работниците и служителите”, като се запазва разпоредбата на чл. 22, ал. 2 от Закона за гарантираните вземания на работниците и служителите при несъстоятелност на работодателя, относно максималния месечен размер на гарантираното вземане, който не може да бъде по-малък от 2,5 минимални работни заплати;</w:t>
      </w:r>
    </w:p>
    <w:p w:rsidR="001A3BB8" w:rsidRPr="00AA3F66" w:rsidRDefault="001A3BB8" w:rsidP="00B30642">
      <w:pPr>
        <w:numPr>
          <w:ilvl w:val="0"/>
          <w:numId w:val="14"/>
        </w:numPr>
        <w:rPr>
          <w:rFonts w:eastAsia="Times New Roman"/>
        </w:rPr>
      </w:pPr>
      <w:r w:rsidRPr="00AA3F66">
        <w:rPr>
          <w:rFonts w:eastAsia="Times New Roman"/>
        </w:rPr>
        <w:t>Запазва се размерът на здравноосигурителната вноска – 8 на сто.</w:t>
      </w:r>
    </w:p>
    <w:p w:rsidR="00C50AEE" w:rsidRPr="00AA3F66" w:rsidRDefault="00C50AEE" w:rsidP="001A3BB8">
      <w:pPr>
        <w:rPr>
          <w:rFonts w:eastAsia="Times New Roman"/>
        </w:rPr>
      </w:pPr>
    </w:p>
    <w:p w:rsidR="00C32A62" w:rsidRPr="00AA3F66" w:rsidRDefault="00C32A62" w:rsidP="00C32A62">
      <w:pPr>
        <w:pStyle w:val="Heading3"/>
        <w:spacing w:before="0" w:after="200"/>
        <w:ind w:left="0"/>
      </w:pPr>
      <w:r w:rsidRPr="00AA3F66">
        <w:t>Н</w:t>
      </w:r>
      <w:bookmarkEnd w:id="307"/>
      <w:bookmarkEnd w:id="308"/>
      <w:bookmarkEnd w:id="309"/>
      <w:bookmarkEnd w:id="310"/>
      <w:bookmarkEnd w:id="311"/>
      <w:bookmarkEnd w:id="312"/>
      <w:bookmarkEnd w:id="313"/>
      <w:bookmarkEnd w:id="314"/>
      <w:bookmarkEnd w:id="315"/>
      <w:bookmarkEnd w:id="316"/>
      <w:bookmarkEnd w:id="317"/>
      <w:bookmarkEnd w:id="318"/>
      <w:r w:rsidR="00E42934" w:rsidRPr="00AA3F66">
        <w:t>еданъчни приходи</w:t>
      </w:r>
    </w:p>
    <w:p w:rsidR="00C32A62" w:rsidRPr="00AA3F66" w:rsidRDefault="00C32A62" w:rsidP="00C32A62">
      <w:pPr>
        <w:pStyle w:val="Heading4"/>
        <w:spacing w:before="0" w:after="200"/>
      </w:pPr>
      <w:r w:rsidRPr="00AA3F66">
        <w:t>Приходи от такси</w:t>
      </w:r>
    </w:p>
    <w:p w:rsidR="00C23743" w:rsidRDefault="001A3BB8" w:rsidP="001A3BB8">
      <w:r w:rsidRPr="00AA3F66">
        <w:t>От 1 януари 2019 г. започна поетапното въвеждане на ТОЛ системата с въвеждането на т.нар. „електронна винетка“ за леките автомобили, а от месец март 2020 г. стартира поетапното въвеждане на ТОЛ сегменти в обхвата на платената пътна мрежа на база изминато разстояние, с което започна тарифирането и на товарните автомобили над 3,5 т.</w:t>
      </w:r>
    </w:p>
    <w:p w:rsidR="001A3BB8" w:rsidRPr="00AA3F66" w:rsidRDefault="00C23743" w:rsidP="00C32A62">
      <w:r w:rsidRPr="00EB28A6">
        <w:t>С актове на Министерския съвет през 2022 г. се актуализира тарифата за изминато разстояние и Списъка на републиканските пътища, за които се събира так</w:t>
      </w:r>
      <w:r w:rsidR="003D6528" w:rsidRPr="00EB28A6">
        <w:t>са за изминато разстояние - TOЛ</w:t>
      </w:r>
      <w:r w:rsidRPr="00EB28A6">
        <w:t xml:space="preserve"> такса. </w:t>
      </w:r>
      <w:r w:rsidR="00C6149A" w:rsidRPr="00EB28A6">
        <w:t>В тази връзка за периода 2024-2026 г. се очаква промяна на приходите от държавни такси, като за 2024 г. се очаква увеличение с 23,2 млн. лв., а през 2025 г. ръст с 43,0 млн. лв. спрямо 2024 г.</w:t>
      </w:r>
      <w:r w:rsidR="00DF0632" w:rsidRPr="00EB28A6">
        <w:t xml:space="preserve"> </w:t>
      </w:r>
      <w:r w:rsidR="00C6149A" w:rsidRPr="00EB28A6">
        <w:t xml:space="preserve">За 2026 г. се предвижда запазване на приходите до размерите от 2025 г., в която се достига размер на приходите от ТОЛ такси на годишна база от 555,6 млн. лв. </w:t>
      </w:r>
      <w:r w:rsidRPr="00EB28A6">
        <w:t>Средствата ще бъдат насочени към ефективното поддържане, модернизация и развитие на транспортната инфраструктура, изграждане на магистралните пътища и интеграция на националната пътна инфраструктура в Европейската транспортна мрежа.</w:t>
      </w:r>
    </w:p>
    <w:p w:rsidR="00C32A62" w:rsidRPr="00AA3F66" w:rsidRDefault="00C32A62" w:rsidP="00C32A62">
      <w:pPr>
        <w:pStyle w:val="Heading4"/>
        <w:spacing w:before="0" w:after="200"/>
      </w:pPr>
      <w:r w:rsidRPr="00AA3F66">
        <w:t>Други приходи</w:t>
      </w:r>
    </w:p>
    <w:p w:rsidR="001A3BB8" w:rsidRPr="00AA3F66" w:rsidRDefault="001A3BB8" w:rsidP="001A3BB8">
      <w:r w:rsidRPr="00AA3F66">
        <w:t>За прогнозния период 2024-2026 г. приходите на Фонд „Сигурност на електроенергийната система“ (ФСЕС) са определени, както следва: за 2024 г. и 2025 г. по 2 609,6 млн. лв. и за 2026 г. - 3 131,3 млн. лв., като същите спрямо приетите за 2023 г. намаляват с по 1 533,0 млн. лв. за 2024 г. и 2025 г. и с 1 011,3 млн. лв. за 2026 г.</w:t>
      </w:r>
      <w:r w:rsidR="00CD0ED6" w:rsidRPr="00AA3F66">
        <w:t xml:space="preserve"> спрямо 2023 г.</w:t>
      </w:r>
    </w:p>
    <w:p w:rsidR="001A3BB8" w:rsidRPr="00AA3F66" w:rsidRDefault="001A3BB8" w:rsidP="001A3BB8">
      <w:r w:rsidRPr="00AA3F66">
        <w:t>Намалението на приходите се дължи на:</w:t>
      </w:r>
    </w:p>
    <w:p w:rsidR="001A3BB8" w:rsidRPr="00AA3F66" w:rsidRDefault="001A3BB8" w:rsidP="00B30642">
      <w:pPr>
        <w:pStyle w:val="ListParagraph"/>
        <w:numPr>
          <w:ilvl w:val="0"/>
          <w:numId w:val="44"/>
        </w:numPr>
      </w:pPr>
      <w:r w:rsidRPr="00AA3F66">
        <w:t xml:space="preserve">прогнозирано намаление на приходите от 5%-ни вноски от приходите на производителите и търговците на ел. енергия, на операторите на електропреносната и газопреносните мрежи и на операторите на съоръжения за съхранение на природен газ, като при определянето на размера им са взети предвид тенденцията за относително постоянното количество ел. енергия (38-39 мил. </w:t>
      </w:r>
      <w:r w:rsidR="00E01FF1" w:rsidRPr="00AA3F66">
        <w:rPr>
          <w:bCs/>
        </w:rPr>
        <w:t>мВтч</w:t>
      </w:r>
      <w:r w:rsidRPr="00AA3F66">
        <w:t>), произведена и реализирана на територията на страната и за износ, динамиката на цените на Европейския пазар, анализите на водещи финансови групи в ЕК и отчетеното спадане на цените през третото тримесечие на 2023 г. до нива под 200 лв./</w:t>
      </w:r>
      <w:r w:rsidR="00E01FF1" w:rsidRPr="00AA3F66">
        <w:rPr>
          <w:bCs/>
          <w:szCs w:val="24"/>
        </w:rPr>
        <w:t xml:space="preserve"> </w:t>
      </w:r>
      <w:r w:rsidR="00E01FF1" w:rsidRPr="00AA3F66">
        <w:rPr>
          <w:bCs/>
        </w:rPr>
        <w:t>мВтч</w:t>
      </w:r>
      <w:r w:rsidRPr="00AA3F66">
        <w:t xml:space="preserve"> </w:t>
      </w:r>
      <w:r w:rsidR="00E01FF1" w:rsidRPr="00AA3F66">
        <w:t xml:space="preserve">и </w:t>
      </w:r>
      <w:r w:rsidRPr="00AA3F66">
        <w:t>др.;</w:t>
      </w:r>
    </w:p>
    <w:p w:rsidR="001E1F8A" w:rsidRPr="00AA3F66" w:rsidRDefault="001E1F8A" w:rsidP="001E1F8A">
      <w:pPr>
        <w:pStyle w:val="ListParagraph"/>
        <w:numPr>
          <w:ilvl w:val="0"/>
          <w:numId w:val="44"/>
        </w:numPr>
      </w:pPr>
      <w:r w:rsidRPr="00AA3F66">
        <w:t>намаление на приходите по чл. 57, ал. 1 от Закона за ограничаване изменението на климата, при чието определяне влияние оказват тренда за изменение на цените на квотите, прогнозните нетни количества квоти за емисии на парникови газове, които Република България ще реализира на Европейската енергийна борса и прогнозните цени за евро/квота годините 2024, 2025 и 2026. При определяне размера на приходите от продажба на квоти за емисии за парникови газове от инсталации чрез търг е отразено намалението им със 7%, като така намалените приходи е предвидено да постъпват по бюджета на ЕС;</w:t>
      </w:r>
    </w:p>
    <w:p w:rsidR="001A3BB8" w:rsidRPr="00AA3F66" w:rsidRDefault="00E23CDF" w:rsidP="00E23CDF">
      <w:pPr>
        <w:pStyle w:val="ListParagraph"/>
        <w:numPr>
          <w:ilvl w:val="0"/>
          <w:numId w:val="44"/>
        </w:numPr>
      </w:pPr>
      <w:r w:rsidRPr="00AA3F66">
        <w:t>през 2024 г. не са включени приходи от целеви вноски, представляващи положителната разлика между пазарните приходи без ДДС и определения таван на приходите за различния тип производител на електрическа енергия, положителната разлика между приходите без ДДС и  всички разходи, свързани с покупко-продажбата на количества електрическа енергия и т.н. за търговците и др., предвид че към настоящия момент е регламентирано тези приходи да постъпват по бюджета на фонда през 2023 г. В процес е изготвянето на оценки относно приходите и разходите при възстановяване действието на мерките и програмите в областта на енергетиката, поради което на този етап за 2024 г. не са предвидени постъпления от тези приходи.</w:t>
      </w:r>
    </w:p>
    <w:p w:rsidR="00C32A62" w:rsidRPr="00AA3F66" w:rsidRDefault="00C32A62" w:rsidP="00C32A62">
      <w:pPr>
        <w:pStyle w:val="Heading4"/>
        <w:spacing w:before="0" w:after="200"/>
      </w:pPr>
      <w:r w:rsidRPr="00AA3F66">
        <w:t>Приходи от дивидент за държавата</w:t>
      </w:r>
    </w:p>
    <w:p w:rsidR="00050A7D" w:rsidRPr="00AA3F66" w:rsidRDefault="00050A7D" w:rsidP="00050A7D">
      <w:pPr>
        <w:rPr>
          <w:rFonts w:eastAsia="Times New Roman"/>
        </w:rPr>
      </w:pPr>
      <w:r w:rsidRPr="00AA3F66">
        <w:rPr>
          <w:rFonts w:eastAsia="Times New Roman"/>
        </w:rPr>
        <w:t xml:space="preserve">Приходите от дивидент за държавата за периода 2024-2026 г. са изготвени при 100% отчисления, на база представена от министерствата информация за очакваните финансови резултати на ресорните им предприятия и търговски дружества. </w:t>
      </w:r>
    </w:p>
    <w:p w:rsidR="00050A7D" w:rsidRPr="00AA3F66" w:rsidRDefault="00050A7D" w:rsidP="00050A7D">
      <w:pPr>
        <w:rPr>
          <w:rFonts w:eastAsia="Times New Roman"/>
        </w:rPr>
      </w:pPr>
      <w:r w:rsidRPr="00AA3F66">
        <w:rPr>
          <w:rFonts w:eastAsia="Times New Roman"/>
        </w:rPr>
        <w:t>Размерът на прогнозираните приходи от дивидент е както следва:</w:t>
      </w:r>
    </w:p>
    <w:p w:rsidR="001E1F8A" w:rsidRPr="00AA3F66" w:rsidRDefault="001E1F8A" w:rsidP="001E1F8A">
      <w:pPr>
        <w:pStyle w:val="ListParagraph"/>
        <w:numPr>
          <w:ilvl w:val="0"/>
          <w:numId w:val="45"/>
        </w:numPr>
        <w:rPr>
          <w:rFonts w:eastAsia="Times New Roman"/>
        </w:rPr>
      </w:pPr>
      <w:r w:rsidRPr="00AA3F66">
        <w:rPr>
          <w:rFonts w:eastAsia="Times New Roman"/>
        </w:rPr>
        <w:t>за 2024 г. – 324,3 млн. лв.;</w:t>
      </w:r>
    </w:p>
    <w:p w:rsidR="001E1F8A" w:rsidRPr="00AA3F66" w:rsidRDefault="001E1F8A" w:rsidP="001E1F8A">
      <w:pPr>
        <w:pStyle w:val="ListParagraph"/>
        <w:numPr>
          <w:ilvl w:val="0"/>
          <w:numId w:val="45"/>
        </w:numPr>
        <w:rPr>
          <w:rFonts w:eastAsia="Times New Roman"/>
        </w:rPr>
      </w:pPr>
      <w:r w:rsidRPr="00AA3F66">
        <w:rPr>
          <w:rFonts w:eastAsia="Times New Roman"/>
        </w:rPr>
        <w:t>за 2025 г. – 1 019,5 млн. лв.;</w:t>
      </w:r>
    </w:p>
    <w:p w:rsidR="001E1F8A" w:rsidRPr="00AA3F66" w:rsidRDefault="001E1F8A" w:rsidP="001E1F8A">
      <w:pPr>
        <w:pStyle w:val="ListParagraph"/>
        <w:numPr>
          <w:ilvl w:val="0"/>
          <w:numId w:val="45"/>
        </w:numPr>
        <w:rPr>
          <w:rFonts w:eastAsia="Times New Roman"/>
        </w:rPr>
      </w:pPr>
      <w:r w:rsidRPr="00AA3F66">
        <w:rPr>
          <w:rFonts w:eastAsia="Times New Roman"/>
        </w:rPr>
        <w:t>за 2026 г. – 1 573,0 млн. лв.</w:t>
      </w:r>
    </w:p>
    <w:p w:rsidR="00050A7D" w:rsidRPr="00AA3F66" w:rsidRDefault="00050A7D" w:rsidP="00050A7D">
      <w:pPr>
        <w:rPr>
          <w:rFonts w:eastAsia="Times New Roman"/>
        </w:rPr>
      </w:pPr>
      <w:r w:rsidRPr="00AA3F66">
        <w:rPr>
          <w:rFonts w:eastAsia="Times New Roman"/>
        </w:rPr>
        <w:t>Основните допускания, на база на които е изготвена прогнозата за приходи от дивидент, са следните:</w:t>
      </w:r>
    </w:p>
    <w:p w:rsidR="00050A7D" w:rsidRPr="00AA3F66" w:rsidRDefault="00050A7D" w:rsidP="00B30642">
      <w:pPr>
        <w:numPr>
          <w:ilvl w:val="0"/>
          <w:numId w:val="14"/>
        </w:numPr>
        <w:rPr>
          <w:rFonts w:eastAsia="Times New Roman"/>
        </w:rPr>
      </w:pPr>
      <w:r w:rsidRPr="00AA3F66">
        <w:rPr>
          <w:rFonts w:eastAsia="Times New Roman"/>
        </w:rPr>
        <w:t>ставка за отчисления за периода 2024-2026 г. - 100 на сто.</w:t>
      </w:r>
    </w:p>
    <w:p w:rsidR="00050A7D" w:rsidRPr="00AA3F66" w:rsidRDefault="00050A7D" w:rsidP="00B30642">
      <w:pPr>
        <w:numPr>
          <w:ilvl w:val="0"/>
          <w:numId w:val="14"/>
        </w:numPr>
        <w:rPr>
          <w:rFonts w:eastAsia="Times New Roman"/>
        </w:rPr>
      </w:pPr>
      <w:r w:rsidRPr="00AA3F66">
        <w:rPr>
          <w:rFonts w:eastAsia="Times New Roman"/>
        </w:rPr>
        <w:t>изключване на лечебните заведения за болнична помощ, центровете за психично здраве, бюджетните организации и дружествата от отрасъл „Водоснабдяване и канализация“ от обхвата на Разпореждането на Министерския съвет за установяване и внасяне в полза на държавата на отчисления от печалбата от държавни предприятия и търговски дружества с държавно участие в капитала.</w:t>
      </w:r>
    </w:p>
    <w:p w:rsidR="00C32A62" w:rsidRPr="00AA3F66" w:rsidRDefault="00C32A62" w:rsidP="00C32A62">
      <w:pPr>
        <w:pStyle w:val="Heading4"/>
        <w:spacing w:before="0" w:after="200"/>
      </w:pPr>
      <w:r w:rsidRPr="00AA3F66">
        <w:t>Приходи от наеми за държавата</w:t>
      </w:r>
    </w:p>
    <w:p w:rsidR="00050A7D" w:rsidRPr="00AA3F66" w:rsidRDefault="00050A7D" w:rsidP="00050A7D">
      <w:pPr>
        <w:rPr>
          <w:bCs/>
        </w:rPr>
      </w:pPr>
      <w:r w:rsidRPr="00AA3F66">
        <w:rPr>
          <w:bCs/>
        </w:rPr>
        <w:t>Приходите от наеми за държавата за периода 2024-2026 г. са разчетени при 50% отчисления от наемите, получени от държавните предприятия и едноличните търговски дружества, в т.ч. от дъщерните им дружества, отдали под наем предоставените им застроени или незастроени недвижими имоти.</w:t>
      </w:r>
    </w:p>
    <w:p w:rsidR="00C32A62" w:rsidRPr="00AA3F66" w:rsidRDefault="00C32A62" w:rsidP="00C32A62">
      <w:pPr>
        <w:rPr>
          <w:rFonts w:eastAsia="Times New Roman"/>
        </w:rPr>
      </w:pPr>
      <w:r w:rsidRPr="00AA3F66">
        <w:t xml:space="preserve">Размерът на прогнозираните приходи е по </w:t>
      </w:r>
      <w:r w:rsidRPr="00AA3F66">
        <w:rPr>
          <w:rFonts w:eastAsia="Batang"/>
        </w:rPr>
        <w:t>8,0</w:t>
      </w:r>
      <w:r w:rsidRPr="00AA3F66">
        <w:rPr>
          <w:rFonts w:eastAsia="Times New Roman"/>
        </w:rPr>
        <w:t xml:space="preserve"> млн. лв. </w:t>
      </w:r>
      <w:r w:rsidR="00050A7D" w:rsidRPr="00AA3F66">
        <w:rPr>
          <w:rFonts w:eastAsia="Times New Roman"/>
        </w:rPr>
        <w:t>годишно за периода 2024-2026</w:t>
      </w:r>
      <w:r w:rsidR="0066436A" w:rsidRPr="00AA3F66">
        <w:rPr>
          <w:rFonts w:eastAsia="Times New Roman"/>
        </w:rPr>
        <w:t xml:space="preserve"> г.</w:t>
      </w:r>
    </w:p>
    <w:p w:rsidR="00C32A62" w:rsidRPr="00AA3F66" w:rsidRDefault="00C32A62" w:rsidP="00C32A62">
      <w:pPr>
        <w:pStyle w:val="Heading4"/>
        <w:spacing w:before="0" w:after="200"/>
      </w:pPr>
      <w:r w:rsidRPr="00AA3F66">
        <w:t>Приходи от концесионна дейност</w:t>
      </w:r>
    </w:p>
    <w:p w:rsidR="001E1F8A" w:rsidRPr="00AA3F66" w:rsidRDefault="001E1F8A" w:rsidP="001E1F8A">
      <w:pPr>
        <w:rPr>
          <w:rFonts w:eastAsia="Calibri"/>
          <w:szCs w:val="24"/>
        </w:rPr>
      </w:pPr>
      <w:r w:rsidRPr="00AA3F66">
        <w:rPr>
          <w:rFonts w:eastAsia="Calibri"/>
          <w:szCs w:val="24"/>
        </w:rPr>
        <w:t>Прогнозните приходи от концесии за 2024 г. възлизат на 2</w:t>
      </w:r>
      <w:r w:rsidR="00234D7A" w:rsidRPr="00AA3F66">
        <w:rPr>
          <w:rFonts w:eastAsia="Calibri"/>
          <w:szCs w:val="24"/>
        </w:rPr>
        <w:t>15</w:t>
      </w:r>
      <w:r w:rsidRPr="00AA3F66">
        <w:rPr>
          <w:rFonts w:eastAsia="Calibri"/>
          <w:szCs w:val="24"/>
        </w:rPr>
        <w:t>,</w:t>
      </w:r>
      <w:r w:rsidR="00234D7A" w:rsidRPr="00AA3F66">
        <w:rPr>
          <w:rFonts w:eastAsia="Calibri"/>
          <w:szCs w:val="24"/>
        </w:rPr>
        <w:t>8</w:t>
      </w:r>
      <w:r w:rsidRPr="00AA3F66">
        <w:rPr>
          <w:rFonts w:eastAsia="Calibri"/>
          <w:szCs w:val="24"/>
        </w:rPr>
        <w:t xml:space="preserve"> млн. лв., като от тях 129,7</w:t>
      </w:r>
      <w:r w:rsidR="00234D7A" w:rsidRPr="00AA3F66">
        <w:rPr>
          <w:rFonts w:eastAsia="Calibri"/>
          <w:szCs w:val="24"/>
        </w:rPr>
        <w:t xml:space="preserve"> </w:t>
      </w:r>
      <w:r w:rsidRPr="00AA3F66">
        <w:rPr>
          <w:rFonts w:eastAsia="Calibri"/>
          <w:szCs w:val="24"/>
        </w:rPr>
        <w:t xml:space="preserve">млн. лв. се очаква да постъпят по бюджетите на министерствата и Министерския съвет и </w:t>
      </w:r>
      <w:r w:rsidR="00234D7A" w:rsidRPr="00AA3F66">
        <w:rPr>
          <w:rFonts w:eastAsia="Calibri"/>
          <w:szCs w:val="24"/>
        </w:rPr>
        <w:t>86,1</w:t>
      </w:r>
      <w:r w:rsidRPr="00AA3F66">
        <w:rPr>
          <w:rFonts w:eastAsia="Calibri"/>
          <w:szCs w:val="24"/>
        </w:rPr>
        <w:t xml:space="preserve"> млн. лв. по бюджетите на общините, на чиито територии се намират находищата на подземни богатства, минералните води, морските плажове</w:t>
      </w:r>
      <w:r w:rsidRPr="00AA3F66">
        <w:rPr>
          <w:rFonts w:eastAsia="Calibri"/>
          <w:bCs/>
          <w:szCs w:val="24"/>
        </w:rPr>
        <w:t xml:space="preserve"> и концесионната площ по концесионния договор „Ски зона с център Банско – част от територията на Национален парк – „Пирин”</w:t>
      </w:r>
      <w:r w:rsidRPr="00AA3F66">
        <w:rPr>
          <w:rFonts w:eastAsia="Calibri"/>
          <w:szCs w:val="24"/>
        </w:rPr>
        <w:t xml:space="preserve">. </w:t>
      </w:r>
    </w:p>
    <w:p w:rsidR="001E1F8A" w:rsidRPr="00AA3F66" w:rsidRDefault="001E1F8A" w:rsidP="001E1F8A">
      <w:pPr>
        <w:rPr>
          <w:rFonts w:eastAsia="Calibri"/>
          <w:szCs w:val="24"/>
        </w:rPr>
      </w:pPr>
      <w:r w:rsidRPr="00AA3F66">
        <w:rPr>
          <w:rFonts w:eastAsia="Calibri"/>
          <w:szCs w:val="24"/>
        </w:rPr>
        <w:t xml:space="preserve">За 2025 г. се предвиждат приходи от концесии в размер на </w:t>
      </w:r>
      <w:r w:rsidR="00234D7A" w:rsidRPr="00AA3F66">
        <w:rPr>
          <w:rFonts w:eastAsia="Calibri"/>
          <w:szCs w:val="24"/>
        </w:rPr>
        <w:t xml:space="preserve">275,5 </w:t>
      </w:r>
      <w:r w:rsidRPr="00AA3F66">
        <w:rPr>
          <w:rFonts w:eastAsia="Calibri"/>
          <w:szCs w:val="24"/>
        </w:rPr>
        <w:t>млн. лв.</w:t>
      </w:r>
      <w:r w:rsidR="00234D7A" w:rsidRPr="00AA3F66">
        <w:rPr>
          <w:rFonts w:eastAsia="Calibri"/>
          <w:szCs w:val="24"/>
        </w:rPr>
        <w:t xml:space="preserve">, като от тях </w:t>
      </w:r>
      <w:r w:rsidRPr="00AA3F66">
        <w:rPr>
          <w:rFonts w:eastAsia="Calibri"/>
          <w:szCs w:val="24"/>
        </w:rPr>
        <w:t>169,7</w:t>
      </w:r>
      <w:r w:rsidR="00234D7A" w:rsidRPr="00AA3F66">
        <w:rPr>
          <w:rFonts w:eastAsia="Calibri"/>
          <w:szCs w:val="24"/>
        </w:rPr>
        <w:t xml:space="preserve"> </w:t>
      </w:r>
      <w:r w:rsidRPr="00AA3F66">
        <w:rPr>
          <w:rFonts w:eastAsia="Calibri"/>
          <w:szCs w:val="24"/>
        </w:rPr>
        <w:t xml:space="preserve">млн. лв. се очаква да постъпят по бюджетите на министерствата и Министерския съвет, и </w:t>
      </w:r>
      <w:r w:rsidR="00234D7A" w:rsidRPr="00AA3F66">
        <w:rPr>
          <w:rFonts w:eastAsia="Calibri"/>
          <w:szCs w:val="24"/>
        </w:rPr>
        <w:t>105,8</w:t>
      </w:r>
      <w:r w:rsidRPr="00AA3F66">
        <w:rPr>
          <w:rFonts w:eastAsia="Calibri"/>
          <w:szCs w:val="24"/>
        </w:rPr>
        <w:t xml:space="preserve"> млн. лв. по бюджетите на общините. </w:t>
      </w:r>
    </w:p>
    <w:p w:rsidR="001E1F8A" w:rsidRPr="00AA3F66" w:rsidRDefault="001E1F8A" w:rsidP="001E1F8A">
      <w:pPr>
        <w:rPr>
          <w:rFonts w:eastAsia="Calibri"/>
          <w:szCs w:val="24"/>
        </w:rPr>
      </w:pPr>
      <w:r w:rsidRPr="00AA3F66">
        <w:rPr>
          <w:rFonts w:eastAsia="Calibri"/>
          <w:szCs w:val="24"/>
        </w:rPr>
        <w:t xml:space="preserve">За 2026 г. се предвиждат приходи от концесии в размер на </w:t>
      </w:r>
      <w:r w:rsidR="001B4C1B" w:rsidRPr="00AA3F66">
        <w:rPr>
          <w:rFonts w:eastAsia="Calibri"/>
          <w:szCs w:val="24"/>
        </w:rPr>
        <w:t>268,3</w:t>
      </w:r>
      <w:r w:rsidRPr="00AA3F66">
        <w:rPr>
          <w:rFonts w:eastAsia="Calibri"/>
          <w:szCs w:val="24"/>
        </w:rPr>
        <w:t xml:space="preserve"> млн. лв., като от тях 161,5</w:t>
      </w:r>
      <w:r w:rsidR="00234D7A" w:rsidRPr="00AA3F66">
        <w:rPr>
          <w:rFonts w:eastAsia="Calibri"/>
          <w:szCs w:val="24"/>
        </w:rPr>
        <w:t xml:space="preserve"> </w:t>
      </w:r>
      <w:r w:rsidRPr="00AA3F66">
        <w:rPr>
          <w:rFonts w:eastAsia="Calibri"/>
          <w:szCs w:val="24"/>
        </w:rPr>
        <w:t xml:space="preserve">млн. лв. се очаква да постъпят по бюджетите на министерствата и Министерския съвет, и </w:t>
      </w:r>
      <w:r w:rsidR="001B4C1B" w:rsidRPr="00AA3F66">
        <w:rPr>
          <w:rFonts w:eastAsia="Calibri"/>
          <w:szCs w:val="24"/>
        </w:rPr>
        <w:t>106,8</w:t>
      </w:r>
      <w:r w:rsidRPr="00AA3F66">
        <w:rPr>
          <w:rFonts w:eastAsia="Calibri"/>
          <w:szCs w:val="24"/>
        </w:rPr>
        <w:t xml:space="preserve"> млн. лв. по бюджетите на общините. </w:t>
      </w:r>
    </w:p>
    <w:p w:rsidR="00917873" w:rsidRPr="00AA3F66" w:rsidRDefault="00050A7D" w:rsidP="00050A7D">
      <w:pPr>
        <w:rPr>
          <w:rFonts w:eastAsia="Calibri"/>
          <w:szCs w:val="24"/>
        </w:rPr>
      </w:pPr>
      <w:r w:rsidRPr="00AA3F66">
        <w:rPr>
          <w:rFonts w:eastAsia="Calibri"/>
          <w:szCs w:val="24"/>
        </w:rPr>
        <w:t>Основна мярка за повишаване събираемостта на приходите от концесии е подобряване на контрола върху концесионните договори, както и своевременно начисляване и предявяване на предвидените неустойки по договорите, завеждане на съдебни дела и прекратяване на концесионни договори със стари задължения. Предвижда се и сключване на нови договори за концесия. В резултат на работата на междуведомствена работна група се предвижда да се подготвят промени в нормативната уредба, касаеща реда и начина за определяне на концесионните възнаграждения.</w:t>
      </w:r>
    </w:p>
    <w:p w:rsidR="00917873" w:rsidRPr="00AA3F66" w:rsidRDefault="00083361" w:rsidP="00917873">
      <w:pPr>
        <w:pStyle w:val="Heading2"/>
      </w:pPr>
      <w:bookmarkStart w:id="319" w:name="_Toc151557301"/>
      <w:r w:rsidRPr="00AA3F66">
        <w:t>Р</w:t>
      </w:r>
      <w:r w:rsidR="00D427A3" w:rsidRPr="00AA3F66">
        <w:t>АЗХОДНИ ПОЛИТИКИ ЗА ПЕРИОДА 2024</w:t>
      </w:r>
      <w:r w:rsidR="001228E3" w:rsidRPr="00AA3F66">
        <w:t>-20</w:t>
      </w:r>
      <w:r w:rsidR="00D427A3" w:rsidRPr="00AA3F66">
        <w:t>26</w:t>
      </w:r>
      <w:r w:rsidR="00AA3035" w:rsidRPr="00AA3F66">
        <w:t> г.</w:t>
      </w:r>
      <w:bookmarkEnd w:id="270"/>
      <w:bookmarkEnd w:id="271"/>
      <w:bookmarkEnd w:id="272"/>
      <w:bookmarkEnd w:id="273"/>
      <w:bookmarkEnd w:id="274"/>
      <w:bookmarkEnd w:id="275"/>
      <w:bookmarkEnd w:id="276"/>
      <w:bookmarkEnd w:id="277"/>
      <w:bookmarkEnd w:id="278"/>
      <w:bookmarkEnd w:id="279"/>
      <w:bookmarkEnd w:id="280"/>
      <w:bookmarkEnd w:id="319"/>
    </w:p>
    <w:p w:rsidR="002E6B22" w:rsidRDefault="00AA0D61" w:rsidP="002E6B22">
      <w:pPr>
        <w:pStyle w:val="Caption"/>
      </w:pPr>
      <w:r w:rsidRPr="00AA3F66">
        <w:t xml:space="preserve">Граф. </w:t>
      </w:r>
      <w:fldSimple w:instr=" STYLEREF 1 \s ">
        <w:r w:rsidR="005A69ED">
          <w:rPr>
            <w:noProof/>
          </w:rPr>
          <w:t>III</w:t>
        </w:r>
      </w:fldSimple>
      <w:r w:rsidRPr="00AA3F66">
        <w:noBreakHyphen/>
        <w:t>1:</w:t>
      </w:r>
      <w:r w:rsidRPr="00AA3F66">
        <w:tab/>
        <w:t>Структура на разх</w:t>
      </w:r>
      <w:r w:rsidR="000208CE" w:rsidRPr="00AA3F66">
        <w:t xml:space="preserve">одите по КФП в % за периода </w:t>
      </w:r>
      <w:r w:rsidR="00AD3C6A" w:rsidRPr="00AA3F66">
        <w:t>2023</w:t>
      </w:r>
      <w:r w:rsidRPr="00AA3F66">
        <w:t>-202</w:t>
      </w:r>
      <w:r w:rsidR="00AD3C6A" w:rsidRPr="00AA3F66">
        <w:t>6</w:t>
      </w:r>
      <w:r w:rsidRPr="00AA3F66">
        <w:t xml:space="preserve"> г., вкл. резерв и вноска в бюджета на ЕС </w:t>
      </w:r>
      <w:r w:rsidRPr="00AA3F66">
        <w:rPr>
          <w:vertAlign w:val="superscript"/>
        </w:rPr>
        <w:footnoteReference w:id="20"/>
      </w:r>
      <w:r w:rsidR="008669F1" w:rsidRPr="00AA3F66">
        <w:t xml:space="preserve"> </w:t>
      </w:r>
    </w:p>
    <w:p w:rsidR="00BC76AA" w:rsidRDefault="00BC76AA" w:rsidP="00BC76AA">
      <w:r w:rsidRPr="001C0F68">
        <w:rPr>
          <w:b/>
          <w:i/>
          <w:noProof/>
          <w:sz w:val="18"/>
          <w:szCs w:val="18"/>
        </w:rPr>
        <w:drawing>
          <wp:inline distT="0" distB="0" distL="0" distR="0" wp14:anchorId="1751E131" wp14:editId="3B38C31B">
            <wp:extent cx="5759450" cy="2941466"/>
            <wp:effectExtent l="0" t="0" r="12700" b="1143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1A0F3E" w:rsidRPr="00AA3F66" w:rsidRDefault="001A0F3E" w:rsidP="001A0F3E">
      <w:pPr>
        <w:jc w:val="right"/>
        <w:rPr>
          <w:rFonts w:eastAsia="Batang" w:cs="Times New Roman"/>
          <w:sz w:val="18"/>
          <w:szCs w:val="18"/>
        </w:rPr>
      </w:pPr>
      <w:r w:rsidRPr="00AA3F66">
        <w:rPr>
          <w:rFonts w:eastAsia="Batang" w:cs="Times New Roman"/>
          <w:sz w:val="18"/>
          <w:szCs w:val="18"/>
        </w:rPr>
        <w:t>Източник: МФ</w:t>
      </w:r>
    </w:p>
    <w:p w:rsidR="00090330" w:rsidRDefault="005D669C" w:rsidP="005D669C">
      <w:pPr>
        <w:pStyle w:val="Caption"/>
        <w:spacing w:before="360"/>
        <w:rPr>
          <w:rFonts w:cs="Calibri"/>
          <w:color w:val="000000"/>
          <w:szCs w:val="24"/>
        </w:rPr>
      </w:pPr>
      <w:bookmarkStart w:id="320" w:name="_Toc150443424"/>
      <w:r w:rsidRPr="00AA3F66">
        <w:t xml:space="preserve">Табл. </w:t>
      </w:r>
      <w:fldSimple w:instr=" STYLEREF 1 \s ">
        <w:r w:rsidR="005A69ED">
          <w:rPr>
            <w:noProof/>
          </w:rPr>
          <w:t>III</w:t>
        </w:r>
      </w:fldSimple>
      <w:r w:rsidRPr="00AA3F66">
        <w:noBreakHyphen/>
      </w:r>
      <w:fldSimple w:instr=" SEQ Табл. \* ARABIC \s 1 ">
        <w:r w:rsidR="005A69ED">
          <w:rPr>
            <w:noProof/>
          </w:rPr>
          <w:t>1</w:t>
        </w:r>
      </w:fldSimple>
      <w:r w:rsidRPr="00AA3F66">
        <w:t>:</w:t>
      </w:r>
      <w:r w:rsidRPr="00AA3F66">
        <w:tab/>
      </w:r>
      <w:r w:rsidRPr="00AA3F66">
        <w:rPr>
          <w:rFonts w:cs="Calibri"/>
          <w:color w:val="000000"/>
          <w:szCs w:val="24"/>
        </w:rPr>
        <w:t>Разходи п</w:t>
      </w:r>
      <w:r w:rsidR="000208CE" w:rsidRPr="00AA3F66">
        <w:rPr>
          <w:rFonts w:cs="Calibri"/>
          <w:color w:val="000000"/>
          <w:szCs w:val="24"/>
        </w:rPr>
        <w:t xml:space="preserve">о функции по КФП за периода </w:t>
      </w:r>
      <w:r w:rsidR="00AD3C6A" w:rsidRPr="00AA3F66">
        <w:rPr>
          <w:rFonts w:cs="Calibri"/>
          <w:color w:val="000000"/>
          <w:szCs w:val="24"/>
        </w:rPr>
        <w:t>2023</w:t>
      </w:r>
      <w:r w:rsidRPr="00AA3F66">
        <w:rPr>
          <w:rFonts w:cs="Calibri"/>
          <w:color w:val="000000"/>
          <w:szCs w:val="24"/>
        </w:rPr>
        <w:t>-202</w:t>
      </w:r>
      <w:r w:rsidR="00AD3C6A" w:rsidRPr="00AA3F66">
        <w:rPr>
          <w:rFonts w:cs="Calibri"/>
          <w:color w:val="000000"/>
          <w:szCs w:val="24"/>
        </w:rPr>
        <w:t>6</w:t>
      </w:r>
      <w:r w:rsidRPr="00AA3F66">
        <w:rPr>
          <w:rFonts w:cs="Calibri"/>
          <w:color w:val="000000"/>
          <w:szCs w:val="24"/>
        </w:rPr>
        <w:t> г. с разпределен резерв по функции (без вноска в общия бюджет на ЕС)</w:t>
      </w:r>
      <w:bookmarkEnd w:id="320"/>
    </w:p>
    <w:tbl>
      <w:tblPr>
        <w:tblW w:w="9943" w:type="dxa"/>
        <w:tblCellMar>
          <w:left w:w="70" w:type="dxa"/>
          <w:right w:w="70" w:type="dxa"/>
        </w:tblCellMar>
        <w:tblLook w:val="04A0" w:firstRow="1" w:lastRow="0" w:firstColumn="1" w:lastColumn="0" w:noHBand="0" w:noVBand="1"/>
      </w:tblPr>
      <w:tblGrid>
        <w:gridCol w:w="2694"/>
        <w:gridCol w:w="962"/>
        <w:gridCol w:w="880"/>
        <w:gridCol w:w="908"/>
        <w:gridCol w:w="908"/>
        <w:gridCol w:w="955"/>
        <w:gridCol w:w="820"/>
        <w:gridCol w:w="908"/>
        <w:gridCol w:w="908"/>
      </w:tblGrid>
      <w:tr w:rsidR="00CA3C05" w:rsidRPr="00CA3C05" w:rsidTr="00CA3C05">
        <w:trPr>
          <w:trHeight w:val="285"/>
          <w:tblHeader/>
        </w:trPr>
        <w:tc>
          <w:tcPr>
            <w:tcW w:w="2694" w:type="dxa"/>
            <w:vMerge w:val="restart"/>
            <w:tcBorders>
              <w:top w:val="single" w:sz="4" w:space="0" w:color="595959"/>
              <w:left w:val="nil"/>
              <w:bottom w:val="single" w:sz="4" w:space="0" w:color="595959"/>
              <w:right w:val="nil"/>
            </w:tcBorders>
            <w:shd w:val="clear" w:color="000000" w:fill="FFFFFF"/>
            <w:vAlign w:val="center"/>
            <w:hideMark/>
          </w:tcPr>
          <w:p w:rsidR="00CA3C05" w:rsidRPr="00CA3C05" w:rsidRDefault="00CA3C05" w:rsidP="00CA3C05">
            <w:pPr>
              <w:spacing w:after="0"/>
              <w:jc w:val="center"/>
              <w:rPr>
                <w:rFonts w:eastAsia="Times New Roman" w:cs="Times New Roman"/>
                <w:b/>
                <w:bCs/>
                <w:sz w:val="18"/>
                <w:szCs w:val="18"/>
              </w:rPr>
            </w:pPr>
            <w:r w:rsidRPr="00CA3C05">
              <w:rPr>
                <w:rFonts w:eastAsia="Times New Roman" w:cs="Times New Roman"/>
                <w:b/>
                <w:bCs/>
                <w:sz w:val="18"/>
                <w:szCs w:val="18"/>
              </w:rPr>
              <w:t>ПОКАЗАТЕЛИ</w:t>
            </w:r>
          </w:p>
        </w:tc>
        <w:tc>
          <w:tcPr>
            <w:tcW w:w="3654" w:type="dxa"/>
            <w:gridSpan w:val="4"/>
            <w:tcBorders>
              <w:top w:val="single" w:sz="4" w:space="0" w:color="auto"/>
              <w:left w:val="nil"/>
              <w:bottom w:val="single" w:sz="4" w:space="0" w:color="auto"/>
              <w:right w:val="nil"/>
            </w:tcBorders>
            <w:shd w:val="clear" w:color="000000" w:fill="FFFFFF"/>
            <w:vAlign w:val="bottom"/>
            <w:hideMark/>
          </w:tcPr>
          <w:p w:rsidR="00CA3C05" w:rsidRPr="00CA3C05" w:rsidRDefault="00CA3C05" w:rsidP="00CA3C05">
            <w:pPr>
              <w:spacing w:after="0"/>
              <w:jc w:val="center"/>
              <w:rPr>
                <w:rFonts w:eastAsia="Times New Roman" w:cs="Times New Roman"/>
                <w:b/>
                <w:bCs/>
                <w:color w:val="000000"/>
                <w:sz w:val="18"/>
                <w:szCs w:val="18"/>
              </w:rPr>
            </w:pPr>
            <w:r w:rsidRPr="00CA3C05">
              <w:rPr>
                <w:rFonts w:eastAsia="Times New Roman" w:cs="Times New Roman"/>
                <w:b/>
                <w:bCs/>
                <w:color w:val="000000"/>
                <w:sz w:val="18"/>
                <w:szCs w:val="18"/>
              </w:rPr>
              <w:t>млн. лв.</w:t>
            </w:r>
          </w:p>
        </w:tc>
        <w:tc>
          <w:tcPr>
            <w:tcW w:w="3591" w:type="dxa"/>
            <w:gridSpan w:val="4"/>
            <w:tcBorders>
              <w:top w:val="single" w:sz="4" w:space="0" w:color="auto"/>
              <w:left w:val="nil"/>
              <w:bottom w:val="single" w:sz="4" w:space="0" w:color="auto"/>
              <w:right w:val="nil"/>
            </w:tcBorders>
            <w:shd w:val="clear" w:color="000000" w:fill="F2F2F2"/>
            <w:vAlign w:val="bottom"/>
            <w:hideMark/>
          </w:tcPr>
          <w:p w:rsidR="00CA3C05" w:rsidRPr="00CA3C05" w:rsidRDefault="00CA3C05" w:rsidP="00CA3C05">
            <w:pPr>
              <w:spacing w:after="0"/>
              <w:jc w:val="center"/>
              <w:rPr>
                <w:rFonts w:eastAsia="Times New Roman" w:cs="Times New Roman"/>
                <w:b/>
                <w:bCs/>
                <w:color w:val="000000"/>
                <w:sz w:val="18"/>
                <w:szCs w:val="18"/>
              </w:rPr>
            </w:pPr>
            <w:r w:rsidRPr="00CA3C05">
              <w:rPr>
                <w:rFonts w:eastAsia="Times New Roman" w:cs="Times New Roman"/>
                <w:b/>
                <w:bCs/>
                <w:color w:val="000000"/>
                <w:sz w:val="18"/>
                <w:szCs w:val="18"/>
              </w:rPr>
              <w:t>% от БВП</w:t>
            </w:r>
          </w:p>
        </w:tc>
      </w:tr>
      <w:tr w:rsidR="00CA3C05" w:rsidRPr="00CA3C05" w:rsidTr="00CA3C05">
        <w:trPr>
          <w:trHeight w:val="285"/>
          <w:tblHeader/>
        </w:trPr>
        <w:tc>
          <w:tcPr>
            <w:tcW w:w="2694" w:type="dxa"/>
            <w:vMerge/>
            <w:tcBorders>
              <w:top w:val="single" w:sz="4" w:space="0" w:color="595959"/>
              <w:left w:val="nil"/>
              <w:bottom w:val="single" w:sz="4" w:space="0" w:color="595959"/>
              <w:right w:val="nil"/>
            </w:tcBorders>
            <w:vAlign w:val="center"/>
            <w:hideMark/>
          </w:tcPr>
          <w:p w:rsidR="00CA3C05" w:rsidRPr="00CA3C05" w:rsidRDefault="00CA3C05" w:rsidP="00CA3C05">
            <w:pPr>
              <w:spacing w:after="0"/>
              <w:jc w:val="left"/>
              <w:rPr>
                <w:rFonts w:eastAsia="Times New Roman" w:cs="Times New Roman"/>
                <w:b/>
                <w:bCs/>
                <w:sz w:val="18"/>
                <w:szCs w:val="18"/>
              </w:rPr>
            </w:pPr>
          </w:p>
        </w:tc>
        <w:tc>
          <w:tcPr>
            <w:tcW w:w="962" w:type="dxa"/>
            <w:tcBorders>
              <w:top w:val="nil"/>
              <w:left w:val="nil"/>
              <w:bottom w:val="nil"/>
              <w:right w:val="nil"/>
            </w:tcBorders>
            <w:shd w:val="clear" w:color="000000" w:fill="FFFFFF"/>
            <w:noWrap/>
            <w:vAlign w:val="center"/>
            <w:hideMark/>
          </w:tcPr>
          <w:p w:rsidR="00CA3C05" w:rsidRPr="00CA3C05" w:rsidRDefault="00CA3C05" w:rsidP="00CA3C05">
            <w:pPr>
              <w:spacing w:after="0"/>
              <w:jc w:val="center"/>
              <w:rPr>
                <w:rFonts w:eastAsia="Times New Roman" w:cs="Times New Roman"/>
                <w:b/>
                <w:bCs/>
                <w:sz w:val="18"/>
                <w:szCs w:val="18"/>
              </w:rPr>
            </w:pPr>
            <w:r w:rsidRPr="00CA3C05">
              <w:rPr>
                <w:rFonts w:eastAsia="Times New Roman" w:cs="Times New Roman"/>
                <w:b/>
                <w:bCs/>
                <w:sz w:val="18"/>
                <w:szCs w:val="18"/>
              </w:rPr>
              <w:t>2023</w:t>
            </w:r>
          </w:p>
        </w:tc>
        <w:tc>
          <w:tcPr>
            <w:tcW w:w="880" w:type="dxa"/>
            <w:tcBorders>
              <w:top w:val="nil"/>
              <w:left w:val="nil"/>
              <w:bottom w:val="nil"/>
              <w:right w:val="nil"/>
            </w:tcBorders>
            <w:shd w:val="clear" w:color="000000" w:fill="FFFFFF"/>
            <w:noWrap/>
            <w:vAlign w:val="center"/>
            <w:hideMark/>
          </w:tcPr>
          <w:p w:rsidR="00CA3C05" w:rsidRPr="00CA3C05" w:rsidRDefault="00CA3C05" w:rsidP="00CA3C05">
            <w:pPr>
              <w:spacing w:after="0"/>
              <w:jc w:val="center"/>
              <w:rPr>
                <w:rFonts w:eastAsia="Times New Roman" w:cs="Times New Roman"/>
                <w:b/>
                <w:bCs/>
                <w:sz w:val="18"/>
                <w:szCs w:val="18"/>
              </w:rPr>
            </w:pPr>
            <w:r w:rsidRPr="00CA3C05">
              <w:rPr>
                <w:rFonts w:eastAsia="Times New Roman" w:cs="Times New Roman"/>
                <w:b/>
                <w:bCs/>
                <w:sz w:val="18"/>
                <w:szCs w:val="18"/>
              </w:rPr>
              <w:t>2024</w:t>
            </w:r>
          </w:p>
        </w:tc>
        <w:tc>
          <w:tcPr>
            <w:tcW w:w="908" w:type="dxa"/>
            <w:tcBorders>
              <w:top w:val="nil"/>
              <w:left w:val="nil"/>
              <w:bottom w:val="nil"/>
              <w:right w:val="nil"/>
            </w:tcBorders>
            <w:shd w:val="clear" w:color="000000" w:fill="FFFFFF"/>
            <w:noWrap/>
            <w:vAlign w:val="center"/>
            <w:hideMark/>
          </w:tcPr>
          <w:p w:rsidR="00CA3C05" w:rsidRPr="00CA3C05" w:rsidRDefault="00CA3C05" w:rsidP="00CA3C05">
            <w:pPr>
              <w:spacing w:after="0"/>
              <w:jc w:val="center"/>
              <w:rPr>
                <w:rFonts w:eastAsia="Times New Roman" w:cs="Times New Roman"/>
                <w:b/>
                <w:bCs/>
                <w:sz w:val="18"/>
                <w:szCs w:val="18"/>
              </w:rPr>
            </w:pPr>
            <w:r w:rsidRPr="00CA3C05">
              <w:rPr>
                <w:rFonts w:eastAsia="Times New Roman" w:cs="Times New Roman"/>
                <w:b/>
                <w:bCs/>
                <w:sz w:val="18"/>
                <w:szCs w:val="18"/>
              </w:rPr>
              <w:t>2025</w:t>
            </w:r>
          </w:p>
        </w:tc>
        <w:tc>
          <w:tcPr>
            <w:tcW w:w="908" w:type="dxa"/>
            <w:tcBorders>
              <w:top w:val="nil"/>
              <w:left w:val="nil"/>
              <w:bottom w:val="nil"/>
              <w:right w:val="nil"/>
            </w:tcBorders>
            <w:shd w:val="clear" w:color="000000" w:fill="FFFFFF"/>
            <w:noWrap/>
            <w:vAlign w:val="center"/>
            <w:hideMark/>
          </w:tcPr>
          <w:p w:rsidR="00CA3C05" w:rsidRPr="00CA3C05" w:rsidRDefault="00CA3C05" w:rsidP="00CA3C05">
            <w:pPr>
              <w:spacing w:after="0"/>
              <w:jc w:val="center"/>
              <w:rPr>
                <w:rFonts w:eastAsia="Times New Roman" w:cs="Times New Roman"/>
                <w:b/>
                <w:bCs/>
                <w:sz w:val="18"/>
                <w:szCs w:val="18"/>
              </w:rPr>
            </w:pPr>
            <w:r w:rsidRPr="00CA3C05">
              <w:rPr>
                <w:rFonts w:eastAsia="Times New Roman" w:cs="Times New Roman"/>
                <w:b/>
                <w:bCs/>
                <w:sz w:val="18"/>
                <w:szCs w:val="18"/>
              </w:rPr>
              <w:t>2026</w:t>
            </w:r>
          </w:p>
        </w:tc>
        <w:tc>
          <w:tcPr>
            <w:tcW w:w="955" w:type="dxa"/>
            <w:tcBorders>
              <w:top w:val="nil"/>
              <w:left w:val="nil"/>
              <w:bottom w:val="nil"/>
              <w:right w:val="nil"/>
            </w:tcBorders>
            <w:shd w:val="clear" w:color="000000" w:fill="F2F2F2"/>
            <w:vAlign w:val="center"/>
            <w:hideMark/>
          </w:tcPr>
          <w:p w:rsidR="00CA3C05" w:rsidRPr="00CA3C05" w:rsidRDefault="00CA3C05" w:rsidP="00CA3C05">
            <w:pPr>
              <w:spacing w:after="0"/>
              <w:jc w:val="center"/>
              <w:rPr>
                <w:rFonts w:eastAsia="Times New Roman" w:cs="Times New Roman"/>
                <w:b/>
                <w:bCs/>
                <w:sz w:val="18"/>
                <w:szCs w:val="18"/>
              </w:rPr>
            </w:pPr>
            <w:r w:rsidRPr="00CA3C05">
              <w:rPr>
                <w:rFonts w:eastAsia="Times New Roman" w:cs="Times New Roman"/>
                <w:b/>
                <w:bCs/>
                <w:sz w:val="18"/>
                <w:szCs w:val="18"/>
              </w:rPr>
              <w:t>2023</w:t>
            </w:r>
          </w:p>
        </w:tc>
        <w:tc>
          <w:tcPr>
            <w:tcW w:w="820" w:type="dxa"/>
            <w:tcBorders>
              <w:top w:val="nil"/>
              <w:left w:val="nil"/>
              <w:bottom w:val="nil"/>
              <w:right w:val="nil"/>
            </w:tcBorders>
            <w:shd w:val="clear" w:color="000000" w:fill="F2F2F2"/>
            <w:vAlign w:val="center"/>
            <w:hideMark/>
          </w:tcPr>
          <w:p w:rsidR="00CA3C05" w:rsidRPr="00CA3C05" w:rsidRDefault="00CA3C05" w:rsidP="00CA3C05">
            <w:pPr>
              <w:spacing w:after="0"/>
              <w:jc w:val="center"/>
              <w:rPr>
                <w:rFonts w:eastAsia="Times New Roman" w:cs="Times New Roman"/>
                <w:b/>
                <w:bCs/>
                <w:sz w:val="18"/>
                <w:szCs w:val="18"/>
              </w:rPr>
            </w:pPr>
            <w:r w:rsidRPr="00CA3C05">
              <w:rPr>
                <w:rFonts w:eastAsia="Times New Roman" w:cs="Times New Roman"/>
                <w:b/>
                <w:bCs/>
                <w:sz w:val="18"/>
                <w:szCs w:val="18"/>
              </w:rPr>
              <w:t>2024</w:t>
            </w:r>
          </w:p>
        </w:tc>
        <w:tc>
          <w:tcPr>
            <w:tcW w:w="908" w:type="dxa"/>
            <w:tcBorders>
              <w:top w:val="nil"/>
              <w:left w:val="nil"/>
              <w:bottom w:val="nil"/>
              <w:right w:val="nil"/>
            </w:tcBorders>
            <w:shd w:val="clear" w:color="000000" w:fill="F2F2F2"/>
            <w:vAlign w:val="center"/>
            <w:hideMark/>
          </w:tcPr>
          <w:p w:rsidR="00CA3C05" w:rsidRPr="00CA3C05" w:rsidRDefault="00CA3C05" w:rsidP="00CA3C05">
            <w:pPr>
              <w:spacing w:after="0"/>
              <w:jc w:val="center"/>
              <w:rPr>
                <w:rFonts w:eastAsia="Times New Roman" w:cs="Times New Roman"/>
                <w:b/>
                <w:bCs/>
                <w:sz w:val="18"/>
                <w:szCs w:val="18"/>
              </w:rPr>
            </w:pPr>
            <w:r w:rsidRPr="00CA3C05">
              <w:rPr>
                <w:rFonts w:eastAsia="Times New Roman" w:cs="Times New Roman"/>
                <w:b/>
                <w:bCs/>
                <w:sz w:val="18"/>
                <w:szCs w:val="18"/>
              </w:rPr>
              <w:t>2025</w:t>
            </w:r>
          </w:p>
        </w:tc>
        <w:tc>
          <w:tcPr>
            <w:tcW w:w="908" w:type="dxa"/>
            <w:tcBorders>
              <w:top w:val="nil"/>
              <w:left w:val="nil"/>
              <w:bottom w:val="nil"/>
              <w:right w:val="nil"/>
            </w:tcBorders>
            <w:shd w:val="clear" w:color="000000" w:fill="F2F2F2"/>
            <w:vAlign w:val="center"/>
            <w:hideMark/>
          </w:tcPr>
          <w:p w:rsidR="00CA3C05" w:rsidRPr="00CA3C05" w:rsidRDefault="00CA3C05" w:rsidP="00CA3C05">
            <w:pPr>
              <w:spacing w:after="0"/>
              <w:jc w:val="center"/>
              <w:rPr>
                <w:rFonts w:eastAsia="Times New Roman" w:cs="Times New Roman"/>
                <w:b/>
                <w:bCs/>
                <w:sz w:val="18"/>
                <w:szCs w:val="18"/>
              </w:rPr>
            </w:pPr>
            <w:r w:rsidRPr="00CA3C05">
              <w:rPr>
                <w:rFonts w:eastAsia="Times New Roman" w:cs="Times New Roman"/>
                <w:b/>
                <w:bCs/>
                <w:sz w:val="18"/>
                <w:szCs w:val="18"/>
              </w:rPr>
              <w:t>2026</w:t>
            </w:r>
          </w:p>
        </w:tc>
      </w:tr>
      <w:tr w:rsidR="00CA3C05" w:rsidRPr="00CA3C05" w:rsidTr="00CA3C05">
        <w:trPr>
          <w:trHeight w:val="645"/>
          <w:tblHeader/>
        </w:trPr>
        <w:tc>
          <w:tcPr>
            <w:tcW w:w="2694" w:type="dxa"/>
            <w:vMerge/>
            <w:tcBorders>
              <w:top w:val="single" w:sz="4" w:space="0" w:color="595959"/>
              <w:left w:val="nil"/>
              <w:bottom w:val="single" w:sz="4" w:space="0" w:color="auto"/>
              <w:right w:val="nil"/>
            </w:tcBorders>
            <w:vAlign w:val="center"/>
            <w:hideMark/>
          </w:tcPr>
          <w:p w:rsidR="00CA3C05" w:rsidRPr="00CA3C05" w:rsidRDefault="00CA3C05" w:rsidP="00CA3C05">
            <w:pPr>
              <w:spacing w:after="0"/>
              <w:jc w:val="left"/>
              <w:rPr>
                <w:rFonts w:eastAsia="Times New Roman" w:cs="Times New Roman"/>
                <w:b/>
                <w:bCs/>
                <w:sz w:val="18"/>
                <w:szCs w:val="18"/>
              </w:rPr>
            </w:pPr>
          </w:p>
        </w:tc>
        <w:tc>
          <w:tcPr>
            <w:tcW w:w="962" w:type="dxa"/>
            <w:tcBorders>
              <w:top w:val="nil"/>
              <w:left w:val="nil"/>
              <w:bottom w:val="single" w:sz="4" w:space="0" w:color="auto"/>
              <w:right w:val="nil"/>
            </w:tcBorders>
            <w:shd w:val="clear" w:color="000000" w:fill="FFFFFF"/>
            <w:noWrap/>
            <w:vAlign w:val="center"/>
            <w:hideMark/>
          </w:tcPr>
          <w:p w:rsidR="00CA3C05" w:rsidRPr="00CA3C05" w:rsidRDefault="00CA3C05" w:rsidP="00CA3C05">
            <w:pPr>
              <w:spacing w:after="0"/>
              <w:jc w:val="center"/>
              <w:rPr>
                <w:rFonts w:eastAsia="Times New Roman" w:cs="Times New Roman"/>
                <w:b/>
                <w:bCs/>
                <w:sz w:val="18"/>
                <w:szCs w:val="18"/>
              </w:rPr>
            </w:pPr>
            <w:r w:rsidRPr="00CA3C05">
              <w:rPr>
                <w:rFonts w:eastAsia="Times New Roman" w:cs="Times New Roman"/>
                <w:b/>
                <w:bCs/>
                <w:sz w:val="18"/>
                <w:szCs w:val="18"/>
              </w:rPr>
              <w:t>Програма</w:t>
            </w:r>
          </w:p>
        </w:tc>
        <w:tc>
          <w:tcPr>
            <w:tcW w:w="880" w:type="dxa"/>
            <w:tcBorders>
              <w:top w:val="nil"/>
              <w:left w:val="nil"/>
              <w:bottom w:val="single" w:sz="4" w:space="0" w:color="auto"/>
              <w:right w:val="nil"/>
            </w:tcBorders>
            <w:shd w:val="clear" w:color="000000" w:fill="FFFFFF"/>
            <w:noWrap/>
            <w:vAlign w:val="center"/>
            <w:hideMark/>
          </w:tcPr>
          <w:p w:rsidR="00CA3C05" w:rsidRPr="00CA3C05" w:rsidRDefault="00CA3C05" w:rsidP="00CA3C05">
            <w:pPr>
              <w:spacing w:after="0"/>
              <w:jc w:val="center"/>
              <w:rPr>
                <w:rFonts w:eastAsia="Times New Roman" w:cs="Times New Roman"/>
                <w:b/>
                <w:bCs/>
                <w:sz w:val="18"/>
                <w:szCs w:val="18"/>
              </w:rPr>
            </w:pPr>
            <w:r w:rsidRPr="00CA3C05">
              <w:rPr>
                <w:rFonts w:eastAsia="Times New Roman" w:cs="Times New Roman"/>
                <w:b/>
                <w:bCs/>
                <w:sz w:val="18"/>
                <w:szCs w:val="18"/>
              </w:rPr>
              <w:t>Проект</w:t>
            </w:r>
          </w:p>
        </w:tc>
        <w:tc>
          <w:tcPr>
            <w:tcW w:w="908" w:type="dxa"/>
            <w:tcBorders>
              <w:top w:val="nil"/>
              <w:left w:val="nil"/>
              <w:bottom w:val="single" w:sz="4" w:space="0" w:color="auto"/>
              <w:right w:val="nil"/>
            </w:tcBorders>
            <w:shd w:val="clear" w:color="000000" w:fill="FFFFFF"/>
            <w:noWrap/>
            <w:vAlign w:val="center"/>
            <w:hideMark/>
          </w:tcPr>
          <w:p w:rsidR="00CA3C05" w:rsidRPr="00CA3C05" w:rsidRDefault="00CA3C05" w:rsidP="00CA3C05">
            <w:pPr>
              <w:spacing w:after="0"/>
              <w:jc w:val="center"/>
              <w:rPr>
                <w:rFonts w:eastAsia="Times New Roman" w:cs="Times New Roman"/>
                <w:b/>
                <w:bCs/>
                <w:sz w:val="18"/>
                <w:szCs w:val="18"/>
              </w:rPr>
            </w:pPr>
            <w:r w:rsidRPr="00CA3C05">
              <w:rPr>
                <w:rFonts w:eastAsia="Times New Roman" w:cs="Times New Roman"/>
                <w:b/>
                <w:bCs/>
                <w:sz w:val="18"/>
                <w:szCs w:val="18"/>
              </w:rPr>
              <w:t>Прогноза</w:t>
            </w:r>
          </w:p>
        </w:tc>
        <w:tc>
          <w:tcPr>
            <w:tcW w:w="908" w:type="dxa"/>
            <w:tcBorders>
              <w:top w:val="nil"/>
              <w:left w:val="nil"/>
              <w:bottom w:val="single" w:sz="4" w:space="0" w:color="auto"/>
              <w:right w:val="nil"/>
            </w:tcBorders>
            <w:shd w:val="clear" w:color="000000" w:fill="FFFFFF"/>
            <w:noWrap/>
            <w:vAlign w:val="center"/>
            <w:hideMark/>
          </w:tcPr>
          <w:p w:rsidR="00CA3C05" w:rsidRPr="00CA3C05" w:rsidRDefault="00CA3C05" w:rsidP="00CA3C05">
            <w:pPr>
              <w:spacing w:after="0"/>
              <w:jc w:val="center"/>
              <w:rPr>
                <w:rFonts w:eastAsia="Times New Roman" w:cs="Times New Roman"/>
                <w:b/>
                <w:bCs/>
                <w:sz w:val="18"/>
                <w:szCs w:val="18"/>
              </w:rPr>
            </w:pPr>
            <w:r w:rsidRPr="00CA3C05">
              <w:rPr>
                <w:rFonts w:eastAsia="Times New Roman" w:cs="Times New Roman"/>
                <w:b/>
                <w:bCs/>
                <w:sz w:val="18"/>
                <w:szCs w:val="18"/>
              </w:rPr>
              <w:t>Прогноза</w:t>
            </w:r>
          </w:p>
        </w:tc>
        <w:tc>
          <w:tcPr>
            <w:tcW w:w="955" w:type="dxa"/>
            <w:tcBorders>
              <w:top w:val="nil"/>
              <w:left w:val="nil"/>
              <w:bottom w:val="single" w:sz="4" w:space="0" w:color="auto"/>
              <w:right w:val="nil"/>
            </w:tcBorders>
            <w:shd w:val="clear" w:color="000000" w:fill="F2F2F2"/>
            <w:vAlign w:val="center"/>
            <w:hideMark/>
          </w:tcPr>
          <w:p w:rsidR="00CA3C05" w:rsidRPr="00CA3C05" w:rsidRDefault="00CA3C05" w:rsidP="00CA3C05">
            <w:pPr>
              <w:spacing w:after="0"/>
              <w:jc w:val="center"/>
              <w:rPr>
                <w:rFonts w:eastAsia="Times New Roman" w:cs="Times New Roman"/>
                <w:b/>
                <w:bCs/>
                <w:sz w:val="18"/>
                <w:szCs w:val="18"/>
              </w:rPr>
            </w:pPr>
            <w:r w:rsidRPr="00CA3C05">
              <w:rPr>
                <w:rFonts w:eastAsia="Times New Roman" w:cs="Times New Roman"/>
                <w:b/>
                <w:bCs/>
                <w:sz w:val="18"/>
                <w:szCs w:val="18"/>
              </w:rPr>
              <w:t>Програма</w:t>
            </w:r>
          </w:p>
        </w:tc>
        <w:tc>
          <w:tcPr>
            <w:tcW w:w="820" w:type="dxa"/>
            <w:tcBorders>
              <w:top w:val="nil"/>
              <w:left w:val="nil"/>
              <w:bottom w:val="single" w:sz="4" w:space="0" w:color="auto"/>
              <w:right w:val="nil"/>
            </w:tcBorders>
            <w:shd w:val="clear" w:color="000000" w:fill="F2F2F2"/>
            <w:vAlign w:val="center"/>
            <w:hideMark/>
          </w:tcPr>
          <w:p w:rsidR="00CA3C05" w:rsidRPr="00CA3C05" w:rsidRDefault="00CA3C05" w:rsidP="00CA3C05">
            <w:pPr>
              <w:spacing w:after="0"/>
              <w:jc w:val="center"/>
              <w:rPr>
                <w:rFonts w:eastAsia="Times New Roman" w:cs="Times New Roman"/>
                <w:b/>
                <w:bCs/>
                <w:sz w:val="18"/>
                <w:szCs w:val="18"/>
              </w:rPr>
            </w:pPr>
            <w:r w:rsidRPr="00CA3C05">
              <w:rPr>
                <w:rFonts w:eastAsia="Times New Roman" w:cs="Times New Roman"/>
                <w:b/>
                <w:bCs/>
                <w:sz w:val="18"/>
                <w:szCs w:val="18"/>
              </w:rPr>
              <w:t>Проект</w:t>
            </w:r>
          </w:p>
        </w:tc>
        <w:tc>
          <w:tcPr>
            <w:tcW w:w="908" w:type="dxa"/>
            <w:tcBorders>
              <w:top w:val="nil"/>
              <w:left w:val="nil"/>
              <w:bottom w:val="single" w:sz="4" w:space="0" w:color="auto"/>
              <w:right w:val="nil"/>
            </w:tcBorders>
            <w:shd w:val="clear" w:color="000000" w:fill="F2F2F2"/>
            <w:vAlign w:val="center"/>
            <w:hideMark/>
          </w:tcPr>
          <w:p w:rsidR="00CA3C05" w:rsidRPr="00CA3C05" w:rsidRDefault="00CA3C05" w:rsidP="00CA3C05">
            <w:pPr>
              <w:spacing w:after="0"/>
              <w:jc w:val="center"/>
              <w:rPr>
                <w:rFonts w:eastAsia="Times New Roman" w:cs="Times New Roman"/>
                <w:b/>
                <w:bCs/>
                <w:sz w:val="18"/>
                <w:szCs w:val="18"/>
              </w:rPr>
            </w:pPr>
            <w:r w:rsidRPr="00CA3C05">
              <w:rPr>
                <w:rFonts w:eastAsia="Times New Roman" w:cs="Times New Roman"/>
                <w:b/>
                <w:bCs/>
                <w:sz w:val="18"/>
                <w:szCs w:val="18"/>
              </w:rPr>
              <w:t>Прогноза</w:t>
            </w:r>
          </w:p>
        </w:tc>
        <w:tc>
          <w:tcPr>
            <w:tcW w:w="908" w:type="dxa"/>
            <w:tcBorders>
              <w:top w:val="nil"/>
              <w:left w:val="nil"/>
              <w:bottom w:val="single" w:sz="4" w:space="0" w:color="auto"/>
              <w:right w:val="nil"/>
            </w:tcBorders>
            <w:shd w:val="clear" w:color="000000" w:fill="F2F2F2"/>
            <w:vAlign w:val="center"/>
            <w:hideMark/>
          </w:tcPr>
          <w:p w:rsidR="00CA3C05" w:rsidRPr="00CA3C05" w:rsidRDefault="00CA3C05" w:rsidP="00CA3C05">
            <w:pPr>
              <w:spacing w:after="0"/>
              <w:jc w:val="center"/>
              <w:rPr>
                <w:rFonts w:eastAsia="Times New Roman" w:cs="Times New Roman"/>
                <w:b/>
                <w:bCs/>
                <w:sz w:val="18"/>
                <w:szCs w:val="18"/>
              </w:rPr>
            </w:pPr>
            <w:r w:rsidRPr="00CA3C05">
              <w:rPr>
                <w:rFonts w:eastAsia="Times New Roman" w:cs="Times New Roman"/>
                <w:b/>
                <w:bCs/>
                <w:sz w:val="18"/>
                <w:szCs w:val="18"/>
              </w:rPr>
              <w:t>Прогноза</w:t>
            </w:r>
          </w:p>
        </w:tc>
      </w:tr>
      <w:tr w:rsidR="00CA3C05" w:rsidRPr="00CA3C05" w:rsidTr="00CA3C05">
        <w:trPr>
          <w:trHeight w:val="150"/>
        </w:trPr>
        <w:tc>
          <w:tcPr>
            <w:tcW w:w="2694" w:type="dxa"/>
            <w:tcBorders>
              <w:top w:val="single" w:sz="4" w:space="0" w:color="auto"/>
              <w:left w:val="nil"/>
              <w:bottom w:val="nil"/>
              <w:right w:val="nil"/>
            </w:tcBorders>
            <w:shd w:val="clear" w:color="000000" w:fill="FFFFFF"/>
            <w:vAlign w:val="center"/>
            <w:hideMark/>
          </w:tcPr>
          <w:p w:rsidR="00CA3C05" w:rsidRPr="00CA3C05" w:rsidRDefault="00CA3C05" w:rsidP="00CA3C05">
            <w:pPr>
              <w:spacing w:after="0"/>
              <w:jc w:val="left"/>
              <w:rPr>
                <w:rFonts w:eastAsia="Times New Roman" w:cs="Times New Roman"/>
                <w:b/>
                <w:bCs/>
                <w:color w:val="000000"/>
                <w:sz w:val="8"/>
                <w:szCs w:val="8"/>
              </w:rPr>
            </w:pPr>
            <w:r w:rsidRPr="00CA3C05">
              <w:rPr>
                <w:rFonts w:eastAsia="Times New Roman" w:cs="Times New Roman"/>
                <w:b/>
                <w:bCs/>
                <w:color w:val="000000"/>
                <w:sz w:val="8"/>
                <w:szCs w:val="8"/>
              </w:rPr>
              <w:t> </w:t>
            </w:r>
          </w:p>
        </w:tc>
        <w:tc>
          <w:tcPr>
            <w:tcW w:w="962" w:type="dxa"/>
            <w:tcBorders>
              <w:top w:val="single" w:sz="4" w:space="0" w:color="auto"/>
              <w:left w:val="nil"/>
              <w:bottom w:val="nil"/>
              <w:right w:val="nil"/>
            </w:tcBorders>
            <w:shd w:val="clear" w:color="000000" w:fill="FFFFFF"/>
            <w:noWrap/>
            <w:vAlign w:val="center"/>
            <w:hideMark/>
          </w:tcPr>
          <w:p w:rsidR="00CA3C05" w:rsidRPr="00CA3C05" w:rsidRDefault="00CA3C05" w:rsidP="00CA3C05">
            <w:pPr>
              <w:spacing w:after="0"/>
              <w:jc w:val="right"/>
              <w:rPr>
                <w:rFonts w:eastAsia="Times New Roman" w:cs="Times New Roman"/>
                <w:b/>
                <w:bCs/>
                <w:color w:val="FF0000"/>
                <w:sz w:val="8"/>
                <w:szCs w:val="8"/>
              </w:rPr>
            </w:pPr>
            <w:r w:rsidRPr="00CA3C05">
              <w:rPr>
                <w:rFonts w:eastAsia="Times New Roman" w:cs="Times New Roman"/>
                <w:b/>
                <w:bCs/>
                <w:color w:val="FF0000"/>
                <w:sz w:val="8"/>
                <w:szCs w:val="8"/>
              </w:rPr>
              <w:t> </w:t>
            </w:r>
          </w:p>
        </w:tc>
        <w:tc>
          <w:tcPr>
            <w:tcW w:w="880" w:type="dxa"/>
            <w:tcBorders>
              <w:top w:val="single" w:sz="4" w:space="0" w:color="auto"/>
              <w:left w:val="nil"/>
              <w:bottom w:val="nil"/>
              <w:right w:val="nil"/>
            </w:tcBorders>
            <w:shd w:val="clear" w:color="000000" w:fill="FFFFFF"/>
            <w:noWrap/>
            <w:vAlign w:val="center"/>
            <w:hideMark/>
          </w:tcPr>
          <w:p w:rsidR="00CA3C05" w:rsidRPr="00CA3C05" w:rsidRDefault="00CA3C05" w:rsidP="00CA3C05">
            <w:pPr>
              <w:spacing w:after="0"/>
              <w:jc w:val="right"/>
              <w:rPr>
                <w:rFonts w:eastAsia="Times New Roman" w:cs="Times New Roman"/>
                <w:b/>
                <w:bCs/>
                <w:color w:val="FF0000"/>
                <w:sz w:val="8"/>
                <w:szCs w:val="8"/>
              </w:rPr>
            </w:pPr>
            <w:r w:rsidRPr="00CA3C05">
              <w:rPr>
                <w:rFonts w:eastAsia="Times New Roman" w:cs="Times New Roman"/>
                <w:b/>
                <w:bCs/>
                <w:color w:val="FF0000"/>
                <w:sz w:val="8"/>
                <w:szCs w:val="8"/>
              </w:rPr>
              <w:t> </w:t>
            </w:r>
          </w:p>
        </w:tc>
        <w:tc>
          <w:tcPr>
            <w:tcW w:w="908" w:type="dxa"/>
            <w:tcBorders>
              <w:top w:val="single" w:sz="4" w:space="0" w:color="auto"/>
              <w:left w:val="nil"/>
              <w:bottom w:val="nil"/>
              <w:right w:val="nil"/>
            </w:tcBorders>
            <w:shd w:val="clear" w:color="000000" w:fill="FFFFFF"/>
            <w:noWrap/>
            <w:vAlign w:val="center"/>
            <w:hideMark/>
          </w:tcPr>
          <w:p w:rsidR="00CA3C05" w:rsidRPr="00CA3C05" w:rsidRDefault="00CA3C05" w:rsidP="00CA3C05">
            <w:pPr>
              <w:spacing w:after="0"/>
              <w:jc w:val="right"/>
              <w:rPr>
                <w:rFonts w:eastAsia="Times New Roman" w:cs="Times New Roman"/>
                <w:b/>
                <w:bCs/>
                <w:color w:val="FF0000"/>
                <w:sz w:val="8"/>
                <w:szCs w:val="8"/>
              </w:rPr>
            </w:pPr>
            <w:r w:rsidRPr="00CA3C05">
              <w:rPr>
                <w:rFonts w:eastAsia="Times New Roman" w:cs="Times New Roman"/>
                <w:b/>
                <w:bCs/>
                <w:color w:val="FF0000"/>
                <w:sz w:val="8"/>
                <w:szCs w:val="8"/>
              </w:rPr>
              <w:t> </w:t>
            </w:r>
          </w:p>
        </w:tc>
        <w:tc>
          <w:tcPr>
            <w:tcW w:w="908" w:type="dxa"/>
            <w:tcBorders>
              <w:top w:val="single" w:sz="4" w:space="0" w:color="auto"/>
              <w:left w:val="nil"/>
              <w:bottom w:val="nil"/>
              <w:right w:val="nil"/>
            </w:tcBorders>
            <w:shd w:val="clear" w:color="000000" w:fill="FFFFFF"/>
            <w:noWrap/>
            <w:vAlign w:val="center"/>
            <w:hideMark/>
          </w:tcPr>
          <w:p w:rsidR="00CA3C05" w:rsidRPr="00CA3C05" w:rsidRDefault="00CA3C05" w:rsidP="00CA3C05">
            <w:pPr>
              <w:spacing w:after="0"/>
              <w:jc w:val="right"/>
              <w:rPr>
                <w:rFonts w:eastAsia="Times New Roman" w:cs="Times New Roman"/>
                <w:b/>
                <w:bCs/>
                <w:sz w:val="8"/>
                <w:szCs w:val="8"/>
              </w:rPr>
            </w:pPr>
            <w:r w:rsidRPr="00CA3C05">
              <w:rPr>
                <w:rFonts w:eastAsia="Times New Roman" w:cs="Times New Roman"/>
                <w:b/>
                <w:bCs/>
                <w:sz w:val="8"/>
                <w:szCs w:val="8"/>
              </w:rPr>
              <w:t> </w:t>
            </w:r>
          </w:p>
        </w:tc>
        <w:tc>
          <w:tcPr>
            <w:tcW w:w="955" w:type="dxa"/>
            <w:tcBorders>
              <w:top w:val="single" w:sz="4" w:space="0" w:color="auto"/>
              <w:left w:val="nil"/>
              <w:bottom w:val="nil"/>
              <w:right w:val="nil"/>
            </w:tcBorders>
            <w:shd w:val="clear" w:color="000000" w:fill="F2F2F2"/>
            <w:noWrap/>
            <w:vAlign w:val="center"/>
            <w:hideMark/>
          </w:tcPr>
          <w:p w:rsidR="00CA3C05" w:rsidRPr="00CA3C05" w:rsidRDefault="00CA3C05" w:rsidP="00CA3C05">
            <w:pPr>
              <w:spacing w:after="0"/>
              <w:jc w:val="right"/>
              <w:rPr>
                <w:rFonts w:eastAsia="Times New Roman" w:cs="Times New Roman"/>
                <w:b/>
                <w:bCs/>
                <w:color w:val="000000"/>
                <w:sz w:val="8"/>
                <w:szCs w:val="8"/>
              </w:rPr>
            </w:pPr>
            <w:r w:rsidRPr="00CA3C05">
              <w:rPr>
                <w:rFonts w:eastAsia="Times New Roman" w:cs="Times New Roman"/>
                <w:b/>
                <w:bCs/>
                <w:color w:val="000000"/>
                <w:sz w:val="8"/>
                <w:szCs w:val="8"/>
              </w:rPr>
              <w:t> </w:t>
            </w:r>
          </w:p>
        </w:tc>
        <w:tc>
          <w:tcPr>
            <w:tcW w:w="820" w:type="dxa"/>
            <w:tcBorders>
              <w:top w:val="single" w:sz="4" w:space="0" w:color="auto"/>
              <w:left w:val="nil"/>
              <w:bottom w:val="nil"/>
              <w:right w:val="nil"/>
            </w:tcBorders>
            <w:shd w:val="clear" w:color="000000" w:fill="F2F2F2"/>
            <w:noWrap/>
            <w:vAlign w:val="center"/>
            <w:hideMark/>
          </w:tcPr>
          <w:p w:rsidR="00CA3C05" w:rsidRPr="00CA3C05" w:rsidRDefault="00CA3C05" w:rsidP="00CA3C05">
            <w:pPr>
              <w:spacing w:after="0"/>
              <w:jc w:val="right"/>
              <w:rPr>
                <w:rFonts w:eastAsia="Times New Roman" w:cs="Times New Roman"/>
                <w:b/>
                <w:bCs/>
                <w:color w:val="000000"/>
                <w:sz w:val="8"/>
                <w:szCs w:val="8"/>
              </w:rPr>
            </w:pPr>
            <w:r w:rsidRPr="00CA3C05">
              <w:rPr>
                <w:rFonts w:eastAsia="Times New Roman" w:cs="Times New Roman"/>
                <w:b/>
                <w:bCs/>
                <w:color w:val="000000"/>
                <w:sz w:val="8"/>
                <w:szCs w:val="8"/>
              </w:rPr>
              <w:t> </w:t>
            </w:r>
          </w:p>
        </w:tc>
        <w:tc>
          <w:tcPr>
            <w:tcW w:w="908" w:type="dxa"/>
            <w:tcBorders>
              <w:top w:val="single" w:sz="4" w:space="0" w:color="auto"/>
              <w:left w:val="nil"/>
              <w:bottom w:val="nil"/>
              <w:right w:val="nil"/>
            </w:tcBorders>
            <w:shd w:val="clear" w:color="000000" w:fill="F2F2F2"/>
            <w:noWrap/>
            <w:vAlign w:val="center"/>
            <w:hideMark/>
          </w:tcPr>
          <w:p w:rsidR="00CA3C05" w:rsidRPr="00CA3C05" w:rsidRDefault="00CA3C05" w:rsidP="00CA3C05">
            <w:pPr>
              <w:spacing w:after="0"/>
              <w:jc w:val="right"/>
              <w:rPr>
                <w:rFonts w:eastAsia="Times New Roman" w:cs="Times New Roman"/>
                <w:b/>
                <w:bCs/>
                <w:color w:val="000000"/>
                <w:sz w:val="8"/>
                <w:szCs w:val="8"/>
              </w:rPr>
            </w:pPr>
            <w:r w:rsidRPr="00CA3C05">
              <w:rPr>
                <w:rFonts w:eastAsia="Times New Roman" w:cs="Times New Roman"/>
                <w:b/>
                <w:bCs/>
                <w:color w:val="000000"/>
                <w:sz w:val="8"/>
                <w:szCs w:val="8"/>
              </w:rPr>
              <w:t> </w:t>
            </w:r>
          </w:p>
        </w:tc>
        <w:tc>
          <w:tcPr>
            <w:tcW w:w="908" w:type="dxa"/>
            <w:tcBorders>
              <w:top w:val="single" w:sz="4" w:space="0" w:color="auto"/>
              <w:left w:val="nil"/>
              <w:bottom w:val="nil"/>
              <w:right w:val="nil"/>
            </w:tcBorders>
            <w:shd w:val="clear" w:color="000000" w:fill="F2F2F2"/>
            <w:noWrap/>
            <w:vAlign w:val="center"/>
            <w:hideMark/>
          </w:tcPr>
          <w:p w:rsidR="00CA3C05" w:rsidRPr="00CA3C05" w:rsidRDefault="00CA3C05" w:rsidP="00CA3C05">
            <w:pPr>
              <w:spacing w:after="0"/>
              <w:jc w:val="right"/>
              <w:rPr>
                <w:rFonts w:eastAsia="Times New Roman" w:cs="Times New Roman"/>
                <w:b/>
                <w:bCs/>
                <w:sz w:val="8"/>
                <w:szCs w:val="8"/>
              </w:rPr>
            </w:pPr>
            <w:r w:rsidRPr="00CA3C05">
              <w:rPr>
                <w:rFonts w:eastAsia="Times New Roman" w:cs="Times New Roman"/>
                <w:b/>
                <w:bCs/>
                <w:sz w:val="8"/>
                <w:szCs w:val="8"/>
              </w:rPr>
              <w:t> </w:t>
            </w:r>
          </w:p>
        </w:tc>
      </w:tr>
      <w:tr w:rsidR="00CA3C05" w:rsidRPr="00CA3C05" w:rsidTr="00CA3C05">
        <w:trPr>
          <w:trHeight w:val="240"/>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left"/>
              <w:rPr>
                <w:rFonts w:eastAsia="Times New Roman" w:cs="Times New Roman"/>
                <w:b/>
                <w:bCs/>
                <w:color w:val="000000"/>
                <w:sz w:val="18"/>
                <w:szCs w:val="18"/>
              </w:rPr>
            </w:pPr>
            <w:r w:rsidRPr="00CA3C05">
              <w:rPr>
                <w:rFonts w:eastAsia="Times New Roman" w:cs="Times New Roman"/>
                <w:b/>
                <w:bCs/>
                <w:color w:val="000000"/>
                <w:sz w:val="18"/>
                <w:szCs w:val="18"/>
              </w:rPr>
              <w:t xml:space="preserve">Общи държавни служби </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4 211,8</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4 245,8</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4 227,6</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sz w:val="18"/>
                <w:szCs w:val="18"/>
              </w:rPr>
            </w:pPr>
            <w:r w:rsidRPr="00CA3C05">
              <w:rPr>
                <w:rFonts w:eastAsia="Times New Roman" w:cs="Times New Roman"/>
                <w:b/>
                <w:bCs/>
                <w:sz w:val="18"/>
                <w:szCs w:val="18"/>
              </w:rPr>
              <w:t>4 447,9</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2,3%</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2,1%</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1,9%</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sz w:val="18"/>
                <w:szCs w:val="18"/>
              </w:rPr>
            </w:pPr>
            <w:r w:rsidRPr="00CA3C05">
              <w:rPr>
                <w:rFonts w:eastAsia="Times New Roman" w:cs="Times New Roman"/>
                <w:b/>
                <w:bCs/>
                <w:sz w:val="18"/>
                <w:szCs w:val="18"/>
              </w:rPr>
              <w:t>1,9%</w:t>
            </w:r>
          </w:p>
        </w:tc>
      </w:tr>
      <w:tr w:rsidR="00CA3C05" w:rsidRPr="00CA3C05" w:rsidTr="00CA3C05">
        <w:trPr>
          <w:trHeight w:val="240"/>
        </w:trPr>
        <w:tc>
          <w:tcPr>
            <w:tcW w:w="2694" w:type="dxa"/>
            <w:tcBorders>
              <w:top w:val="nil"/>
              <w:left w:val="nil"/>
              <w:bottom w:val="nil"/>
              <w:right w:val="nil"/>
            </w:tcBorders>
            <w:shd w:val="clear" w:color="000000" w:fill="FFFFFF"/>
            <w:noWrap/>
            <w:vAlign w:val="bottom"/>
            <w:hideMark/>
          </w:tcPr>
          <w:p w:rsidR="00CA3C05" w:rsidRPr="00CA3C05" w:rsidRDefault="00CA3C05" w:rsidP="00CA3C05">
            <w:pPr>
              <w:spacing w:after="0"/>
              <w:jc w:val="left"/>
              <w:rPr>
                <w:rFonts w:eastAsia="Times New Roman" w:cs="Times New Roman"/>
                <w:sz w:val="18"/>
                <w:szCs w:val="18"/>
              </w:rPr>
            </w:pPr>
            <w:r w:rsidRPr="00CA3C05">
              <w:rPr>
                <w:rFonts w:eastAsia="Times New Roman" w:cs="Times New Roman"/>
                <w:sz w:val="18"/>
                <w:szCs w:val="18"/>
              </w:rPr>
              <w:t xml:space="preserve"> - изпълнителни и законодателни органи</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3 211,6</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3 377,1</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3 310,4</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3 487,8</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1,7%</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1,6%</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1,5%</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1,5%</w:t>
            </w:r>
          </w:p>
        </w:tc>
      </w:tr>
      <w:tr w:rsidR="00CA3C05" w:rsidRPr="00CA3C05" w:rsidTr="00CA3C05">
        <w:trPr>
          <w:trHeight w:val="240"/>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left"/>
              <w:rPr>
                <w:rFonts w:eastAsia="Times New Roman" w:cs="Times New Roman"/>
                <w:color w:val="000000"/>
                <w:sz w:val="18"/>
                <w:szCs w:val="18"/>
              </w:rPr>
            </w:pPr>
            <w:r w:rsidRPr="00CA3C05">
              <w:rPr>
                <w:rFonts w:eastAsia="Times New Roman" w:cs="Times New Roman"/>
                <w:color w:val="000000"/>
                <w:sz w:val="18"/>
                <w:szCs w:val="18"/>
              </w:rPr>
              <w:t xml:space="preserve"> - общи служби</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250,4</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149,4</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150,4</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149,3</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0,1%</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0,1%</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0,1%</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0,1%</w:t>
            </w:r>
          </w:p>
        </w:tc>
      </w:tr>
      <w:tr w:rsidR="00CA3C05" w:rsidRPr="00CA3C05" w:rsidTr="00CA3C05">
        <w:trPr>
          <w:trHeight w:val="240"/>
        </w:trPr>
        <w:tc>
          <w:tcPr>
            <w:tcW w:w="2694" w:type="dxa"/>
            <w:tcBorders>
              <w:top w:val="nil"/>
              <w:left w:val="nil"/>
              <w:bottom w:val="single" w:sz="4" w:space="0" w:color="auto"/>
              <w:right w:val="nil"/>
            </w:tcBorders>
            <w:shd w:val="clear" w:color="000000" w:fill="FFFFFF"/>
            <w:vAlign w:val="center"/>
            <w:hideMark/>
          </w:tcPr>
          <w:p w:rsidR="00CA3C05" w:rsidRPr="00CA3C05" w:rsidRDefault="00CA3C05" w:rsidP="00CA3C05">
            <w:pPr>
              <w:spacing w:after="0"/>
              <w:jc w:val="left"/>
              <w:rPr>
                <w:rFonts w:eastAsia="Times New Roman" w:cs="Times New Roman"/>
                <w:color w:val="000000"/>
                <w:sz w:val="18"/>
                <w:szCs w:val="18"/>
              </w:rPr>
            </w:pPr>
            <w:r w:rsidRPr="00CA3C05">
              <w:rPr>
                <w:rFonts w:eastAsia="Times New Roman" w:cs="Times New Roman"/>
                <w:color w:val="000000"/>
                <w:sz w:val="18"/>
                <w:szCs w:val="18"/>
              </w:rPr>
              <w:t xml:space="preserve"> - наука</w:t>
            </w:r>
          </w:p>
        </w:tc>
        <w:tc>
          <w:tcPr>
            <w:tcW w:w="962"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749,7</w:t>
            </w:r>
          </w:p>
        </w:tc>
        <w:tc>
          <w:tcPr>
            <w:tcW w:w="880"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719,2</w:t>
            </w:r>
          </w:p>
        </w:tc>
        <w:tc>
          <w:tcPr>
            <w:tcW w:w="908"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766,8</w:t>
            </w:r>
          </w:p>
        </w:tc>
        <w:tc>
          <w:tcPr>
            <w:tcW w:w="908"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810,7</w:t>
            </w:r>
          </w:p>
        </w:tc>
        <w:tc>
          <w:tcPr>
            <w:tcW w:w="955"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0,4%</w:t>
            </w:r>
          </w:p>
        </w:tc>
        <w:tc>
          <w:tcPr>
            <w:tcW w:w="820"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0,3%</w:t>
            </w:r>
          </w:p>
        </w:tc>
        <w:tc>
          <w:tcPr>
            <w:tcW w:w="908"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0,4%</w:t>
            </w:r>
          </w:p>
        </w:tc>
        <w:tc>
          <w:tcPr>
            <w:tcW w:w="908"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0,4%</w:t>
            </w:r>
          </w:p>
        </w:tc>
      </w:tr>
      <w:tr w:rsidR="00CA3C05" w:rsidRPr="00CA3C05" w:rsidTr="00CA3C05">
        <w:trPr>
          <w:trHeight w:val="90"/>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right"/>
              <w:rPr>
                <w:rFonts w:eastAsia="Times New Roman" w:cs="Times New Roman"/>
                <w:b/>
                <w:bCs/>
                <w:i/>
                <w:iCs/>
                <w:color w:val="000000"/>
                <w:sz w:val="18"/>
                <w:szCs w:val="18"/>
              </w:rPr>
            </w:pPr>
            <w:r w:rsidRPr="00CA3C05">
              <w:rPr>
                <w:rFonts w:eastAsia="Times New Roman" w:cs="Times New Roman"/>
                <w:b/>
                <w:bCs/>
                <w:i/>
                <w:iCs/>
                <w:color w:val="000000"/>
                <w:sz w:val="18"/>
                <w:szCs w:val="18"/>
              </w:rPr>
              <w:t> </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FF0000"/>
                <w:sz w:val="18"/>
                <w:szCs w:val="18"/>
              </w:rPr>
            </w:pPr>
            <w:r w:rsidRPr="00CA3C05">
              <w:rPr>
                <w:rFonts w:eastAsia="Times New Roman" w:cs="Times New Roman"/>
                <w:b/>
                <w:bCs/>
                <w:color w:val="FF0000"/>
                <w:sz w:val="18"/>
                <w:szCs w:val="18"/>
              </w:rPr>
              <w:t> </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FF0000"/>
                <w:sz w:val="18"/>
                <w:szCs w:val="18"/>
              </w:rPr>
            </w:pPr>
            <w:r w:rsidRPr="00CA3C05">
              <w:rPr>
                <w:rFonts w:eastAsia="Times New Roman" w:cs="Times New Roman"/>
                <w:b/>
                <w:bCs/>
                <w:color w:val="FF0000"/>
                <w:sz w:val="18"/>
                <w:szCs w:val="18"/>
              </w:rPr>
              <w:t> </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FF0000"/>
                <w:sz w:val="18"/>
                <w:szCs w:val="18"/>
              </w:rPr>
            </w:pPr>
            <w:r w:rsidRPr="00CA3C05">
              <w:rPr>
                <w:rFonts w:eastAsia="Times New Roman" w:cs="Times New Roman"/>
                <w:b/>
                <w:bCs/>
                <w:color w:val="FF0000"/>
                <w:sz w:val="18"/>
                <w:szCs w:val="18"/>
              </w:rPr>
              <w:t> </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sz w:val="18"/>
                <w:szCs w:val="18"/>
              </w:rPr>
            </w:pPr>
            <w:r w:rsidRPr="00CA3C05">
              <w:rPr>
                <w:rFonts w:eastAsia="Times New Roman" w:cs="Times New Roman"/>
                <w:b/>
                <w:bCs/>
                <w:sz w:val="18"/>
                <w:szCs w:val="18"/>
              </w:rPr>
              <w:t> </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color w:val="000000"/>
                <w:sz w:val="18"/>
                <w:szCs w:val="18"/>
              </w:rPr>
            </w:pPr>
            <w:r w:rsidRPr="00CA3C05">
              <w:rPr>
                <w:rFonts w:eastAsia="Times New Roman" w:cs="Times New Roman"/>
                <w:b/>
                <w:bCs/>
                <w:i/>
                <w:iCs/>
                <w:color w:val="000000"/>
                <w:sz w:val="18"/>
                <w:szCs w:val="18"/>
              </w:rPr>
              <w:t> </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color w:val="000000"/>
                <w:sz w:val="18"/>
                <w:szCs w:val="18"/>
              </w:rPr>
            </w:pPr>
            <w:r w:rsidRPr="00CA3C05">
              <w:rPr>
                <w:rFonts w:eastAsia="Times New Roman" w:cs="Times New Roman"/>
                <w:b/>
                <w:bCs/>
                <w:i/>
                <w:iCs/>
                <w:color w:val="000000"/>
                <w:sz w:val="18"/>
                <w:szCs w:val="18"/>
              </w:rPr>
              <w:t> </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color w:val="000000"/>
                <w:sz w:val="18"/>
                <w:szCs w:val="18"/>
              </w:rPr>
            </w:pPr>
            <w:r w:rsidRPr="00CA3C05">
              <w:rPr>
                <w:rFonts w:eastAsia="Times New Roman" w:cs="Times New Roman"/>
                <w:b/>
                <w:bCs/>
                <w:i/>
                <w:iCs/>
                <w:color w:val="000000"/>
                <w:sz w:val="18"/>
                <w:szCs w:val="18"/>
              </w:rPr>
              <w:t> </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sz w:val="18"/>
                <w:szCs w:val="18"/>
              </w:rPr>
            </w:pPr>
            <w:r w:rsidRPr="00CA3C05">
              <w:rPr>
                <w:rFonts w:eastAsia="Times New Roman" w:cs="Times New Roman"/>
                <w:b/>
                <w:bCs/>
                <w:i/>
                <w:iCs/>
                <w:sz w:val="18"/>
                <w:szCs w:val="18"/>
              </w:rPr>
              <w:t> </w:t>
            </w:r>
          </w:p>
        </w:tc>
      </w:tr>
      <w:tr w:rsidR="00CA3C05" w:rsidRPr="00CA3C05" w:rsidTr="00CA3C05">
        <w:trPr>
          <w:trHeight w:val="240"/>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left"/>
              <w:rPr>
                <w:rFonts w:eastAsia="Times New Roman" w:cs="Times New Roman"/>
                <w:b/>
                <w:bCs/>
                <w:color w:val="000000"/>
                <w:sz w:val="18"/>
                <w:szCs w:val="18"/>
              </w:rPr>
            </w:pPr>
            <w:r w:rsidRPr="00CA3C05">
              <w:rPr>
                <w:rFonts w:eastAsia="Times New Roman" w:cs="Times New Roman"/>
                <w:b/>
                <w:bCs/>
                <w:color w:val="000000"/>
                <w:sz w:val="18"/>
                <w:szCs w:val="18"/>
              </w:rPr>
              <w:t>Отбрана и сигурност</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8 233,7</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7 567,3</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7 287,6</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sz w:val="18"/>
                <w:szCs w:val="18"/>
              </w:rPr>
            </w:pPr>
            <w:r w:rsidRPr="00CA3C05">
              <w:rPr>
                <w:rFonts w:eastAsia="Times New Roman" w:cs="Times New Roman"/>
                <w:b/>
                <w:bCs/>
                <w:sz w:val="18"/>
                <w:szCs w:val="18"/>
              </w:rPr>
              <w:t>7 307,0</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4,5%</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3,7%</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3,3%</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sz w:val="18"/>
                <w:szCs w:val="18"/>
              </w:rPr>
            </w:pPr>
            <w:r w:rsidRPr="00CA3C05">
              <w:rPr>
                <w:rFonts w:eastAsia="Times New Roman" w:cs="Times New Roman"/>
                <w:b/>
                <w:bCs/>
                <w:sz w:val="18"/>
                <w:szCs w:val="18"/>
              </w:rPr>
              <w:t>3,2%</w:t>
            </w:r>
          </w:p>
        </w:tc>
      </w:tr>
      <w:tr w:rsidR="00CA3C05" w:rsidRPr="00CA3C05" w:rsidTr="00CA3C05">
        <w:trPr>
          <w:trHeight w:val="240"/>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left"/>
              <w:rPr>
                <w:rFonts w:eastAsia="Times New Roman" w:cs="Times New Roman"/>
                <w:color w:val="000000"/>
                <w:sz w:val="18"/>
                <w:szCs w:val="18"/>
              </w:rPr>
            </w:pPr>
            <w:r w:rsidRPr="00CA3C05">
              <w:rPr>
                <w:rFonts w:eastAsia="Times New Roman" w:cs="Times New Roman"/>
                <w:color w:val="000000"/>
                <w:sz w:val="18"/>
                <w:szCs w:val="18"/>
              </w:rPr>
              <w:t xml:space="preserve"> - отбрана</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3 010,9</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2 010,3</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2 015,0</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2 025,7</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1,6%</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1,0%</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0,9%</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0,9%</w:t>
            </w:r>
          </w:p>
        </w:tc>
      </w:tr>
      <w:tr w:rsidR="00CA3C05" w:rsidRPr="00CA3C05" w:rsidTr="00CA3C05">
        <w:trPr>
          <w:trHeight w:val="240"/>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left"/>
              <w:rPr>
                <w:rFonts w:eastAsia="Times New Roman" w:cs="Times New Roman"/>
                <w:color w:val="000000"/>
                <w:sz w:val="18"/>
                <w:szCs w:val="18"/>
              </w:rPr>
            </w:pPr>
            <w:r w:rsidRPr="00CA3C05">
              <w:rPr>
                <w:rFonts w:eastAsia="Times New Roman" w:cs="Times New Roman"/>
                <w:color w:val="000000"/>
                <w:sz w:val="18"/>
                <w:szCs w:val="18"/>
              </w:rPr>
              <w:t xml:space="preserve"> - полиция, вътрешен ред и сигурност</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3 390,0</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3 573,2</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3 325,6</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3 228,9</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1,8%</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1,7%</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1,5%</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1,4%</w:t>
            </w:r>
          </w:p>
        </w:tc>
      </w:tr>
      <w:tr w:rsidR="00CA3C05" w:rsidRPr="00CA3C05" w:rsidTr="00CA3C05">
        <w:trPr>
          <w:trHeight w:val="240"/>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left"/>
              <w:rPr>
                <w:rFonts w:eastAsia="Times New Roman" w:cs="Times New Roman"/>
                <w:color w:val="000000"/>
                <w:sz w:val="18"/>
                <w:szCs w:val="18"/>
              </w:rPr>
            </w:pPr>
            <w:r w:rsidRPr="00CA3C05">
              <w:rPr>
                <w:rFonts w:eastAsia="Times New Roman" w:cs="Times New Roman"/>
                <w:color w:val="000000"/>
                <w:sz w:val="18"/>
                <w:szCs w:val="18"/>
              </w:rPr>
              <w:t xml:space="preserve"> - съдебна власт</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1 277,1</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1 434,8</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1 400,7</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1 489,6</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0,7%</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0,7%</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0,6%</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0,6%</w:t>
            </w:r>
          </w:p>
        </w:tc>
      </w:tr>
      <w:tr w:rsidR="00CA3C05" w:rsidRPr="00CA3C05" w:rsidTr="00CA3C05">
        <w:trPr>
          <w:trHeight w:val="240"/>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left"/>
              <w:rPr>
                <w:rFonts w:eastAsia="Times New Roman" w:cs="Times New Roman"/>
                <w:color w:val="000000"/>
                <w:sz w:val="18"/>
                <w:szCs w:val="18"/>
              </w:rPr>
            </w:pPr>
            <w:r w:rsidRPr="00CA3C05">
              <w:rPr>
                <w:rFonts w:eastAsia="Times New Roman" w:cs="Times New Roman"/>
                <w:color w:val="000000"/>
                <w:sz w:val="18"/>
                <w:szCs w:val="18"/>
              </w:rPr>
              <w:t xml:space="preserve"> - администрация на затворите</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291,7</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301,7</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293,9</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294,8</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0,2%</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0,1%</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0,1%</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0,1%</w:t>
            </w:r>
          </w:p>
        </w:tc>
      </w:tr>
      <w:tr w:rsidR="00CA3C05" w:rsidRPr="00CA3C05" w:rsidTr="00CA3C05">
        <w:trPr>
          <w:trHeight w:val="525"/>
        </w:trPr>
        <w:tc>
          <w:tcPr>
            <w:tcW w:w="2694" w:type="dxa"/>
            <w:tcBorders>
              <w:top w:val="nil"/>
              <w:left w:val="nil"/>
              <w:bottom w:val="single" w:sz="4" w:space="0" w:color="auto"/>
              <w:right w:val="nil"/>
            </w:tcBorders>
            <w:shd w:val="clear" w:color="000000" w:fill="FFFFFF"/>
            <w:vAlign w:val="center"/>
            <w:hideMark/>
          </w:tcPr>
          <w:p w:rsidR="00CA3C05" w:rsidRPr="00CA3C05" w:rsidRDefault="00CA3C05" w:rsidP="00CA3C05">
            <w:pPr>
              <w:spacing w:after="0"/>
              <w:jc w:val="left"/>
              <w:rPr>
                <w:rFonts w:eastAsia="Times New Roman" w:cs="Times New Roman"/>
                <w:color w:val="000000"/>
                <w:sz w:val="18"/>
                <w:szCs w:val="18"/>
              </w:rPr>
            </w:pPr>
            <w:r w:rsidRPr="00CA3C05">
              <w:rPr>
                <w:rFonts w:eastAsia="Times New Roman" w:cs="Times New Roman"/>
                <w:color w:val="000000"/>
                <w:sz w:val="18"/>
                <w:szCs w:val="18"/>
              </w:rPr>
              <w:t xml:space="preserve"> - защита на населението, управление и дейности при стихийни бедствия и аварии</w:t>
            </w:r>
          </w:p>
        </w:tc>
        <w:tc>
          <w:tcPr>
            <w:tcW w:w="962"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263,9</w:t>
            </w:r>
          </w:p>
        </w:tc>
        <w:tc>
          <w:tcPr>
            <w:tcW w:w="880"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247,4</w:t>
            </w:r>
          </w:p>
        </w:tc>
        <w:tc>
          <w:tcPr>
            <w:tcW w:w="908"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252,3</w:t>
            </w:r>
          </w:p>
        </w:tc>
        <w:tc>
          <w:tcPr>
            <w:tcW w:w="908"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268,0</w:t>
            </w:r>
          </w:p>
        </w:tc>
        <w:tc>
          <w:tcPr>
            <w:tcW w:w="955"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0,1%</w:t>
            </w:r>
          </w:p>
        </w:tc>
        <w:tc>
          <w:tcPr>
            <w:tcW w:w="820"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0,1%</w:t>
            </w:r>
          </w:p>
        </w:tc>
        <w:tc>
          <w:tcPr>
            <w:tcW w:w="908"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0,1%</w:t>
            </w:r>
          </w:p>
        </w:tc>
        <w:tc>
          <w:tcPr>
            <w:tcW w:w="908"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0,1%</w:t>
            </w:r>
          </w:p>
        </w:tc>
      </w:tr>
      <w:tr w:rsidR="00CA3C05" w:rsidRPr="00CA3C05" w:rsidTr="00CA3C05">
        <w:trPr>
          <w:trHeight w:val="75"/>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i/>
                <w:iCs/>
                <w:sz w:val="8"/>
                <w:szCs w:val="8"/>
              </w:rPr>
            </w:pPr>
            <w:r w:rsidRPr="00CA3C05">
              <w:rPr>
                <w:rFonts w:eastAsia="Times New Roman" w:cs="Times New Roman"/>
                <w:b/>
                <w:bCs/>
                <w:i/>
                <w:iCs/>
                <w:sz w:val="8"/>
                <w:szCs w:val="8"/>
              </w:rPr>
              <w:t> </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sz w:val="8"/>
                <w:szCs w:val="8"/>
              </w:rPr>
            </w:pPr>
            <w:r w:rsidRPr="00CA3C05">
              <w:rPr>
                <w:rFonts w:eastAsia="Times New Roman" w:cs="Times New Roman"/>
                <w:b/>
                <w:bCs/>
                <w:i/>
                <w:iCs/>
                <w:sz w:val="8"/>
                <w:szCs w:val="8"/>
              </w:rPr>
              <w:t> </w:t>
            </w:r>
          </w:p>
        </w:tc>
      </w:tr>
      <w:tr w:rsidR="00CA3C05" w:rsidRPr="00CA3C05" w:rsidTr="00CA3C05">
        <w:trPr>
          <w:trHeight w:val="240"/>
        </w:trPr>
        <w:tc>
          <w:tcPr>
            <w:tcW w:w="2694" w:type="dxa"/>
            <w:tcBorders>
              <w:top w:val="nil"/>
              <w:left w:val="nil"/>
              <w:bottom w:val="single" w:sz="4" w:space="0" w:color="auto"/>
              <w:right w:val="nil"/>
            </w:tcBorders>
            <w:shd w:val="clear" w:color="000000" w:fill="FFFFFF"/>
            <w:vAlign w:val="center"/>
            <w:hideMark/>
          </w:tcPr>
          <w:p w:rsidR="00CA3C05" w:rsidRPr="00CA3C05" w:rsidRDefault="00CA3C05" w:rsidP="00CA3C05">
            <w:pPr>
              <w:spacing w:after="0"/>
              <w:jc w:val="left"/>
              <w:rPr>
                <w:rFonts w:eastAsia="Times New Roman" w:cs="Times New Roman"/>
                <w:b/>
                <w:bCs/>
                <w:color w:val="000000"/>
                <w:sz w:val="18"/>
                <w:szCs w:val="18"/>
              </w:rPr>
            </w:pPr>
            <w:r w:rsidRPr="00CA3C05">
              <w:rPr>
                <w:rFonts w:eastAsia="Times New Roman" w:cs="Times New Roman"/>
                <w:b/>
                <w:bCs/>
                <w:color w:val="000000"/>
                <w:sz w:val="18"/>
                <w:szCs w:val="18"/>
              </w:rPr>
              <w:t xml:space="preserve">Образование </w:t>
            </w:r>
          </w:p>
        </w:tc>
        <w:tc>
          <w:tcPr>
            <w:tcW w:w="962"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7 532,7</w:t>
            </w:r>
          </w:p>
        </w:tc>
        <w:tc>
          <w:tcPr>
            <w:tcW w:w="880"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8 387,1</w:t>
            </w:r>
          </w:p>
        </w:tc>
        <w:tc>
          <w:tcPr>
            <w:tcW w:w="908"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9 034,0</w:t>
            </w:r>
          </w:p>
        </w:tc>
        <w:tc>
          <w:tcPr>
            <w:tcW w:w="908"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sz w:val="18"/>
                <w:szCs w:val="18"/>
              </w:rPr>
            </w:pPr>
            <w:r w:rsidRPr="00CA3C05">
              <w:rPr>
                <w:rFonts w:eastAsia="Times New Roman" w:cs="Times New Roman"/>
                <w:b/>
                <w:bCs/>
                <w:sz w:val="18"/>
                <w:szCs w:val="18"/>
              </w:rPr>
              <w:t>9 702,5</w:t>
            </w:r>
          </w:p>
        </w:tc>
        <w:tc>
          <w:tcPr>
            <w:tcW w:w="955"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4,1%</w:t>
            </w:r>
          </w:p>
        </w:tc>
        <w:tc>
          <w:tcPr>
            <w:tcW w:w="820"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4,1%</w:t>
            </w:r>
          </w:p>
        </w:tc>
        <w:tc>
          <w:tcPr>
            <w:tcW w:w="908"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4,1%</w:t>
            </w:r>
          </w:p>
        </w:tc>
        <w:tc>
          <w:tcPr>
            <w:tcW w:w="908"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sz w:val="18"/>
                <w:szCs w:val="18"/>
              </w:rPr>
            </w:pPr>
            <w:r w:rsidRPr="00CA3C05">
              <w:rPr>
                <w:rFonts w:eastAsia="Times New Roman" w:cs="Times New Roman"/>
                <w:b/>
                <w:bCs/>
                <w:sz w:val="18"/>
                <w:szCs w:val="18"/>
              </w:rPr>
              <w:t>4,2%</w:t>
            </w:r>
          </w:p>
        </w:tc>
      </w:tr>
      <w:tr w:rsidR="00CA3C05" w:rsidRPr="00CA3C05" w:rsidTr="00CA3C05">
        <w:trPr>
          <w:trHeight w:val="75"/>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i/>
                <w:iCs/>
                <w:sz w:val="8"/>
                <w:szCs w:val="8"/>
              </w:rPr>
            </w:pPr>
            <w:r w:rsidRPr="00CA3C05">
              <w:rPr>
                <w:rFonts w:eastAsia="Times New Roman" w:cs="Times New Roman"/>
                <w:b/>
                <w:bCs/>
                <w:i/>
                <w:iCs/>
                <w:sz w:val="8"/>
                <w:szCs w:val="8"/>
              </w:rPr>
              <w:t> </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sz w:val="8"/>
                <w:szCs w:val="8"/>
              </w:rPr>
            </w:pPr>
            <w:r w:rsidRPr="00CA3C05">
              <w:rPr>
                <w:rFonts w:eastAsia="Times New Roman" w:cs="Times New Roman"/>
                <w:b/>
                <w:bCs/>
                <w:i/>
                <w:iCs/>
                <w:sz w:val="8"/>
                <w:szCs w:val="8"/>
              </w:rPr>
              <w:t> </w:t>
            </w:r>
          </w:p>
        </w:tc>
      </w:tr>
      <w:tr w:rsidR="00CA3C05" w:rsidRPr="00CA3C05" w:rsidTr="00CA3C05">
        <w:trPr>
          <w:trHeight w:val="240"/>
        </w:trPr>
        <w:tc>
          <w:tcPr>
            <w:tcW w:w="2694" w:type="dxa"/>
            <w:tcBorders>
              <w:top w:val="nil"/>
              <w:left w:val="nil"/>
              <w:bottom w:val="single" w:sz="4" w:space="0" w:color="auto"/>
              <w:right w:val="nil"/>
            </w:tcBorders>
            <w:shd w:val="clear" w:color="000000" w:fill="FFFFFF"/>
            <w:vAlign w:val="center"/>
            <w:hideMark/>
          </w:tcPr>
          <w:p w:rsidR="00CA3C05" w:rsidRPr="00CA3C05" w:rsidRDefault="00CA3C05" w:rsidP="00CA3C05">
            <w:pPr>
              <w:spacing w:after="0"/>
              <w:jc w:val="left"/>
              <w:rPr>
                <w:rFonts w:eastAsia="Times New Roman" w:cs="Times New Roman"/>
                <w:b/>
                <w:bCs/>
                <w:color w:val="000000"/>
                <w:sz w:val="18"/>
                <w:szCs w:val="18"/>
              </w:rPr>
            </w:pPr>
            <w:r w:rsidRPr="00CA3C05">
              <w:rPr>
                <w:rFonts w:eastAsia="Times New Roman" w:cs="Times New Roman"/>
                <w:b/>
                <w:bCs/>
                <w:color w:val="000000"/>
                <w:sz w:val="18"/>
                <w:szCs w:val="18"/>
              </w:rPr>
              <w:t>Здравеопазване</w:t>
            </w:r>
          </w:p>
        </w:tc>
        <w:tc>
          <w:tcPr>
            <w:tcW w:w="962"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8 878,3</w:t>
            </w:r>
          </w:p>
        </w:tc>
        <w:tc>
          <w:tcPr>
            <w:tcW w:w="880"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10 016,9</w:t>
            </w:r>
          </w:p>
        </w:tc>
        <w:tc>
          <w:tcPr>
            <w:tcW w:w="908"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11 111,0</w:t>
            </w:r>
          </w:p>
        </w:tc>
        <w:tc>
          <w:tcPr>
            <w:tcW w:w="908"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sz w:val="18"/>
                <w:szCs w:val="18"/>
              </w:rPr>
            </w:pPr>
            <w:r w:rsidRPr="00CA3C05">
              <w:rPr>
                <w:rFonts w:eastAsia="Times New Roman" w:cs="Times New Roman"/>
                <w:b/>
                <w:bCs/>
                <w:sz w:val="18"/>
                <w:szCs w:val="18"/>
              </w:rPr>
              <w:t>11 680,6</w:t>
            </w:r>
          </w:p>
        </w:tc>
        <w:tc>
          <w:tcPr>
            <w:tcW w:w="955"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4,8%</w:t>
            </w:r>
          </w:p>
        </w:tc>
        <w:tc>
          <w:tcPr>
            <w:tcW w:w="820"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4,9%</w:t>
            </w:r>
          </w:p>
        </w:tc>
        <w:tc>
          <w:tcPr>
            <w:tcW w:w="908"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5,1%</w:t>
            </w:r>
          </w:p>
        </w:tc>
        <w:tc>
          <w:tcPr>
            <w:tcW w:w="908"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sz w:val="18"/>
                <w:szCs w:val="18"/>
              </w:rPr>
            </w:pPr>
            <w:r w:rsidRPr="00CA3C05">
              <w:rPr>
                <w:rFonts w:eastAsia="Times New Roman" w:cs="Times New Roman"/>
                <w:b/>
                <w:bCs/>
                <w:sz w:val="18"/>
                <w:szCs w:val="18"/>
              </w:rPr>
              <w:t>5,0%</w:t>
            </w:r>
          </w:p>
        </w:tc>
      </w:tr>
      <w:tr w:rsidR="00CA3C05" w:rsidRPr="00CA3C05" w:rsidTr="00CA3C05">
        <w:trPr>
          <w:trHeight w:val="75"/>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FF0000"/>
                <w:sz w:val="8"/>
                <w:szCs w:val="8"/>
              </w:rPr>
            </w:pPr>
            <w:r w:rsidRPr="00CA3C05">
              <w:rPr>
                <w:rFonts w:eastAsia="Times New Roman" w:cs="Times New Roman"/>
                <w:b/>
                <w:bCs/>
                <w:color w:val="FF0000"/>
                <w:sz w:val="8"/>
                <w:szCs w:val="8"/>
              </w:rPr>
              <w:t> </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FF0000"/>
                <w:sz w:val="8"/>
                <w:szCs w:val="8"/>
              </w:rPr>
            </w:pPr>
            <w:r w:rsidRPr="00CA3C05">
              <w:rPr>
                <w:rFonts w:eastAsia="Times New Roman" w:cs="Times New Roman"/>
                <w:b/>
                <w:bCs/>
                <w:color w:val="FF0000"/>
                <w:sz w:val="8"/>
                <w:szCs w:val="8"/>
              </w:rPr>
              <w:t> </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FF0000"/>
                <w:sz w:val="8"/>
                <w:szCs w:val="8"/>
              </w:rPr>
            </w:pPr>
            <w:r w:rsidRPr="00CA3C05">
              <w:rPr>
                <w:rFonts w:eastAsia="Times New Roman" w:cs="Times New Roman"/>
                <w:b/>
                <w:bCs/>
                <w:color w:val="FF0000"/>
                <w:sz w:val="8"/>
                <w:szCs w:val="8"/>
              </w:rPr>
              <w:t> </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sz w:val="8"/>
                <w:szCs w:val="8"/>
              </w:rPr>
            </w:pPr>
            <w:r w:rsidRPr="00CA3C05">
              <w:rPr>
                <w:rFonts w:eastAsia="Times New Roman" w:cs="Times New Roman"/>
                <w:b/>
                <w:bCs/>
                <w:sz w:val="8"/>
                <w:szCs w:val="8"/>
              </w:rPr>
              <w:t> </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sz w:val="8"/>
                <w:szCs w:val="8"/>
              </w:rPr>
            </w:pPr>
            <w:r w:rsidRPr="00CA3C05">
              <w:rPr>
                <w:rFonts w:eastAsia="Times New Roman" w:cs="Times New Roman"/>
                <w:b/>
                <w:bCs/>
                <w:i/>
                <w:iCs/>
                <w:sz w:val="8"/>
                <w:szCs w:val="8"/>
              </w:rPr>
              <w:t> </w:t>
            </w:r>
          </w:p>
        </w:tc>
      </w:tr>
      <w:tr w:rsidR="00CA3C05" w:rsidRPr="00CA3C05" w:rsidTr="00CA3C05">
        <w:trPr>
          <w:trHeight w:val="285"/>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left"/>
              <w:rPr>
                <w:rFonts w:eastAsia="Times New Roman" w:cs="Times New Roman"/>
                <w:b/>
                <w:bCs/>
                <w:color w:val="000000"/>
                <w:sz w:val="18"/>
                <w:szCs w:val="18"/>
              </w:rPr>
            </w:pPr>
            <w:r w:rsidRPr="00CA3C05">
              <w:rPr>
                <w:rFonts w:eastAsia="Times New Roman" w:cs="Times New Roman"/>
                <w:b/>
                <w:bCs/>
                <w:color w:val="000000"/>
                <w:sz w:val="18"/>
                <w:szCs w:val="18"/>
              </w:rPr>
              <w:t xml:space="preserve">Социално осигуряване, подпомагане и грижи </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25 902,2</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29 508,8</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32 053,8</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sz w:val="18"/>
                <w:szCs w:val="18"/>
              </w:rPr>
            </w:pPr>
            <w:r w:rsidRPr="00CA3C05">
              <w:rPr>
                <w:rFonts w:eastAsia="Times New Roman" w:cs="Times New Roman"/>
                <w:b/>
                <w:bCs/>
                <w:sz w:val="18"/>
                <w:szCs w:val="18"/>
              </w:rPr>
              <w:t>34 018,2</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14,0%</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14,3%</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14,7%</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sz w:val="18"/>
                <w:szCs w:val="18"/>
              </w:rPr>
            </w:pPr>
            <w:r w:rsidRPr="00CA3C05">
              <w:rPr>
                <w:rFonts w:eastAsia="Times New Roman" w:cs="Times New Roman"/>
                <w:b/>
                <w:bCs/>
                <w:sz w:val="18"/>
                <w:szCs w:val="18"/>
              </w:rPr>
              <w:t>14,7%</w:t>
            </w:r>
          </w:p>
        </w:tc>
      </w:tr>
      <w:tr w:rsidR="00CA3C05" w:rsidRPr="00CA3C05" w:rsidTr="00CA3C05">
        <w:trPr>
          <w:trHeight w:val="240"/>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left"/>
              <w:rPr>
                <w:rFonts w:eastAsia="Times New Roman" w:cs="Times New Roman"/>
                <w:color w:val="000000"/>
                <w:sz w:val="18"/>
                <w:szCs w:val="18"/>
              </w:rPr>
            </w:pPr>
            <w:r w:rsidRPr="00CA3C05">
              <w:rPr>
                <w:rFonts w:eastAsia="Times New Roman" w:cs="Times New Roman"/>
                <w:color w:val="000000"/>
                <w:sz w:val="18"/>
                <w:szCs w:val="18"/>
              </w:rPr>
              <w:t xml:space="preserve"> - пенсии</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19 258,7</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21 712,2</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23 932,6</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25 572,4</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10,4%</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10,5%</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11,0%</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11,1%</w:t>
            </w:r>
          </w:p>
        </w:tc>
      </w:tr>
      <w:tr w:rsidR="00CA3C05" w:rsidRPr="00CA3C05" w:rsidTr="00CA3C05">
        <w:trPr>
          <w:trHeight w:val="240"/>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left"/>
              <w:rPr>
                <w:rFonts w:eastAsia="Times New Roman" w:cs="Times New Roman"/>
                <w:color w:val="000000"/>
                <w:sz w:val="18"/>
                <w:szCs w:val="18"/>
              </w:rPr>
            </w:pPr>
            <w:r w:rsidRPr="00CA3C05">
              <w:rPr>
                <w:rFonts w:eastAsia="Times New Roman" w:cs="Times New Roman"/>
                <w:color w:val="000000"/>
                <w:sz w:val="18"/>
                <w:szCs w:val="18"/>
              </w:rPr>
              <w:t xml:space="preserve"> - социални помощи и обезщетения</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4 602,4</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5 085,2</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5 322,4</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5 519,3</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2,5%</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2,5%</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2,4%</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2,4%</w:t>
            </w:r>
          </w:p>
        </w:tc>
      </w:tr>
      <w:tr w:rsidR="00CA3C05" w:rsidRPr="00CA3C05" w:rsidTr="00CA3C05">
        <w:trPr>
          <w:trHeight w:val="480"/>
        </w:trPr>
        <w:tc>
          <w:tcPr>
            <w:tcW w:w="2694" w:type="dxa"/>
            <w:tcBorders>
              <w:top w:val="nil"/>
              <w:left w:val="nil"/>
              <w:bottom w:val="single" w:sz="4" w:space="0" w:color="auto"/>
              <w:right w:val="nil"/>
            </w:tcBorders>
            <w:shd w:val="clear" w:color="000000" w:fill="FFFFFF"/>
            <w:vAlign w:val="center"/>
            <w:hideMark/>
          </w:tcPr>
          <w:p w:rsidR="00CA3C05" w:rsidRPr="00CA3C05" w:rsidRDefault="00CA3C05" w:rsidP="00CA3C05">
            <w:pPr>
              <w:spacing w:after="0"/>
              <w:jc w:val="left"/>
              <w:rPr>
                <w:rFonts w:eastAsia="Times New Roman" w:cs="Times New Roman"/>
                <w:color w:val="000000"/>
                <w:sz w:val="18"/>
                <w:szCs w:val="18"/>
              </w:rPr>
            </w:pPr>
            <w:r w:rsidRPr="00CA3C05">
              <w:rPr>
                <w:rFonts w:eastAsia="Times New Roman" w:cs="Times New Roman"/>
                <w:color w:val="000000"/>
                <w:sz w:val="18"/>
                <w:szCs w:val="18"/>
              </w:rPr>
              <w:t xml:space="preserve"> - програми, дейности и служби по социалното осигуряване, подпомагане и заетостта</w:t>
            </w:r>
          </w:p>
        </w:tc>
        <w:tc>
          <w:tcPr>
            <w:tcW w:w="962"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2 041,1</w:t>
            </w:r>
          </w:p>
        </w:tc>
        <w:tc>
          <w:tcPr>
            <w:tcW w:w="880"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2 711,4</w:t>
            </w:r>
          </w:p>
        </w:tc>
        <w:tc>
          <w:tcPr>
            <w:tcW w:w="908"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2 798,8</w:t>
            </w:r>
          </w:p>
        </w:tc>
        <w:tc>
          <w:tcPr>
            <w:tcW w:w="908"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2 926,5</w:t>
            </w:r>
          </w:p>
        </w:tc>
        <w:tc>
          <w:tcPr>
            <w:tcW w:w="955"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1,1%</w:t>
            </w:r>
          </w:p>
        </w:tc>
        <w:tc>
          <w:tcPr>
            <w:tcW w:w="820"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1,3%</w:t>
            </w:r>
          </w:p>
        </w:tc>
        <w:tc>
          <w:tcPr>
            <w:tcW w:w="908"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1,3%</w:t>
            </w:r>
          </w:p>
        </w:tc>
        <w:tc>
          <w:tcPr>
            <w:tcW w:w="908"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1,3%</w:t>
            </w:r>
          </w:p>
        </w:tc>
      </w:tr>
      <w:tr w:rsidR="00CA3C05" w:rsidRPr="00CA3C05" w:rsidTr="00CA3C05">
        <w:trPr>
          <w:trHeight w:val="75"/>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FF0000"/>
                <w:sz w:val="8"/>
                <w:szCs w:val="8"/>
              </w:rPr>
            </w:pPr>
            <w:r w:rsidRPr="00CA3C05">
              <w:rPr>
                <w:rFonts w:eastAsia="Times New Roman" w:cs="Times New Roman"/>
                <w:b/>
                <w:bCs/>
                <w:color w:val="FF0000"/>
                <w:sz w:val="8"/>
                <w:szCs w:val="8"/>
              </w:rPr>
              <w:t> </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FF0000"/>
                <w:sz w:val="8"/>
                <w:szCs w:val="8"/>
              </w:rPr>
            </w:pPr>
            <w:r w:rsidRPr="00CA3C05">
              <w:rPr>
                <w:rFonts w:eastAsia="Times New Roman" w:cs="Times New Roman"/>
                <w:b/>
                <w:bCs/>
                <w:color w:val="FF0000"/>
                <w:sz w:val="8"/>
                <w:szCs w:val="8"/>
              </w:rPr>
              <w:t> </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FF0000"/>
                <w:sz w:val="8"/>
                <w:szCs w:val="8"/>
              </w:rPr>
            </w:pPr>
            <w:r w:rsidRPr="00CA3C05">
              <w:rPr>
                <w:rFonts w:eastAsia="Times New Roman" w:cs="Times New Roman"/>
                <w:b/>
                <w:bCs/>
                <w:color w:val="FF0000"/>
                <w:sz w:val="8"/>
                <w:szCs w:val="8"/>
              </w:rPr>
              <w:t> </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sz w:val="8"/>
                <w:szCs w:val="8"/>
              </w:rPr>
            </w:pPr>
            <w:r w:rsidRPr="00CA3C05">
              <w:rPr>
                <w:rFonts w:eastAsia="Times New Roman" w:cs="Times New Roman"/>
                <w:b/>
                <w:bCs/>
                <w:sz w:val="8"/>
                <w:szCs w:val="8"/>
              </w:rPr>
              <w:t> </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sz w:val="8"/>
                <w:szCs w:val="8"/>
              </w:rPr>
            </w:pPr>
            <w:r w:rsidRPr="00CA3C05">
              <w:rPr>
                <w:rFonts w:eastAsia="Times New Roman" w:cs="Times New Roman"/>
                <w:b/>
                <w:bCs/>
                <w:i/>
                <w:iCs/>
                <w:sz w:val="8"/>
                <w:szCs w:val="8"/>
              </w:rPr>
              <w:t> </w:t>
            </w:r>
          </w:p>
        </w:tc>
      </w:tr>
      <w:tr w:rsidR="00CA3C05" w:rsidRPr="00CA3C05" w:rsidTr="00CA3C05">
        <w:trPr>
          <w:trHeight w:val="540"/>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left"/>
              <w:rPr>
                <w:rFonts w:eastAsia="Times New Roman" w:cs="Times New Roman"/>
                <w:b/>
                <w:bCs/>
                <w:color w:val="000000"/>
                <w:sz w:val="18"/>
                <w:szCs w:val="18"/>
              </w:rPr>
            </w:pPr>
            <w:r w:rsidRPr="00CA3C05">
              <w:rPr>
                <w:rFonts w:eastAsia="Times New Roman" w:cs="Times New Roman"/>
                <w:b/>
                <w:bCs/>
                <w:color w:val="000000"/>
                <w:sz w:val="18"/>
                <w:szCs w:val="18"/>
              </w:rPr>
              <w:t>Жилищно строителство, благоустройство, комунално стопанство и опазване на околната среда</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3 080,2</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3 445,0</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3 875,2</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sz w:val="18"/>
                <w:szCs w:val="18"/>
              </w:rPr>
            </w:pPr>
            <w:r w:rsidRPr="00CA3C05">
              <w:rPr>
                <w:rFonts w:eastAsia="Times New Roman" w:cs="Times New Roman"/>
                <w:b/>
                <w:bCs/>
                <w:sz w:val="18"/>
                <w:szCs w:val="18"/>
              </w:rPr>
              <w:t>3 536,6</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1,7%</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1,7%</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1,8%</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sz w:val="18"/>
                <w:szCs w:val="18"/>
              </w:rPr>
            </w:pPr>
            <w:r w:rsidRPr="00CA3C05">
              <w:rPr>
                <w:rFonts w:eastAsia="Times New Roman" w:cs="Times New Roman"/>
                <w:b/>
                <w:bCs/>
                <w:sz w:val="18"/>
                <w:szCs w:val="18"/>
              </w:rPr>
              <w:t>1,5%</w:t>
            </w:r>
          </w:p>
        </w:tc>
      </w:tr>
      <w:tr w:rsidR="00CA3C05" w:rsidRPr="00CA3C05" w:rsidTr="00CA3C05">
        <w:trPr>
          <w:trHeight w:val="480"/>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left"/>
              <w:rPr>
                <w:rFonts w:eastAsia="Times New Roman" w:cs="Times New Roman"/>
                <w:color w:val="000000"/>
                <w:sz w:val="18"/>
                <w:szCs w:val="18"/>
              </w:rPr>
            </w:pPr>
            <w:r w:rsidRPr="00CA3C05">
              <w:rPr>
                <w:rFonts w:eastAsia="Times New Roman" w:cs="Times New Roman"/>
                <w:color w:val="000000"/>
                <w:sz w:val="18"/>
                <w:szCs w:val="18"/>
              </w:rPr>
              <w:t xml:space="preserve"> - жилищно строителство, благоустройство, комунално стопанство</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1 443,7</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1 920,0</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2 347,8</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2 153,7</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0,8%</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0,9%</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1,1%</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0,9%</w:t>
            </w:r>
          </w:p>
        </w:tc>
      </w:tr>
      <w:tr w:rsidR="00CA3C05" w:rsidRPr="00CA3C05" w:rsidTr="00CA3C05">
        <w:trPr>
          <w:trHeight w:val="240"/>
        </w:trPr>
        <w:tc>
          <w:tcPr>
            <w:tcW w:w="2694" w:type="dxa"/>
            <w:tcBorders>
              <w:top w:val="nil"/>
              <w:left w:val="nil"/>
              <w:bottom w:val="single" w:sz="4" w:space="0" w:color="auto"/>
              <w:right w:val="nil"/>
            </w:tcBorders>
            <w:shd w:val="clear" w:color="000000" w:fill="FFFFFF"/>
            <w:vAlign w:val="center"/>
            <w:hideMark/>
          </w:tcPr>
          <w:p w:rsidR="00CA3C05" w:rsidRPr="00CA3C05" w:rsidRDefault="00CA3C05" w:rsidP="00CA3C05">
            <w:pPr>
              <w:spacing w:after="0"/>
              <w:jc w:val="left"/>
              <w:rPr>
                <w:rFonts w:eastAsia="Times New Roman" w:cs="Times New Roman"/>
                <w:color w:val="000000"/>
                <w:sz w:val="18"/>
                <w:szCs w:val="18"/>
              </w:rPr>
            </w:pPr>
            <w:r w:rsidRPr="00CA3C05">
              <w:rPr>
                <w:rFonts w:eastAsia="Times New Roman" w:cs="Times New Roman"/>
                <w:color w:val="000000"/>
                <w:sz w:val="18"/>
                <w:szCs w:val="18"/>
              </w:rPr>
              <w:t xml:space="preserve"> - опазване на околната среда</w:t>
            </w:r>
          </w:p>
        </w:tc>
        <w:tc>
          <w:tcPr>
            <w:tcW w:w="962"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1 636,5</w:t>
            </w:r>
          </w:p>
        </w:tc>
        <w:tc>
          <w:tcPr>
            <w:tcW w:w="880"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1 525,0</w:t>
            </w:r>
          </w:p>
        </w:tc>
        <w:tc>
          <w:tcPr>
            <w:tcW w:w="908"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1 527,5</w:t>
            </w:r>
          </w:p>
        </w:tc>
        <w:tc>
          <w:tcPr>
            <w:tcW w:w="908"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1 382,9</w:t>
            </w:r>
          </w:p>
        </w:tc>
        <w:tc>
          <w:tcPr>
            <w:tcW w:w="955"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0,9%</w:t>
            </w:r>
          </w:p>
        </w:tc>
        <w:tc>
          <w:tcPr>
            <w:tcW w:w="820"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0,7%</w:t>
            </w:r>
          </w:p>
        </w:tc>
        <w:tc>
          <w:tcPr>
            <w:tcW w:w="908"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0,7%</w:t>
            </w:r>
          </w:p>
        </w:tc>
        <w:tc>
          <w:tcPr>
            <w:tcW w:w="908"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0,6%</w:t>
            </w:r>
          </w:p>
        </w:tc>
      </w:tr>
      <w:tr w:rsidR="00CA3C05" w:rsidRPr="00CA3C05" w:rsidTr="00CA3C05">
        <w:trPr>
          <w:trHeight w:val="75"/>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FF0000"/>
                <w:sz w:val="8"/>
                <w:szCs w:val="8"/>
              </w:rPr>
            </w:pPr>
            <w:r w:rsidRPr="00CA3C05">
              <w:rPr>
                <w:rFonts w:eastAsia="Times New Roman" w:cs="Times New Roman"/>
                <w:b/>
                <w:bCs/>
                <w:color w:val="FF0000"/>
                <w:sz w:val="8"/>
                <w:szCs w:val="8"/>
              </w:rPr>
              <w:t> </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FF0000"/>
                <w:sz w:val="8"/>
                <w:szCs w:val="8"/>
              </w:rPr>
            </w:pPr>
            <w:r w:rsidRPr="00CA3C05">
              <w:rPr>
                <w:rFonts w:eastAsia="Times New Roman" w:cs="Times New Roman"/>
                <w:b/>
                <w:bCs/>
                <w:color w:val="FF0000"/>
                <w:sz w:val="8"/>
                <w:szCs w:val="8"/>
              </w:rPr>
              <w:t> </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FF0000"/>
                <w:sz w:val="8"/>
                <w:szCs w:val="8"/>
              </w:rPr>
            </w:pPr>
            <w:r w:rsidRPr="00CA3C05">
              <w:rPr>
                <w:rFonts w:eastAsia="Times New Roman" w:cs="Times New Roman"/>
                <w:b/>
                <w:bCs/>
                <w:color w:val="FF0000"/>
                <w:sz w:val="8"/>
                <w:szCs w:val="8"/>
              </w:rPr>
              <w:t> </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sz w:val="8"/>
                <w:szCs w:val="8"/>
              </w:rPr>
            </w:pPr>
            <w:r w:rsidRPr="00CA3C05">
              <w:rPr>
                <w:rFonts w:eastAsia="Times New Roman" w:cs="Times New Roman"/>
                <w:b/>
                <w:bCs/>
                <w:sz w:val="8"/>
                <w:szCs w:val="8"/>
              </w:rPr>
              <w:t> </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sz w:val="8"/>
                <w:szCs w:val="8"/>
              </w:rPr>
            </w:pPr>
            <w:r w:rsidRPr="00CA3C05">
              <w:rPr>
                <w:rFonts w:eastAsia="Times New Roman" w:cs="Times New Roman"/>
                <w:b/>
                <w:bCs/>
                <w:i/>
                <w:iCs/>
                <w:sz w:val="8"/>
                <w:szCs w:val="8"/>
              </w:rPr>
              <w:t> </w:t>
            </w:r>
          </w:p>
        </w:tc>
      </w:tr>
      <w:tr w:rsidR="00CA3C05" w:rsidRPr="00CA3C05" w:rsidTr="00CA3C05">
        <w:trPr>
          <w:trHeight w:val="300"/>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left"/>
              <w:rPr>
                <w:rFonts w:eastAsia="Times New Roman" w:cs="Times New Roman"/>
                <w:b/>
                <w:bCs/>
                <w:color w:val="000000"/>
                <w:sz w:val="18"/>
                <w:szCs w:val="18"/>
              </w:rPr>
            </w:pPr>
            <w:r w:rsidRPr="00CA3C05">
              <w:rPr>
                <w:rFonts w:eastAsia="Times New Roman" w:cs="Times New Roman"/>
                <w:b/>
                <w:bCs/>
                <w:color w:val="000000"/>
                <w:sz w:val="18"/>
                <w:szCs w:val="18"/>
              </w:rPr>
              <w:t>Култура, спорт, почивни дейности и религиозно дело</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1 140,9</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1 205,4</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1 232,2</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sz w:val="18"/>
                <w:szCs w:val="18"/>
              </w:rPr>
            </w:pPr>
            <w:r w:rsidRPr="00CA3C05">
              <w:rPr>
                <w:rFonts w:eastAsia="Times New Roman" w:cs="Times New Roman"/>
                <w:b/>
                <w:bCs/>
                <w:sz w:val="18"/>
                <w:szCs w:val="18"/>
              </w:rPr>
              <w:t>1 265,7</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0,6%</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0,6%</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0,6%</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sz w:val="18"/>
                <w:szCs w:val="18"/>
              </w:rPr>
            </w:pPr>
            <w:r w:rsidRPr="00CA3C05">
              <w:rPr>
                <w:rFonts w:eastAsia="Times New Roman" w:cs="Times New Roman"/>
                <w:b/>
                <w:bCs/>
                <w:sz w:val="18"/>
                <w:szCs w:val="18"/>
              </w:rPr>
              <w:t>0,5%</w:t>
            </w:r>
          </w:p>
        </w:tc>
      </w:tr>
      <w:tr w:rsidR="00CA3C05" w:rsidRPr="00CA3C05" w:rsidTr="00CA3C05">
        <w:trPr>
          <w:trHeight w:val="240"/>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left"/>
              <w:rPr>
                <w:rFonts w:eastAsia="Times New Roman" w:cs="Times New Roman"/>
                <w:color w:val="000000"/>
                <w:sz w:val="18"/>
                <w:szCs w:val="18"/>
              </w:rPr>
            </w:pPr>
            <w:r w:rsidRPr="00CA3C05">
              <w:rPr>
                <w:rFonts w:eastAsia="Times New Roman" w:cs="Times New Roman"/>
                <w:color w:val="000000"/>
                <w:sz w:val="18"/>
                <w:szCs w:val="18"/>
              </w:rPr>
              <w:t xml:space="preserve"> - почивни дейности</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20,2</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22,1</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22,9</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23,4</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0,0%</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0,0%</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0,0%</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0,0%</w:t>
            </w:r>
          </w:p>
        </w:tc>
      </w:tr>
      <w:tr w:rsidR="00CA3C05" w:rsidRPr="00CA3C05" w:rsidTr="00CA3C05">
        <w:trPr>
          <w:trHeight w:val="240"/>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left"/>
              <w:rPr>
                <w:rFonts w:eastAsia="Times New Roman" w:cs="Times New Roman"/>
                <w:color w:val="000000"/>
                <w:sz w:val="18"/>
                <w:szCs w:val="18"/>
              </w:rPr>
            </w:pPr>
            <w:r w:rsidRPr="00CA3C05">
              <w:rPr>
                <w:rFonts w:eastAsia="Times New Roman" w:cs="Times New Roman"/>
                <w:color w:val="000000"/>
                <w:sz w:val="18"/>
                <w:szCs w:val="18"/>
              </w:rPr>
              <w:t xml:space="preserve"> - физическа култура и спорт</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196,4</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164,7</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173,2</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166,9</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0,1%</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0,1%</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0,1%</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0,1%</w:t>
            </w:r>
          </w:p>
        </w:tc>
      </w:tr>
      <w:tr w:rsidR="00CA3C05" w:rsidRPr="00CA3C05" w:rsidTr="00CA3C05">
        <w:trPr>
          <w:trHeight w:val="240"/>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left"/>
              <w:rPr>
                <w:rFonts w:eastAsia="Times New Roman" w:cs="Times New Roman"/>
                <w:color w:val="000000"/>
                <w:sz w:val="18"/>
                <w:szCs w:val="18"/>
              </w:rPr>
            </w:pPr>
            <w:r w:rsidRPr="00CA3C05">
              <w:rPr>
                <w:rFonts w:eastAsia="Times New Roman" w:cs="Times New Roman"/>
                <w:color w:val="000000"/>
                <w:sz w:val="18"/>
                <w:szCs w:val="18"/>
              </w:rPr>
              <w:t xml:space="preserve"> - култура</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872,8</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969,6</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987,0</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1 026,4</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0,5%</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0,5%</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0,5%</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0,4%</w:t>
            </w:r>
          </w:p>
        </w:tc>
      </w:tr>
      <w:tr w:rsidR="00CA3C05" w:rsidRPr="00CA3C05" w:rsidTr="00CA3C05">
        <w:trPr>
          <w:trHeight w:val="240"/>
        </w:trPr>
        <w:tc>
          <w:tcPr>
            <w:tcW w:w="2694" w:type="dxa"/>
            <w:tcBorders>
              <w:top w:val="nil"/>
              <w:left w:val="nil"/>
              <w:bottom w:val="single" w:sz="4" w:space="0" w:color="auto"/>
              <w:right w:val="nil"/>
            </w:tcBorders>
            <w:shd w:val="clear" w:color="000000" w:fill="FFFFFF"/>
            <w:vAlign w:val="center"/>
            <w:hideMark/>
          </w:tcPr>
          <w:p w:rsidR="00CA3C05" w:rsidRPr="00CA3C05" w:rsidRDefault="00CA3C05" w:rsidP="00CA3C05">
            <w:pPr>
              <w:spacing w:after="0"/>
              <w:jc w:val="left"/>
              <w:rPr>
                <w:rFonts w:eastAsia="Times New Roman" w:cs="Times New Roman"/>
                <w:color w:val="000000"/>
                <w:sz w:val="18"/>
                <w:szCs w:val="18"/>
              </w:rPr>
            </w:pPr>
            <w:r w:rsidRPr="00CA3C05">
              <w:rPr>
                <w:rFonts w:eastAsia="Times New Roman" w:cs="Times New Roman"/>
                <w:color w:val="000000"/>
                <w:sz w:val="18"/>
                <w:szCs w:val="18"/>
              </w:rPr>
              <w:t xml:space="preserve"> - религиозно дело</w:t>
            </w:r>
          </w:p>
        </w:tc>
        <w:tc>
          <w:tcPr>
            <w:tcW w:w="962"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51,4</w:t>
            </w:r>
          </w:p>
        </w:tc>
        <w:tc>
          <w:tcPr>
            <w:tcW w:w="880"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49,0</w:t>
            </w:r>
          </w:p>
        </w:tc>
        <w:tc>
          <w:tcPr>
            <w:tcW w:w="908"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49,0</w:t>
            </w:r>
          </w:p>
        </w:tc>
        <w:tc>
          <w:tcPr>
            <w:tcW w:w="908"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49,0</w:t>
            </w:r>
          </w:p>
        </w:tc>
        <w:tc>
          <w:tcPr>
            <w:tcW w:w="955"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0,0%</w:t>
            </w:r>
          </w:p>
        </w:tc>
        <w:tc>
          <w:tcPr>
            <w:tcW w:w="820"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0,0%</w:t>
            </w:r>
          </w:p>
        </w:tc>
        <w:tc>
          <w:tcPr>
            <w:tcW w:w="908"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0,0%</w:t>
            </w:r>
          </w:p>
        </w:tc>
        <w:tc>
          <w:tcPr>
            <w:tcW w:w="908"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0,0%</w:t>
            </w:r>
          </w:p>
        </w:tc>
      </w:tr>
      <w:tr w:rsidR="00CA3C05" w:rsidRPr="00CA3C05" w:rsidTr="00CA3C05">
        <w:trPr>
          <w:trHeight w:val="120"/>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FF0000"/>
                <w:sz w:val="8"/>
                <w:szCs w:val="8"/>
              </w:rPr>
            </w:pPr>
            <w:r w:rsidRPr="00CA3C05">
              <w:rPr>
                <w:rFonts w:eastAsia="Times New Roman" w:cs="Times New Roman"/>
                <w:b/>
                <w:bCs/>
                <w:color w:val="FF0000"/>
                <w:sz w:val="8"/>
                <w:szCs w:val="8"/>
              </w:rPr>
              <w:t> </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FF0000"/>
                <w:sz w:val="8"/>
                <w:szCs w:val="8"/>
              </w:rPr>
            </w:pPr>
            <w:r w:rsidRPr="00CA3C05">
              <w:rPr>
                <w:rFonts w:eastAsia="Times New Roman" w:cs="Times New Roman"/>
                <w:b/>
                <w:bCs/>
                <w:color w:val="FF0000"/>
                <w:sz w:val="8"/>
                <w:szCs w:val="8"/>
              </w:rPr>
              <w:t> </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FF0000"/>
                <w:sz w:val="8"/>
                <w:szCs w:val="8"/>
              </w:rPr>
            </w:pPr>
            <w:r w:rsidRPr="00CA3C05">
              <w:rPr>
                <w:rFonts w:eastAsia="Times New Roman" w:cs="Times New Roman"/>
                <w:b/>
                <w:bCs/>
                <w:color w:val="FF0000"/>
                <w:sz w:val="8"/>
                <w:szCs w:val="8"/>
              </w:rPr>
              <w:t> </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sz w:val="8"/>
                <w:szCs w:val="8"/>
              </w:rPr>
            </w:pPr>
            <w:r w:rsidRPr="00CA3C05">
              <w:rPr>
                <w:rFonts w:eastAsia="Times New Roman" w:cs="Times New Roman"/>
                <w:b/>
                <w:bCs/>
                <w:sz w:val="8"/>
                <w:szCs w:val="8"/>
              </w:rPr>
              <w:t> </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sz w:val="8"/>
                <w:szCs w:val="8"/>
              </w:rPr>
            </w:pPr>
            <w:r w:rsidRPr="00CA3C05">
              <w:rPr>
                <w:rFonts w:eastAsia="Times New Roman" w:cs="Times New Roman"/>
                <w:b/>
                <w:bCs/>
                <w:i/>
                <w:iCs/>
                <w:sz w:val="8"/>
                <w:szCs w:val="8"/>
              </w:rPr>
              <w:t> </w:t>
            </w:r>
          </w:p>
        </w:tc>
      </w:tr>
      <w:tr w:rsidR="00CA3C05" w:rsidRPr="00CA3C05" w:rsidTr="00CA3C05">
        <w:trPr>
          <w:trHeight w:val="240"/>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left"/>
              <w:rPr>
                <w:rFonts w:eastAsia="Times New Roman" w:cs="Times New Roman"/>
                <w:b/>
                <w:bCs/>
                <w:color w:val="000000"/>
                <w:sz w:val="18"/>
                <w:szCs w:val="18"/>
              </w:rPr>
            </w:pPr>
            <w:r w:rsidRPr="00CA3C05">
              <w:rPr>
                <w:rFonts w:eastAsia="Times New Roman" w:cs="Times New Roman"/>
                <w:b/>
                <w:bCs/>
                <w:color w:val="000000"/>
                <w:sz w:val="18"/>
                <w:szCs w:val="18"/>
              </w:rPr>
              <w:t>Икономически дейности и услуги</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12 205,9</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13 725,0</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14 531,0</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sz w:val="18"/>
                <w:szCs w:val="18"/>
              </w:rPr>
            </w:pPr>
            <w:r w:rsidRPr="00CA3C05">
              <w:rPr>
                <w:rFonts w:eastAsia="Times New Roman" w:cs="Times New Roman"/>
                <w:b/>
                <w:bCs/>
                <w:sz w:val="18"/>
                <w:szCs w:val="18"/>
              </w:rPr>
              <w:t>15 864,1</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6,6%</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6,7%</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6,7%</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sz w:val="18"/>
                <w:szCs w:val="18"/>
              </w:rPr>
            </w:pPr>
            <w:r w:rsidRPr="00CA3C05">
              <w:rPr>
                <w:rFonts w:eastAsia="Times New Roman" w:cs="Times New Roman"/>
                <w:b/>
                <w:bCs/>
                <w:sz w:val="18"/>
                <w:szCs w:val="18"/>
              </w:rPr>
              <w:t>6,9%</w:t>
            </w:r>
          </w:p>
        </w:tc>
      </w:tr>
      <w:tr w:rsidR="00CA3C05" w:rsidRPr="00CA3C05" w:rsidTr="00CA3C05">
        <w:trPr>
          <w:trHeight w:val="240"/>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left"/>
              <w:rPr>
                <w:rFonts w:eastAsia="Times New Roman" w:cs="Times New Roman"/>
                <w:color w:val="000000"/>
                <w:sz w:val="18"/>
                <w:szCs w:val="18"/>
              </w:rPr>
            </w:pPr>
            <w:r w:rsidRPr="00CA3C05">
              <w:rPr>
                <w:rFonts w:eastAsia="Times New Roman" w:cs="Times New Roman"/>
                <w:color w:val="000000"/>
                <w:sz w:val="18"/>
                <w:szCs w:val="18"/>
              </w:rPr>
              <w:t xml:space="preserve"> - минно дело, горива и енергия</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4 296,7</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3 367,8</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3 366,0</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5 127,5</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2,3%</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1,6%</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1,5%</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2,2%</w:t>
            </w:r>
          </w:p>
        </w:tc>
      </w:tr>
      <w:tr w:rsidR="00CA3C05" w:rsidRPr="00CA3C05" w:rsidTr="00CA3C05">
        <w:trPr>
          <w:trHeight w:val="240"/>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left"/>
              <w:rPr>
                <w:rFonts w:eastAsia="Times New Roman" w:cs="Times New Roman"/>
                <w:color w:val="000000"/>
                <w:sz w:val="18"/>
                <w:szCs w:val="18"/>
              </w:rPr>
            </w:pPr>
            <w:r w:rsidRPr="00CA3C05">
              <w:rPr>
                <w:rFonts w:eastAsia="Times New Roman" w:cs="Times New Roman"/>
                <w:color w:val="000000"/>
                <w:sz w:val="18"/>
                <w:szCs w:val="18"/>
              </w:rPr>
              <w:t xml:space="preserve"> - селско стопанство, горско стопанство, лов и риболов</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2 058,7</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2 256,2</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3 168,6</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2 361,7</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1,1%</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1,1%</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1,5%</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1,0%</w:t>
            </w:r>
          </w:p>
        </w:tc>
      </w:tr>
      <w:tr w:rsidR="00CA3C05" w:rsidRPr="00CA3C05" w:rsidTr="00CA3C05">
        <w:trPr>
          <w:trHeight w:val="240"/>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left"/>
              <w:rPr>
                <w:rFonts w:eastAsia="Times New Roman" w:cs="Times New Roman"/>
                <w:color w:val="000000"/>
                <w:sz w:val="18"/>
                <w:szCs w:val="18"/>
              </w:rPr>
            </w:pPr>
            <w:r w:rsidRPr="00CA3C05">
              <w:rPr>
                <w:rFonts w:eastAsia="Times New Roman" w:cs="Times New Roman"/>
                <w:color w:val="000000"/>
                <w:sz w:val="18"/>
                <w:szCs w:val="18"/>
              </w:rPr>
              <w:t xml:space="preserve"> - транспорт и съобщения</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5 153,6</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3 427,7</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3 967,1</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3 760,1</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2,8%</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1,7%</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1,8%</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1,6%</w:t>
            </w:r>
          </w:p>
        </w:tc>
      </w:tr>
      <w:tr w:rsidR="00CA3C05" w:rsidRPr="00CA3C05" w:rsidTr="00CA3C05">
        <w:trPr>
          <w:trHeight w:val="240"/>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left"/>
              <w:rPr>
                <w:rFonts w:eastAsia="Times New Roman" w:cs="Times New Roman"/>
                <w:color w:val="000000"/>
                <w:sz w:val="18"/>
                <w:szCs w:val="18"/>
              </w:rPr>
            </w:pPr>
            <w:r w:rsidRPr="00CA3C05">
              <w:rPr>
                <w:rFonts w:eastAsia="Times New Roman" w:cs="Times New Roman"/>
                <w:color w:val="000000"/>
                <w:sz w:val="18"/>
                <w:szCs w:val="18"/>
              </w:rPr>
              <w:t xml:space="preserve"> - промишленост и строителство</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3,2</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3,2</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3,2</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3,2</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0,0%</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0,0%</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0,0%</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0,0%</w:t>
            </w:r>
          </w:p>
        </w:tc>
      </w:tr>
      <w:tr w:rsidR="00CA3C05" w:rsidRPr="00CA3C05" w:rsidTr="00CA3C05">
        <w:trPr>
          <w:trHeight w:val="240"/>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left"/>
              <w:rPr>
                <w:rFonts w:eastAsia="Times New Roman" w:cs="Times New Roman"/>
                <w:color w:val="000000"/>
                <w:sz w:val="18"/>
                <w:szCs w:val="18"/>
              </w:rPr>
            </w:pPr>
            <w:r w:rsidRPr="00CA3C05">
              <w:rPr>
                <w:rFonts w:eastAsia="Times New Roman" w:cs="Times New Roman"/>
                <w:color w:val="000000"/>
                <w:sz w:val="18"/>
                <w:szCs w:val="18"/>
              </w:rPr>
              <w:t xml:space="preserve"> - туризъм</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133,6</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85,5</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34,0</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34,3</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0,1%</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0,0%</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0,0%</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0,0%</w:t>
            </w:r>
          </w:p>
        </w:tc>
      </w:tr>
      <w:tr w:rsidR="00CA3C05" w:rsidRPr="00CA3C05" w:rsidTr="00CA3C05">
        <w:trPr>
          <w:trHeight w:val="240"/>
        </w:trPr>
        <w:tc>
          <w:tcPr>
            <w:tcW w:w="2694" w:type="dxa"/>
            <w:tcBorders>
              <w:top w:val="nil"/>
              <w:left w:val="nil"/>
              <w:bottom w:val="single" w:sz="4" w:space="0" w:color="auto"/>
              <w:right w:val="nil"/>
            </w:tcBorders>
            <w:shd w:val="clear" w:color="000000" w:fill="FFFFFF"/>
            <w:vAlign w:val="center"/>
            <w:hideMark/>
          </w:tcPr>
          <w:p w:rsidR="00CA3C05" w:rsidRPr="00CA3C05" w:rsidRDefault="00CA3C05" w:rsidP="00CA3C05">
            <w:pPr>
              <w:spacing w:after="0"/>
              <w:jc w:val="left"/>
              <w:rPr>
                <w:rFonts w:eastAsia="Times New Roman" w:cs="Times New Roman"/>
                <w:color w:val="000000"/>
                <w:sz w:val="18"/>
                <w:szCs w:val="18"/>
              </w:rPr>
            </w:pPr>
            <w:r w:rsidRPr="00CA3C05">
              <w:rPr>
                <w:rFonts w:eastAsia="Times New Roman" w:cs="Times New Roman"/>
                <w:color w:val="000000"/>
                <w:sz w:val="18"/>
                <w:szCs w:val="18"/>
              </w:rPr>
              <w:t xml:space="preserve"> - други дейности по икономиката</w:t>
            </w:r>
          </w:p>
        </w:tc>
        <w:tc>
          <w:tcPr>
            <w:tcW w:w="962"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560,1</w:t>
            </w:r>
          </w:p>
        </w:tc>
        <w:tc>
          <w:tcPr>
            <w:tcW w:w="880"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4 584,7</w:t>
            </w:r>
          </w:p>
        </w:tc>
        <w:tc>
          <w:tcPr>
            <w:tcW w:w="908"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3 992,2</w:t>
            </w:r>
          </w:p>
        </w:tc>
        <w:tc>
          <w:tcPr>
            <w:tcW w:w="908" w:type="dxa"/>
            <w:tcBorders>
              <w:top w:val="nil"/>
              <w:left w:val="nil"/>
              <w:bottom w:val="single" w:sz="4" w:space="0" w:color="auto"/>
              <w:right w:val="nil"/>
            </w:tcBorders>
            <w:shd w:val="clear" w:color="000000" w:fill="FFFFFF"/>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4 577,3</w:t>
            </w:r>
          </w:p>
        </w:tc>
        <w:tc>
          <w:tcPr>
            <w:tcW w:w="955"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0,3%</w:t>
            </w:r>
          </w:p>
        </w:tc>
        <w:tc>
          <w:tcPr>
            <w:tcW w:w="820"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2,2%</w:t>
            </w:r>
          </w:p>
        </w:tc>
        <w:tc>
          <w:tcPr>
            <w:tcW w:w="908"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color w:val="000000"/>
                <w:sz w:val="18"/>
                <w:szCs w:val="18"/>
              </w:rPr>
            </w:pPr>
            <w:r w:rsidRPr="00CA3C05">
              <w:rPr>
                <w:rFonts w:eastAsia="Times New Roman" w:cs="Times New Roman"/>
                <w:color w:val="000000"/>
                <w:sz w:val="18"/>
                <w:szCs w:val="18"/>
              </w:rPr>
              <w:t>1,8%</w:t>
            </w:r>
          </w:p>
        </w:tc>
        <w:tc>
          <w:tcPr>
            <w:tcW w:w="908" w:type="dxa"/>
            <w:tcBorders>
              <w:top w:val="nil"/>
              <w:left w:val="nil"/>
              <w:bottom w:val="single" w:sz="4" w:space="0" w:color="auto"/>
              <w:right w:val="nil"/>
            </w:tcBorders>
            <w:shd w:val="clear" w:color="000000" w:fill="F2F2F2"/>
            <w:noWrap/>
            <w:vAlign w:val="bottom"/>
            <w:hideMark/>
          </w:tcPr>
          <w:p w:rsidR="00CA3C05" w:rsidRPr="00CA3C05" w:rsidRDefault="00CA3C05" w:rsidP="00CA3C05">
            <w:pPr>
              <w:spacing w:after="0"/>
              <w:jc w:val="right"/>
              <w:rPr>
                <w:rFonts w:eastAsia="Times New Roman" w:cs="Times New Roman"/>
                <w:sz w:val="18"/>
                <w:szCs w:val="18"/>
              </w:rPr>
            </w:pPr>
            <w:r w:rsidRPr="00CA3C05">
              <w:rPr>
                <w:rFonts w:eastAsia="Times New Roman" w:cs="Times New Roman"/>
                <w:sz w:val="18"/>
                <w:szCs w:val="18"/>
              </w:rPr>
              <w:t>2,0%</w:t>
            </w:r>
          </w:p>
        </w:tc>
      </w:tr>
      <w:tr w:rsidR="00CA3C05" w:rsidRPr="00CA3C05" w:rsidTr="00CA3C05">
        <w:trPr>
          <w:trHeight w:val="75"/>
        </w:trPr>
        <w:tc>
          <w:tcPr>
            <w:tcW w:w="2694" w:type="dxa"/>
            <w:tcBorders>
              <w:top w:val="nil"/>
              <w:left w:val="nil"/>
              <w:bottom w:val="nil"/>
              <w:right w:val="nil"/>
            </w:tcBorders>
            <w:shd w:val="clear" w:color="000000" w:fill="FFFFFF"/>
            <w:vAlign w:val="center"/>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962"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880"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908" w:type="dxa"/>
            <w:tcBorders>
              <w:top w:val="nil"/>
              <w:left w:val="nil"/>
              <w:bottom w:val="nil"/>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i/>
                <w:iCs/>
                <w:sz w:val="8"/>
                <w:szCs w:val="8"/>
              </w:rPr>
            </w:pPr>
            <w:r w:rsidRPr="00CA3C05">
              <w:rPr>
                <w:rFonts w:eastAsia="Times New Roman" w:cs="Times New Roman"/>
                <w:b/>
                <w:bCs/>
                <w:i/>
                <w:iCs/>
                <w:sz w:val="8"/>
                <w:szCs w:val="8"/>
              </w:rPr>
              <w:t> </w:t>
            </w:r>
          </w:p>
        </w:tc>
        <w:tc>
          <w:tcPr>
            <w:tcW w:w="955"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820"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color w:val="000000"/>
                <w:sz w:val="8"/>
                <w:szCs w:val="8"/>
              </w:rPr>
            </w:pPr>
            <w:r w:rsidRPr="00CA3C05">
              <w:rPr>
                <w:rFonts w:eastAsia="Times New Roman" w:cs="Times New Roman"/>
                <w:b/>
                <w:bCs/>
                <w:i/>
                <w:iCs/>
                <w:color w:val="000000"/>
                <w:sz w:val="8"/>
                <w:szCs w:val="8"/>
              </w:rPr>
              <w:t> </w:t>
            </w:r>
          </w:p>
        </w:tc>
        <w:tc>
          <w:tcPr>
            <w:tcW w:w="908" w:type="dxa"/>
            <w:tcBorders>
              <w:top w:val="nil"/>
              <w:left w:val="nil"/>
              <w:bottom w:val="nil"/>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i/>
                <w:iCs/>
                <w:sz w:val="8"/>
                <w:szCs w:val="8"/>
              </w:rPr>
            </w:pPr>
            <w:r w:rsidRPr="00CA3C05">
              <w:rPr>
                <w:rFonts w:eastAsia="Times New Roman" w:cs="Times New Roman"/>
                <w:b/>
                <w:bCs/>
                <w:i/>
                <w:iCs/>
                <w:sz w:val="8"/>
                <w:szCs w:val="8"/>
              </w:rPr>
              <w:t> </w:t>
            </w:r>
          </w:p>
        </w:tc>
      </w:tr>
      <w:tr w:rsidR="00CA3C05" w:rsidRPr="00CA3C05" w:rsidTr="00CA3C05">
        <w:trPr>
          <w:trHeight w:val="210"/>
        </w:trPr>
        <w:tc>
          <w:tcPr>
            <w:tcW w:w="2694" w:type="dxa"/>
            <w:tcBorders>
              <w:top w:val="nil"/>
              <w:left w:val="nil"/>
              <w:bottom w:val="single" w:sz="4" w:space="0" w:color="595959"/>
              <w:right w:val="nil"/>
            </w:tcBorders>
            <w:shd w:val="clear" w:color="000000" w:fill="FFFFFF"/>
            <w:vAlign w:val="center"/>
            <w:hideMark/>
          </w:tcPr>
          <w:p w:rsidR="00CA3C05" w:rsidRPr="00CA3C05" w:rsidRDefault="00CA3C05" w:rsidP="00CA3C05">
            <w:pPr>
              <w:spacing w:after="0"/>
              <w:jc w:val="left"/>
              <w:rPr>
                <w:rFonts w:eastAsia="Times New Roman" w:cs="Times New Roman"/>
                <w:b/>
                <w:bCs/>
                <w:color w:val="000000"/>
                <w:sz w:val="18"/>
                <w:szCs w:val="18"/>
              </w:rPr>
            </w:pPr>
            <w:r w:rsidRPr="00CA3C05">
              <w:rPr>
                <w:rFonts w:eastAsia="Times New Roman" w:cs="Times New Roman"/>
                <w:b/>
                <w:bCs/>
                <w:color w:val="000000"/>
                <w:sz w:val="18"/>
                <w:szCs w:val="18"/>
              </w:rPr>
              <w:t>Р-ди некласифицирани в другите функции</w:t>
            </w:r>
          </w:p>
        </w:tc>
        <w:tc>
          <w:tcPr>
            <w:tcW w:w="962" w:type="dxa"/>
            <w:tcBorders>
              <w:top w:val="nil"/>
              <w:left w:val="nil"/>
              <w:bottom w:val="single" w:sz="4" w:space="0" w:color="595959"/>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823,8</w:t>
            </w:r>
          </w:p>
        </w:tc>
        <w:tc>
          <w:tcPr>
            <w:tcW w:w="880" w:type="dxa"/>
            <w:tcBorders>
              <w:top w:val="nil"/>
              <w:left w:val="nil"/>
              <w:bottom w:val="single" w:sz="4" w:space="0" w:color="595959"/>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1 010,6</w:t>
            </w:r>
          </w:p>
        </w:tc>
        <w:tc>
          <w:tcPr>
            <w:tcW w:w="908" w:type="dxa"/>
            <w:tcBorders>
              <w:top w:val="nil"/>
              <w:left w:val="nil"/>
              <w:bottom w:val="single" w:sz="4" w:space="0" w:color="595959"/>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1 532,3</w:t>
            </w:r>
          </w:p>
        </w:tc>
        <w:tc>
          <w:tcPr>
            <w:tcW w:w="908" w:type="dxa"/>
            <w:tcBorders>
              <w:top w:val="nil"/>
              <w:left w:val="nil"/>
              <w:bottom w:val="single" w:sz="4" w:space="0" w:color="595959"/>
              <w:right w:val="nil"/>
            </w:tcBorders>
            <w:shd w:val="clear" w:color="000000" w:fill="FFFFFF"/>
            <w:noWrap/>
            <w:vAlign w:val="bottom"/>
            <w:hideMark/>
          </w:tcPr>
          <w:p w:rsidR="00CA3C05" w:rsidRPr="00CA3C05" w:rsidRDefault="00CA3C05" w:rsidP="00CA3C05">
            <w:pPr>
              <w:spacing w:after="0"/>
              <w:jc w:val="right"/>
              <w:rPr>
                <w:rFonts w:eastAsia="Times New Roman" w:cs="Times New Roman"/>
                <w:b/>
                <w:bCs/>
                <w:sz w:val="18"/>
                <w:szCs w:val="18"/>
              </w:rPr>
            </w:pPr>
            <w:r w:rsidRPr="00CA3C05">
              <w:rPr>
                <w:rFonts w:eastAsia="Times New Roman" w:cs="Times New Roman"/>
                <w:b/>
                <w:bCs/>
                <w:sz w:val="18"/>
                <w:szCs w:val="18"/>
              </w:rPr>
              <w:t>2 251,1</w:t>
            </w:r>
          </w:p>
        </w:tc>
        <w:tc>
          <w:tcPr>
            <w:tcW w:w="955" w:type="dxa"/>
            <w:tcBorders>
              <w:top w:val="nil"/>
              <w:left w:val="nil"/>
              <w:bottom w:val="single" w:sz="4" w:space="0" w:color="595959"/>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0,4%</w:t>
            </w:r>
          </w:p>
        </w:tc>
        <w:tc>
          <w:tcPr>
            <w:tcW w:w="820" w:type="dxa"/>
            <w:tcBorders>
              <w:top w:val="nil"/>
              <w:left w:val="nil"/>
              <w:bottom w:val="single" w:sz="4" w:space="0" w:color="595959"/>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0,5%</w:t>
            </w:r>
          </w:p>
        </w:tc>
        <w:tc>
          <w:tcPr>
            <w:tcW w:w="908" w:type="dxa"/>
            <w:tcBorders>
              <w:top w:val="nil"/>
              <w:left w:val="nil"/>
              <w:bottom w:val="single" w:sz="4" w:space="0" w:color="595959"/>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color w:val="000000"/>
                <w:sz w:val="18"/>
                <w:szCs w:val="18"/>
              </w:rPr>
            </w:pPr>
            <w:r w:rsidRPr="00CA3C05">
              <w:rPr>
                <w:rFonts w:eastAsia="Times New Roman" w:cs="Times New Roman"/>
                <w:b/>
                <w:bCs/>
                <w:color w:val="000000"/>
                <w:sz w:val="18"/>
                <w:szCs w:val="18"/>
              </w:rPr>
              <w:t>0,7%</w:t>
            </w:r>
          </w:p>
        </w:tc>
        <w:tc>
          <w:tcPr>
            <w:tcW w:w="908" w:type="dxa"/>
            <w:tcBorders>
              <w:top w:val="nil"/>
              <w:left w:val="nil"/>
              <w:bottom w:val="single" w:sz="4" w:space="0" w:color="595959"/>
              <w:right w:val="nil"/>
            </w:tcBorders>
            <w:shd w:val="clear" w:color="000000" w:fill="F2F2F2"/>
            <w:noWrap/>
            <w:vAlign w:val="bottom"/>
            <w:hideMark/>
          </w:tcPr>
          <w:p w:rsidR="00CA3C05" w:rsidRPr="00CA3C05" w:rsidRDefault="00CA3C05" w:rsidP="00CA3C05">
            <w:pPr>
              <w:spacing w:after="0"/>
              <w:jc w:val="right"/>
              <w:rPr>
                <w:rFonts w:eastAsia="Times New Roman" w:cs="Times New Roman"/>
                <w:b/>
                <w:bCs/>
                <w:sz w:val="18"/>
                <w:szCs w:val="18"/>
              </w:rPr>
            </w:pPr>
            <w:r w:rsidRPr="00CA3C05">
              <w:rPr>
                <w:rFonts w:eastAsia="Times New Roman" w:cs="Times New Roman"/>
                <w:b/>
                <w:bCs/>
                <w:sz w:val="18"/>
                <w:szCs w:val="18"/>
              </w:rPr>
              <w:t>1,0%</w:t>
            </w:r>
          </w:p>
        </w:tc>
      </w:tr>
    </w:tbl>
    <w:p w:rsidR="00CA3C05" w:rsidRDefault="00CA3C05" w:rsidP="00CA3C05">
      <w:pPr>
        <w:spacing w:before="120"/>
        <w:ind w:right="-709"/>
        <w:contextualSpacing/>
        <w:jc w:val="left"/>
        <w:rPr>
          <w:rFonts w:eastAsia="Batang" w:cs="Times New Roman"/>
          <w:b/>
          <w:sz w:val="18"/>
          <w:szCs w:val="18"/>
        </w:rPr>
      </w:pPr>
    </w:p>
    <w:p w:rsidR="00CA3C05" w:rsidRDefault="00CA3C05" w:rsidP="00CA3C05">
      <w:pPr>
        <w:spacing w:before="120"/>
        <w:ind w:right="-709"/>
        <w:contextualSpacing/>
        <w:jc w:val="left"/>
        <w:rPr>
          <w:rFonts w:eastAsia="Batang" w:cs="Times New Roman"/>
          <w:sz w:val="18"/>
          <w:szCs w:val="18"/>
        </w:rPr>
      </w:pPr>
      <w:r w:rsidRPr="00CA3C05">
        <w:rPr>
          <w:rFonts w:eastAsia="Batang" w:cs="Times New Roman"/>
          <w:b/>
          <w:sz w:val="18"/>
          <w:szCs w:val="18"/>
        </w:rPr>
        <w:t>Забележка:</w:t>
      </w:r>
      <w:r w:rsidRPr="00CA3C05">
        <w:rPr>
          <w:rFonts w:eastAsia="Batang" w:cs="Times New Roman"/>
          <w:sz w:val="18"/>
          <w:szCs w:val="18"/>
        </w:rPr>
        <w:t xml:space="preserve"> За 2024-2026 г. разходите за националната капиталова програма са разчетени в други дейности по икономиката.</w:t>
      </w:r>
    </w:p>
    <w:p w:rsidR="001A0F3E" w:rsidRPr="00AA3F66" w:rsidRDefault="001A0F3E" w:rsidP="00DD0DC1">
      <w:pPr>
        <w:ind w:right="-706"/>
        <w:contextualSpacing/>
        <w:jc w:val="right"/>
        <w:rPr>
          <w:rFonts w:eastAsia="Batang" w:cs="Times New Roman"/>
          <w:sz w:val="18"/>
          <w:szCs w:val="18"/>
        </w:rPr>
      </w:pPr>
      <w:r w:rsidRPr="00AA3F66">
        <w:rPr>
          <w:rFonts w:eastAsia="Batang" w:cs="Times New Roman"/>
          <w:sz w:val="18"/>
          <w:szCs w:val="18"/>
        </w:rPr>
        <w:t>Източник: МФ</w:t>
      </w:r>
    </w:p>
    <w:p w:rsidR="00083361" w:rsidRPr="00AA3F66" w:rsidRDefault="00083361" w:rsidP="00517D0A">
      <w:pPr>
        <w:pStyle w:val="Heading3"/>
        <w:ind w:left="0"/>
      </w:pPr>
      <w:bookmarkStart w:id="321" w:name="_Toc465070468"/>
      <w:bookmarkStart w:id="322" w:name="_Toc465205518"/>
      <w:r w:rsidRPr="00AA3F66">
        <w:t>Политика по доходите</w:t>
      </w:r>
      <w:bookmarkEnd w:id="321"/>
      <w:bookmarkEnd w:id="322"/>
    </w:p>
    <w:p w:rsidR="007061C0" w:rsidRPr="00AA3F66" w:rsidRDefault="007061C0" w:rsidP="007061C0">
      <w:pPr>
        <w:rPr>
          <w:rFonts w:cs="Times New Roman"/>
          <w:szCs w:val="24"/>
        </w:rPr>
      </w:pPr>
      <w:r w:rsidRPr="00AA3F66">
        <w:rPr>
          <w:rFonts w:cs="Times New Roman"/>
          <w:szCs w:val="24"/>
        </w:rPr>
        <w:t>В АСБП за периода 2024-2026 г. е отразено увеличението на размера на минималната работна заплата от 1 януари 2024 г. - от 780 лв. на 933 лв., като ефектите от размера на прогнозната минимална работна заплата за 2025 г. и 2026 г. са разчетени в индикативен размер, в съответствие с чл. 244 от Кодекса на труда.</w:t>
      </w:r>
    </w:p>
    <w:p w:rsidR="007061C0" w:rsidRPr="00AA3F66" w:rsidRDefault="007061C0" w:rsidP="007061C0">
      <w:pPr>
        <w:rPr>
          <w:rFonts w:cs="Times New Roman"/>
          <w:szCs w:val="24"/>
        </w:rPr>
      </w:pPr>
      <w:r w:rsidRPr="00AA3F66">
        <w:rPr>
          <w:rFonts w:cs="Times New Roman"/>
          <w:szCs w:val="24"/>
        </w:rPr>
        <w:t>За 2024 г. е разчетено увеличение на средствата за заплати и възнаграждения на персонала за изборните длъжности и за заетите в системата на съдебната власт, за които законодателно е регламентиран механизъм за формиране на възнагражденията.</w:t>
      </w:r>
    </w:p>
    <w:p w:rsidR="007061C0" w:rsidRDefault="007061C0" w:rsidP="00C638D7">
      <w:pPr>
        <w:rPr>
          <w:rFonts w:cs="Times New Roman"/>
          <w:szCs w:val="24"/>
        </w:rPr>
      </w:pPr>
      <w:r w:rsidRPr="00AA3F66">
        <w:rPr>
          <w:rFonts w:cs="Times New Roman"/>
          <w:szCs w:val="24"/>
        </w:rPr>
        <w:t>Осигурени са в целогодишен размер за 2024 г. и следващите години средства в резултат от направени увеличения на разходите за персонал през 2023 г. на отделни разпоредители с бюджет.</w:t>
      </w:r>
    </w:p>
    <w:p w:rsidR="00A05D88" w:rsidRPr="00A05D88" w:rsidRDefault="00A05D88" w:rsidP="00A05D88">
      <w:pPr>
        <w:rPr>
          <w:rFonts w:cs="Times New Roman"/>
          <w:szCs w:val="24"/>
        </w:rPr>
      </w:pPr>
      <w:r w:rsidRPr="00A05D88">
        <w:rPr>
          <w:rFonts w:cs="Times New Roman"/>
          <w:szCs w:val="24"/>
        </w:rPr>
        <w:t>За преодоляване на диспропорциите във възнагражденията на персонала в бюджетните организации (за изглаждане на наблюдавани значителни дисбаланси/неравенства в нивото на заплащане на едни и същи длъжности в различни административни звена и структури в секторите, предоставящи публични услуги), включително и за увеличаване на възнагражденията на персонала за 2024 г., без структури, за които възнагражденията се определят по механизъм, са предвидени допълнителни средства в общ размер на 375,0 млн. лв., в т.ч. 32,0 млн. лв. за  общинска администрация - държавни дейности, като за целта се предвижда средствата да бъдат разпределяни съобразно ред и условия, определени с акт на Министерския съвет.</w:t>
      </w:r>
    </w:p>
    <w:p w:rsidR="000B5973" w:rsidRPr="00AA3F66" w:rsidRDefault="000B5973" w:rsidP="000B5973">
      <w:pPr>
        <w:rPr>
          <w:rFonts w:cs="Times New Roman"/>
          <w:szCs w:val="24"/>
        </w:rPr>
      </w:pPr>
      <w:r w:rsidRPr="00AA3F66">
        <w:rPr>
          <w:rFonts w:cs="Times New Roman"/>
          <w:szCs w:val="24"/>
        </w:rPr>
        <w:t>Предвидено е нарастване на средствата за делегираните дейности в образованието във връзка с продължаване на политиката за увеличение на заплатите на педагогическите специалисти за достигане на средна работна заплата не по-малко от 125 на сто от средната работна заплата за страната с цел да се стимулира навлизането на млади и квалифицирани педагози в системата на предучилищното и училищното образование.</w:t>
      </w:r>
    </w:p>
    <w:p w:rsidR="00083361" w:rsidRPr="00AA3F66" w:rsidRDefault="00083361" w:rsidP="00517D0A">
      <w:pPr>
        <w:pStyle w:val="Heading3"/>
        <w:ind w:left="0"/>
      </w:pPr>
      <w:bookmarkStart w:id="323" w:name="_Toc465070469"/>
      <w:bookmarkStart w:id="324" w:name="_Toc465205519"/>
      <w:r w:rsidRPr="00AA3F66">
        <w:t>Пенсионна политика</w:t>
      </w:r>
      <w:bookmarkEnd w:id="323"/>
      <w:bookmarkEnd w:id="324"/>
    </w:p>
    <w:p w:rsidR="007061C0" w:rsidRPr="00AA3F66" w:rsidRDefault="007061C0" w:rsidP="007061C0">
      <w:pPr>
        <w:shd w:val="clear" w:color="auto" w:fill="FFFFFF"/>
        <w:rPr>
          <w:rFonts w:eastAsia="Times New Roman" w:cs="Times New Roman"/>
          <w:szCs w:val="24"/>
        </w:rPr>
      </w:pPr>
      <w:r w:rsidRPr="00AA3F66">
        <w:rPr>
          <w:rFonts w:eastAsia="Times New Roman" w:cs="Times New Roman"/>
          <w:szCs w:val="24"/>
        </w:rPr>
        <w:t>При разработването на прогнозата за разходите за пенсии</w:t>
      </w:r>
      <w:r w:rsidRPr="00AA3F66">
        <w:rPr>
          <w:rFonts w:eastAsia="Times New Roman" w:cs="Times New Roman"/>
          <w:b/>
          <w:szCs w:val="24"/>
        </w:rPr>
        <w:t xml:space="preserve"> </w:t>
      </w:r>
      <w:r w:rsidRPr="00AA3F66">
        <w:rPr>
          <w:rFonts w:eastAsia="Times New Roman" w:cs="Times New Roman"/>
          <w:szCs w:val="24"/>
        </w:rPr>
        <w:t>за периода 2024-2026 г. са взети предвид параметрите на действащото законодателство и Закона за бюджета на държавното обществено осигуряване за 2023 г. (обн., ДВ, бр. 66 от 2023 г.), в т.ч.:</w:t>
      </w:r>
    </w:p>
    <w:p w:rsidR="007061C0" w:rsidRPr="00AA3F66" w:rsidRDefault="007061C0" w:rsidP="00B30642">
      <w:pPr>
        <w:numPr>
          <w:ilvl w:val="0"/>
          <w:numId w:val="18"/>
        </w:numPr>
        <w:shd w:val="clear" w:color="auto" w:fill="FFFFFF"/>
        <w:tabs>
          <w:tab w:val="num" w:pos="1428"/>
        </w:tabs>
        <w:rPr>
          <w:rFonts w:eastAsia="Times New Roman" w:cs="Times New Roman"/>
          <w:szCs w:val="24"/>
        </w:rPr>
      </w:pPr>
      <w:r w:rsidRPr="00AA3F66">
        <w:rPr>
          <w:rFonts w:eastAsia="Times New Roman" w:cs="Times New Roman"/>
          <w:b/>
          <w:szCs w:val="24"/>
        </w:rPr>
        <w:t xml:space="preserve">чл. 68, ал. 1-2 </w:t>
      </w:r>
      <w:r w:rsidR="002B1C4C" w:rsidRPr="00AA3F66">
        <w:rPr>
          <w:rFonts w:eastAsia="Times New Roman" w:cs="Times New Roman"/>
          <w:b/>
          <w:szCs w:val="24"/>
        </w:rPr>
        <w:t>от</w:t>
      </w:r>
      <w:r w:rsidRPr="00AA3F66">
        <w:rPr>
          <w:rFonts w:eastAsia="Times New Roman" w:cs="Times New Roman"/>
          <w:b/>
          <w:szCs w:val="24"/>
        </w:rPr>
        <w:t xml:space="preserve"> КСО </w:t>
      </w:r>
      <w:r w:rsidRPr="00AA3F66">
        <w:rPr>
          <w:rFonts w:eastAsia="Times New Roman" w:cs="Times New Roman"/>
          <w:szCs w:val="24"/>
        </w:rPr>
        <w:t>– от 1 януари на всяка календарна година продължава увеличаването на възрастта за придобиване право на пенсия с по 2 месеца за жените и с по 1 месец за мъжете, както и на необходимия осигурителен стаж за придобиване право на пенсия с по 2 месеца и за двата пола</w:t>
      </w:r>
      <w:r w:rsidR="00E23CDF" w:rsidRPr="00AA3F66">
        <w:rPr>
          <w:rFonts w:eastAsia="Times New Roman" w:cs="Times New Roman"/>
          <w:szCs w:val="24"/>
        </w:rPr>
        <w:t>. През 2024 г. необходимите условия за пенсиониране за работещите при условията на трета категория труд са 62 години и 2 месеца навършена възраст и 36 години и 6 месеца осигурителен стаж за жените и 64 години и 7 месеца навършена възраст и 39 години и 6 месеца осигурителен стаж за мъжете</w:t>
      </w:r>
      <w:r w:rsidRPr="00AA3F66">
        <w:rPr>
          <w:rFonts w:eastAsia="Times New Roman" w:cs="Times New Roman"/>
          <w:szCs w:val="24"/>
        </w:rPr>
        <w:t>;</w:t>
      </w:r>
    </w:p>
    <w:p w:rsidR="007061C0" w:rsidRPr="00AA3F66" w:rsidRDefault="007061C0" w:rsidP="00B30642">
      <w:pPr>
        <w:numPr>
          <w:ilvl w:val="0"/>
          <w:numId w:val="18"/>
        </w:numPr>
        <w:shd w:val="clear" w:color="auto" w:fill="FFFFFF"/>
        <w:rPr>
          <w:rFonts w:eastAsia="Times New Roman" w:cs="Times New Roman"/>
          <w:szCs w:val="24"/>
        </w:rPr>
      </w:pPr>
      <w:r w:rsidRPr="00AA3F66">
        <w:rPr>
          <w:rFonts w:eastAsia="Times New Roman" w:cs="Times New Roman"/>
          <w:b/>
          <w:szCs w:val="24"/>
        </w:rPr>
        <w:t>чл.</w:t>
      </w:r>
      <w:r w:rsidRPr="00AA3F66">
        <w:rPr>
          <w:rFonts w:eastAsia="Times New Roman" w:cs="Times New Roman"/>
          <w:szCs w:val="24"/>
        </w:rPr>
        <w:t xml:space="preserve"> </w:t>
      </w:r>
      <w:r w:rsidRPr="00AA3F66">
        <w:rPr>
          <w:rFonts w:eastAsia="Times New Roman" w:cs="Times New Roman"/>
          <w:b/>
          <w:szCs w:val="24"/>
        </w:rPr>
        <w:t xml:space="preserve">68, ал. 3 </w:t>
      </w:r>
      <w:r w:rsidR="002B1C4C" w:rsidRPr="00AA3F66">
        <w:rPr>
          <w:rFonts w:eastAsia="Times New Roman" w:cs="Times New Roman"/>
          <w:b/>
          <w:szCs w:val="24"/>
        </w:rPr>
        <w:t>от</w:t>
      </w:r>
      <w:r w:rsidRPr="00AA3F66">
        <w:rPr>
          <w:rFonts w:eastAsia="Times New Roman" w:cs="Times New Roman"/>
          <w:b/>
          <w:szCs w:val="24"/>
        </w:rPr>
        <w:t xml:space="preserve"> КСО</w:t>
      </w:r>
      <w:r w:rsidRPr="00AA3F66">
        <w:rPr>
          <w:rFonts w:eastAsia="Times New Roman" w:cs="Times New Roman"/>
          <w:szCs w:val="24"/>
        </w:rPr>
        <w:t xml:space="preserve"> – </w:t>
      </w:r>
      <w:r w:rsidR="00E23CDF" w:rsidRPr="00AA3F66">
        <w:rPr>
          <w:rFonts w:eastAsia="Times New Roman" w:cs="Times New Roman"/>
          <w:szCs w:val="24"/>
        </w:rPr>
        <w:t>през 2024 г. необходимата възраст за пенсиониране при непълен стаж е 67 години, при наличие на 15 години действителен осигурителен стаж</w:t>
      </w:r>
      <w:r w:rsidRPr="00AA3F66">
        <w:rPr>
          <w:rFonts w:eastAsia="Times New Roman" w:cs="Times New Roman"/>
          <w:szCs w:val="24"/>
        </w:rPr>
        <w:t>;</w:t>
      </w:r>
    </w:p>
    <w:p w:rsidR="007061C0" w:rsidRPr="00AA3F66" w:rsidRDefault="007061C0" w:rsidP="00B30642">
      <w:pPr>
        <w:numPr>
          <w:ilvl w:val="0"/>
          <w:numId w:val="18"/>
        </w:numPr>
        <w:shd w:val="clear" w:color="auto" w:fill="FFFFFF"/>
        <w:rPr>
          <w:rFonts w:eastAsia="Times New Roman" w:cs="Times New Roman"/>
          <w:szCs w:val="24"/>
        </w:rPr>
      </w:pPr>
      <w:r w:rsidRPr="00AA3F66">
        <w:rPr>
          <w:rFonts w:eastAsia="Times New Roman" w:cs="Times New Roman"/>
          <w:b/>
          <w:szCs w:val="24"/>
        </w:rPr>
        <w:t>чл.</w:t>
      </w:r>
      <w:r w:rsidRPr="00AA3F66">
        <w:rPr>
          <w:rFonts w:eastAsia="Times New Roman" w:cs="Times New Roman"/>
          <w:szCs w:val="24"/>
        </w:rPr>
        <w:t xml:space="preserve"> </w:t>
      </w:r>
      <w:r w:rsidRPr="00AA3F66">
        <w:rPr>
          <w:rFonts w:eastAsia="Times New Roman" w:cs="Times New Roman"/>
          <w:b/>
          <w:szCs w:val="24"/>
        </w:rPr>
        <w:t xml:space="preserve">69, ал. 1, 2, 3, 5, 5а и 6 </w:t>
      </w:r>
      <w:r w:rsidR="002B1C4C" w:rsidRPr="00AA3F66">
        <w:rPr>
          <w:rFonts w:eastAsia="Times New Roman" w:cs="Times New Roman"/>
          <w:b/>
          <w:szCs w:val="24"/>
        </w:rPr>
        <w:t>от</w:t>
      </w:r>
      <w:r w:rsidRPr="00AA3F66">
        <w:rPr>
          <w:rFonts w:eastAsia="Times New Roman" w:cs="Times New Roman"/>
          <w:b/>
          <w:szCs w:val="24"/>
        </w:rPr>
        <w:t xml:space="preserve"> КСО</w:t>
      </w:r>
      <w:r w:rsidRPr="00AA3F66">
        <w:rPr>
          <w:rFonts w:eastAsia="Times New Roman" w:cs="Times New Roman"/>
          <w:szCs w:val="24"/>
        </w:rPr>
        <w:t xml:space="preserve"> – минималната възраст за пенсиониране на работещите в сектор „Отбрана и сигурност” продължава да се увеличава с по 2 месеца до достигане на 54 години и 6 месеца в 2026 г.</w:t>
      </w:r>
      <w:r w:rsidR="00E23CDF" w:rsidRPr="00AA3F66">
        <w:rPr>
          <w:rFonts w:eastAsia="Times New Roman" w:cs="Times New Roman"/>
          <w:szCs w:val="24"/>
        </w:rPr>
        <w:t xml:space="preserve"> През 2024 г. необходимите условия за пенсиониране за лицата от сектор „Отбрана и сигурност” са 54 години и 2 месеца навършена възраст и 27 години осигурителен стаж и за двата пола</w:t>
      </w:r>
      <w:r w:rsidRPr="00AA3F66">
        <w:rPr>
          <w:rFonts w:eastAsia="Times New Roman" w:cs="Times New Roman"/>
          <w:szCs w:val="24"/>
        </w:rPr>
        <w:t>;</w:t>
      </w:r>
    </w:p>
    <w:p w:rsidR="007061C0" w:rsidRPr="00AA3F66" w:rsidRDefault="007061C0" w:rsidP="00B30642">
      <w:pPr>
        <w:numPr>
          <w:ilvl w:val="0"/>
          <w:numId w:val="18"/>
        </w:numPr>
        <w:shd w:val="clear" w:color="auto" w:fill="FFFFFF"/>
        <w:rPr>
          <w:rFonts w:eastAsia="Times New Roman" w:cs="Times New Roman"/>
          <w:szCs w:val="24"/>
        </w:rPr>
      </w:pPr>
      <w:r w:rsidRPr="00AA3F66">
        <w:rPr>
          <w:rFonts w:eastAsia="Times New Roman" w:cs="Times New Roman"/>
          <w:b/>
          <w:szCs w:val="24"/>
        </w:rPr>
        <w:t>чл. 69б</w:t>
      </w:r>
      <w:r w:rsidRPr="00AA3F66">
        <w:rPr>
          <w:rFonts w:eastAsia="Times New Roman" w:cs="Times New Roman"/>
          <w:szCs w:val="24"/>
        </w:rPr>
        <w:t xml:space="preserve"> </w:t>
      </w:r>
      <w:r w:rsidR="002B1C4C" w:rsidRPr="00AA3F66">
        <w:rPr>
          <w:rFonts w:eastAsia="Times New Roman" w:cs="Times New Roman"/>
          <w:b/>
          <w:szCs w:val="24"/>
        </w:rPr>
        <w:t>от КСО</w:t>
      </w:r>
      <w:r w:rsidR="002B1C4C" w:rsidRPr="00AA3F66">
        <w:rPr>
          <w:rFonts w:eastAsia="Times New Roman" w:cs="Times New Roman"/>
          <w:szCs w:val="24"/>
        </w:rPr>
        <w:t xml:space="preserve"> </w:t>
      </w:r>
      <w:r w:rsidRPr="00AA3F66">
        <w:rPr>
          <w:rFonts w:eastAsia="Times New Roman" w:cs="Times New Roman"/>
          <w:szCs w:val="24"/>
        </w:rPr>
        <w:t xml:space="preserve">– </w:t>
      </w:r>
      <w:r w:rsidR="00E23CDF" w:rsidRPr="00AA3F66">
        <w:rPr>
          <w:rFonts w:eastAsia="Times New Roman" w:cs="Times New Roman"/>
          <w:szCs w:val="24"/>
        </w:rPr>
        <w:t xml:space="preserve">през 2024 г. </w:t>
      </w:r>
      <w:r w:rsidRPr="00AA3F66">
        <w:rPr>
          <w:rFonts w:eastAsia="Times New Roman" w:cs="Times New Roman"/>
          <w:szCs w:val="24"/>
        </w:rPr>
        <w:t xml:space="preserve">минималната възраст за пенсиониране на лицата, работили при условията на първа и втора категория труд, които не отговарят на условията за пенсиониране от професионален пенсионен фонд по чл. 168 </w:t>
      </w:r>
      <w:r w:rsidR="002B1C4C" w:rsidRPr="00AA3F66">
        <w:rPr>
          <w:rFonts w:eastAsia="Times New Roman" w:cs="Times New Roman"/>
          <w:szCs w:val="24"/>
        </w:rPr>
        <w:t xml:space="preserve">от </w:t>
      </w:r>
      <w:r w:rsidRPr="00AA3F66">
        <w:rPr>
          <w:rFonts w:eastAsia="Times New Roman" w:cs="Times New Roman"/>
          <w:szCs w:val="24"/>
        </w:rPr>
        <w:t xml:space="preserve">КСО или са променили осигуряването си по чл. 4в на КСО, продължава да се увеличава с по 4 месеца за жените и с по 2 месеца за мъжете до достигане в 2026 г. на 51 години  и 4 месеца за жените и 54 години и 6 месеца за мъжете от първа категория и на 56 години и 4 месеца за жените и 59 години и 6 месеца за мъжете от втора категория труд; </w:t>
      </w:r>
    </w:p>
    <w:p w:rsidR="007061C0" w:rsidRPr="00AA3F66" w:rsidRDefault="007061C0" w:rsidP="00B30642">
      <w:pPr>
        <w:numPr>
          <w:ilvl w:val="0"/>
          <w:numId w:val="18"/>
        </w:numPr>
        <w:shd w:val="clear" w:color="auto" w:fill="FFFFFF"/>
        <w:rPr>
          <w:rFonts w:eastAsia="Times New Roman" w:cs="Times New Roman"/>
          <w:szCs w:val="24"/>
        </w:rPr>
      </w:pPr>
      <w:r w:rsidRPr="00AA3F66">
        <w:rPr>
          <w:rFonts w:eastAsia="Times New Roman" w:cs="Times New Roman"/>
          <w:szCs w:val="24"/>
        </w:rPr>
        <w:t>В периода 2024-2026 г. пенсиите за трудова дейност, отпуснати до 31 декември на предходната година, се осъвременяват от 1 юли всяка година с процент, определен като сбора от 50 на сто от нарастването на осигурителния доход и 50 на сто от индекса на потребителските цени през предходната календарна година. При заложените в прогнозата ръст на средния осигурителен доход и ниво на средногодишния хармонизиран индекс на потребителските цени, процентите по чл. 100 от КСО са както следва:</w:t>
      </w:r>
    </w:p>
    <w:p w:rsidR="007061C0" w:rsidRPr="00AA3F66" w:rsidRDefault="007061C0" w:rsidP="00B30642">
      <w:pPr>
        <w:numPr>
          <w:ilvl w:val="0"/>
          <w:numId w:val="19"/>
        </w:numPr>
        <w:shd w:val="clear" w:color="auto" w:fill="FFFFFF"/>
        <w:rPr>
          <w:rFonts w:eastAsia="Times New Roman" w:cs="Times New Roman"/>
          <w:szCs w:val="24"/>
        </w:rPr>
      </w:pPr>
      <w:r w:rsidRPr="00AA3F66">
        <w:rPr>
          <w:rFonts w:eastAsia="Times New Roman" w:cs="Times New Roman"/>
          <w:szCs w:val="24"/>
        </w:rPr>
        <w:t>2024 г. – 11,0 на сто;</w:t>
      </w:r>
    </w:p>
    <w:p w:rsidR="007061C0" w:rsidRPr="00AA3F66" w:rsidRDefault="007061C0" w:rsidP="00B30642">
      <w:pPr>
        <w:numPr>
          <w:ilvl w:val="0"/>
          <w:numId w:val="19"/>
        </w:numPr>
        <w:shd w:val="clear" w:color="auto" w:fill="FFFFFF"/>
        <w:rPr>
          <w:rFonts w:eastAsia="Times New Roman" w:cs="Times New Roman"/>
          <w:szCs w:val="24"/>
        </w:rPr>
      </w:pPr>
      <w:r w:rsidRPr="00AA3F66">
        <w:rPr>
          <w:rFonts w:eastAsia="Times New Roman" w:cs="Times New Roman"/>
          <w:szCs w:val="24"/>
        </w:rPr>
        <w:t>2025 г. – 8</w:t>
      </w:r>
      <w:r w:rsidR="00457080" w:rsidRPr="00AA3F66">
        <w:rPr>
          <w:rFonts w:eastAsia="Times New Roman" w:cs="Times New Roman"/>
          <w:szCs w:val="24"/>
        </w:rPr>
        <w:t>,0</w:t>
      </w:r>
      <w:r w:rsidRPr="00AA3F66">
        <w:rPr>
          <w:rFonts w:eastAsia="Times New Roman" w:cs="Times New Roman"/>
          <w:szCs w:val="24"/>
        </w:rPr>
        <w:t xml:space="preserve"> на сто;</w:t>
      </w:r>
    </w:p>
    <w:p w:rsidR="007061C0" w:rsidRPr="00AA3F66" w:rsidRDefault="007061C0" w:rsidP="00B30642">
      <w:pPr>
        <w:numPr>
          <w:ilvl w:val="0"/>
          <w:numId w:val="19"/>
        </w:numPr>
        <w:shd w:val="clear" w:color="auto" w:fill="FFFFFF"/>
        <w:rPr>
          <w:rFonts w:eastAsia="Times New Roman" w:cs="Times New Roman"/>
          <w:szCs w:val="24"/>
        </w:rPr>
      </w:pPr>
      <w:r w:rsidRPr="00AA3F66">
        <w:rPr>
          <w:rFonts w:eastAsia="Times New Roman" w:cs="Times New Roman"/>
          <w:szCs w:val="24"/>
        </w:rPr>
        <w:t>2026 г. – 5,</w:t>
      </w:r>
      <w:r w:rsidR="00B92D4A" w:rsidRPr="00AA3F66">
        <w:rPr>
          <w:rFonts w:eastAsia="Times New Roman" w:cs="Times New Roman"/>
          <w:szCs w:val="24"/>
        </w:rPr>
        <w:t>4</w:t>
      </w:r>
      <w:r w:rsidRPr="00AA3F66">
        <w:rPr>
          <w:rFonts w:eastAsia="Times New Roman" w:cs="Times New Roman"/>
          <w:szCs w:val="24"/>
        </w:rPr>
        <w:t xml:space="preserve"> на сто.</w:t>
      </w:r>
    </w:p>
    <w:p w:rsidR="00237E97" w:rsidRPr="00AA3F66" w:rsidRDefault="00237E97" w:rsidP="00B30642">
      <w:pPr>
        <w:numPr>
          <w:ilvl w:val="0"/>
          <w:numId w:val="18"/>
        </w:numPr>
        <w:shd w:val="clear" w:color="auto" w:fill="FFFFFF"/>
        <w:rPr>
          <w:rFonts w:eastAsia="Times New Roman" w:cs="Times New Roman"/>
          <w:szCs w:val="24"/>
        </w:rPr>
      </w:pPr>
      <w:r w:rsidRPr="00AA3F66">
        <w:rPr>
          <w:rFonts w:eastAsia="Times New Roman" w:cs="Times New Roman"/>
          <w:szCs w:val="24"/>
        </w:rPr>
        <w:t xml:space="preserve">От 1 юли 2024 г. </w:t>
      </w:r>
      <w:r w:rsidR="002B1C4C" w:rsidRPr="00AA3F66">
        <w:rPr>
          <w:rFonts w:eastAsia="Times New Roman" w:cs="Times New Roman"/>
          <w:szCs w:val="24"/>
        </w:rPr>
        <w:t>т. нар.</w:t>
      </w:r>
      <w:r w:rsidR="00076871" w:rsidRPr="00AA3F66">
        <w:rPr>
          <w:rFonts w:eastAsia="Times New Roman" w:cs="Times New Roman"/>
          <w:szCs w:val="24"/>
        </w:rPr>
        <w:t xml:space="preserve"> </w:t>
      </w:r>
      <w:r w:rsidRPr="00AA3F66">
        <w:rPr>
          <w:rFonts w:eastAsia="Times New Roman" w:cs="Times New Roman"/>
          <w:szCs w:val="24"/>
        </w:rPr>
        <w:t>„вдовишки добавки</w:t>
      </w:r>
      <w:r w:rsidR="00B65EF8" w:rsidRPr="00AA3F66">
        <w:rPr>
          <w:rFonts w:eastAsia="Times New Roman" w:cs="Times New Roman"/>
          <w:szCs w:val="24"/>
        </w:rPr>
        <w:t>“</w:t>
      </w:r>
      <w:r w:rsidRPr="00AA3F66">
        <w:rPr>
          <w:rFonts w:eastAsia="Times New Roman" w:cs="Times New Roman"/>
          <w:szCs w:val="24"/>
        </w:rPr>
        <w:t xml:space="preserve"> по чл. 84 от КСО се определят в размер 30 на сто от размера на пенсията на починалия съпруг/съпруга;</w:t>
      </w:r>
    </w:p>
    <w:p w:rsidR="007061C0" w:rsidRPr="00AA3F66" w:rsidRDefault="007061C0" w:rsidP="00B30642">
      <w:pPr>
        <w:numPr>
          <w:ilvl w:val="0"/>
          <w:numId w:val="18"/>
        </w:numPr>
        <w:shd w:val="clear" w:color="auto" w:fill="FFFFFF"/>
        <w:rPr>
          <w:rFonts w:eastAsia="Times New Roman" w:cs="Times New Roman"/>
          <w:szCs w:val="24"/>
        </w:rPr>
      </w:pPr>
      <w:r w:rsidRPr="00AA3F66">
        <w:rPr>
          <w:rFonts w:eastAsia="Times New Roman" w:cs="Times New Roman"/>
          <w:szCs w:val="24"/>
        </w:rPr>
        <w:t xml:space="preserve">В периода 2024-2026 г. </w:t>
      </w:r>
      <w:r w:rsidRPr="00AA3F66">
        <w:rPr>
          <w:rFonts w:eastAsia="Times New Roman" w:cs="Times New Roman"/>
          <w:i/>
          <w:szCs w:val="24"/>
        </w:rPr>
        <w:t>минималният размер</w:t>
      </w:r>
      <w:r w:rsidRPr="00AA3F66">
        <w:rPr>
          <w:rFonts w:eastAsia="Times New Roman" w:cs="Times New Roman"/>
          <w:szCs w:val="24"/>
        </w:rPr>
        <w:t xml:space="preserve"> на пенсията за осигурителен стаж и възраст и свързаните с нея минимални размери на пенсиите за трудова дейност се увеличават, считано от 1 юли, с процентит</w:t>
      </w:r>
      <w:r w:rsidR="001B147B" w:rsidRPr="00AA3F66">
        <w:rPr>
          <w:rFonts w:eastAsia="Times New Roman" w:cs="Times New Roman"/>
          <w:szCs w:val="24"/>
        </w:rPr>
        <w:t>е, определени по чл. 100 от КСО</w:t>
      </w:r>
      <w:r w:rsidRPr="00AA3F66">
        <w:rPr>
          <w:rFonts w:eastAsia="Times New Roman" w:cs="Times New Roman"/>
          <w:szCs w:val="24"/>
        </w:rPr>
        <w:t xml:space="preserve">; </w:t>
      </w:r>
    </w:p>
    <w:p w:rsidR="007061C0" w:rsidRPr="00AA3F66" w:rsidRDefault="001B147B" w:rsidP="00B30642">
      <w:pPr>
        <w:numPr>
          <w:ilvl w:val="0"/>
          <w:numId w:val="18"/>
        </w:numPr>
        <w:shd w:val="clear" w:color="auto" w:fill="FFFFFF"/>
        <w:rPr>
          <w:rFonts w:eastAsia="Times New Roman" w:cs="Times New Roman"/>
          <w:szCs w:val="24"/>
        </w:rPr>
      </w:pPr>
      <w:r w:rsidRPr="00AA3F66">
        <w:rPr>
          <w:rFonts w:eastAsia="Times New Roman" w:cs="Times New Roman"/>
          <w:szCs w:val="24"/>
        </w:rPr>
        <w:t>В периода 2024-</w:t>
      </w:r>
      <w:r w:rsidR="007061C0" w:rsidRPr="00AA3F66">
        <w:rPr>
          <w:rFonts w:eastAsia="Times New Roman" w:cs="Times New Roman"/>
          <w:szCs w:val="24"/>
        </w:rPr>
        <w:t xml:space="preserve">2026 г. </w:t>
      </w:r>
      <w:r w:rsidR="007061C0" w:rsidRPr="00AA3F66">
        <w:rPr>
          <w:rFonts w:eastAsia="Times New Roman" w:cs="Times New Roman"/>
          <w:i/>
          <w:szCs w:val="24"/>
        </w:rPr>
        <w:t>размерът на социалната пенсия</w:t>
      </w:r>
      <w:r w:rsidR="007061C0" w:rsidRPr="00AA3F66">
        <w:rPr>
          <w:rFonts w:eastAsia="Times New Roman" w:cs="Times New Roman"/>
          <w:szCs w:val="24"/>
        </w:rPr>
        <w:t xml:space="preserve"> за старост и свързаните с нея пенсии и добавки се увеличава, считано от 1 юли, с процентите, определени по чл. 100 от КСО;</w:t>
      </w:r>
    </w:p>
    <w:p w:rsidR="007061C0" w:rsidRPr="00AA3F66" w:rsidRDefault="007061C0" w:rsidP="00B30642">
      <w:pPr>
        <w:numPr>
          <w:ilvl w:val="0"/>
          <w:numId w:val="16"/>
        </w:numPr>
        <w:shd w:val="clear" w:color="auto" w:fill="FFFFFF"/>
        <w:rPr>
          <w:rFonts w:eastAsia="Times New Roman" w:cs="Times New Roman"/>
          <w:szCs w:val="24"/>
        </w:rPr>
      </w:pPr>
      <w:r w:rsidRPr="00AA3F66">
        <w:rPr>
          <w:rFonts w:eastAsia="Times New Roman" w:cs="Times New Roman"/>
          <w:szCs w:val="24"/>
        </w:rPr>
        <w:t xml:space="preserve">В периода 2024-2026 г. </w:t>
      </w:r>
      <w:r w:rsidRPr="00AA3F66">
        <w:rPr>
          <w:rFonts w:eastAsia="Times New Roman" w:cs="Times New Roman"/>
          <w:i/>
          <w:szCs w:val="24"/>
        </w:rPr>
        <w:t>максималният размер</w:t>
      </w:r>
      <w:r w:rsidRPr="00AA3F66">
        <w:rPr>
          <w:rFonts w:eastAsia="Times New Roman" w:cs="Times New Roman"/>
          <w:szCs w:val="24"/>
        </w:rPr>
        <w:t xml:space="preserve"> на получаваните една или повече пенсии се запазва на достигнато през 2022 г. ниво от 3 400 лв.</w:t>
      </w:r>
    </w:p>
    <w:p w:rsidR="007061C0" w:rsidRPr="00AA3F66" w:rsidRDefault="007061C0" w:rsidP="007061C0">
      <w:pPr>
        <w:shd w:val="clear" w:color="auto" w:fill="FFFFFF"/>
        <w:rPr>
          <w:rFonts w:eastAsia="Times New Roman" w:cs="Times New Roman"/>
          <w:szCs w:val="24"/>
        </w:rPr>
      </w:pPr>
      <w:r w:rsidRPr="00AA3F66">
        <w:rPr>
          <w:rFonts w:eastAsia="Times New Roman" w:cs="Times New Roman"/>
          <w:szCs w:val="24"/>
        </w:rPr>
        <w:t>В резултат на посочените по-горе допускания през 2024 г. разходите за пенсии по бюджета на ДОО нарастват с 2</w:t>
      </w:r>
      <w:r w:rsidR="007D0054" w:rsidRPr="00AA3F66">
        <w:rPr>
          <w:rFonts w:eastAsia="Times New Roman" w:cs="Times New Roman"/>
          <w:szCs w:val="24"/>
        </w:rPr>
        <w:t> </w:t>
      </w:r>
      <w:r w:rsidR="000E1A56" w:rsidRPr="00AA3F66">
        <w:rPr>
          <w:rFonts w:eastAsia="Times New Roman" w:cs="Times New Roman"/>
          <w:szCs w:val="24"/>
        </w:rPr>
        <w:t>440</w:t>
      </w:r>
      <w:r w:rsidR="007D0054" w:rsidRPr="00AA3F66">
        <w:rPr>
          <w:rFonts w:eastAsia="Times New Roman" w:cs="Times New Roman"/>
          <w:szCs w:val="24"/>
        </w:rPr>
        <w:t>,</w:t>
      </w:r>
      <w:r w:rsidR="000E1A56" w:rsidRPr="00AA3F66">
        <w:rPr>
          <w:rFonts w:eastAsia="Times New Roman" w:cs="Times New Roman"/>
          <w:szCs w:val="24"/>
        </w:rPr>
        <w:t>8</w:t>
      </w:r>
      <w:r w:rsidRPr="00AA3F66">
        <w:rPr>
          <w:rFonts w:eastAsia="Times New Roman" w:cs="Times New Roman"/>
          <w:szCs w:val="24"/>
        </w:rPr>
        <w:t xml:space="preserve"> млн. лв. спрямо закона за 2023 г. </w:t>
      </w:r>
    </w:p>
    <w:p w:rsidR="007061C0" w:rsidRPr="00AA3F66" w:rsidRDefault="007061C0" w:rsidP="00C638D7">
      <w:pPr>
        <w:shd w:val="clear" w:color="auto" w:fill="FFFFFF"/>
        <w:rPr>
          <w:rFonts w:eastAsia="Times New Roman" w:cs="Times New Roman"/>
          <w:szCs w:val="24"/>
        </w:rPr>
      </w:pPr>
      <w:r w:rsidRPr="00AA3F66">
        <w:rPr>
          <w:rFonts w:eastAsia="Times New Roman" w:cs="Times New Roman"/>
          <w:szCs w:val="24"/>
        </w:rPr>
        <w:t>През 2025 г. и 2026 г. ръстовете в разходите за пенсии по бюджета на ДОО спрямо предходната година са съответно 2</w:t>
      </w:r>
      <w:r w:rsidR="007D0054" w:rsidRPr="00AA3F66">
        <w:rPr>
          <w:rFonts w:eastAsia="Times New Roman" w:cs="Times New Roman"/>
          <w:szCs w:val="24"/>
        </w:rPr>
        <w:t> </w:t>
      </w:r>
      <w:r w:rsidR="000E1A56" w:rsidRPr="00AA3F66">
        <w:rPr>
          <w:rFonts w:eastAsia="Times New Roman" w:cs="Times New Roman"/>
          <w:szCs w:val="24"/>
        </w:rPr>
        <w:t>198</w:t>
      </w:r>
      <w:r w:rsidR="007D0054" w:rsidRPr="00AA3F66">
        <w:rPr>
          <w:rFonts w:eastAsia="Times New Roman" w:cs="Times New Roman"/>
          <w:szCs w:val="24"/>
        </w:rPr>
        <w:t>,</w:t>
      </w:r>
      <w:r w:rsidR="000E1A56" w:rsidRPr="00AA3F66">
        <w:rPr>
          <w:rFonts w:eastAsia="Times New Roman" w:cs="Times New Roman"/>
          <w:szCs w:val="24"/>
        </w:rPr>
        <w:t>8</w:t>
      </w:r>
      <w:r w:rsidRPr="00AA3F66">
        <w:rPr>
          <w:rFonts w:eastAsia="Times New Roman" w:cs="Times New Roman"/>
          <w:szCs w:val="24"/>
        </w:rPr>
        <w:t xml:space="preserve"> млн. лв. и 1</w:t>
      </w:r>
      <w:r w:rsidR="007D0054" w:rsidRPr="00AA3F66">
        <w:rPr>
          <w:rFonts w:eastAsia="Times New Roman" w:cs="Times New Roman"/>
          <w:szCs w:val="24"/>
        </w:rPr>
        <w:t> </w:t>
      </w:r>
      <w:r w:rsidR="000E1A56" w:rsidRPr="00AA3F66">
        <w:rPr>
          <w:rFonts w:eastAsia="Times New Roman" w:cs="Times New Roman"/>
          <w:szCs w:val="24"/>
        </w:rPr>
        <w:t>617</w:t>
      </w:r>
      <w:r w:rsidR="007D0054" w:rsidRPr="00AA3F66">
        <w:rPr>
          <w:rFonts w:eastAsia="Times New Roman" w:cs="Times New Roman"/>
          <w:szCs w:val="24"/>
        </w:rPr>
        <w:t>,</w:t>
      </w:r>
      <w:r w:rsidR="000E1A56" w:rsidRPr="00AA3F66">
        <w:rPr>
          <w:rFonts w:eastAsia="Times New Roman" w:cs="Times New Roman"/>
          <w:szCs w:val="24"/>
        </w:rPr>
        <w:t>1</w:t>
      </w:r>
      <w:r w:rsidRPr="00AA3F66">
        <w:rPr>
          <w:rFonts w:eastAsia="Times New Roman" w:cs="Times New Roman"/>
          <w:szCs w:val="24"/>
        </w:rPr>
        <w:t xml:space="preserve"> млн. лв.</w:t>
      </w:r>
    </w:p>
    <w:p w:rsidR="00E927FC" w:rsidRPr="00AA3F66" w:rsidRDefault="00E927FC" w:rsidP="00E927FC">
      <w:pPr>
        <w:pStyle w:val="Heading3"/>
        <w:ind w:left="0"/>
      </w:pPr>
      <w:r w:rsidRPr="00AA3F66">
        <w:t>Социална политика</w:t>
      </w:r>
    </w:p>
    <w:p w:rsidR="007061C0" w:rsidRPr="00AA3F66" w:rsidRDefault="007061C0" w:rsidP="007061C0">
      <w:pPr>
        <w:rPr>
          <w:rFonts w:eastAsia="Batang" w:cs="Times New Roman"/>
          <w:szCs w:val="24"/>
        </w:rPr>
      </w:pPr>
      <w:r w:rsidRPr="00AA3F66">
        <w:rPr>
          <w:rFonts w:eastAsia="Batang" w:cs="Times New Roman"/>
          <w:szCs w:val="24"/>
        </w:rPr>
        <w:t xml:space="preserve">По отношение на политиката, свързана със социалните помощи и обезщетения, изплащани от бюджета на </w:t>
      </w:r>
      <w:r w:rsidRPr="0030405E">
        <w:rPr>
          <w:rFonts w:eastAsia="Batang" w:cs="Times New Roman"/>
          <w:b/>
          <w:szCs w:val="24"/>
        </w:rPr>
        <w:t>ДОО</w:t>
      </w:r>
      <w:r w:rsidRPr="00AA3F66">
        <w:rPr>
          <w:rFonts w:eastAsia="Batang" w:cs="Times New Roman"/>
          <w:szCs w:val="24"/>
        </w:rPr>
        <w:t>, актуализираната средносрочна бюджетна прогноза за периода 2024-2026 г., в съответствие с действащото законодателство в КСО, предвижда:</w:t>
      </w:r>
    </w:p>
    <w:p w:rsidR="00665E9C" w:rsidRPr="00665E9C" w:rsidRDefault="00665E9C" w:rsidP="00665E9C">
      <w:pPr>
        <w:pStyle w:val="ListParagraph"/>
        <w:numPr>
          <w:ilvl w:val="0"/>
          <w:numId w:val="16"/>
        </w:numPr>
        <w:rPr>
          <w:rFonts w:eastAsia="Batang" w:cs="Times New Roman"/>
          <w:szCs w:val="24"/>
        </w:rPr>
      </w:pPr>
      <w:r>
        <w:rPr>
          <w:rFonts w:eastAsia="Batang" w:cs="Times New Roman"/>
          <w:szCs w:val="24"/>
        </w:rPr>
        <w:t>Запазва</w:t>
      </w:r>
      <w:r w:rsidRPr="00665E9C">
        <w:rPr>
          <w:rFonts w:eastAsia="Batang" w:cs="Times New Roman"/>
          <w:szCs w:val="24"/>
        </w:rPr>
        <w:t xml:space="preserve"> се минималният дневен размер на обезщетение</w:t>
      </w:r>
      <w:r>
        <w:rPr>
          <w:rFonts w:eastAsia="Batang" w:cs="Times New Roman"/>
          <w:szCs w:val="24"/>
        </w:rPr>
        <w:t>то за безработица – 18,00 лв. и</w:t>
      </w:r>
      <w:r w:rsidRPr="00665E9C">
        <w:rPr>
          <w:rFonts w:eastAsia="Batang" w:cs="Times New Roman"/>
          <w:szCs w:val="24"/>
        </w:rPr>
        <w:t xml:space="preserve"> съгласно постигнатото съгласие на заседанието на Националния съвет за тристранно сътрудничество от 1 януари 2024 г. се увеличава максималният дневен размер на паричното обезщетение за безработица от 85,71 лв. на 107,14 лв.;</w:t>
      </w:r>
    </w:p>
    <w:p w:rsidR="007061C0" w:rsidRPr="00AA3F66" w:rsidRDefault="007061C0" w:rsidP="00B30642">
      <w:pPr>
        <w:numPr>
          <w:ilvl w:val="0"/>
          <w:numId w:val="16"/>
        </w:numPr>
        <w:rPr>
          <w:rFonts w:eastAsia="Batang" w:cs="Times New Roman"/>
          <w:szCs w:val="24"/>
        </w:rPr>
      </w:pPr>
      <w:r w:rsidRPr="00AA3F66">
        <w:rPr>
          <w:rFonts w:eastAsia="Batang" w:cs="Times New Roman"/>
          <w:szCs w:val="24"/>
        </w:rPr>
        <w:t>Запазва се периодът на изплащане на паричното обезщетение за бременност и раждане – 410 дни и размера на обезщетението за отглеждане на дете до две годишна възраст – 780 лв. за целия период до 2026 г. включително;</w:t>
      </w:r>
    </w:p>
    <w:p w:rsidR="007061C0" w:rsidRPr="00AA3F66" w:rsidRDefault="007061C0" w:rsidP="00B30642">
      <w:pPr>
        <w:numPr>
          <w:ilvl w:val="0"/>
          <w:numId w:val="16"/>
        </w:numPr>
        <w:rPr>
          <w:rFonts w:eastAsia="Batang" w:cs="Times New Roman"/>
          <w:szCs w:val="24"/>
        </w:rPr>
      </w:pPr>
      <w:r w:rsidRPr="00AA3F66">
        <w:rPr>
          <w:rFonts w:eastAsia="Batang" w:cs="Times New Roman"/>
          <w:szCs w:val="24"/>
        </w:rPr>
        <w:t>Запазва се периодът от два месеца на изплащане на паричното обезщетение за отглеждане на дете до 8-годишна възраст от бащата (осиновителя) в сила от 1 август 2022 г., както и размера на обезщетението – 780 лв. за целия период до 2026 г. включително;</w:t>
      </w:r>
    </w:p>
    <w:p w:rsidR="007061C0" w:rsidRPr="00AA3F66" w:rsidRDefault="007061C0" w:rsidP="00B30642">
      <w:pPr>
        <w:numPr>
          <w:ilvl w:val="0"/>
          <w:numId w:val="16"/>
        </w:numPr>
        <w:rPr>
          <w:rFonts w:eastAsia="Batang" w:cs="Times New Roman"/>
          <w:szCs w:val="24"/>
        </w:rPr>
      </w:pPr>
      <w:r w:rsidRPr="00AA3F66">
        <w:rPr>
          <w:rFonts w:eastAsia="Batang" w:cs="Times New Roman"/>
          <w:szCs w:val="24"/>
        </w:rPr>
        <w:t xml:space="preserve">Променя се режимът на изплащане на паричните обезщетения за временна неработоспособност съгласно чл. 40, ал. 5 на КСО – първите два работни дни се изплащат от осигурителя, а от 3-тия ден на настъпване на неработоспособността – от ДОО, за целия период до 2026 г. включително, за което са предвидени допълнително </w:t>
      </w:r>
      <w:r w:rsidR="004B288D" w:rsidRPr="00AA3F66">
        <w:rPr>
          <w:rFonts w:eastAsia="Batang" w:cs="Times New Roman"/>
          <w:szCs w:val="24"/>
        </w:rPr>
        <w:t>77</w:t>
      </w:r>
      <w:r w:rsidRPr="00AA3F66">
        <w:rPr>
          <w:rFonts w:eastAsia="Batang" w:cs="Times New Roman"/>
          <w:szCs w:val="24"/>
        </w:rPr>
        <w:t>,0 млн. лв. по бюджета на държавното обществено осигуряване за 2024 г.;</w:t>
      </w:r>
    </w:p>
    <w:p w:rsidR="007061C0" w:rsidRPr="00AA3F66" w:rsidRDefault="007061C0" w:rsidP="00B30642">
      <w:pPr>
        <w:numPr>
          <w:ilvl w:val="0"/>
          <w:numId w:val="16"/>
        </w:numPr>
        <w:rPr>
          <w:rFonts w:eastAsia="Batang" w:cs="Times New Roman"/>
          <w:szCs w:val="24"/>
        </w:rPr>
      </w:pPr>
      <w:r w:rsidRPr="00AA3F66">
        <w:rPr>
          <w:rFonts w:eastAsia="Batang" w:cs="Times New Roman"/>
          <w:szCs w:val="24"/>
        </w:rPr>
        <w:t>Запазва се периодът, от който се изчисляват краткосрочните обезщетения при временна неработоспособност – 18 календарни месеца, бременност и раждане и безработица – 24 месеца за целия период до 2026 г. включително;</w:t>
      </w:r>
    </w:p>
    <w:p w:rsidR="007061C0" w:rsidRPr="00AA3F66" w:rsidRDefault="007061C0" w:rsidP="00B30642">
      <w:pPr>
        <w:numPr>
          <w:ilvl w:val="0"/>
          <w:numId w:val="16"/>
        </w:numPr>
        <w:rPr>
          <w:rFonts w:eastAsia="Batang" w:cs="Times New Roman"/>
          <w:szCs w:val="24"/>
        </w:rPr>
      </w:pPr>
      <w:r w:rsidRPr="00AA3F66">
        <w:rPr>
          <w:rFonts w:eastAsia="Batang" w:cs="Times New Roman"/>
          <w:szCs w:val="24"/>
        </w:rPr>
        <w:t xml:space="preserve">Запазва се размерът на еднократната помощ при смърт на осигурено лице – </w:t>
      </w:r>
      <w:r w:rsidR="00E23CDF" w:rsidRPr="00AA3F66">
        <w:rPr>
          <w:rFonts w:eastAsia="Batang" w:cs="Times New Roman"/>
          <w:szCs w:val="24"/>
        </w:rPr>
        <w:t xml:space="preserve">                 </w:t>
      </w:r>
      <w:r w:rsidRPr="00AA3F66">
        <w:rPr>
          <w:rFonts w:eastAsia="Batang" w:cs="Times New Roman"/>
          <w:szCs w:val="24"/>
        </w:rPr>
        <w:t>540 лв. за целия прогнозен период;</w:t>
      </w:r>
    </w:p>
    <w:p w:rsidR="007061C0" w:rsidRPr="00AA3F66" w:rsidRDefault="007061C0" w:rsidP="00B30642">
      <w:pPr>
        <w:numPr>
          <w:ilvl w:val="0"/>
          <w:numId w:val="16"/>
        </w:numPr>
        <w:rPr>
          <w:rFonts w:eastAsia="Batang" w:cs="Times New Roman"/>
          <w:szCs w:val="24"/>
        </w:rPr>
      </w:pPr>
      <w:r w:rsidRPr="00AA3F66">
        <w:rPr>
          <w:rFonts w:eastAsia="Batang" w:cs="Times New Roman"/>
          <w:szCs w:val="24"/>
        </w:rPr>
        <w:t>За периода 2024-2026 г. се запазва разпоредбата на чл. 22, ал. 2 от Закона за гарантираните вземания на работниците и служителите при несъстоятелност на работодателя, относно максималния месечен размер на гарантираното вземане, който не може да бъде по-малък от 2,5 минимални работни заплати.</w:t>
      </w:r>
    </w:p>
    <w:p w:rsidR="007061C0" w:rsidRPr="00AA3F66" w:rsidRDefault="007061C0" w:rsidP="007061C0">
      <w:pPr>
        <w:rPr>
          <w:rFonts w:eastAsia="Batang" w:cs="Times New Roman"/>
          <w:szCs w:val="24"/>
        </w:rPr>
      </w:pPr>
      <w:r w:rsidRPr="00AA3F66">
        <w:rPr>
          <w:rFonts w:eastAsia="Batang" w:cs="Times New Roman"/>
          <w:szCs w:val="24"/>
        </w:rPr>
        <w:t>Прогнозата за разходите за обезщетения и помощи за периода 2024-2026 г. по бюджета на държавното обществено осигуряване е съобразена с отчетените разходи за 2022 г. и 2023 г., динамиката в прогнозирания брой на осигурените лица, нарастването на осигурителния им доход, в т.ч. и за предходни години, доколкото размерът на паричните обезщетения се определя от референтен доход за предишните 18 или 24 месеца преди настъпване на риска.</w:t>
      </w:r>
    </w:p>
    <w:p w:rsidR="007061C0" w:rsidRPr="00AA3F66" w:rsidRDefault="007061C0" w:rsidP="007061C0">
      <w:pPr>
        <w:rPr>
          <w:rFonts w:eastAsia="Batang" w:cs="Times New Roman"/>
          <w:szCs w:val="24"/>
        </w:rPr>
      </w:pPr>
      <w:r w:rsidRPr="00AA3F66">
        <w:rPr>
          <w:rFonts w:eastAsia="Batang" w:cs="Times New Roman"/>
          <w:szCs w:val="24"/>
        </w:rPr>
        <w:t xml:space="preserve">В резултат на тези допускания разходите за обезщетения и помощи по бюджета на ДОО през 2024 г. нарастват със </w:t>
      </w:r>
      <w:r w:rsidR="0080730F" w:rsidRPr="00AA3F66">
        <w:rPr>
          <w:rFonts w:eastAsia="Batang" w:cs="Times New Roman"/>
          <w:szCs w:val="24"/>
        </w:rPr>
        <w:t>79,</w:t>
      </w:r>
      <w:r w:rsidR="000E1A56" w:rsidRPr="00AA3F66">
        <w:rPr>
          <w:rFonts w:eastAsia="Batang" w:cs="Times New Roman"/>
          <w:szCs w:val="24"/>
        </w:rPr>
        <w:t>7</w:t>
      </w:r>
      <w:r w:rsidRPr="00AA3F66">
        <w:rPr>
          <w:rFonts w:eastAsia="Batang" w:cs="Times New Roman"/>
          <w:szCs w:val="24"/>
        </w:rPr>
        <w:t xml:space="preserve"> млн. лв. спрямо закона за 2023 г.</w:t>
      </w:r>
    </w:p>
    <w:p w:rsidR="007061C0" w:rsidRPr="00AA3F66" w:rsidRDefault="007061C0" w:rsidP="007061C0">
      <w:pPr>
        <w:rPr>
          <w:rFonts w:eastAsia="Batang" w:cs="Times New Roman"/>
          <w:bCs/>
          <w:szCs w:val="24"/>
        </w:rPr>
      </w:pPr>
      <w:r w:rsidRPr="00AA3F66">
        <w:rPr>
          <w:rFonts w:eastAsia="Batang" w:cs="Times New Roman"/>
          <w:bCs/>
          <w:szCs w:val="24"/>
        </w:rPr>
        <w:t xml:space="preserve">По проектобюджета на </w:t>
      </w:r>
      <w:r w:rsidRPr="0030405E">
        <w:rPr>
          <w:rFonts w:eastAsia="Batang" w:cs="Times New Roman"/>
          <w:b/>
          <w:bCs/>
          <w:szCs w:val="24"/>
        </w:rPr>
        <w:t>Министерството на труда и социалната политика</w:t>
      </w:r>
      <w:r w:rsidRPr="00AA3F66">
        <w:rPr>
          <w:rFonts w:eastAsia="Batang" w:cs="Times New Roman"/>
          <w:bCs/>
          <w:szCs w:val="24"/>
        </w:rPr>
        <w:t xml:space="preserve"> за 2024 г. за помощи и обезщетения са предвидени допълнителни разходи в размер на:</w:t>
      </w:r>
    </w:p>
    <w:p w:rsidR="007061C0" w:rsidRPr="00AA3F66" w:rsidRDefault="007061C0" w:rsidP="00B30642">
      <w:pPr>
        <w:numPr>
          <w:ilvl w:val="0"/>
          <w:numId w:val="16"/>
        </w:numPr>
        <w:rPr>
          <w:rFonts w:eastAsia="Batang" w:cs="Times New Roman"/>
          <w:szCs w:val="24"/>
        </w:rPr>
      </w:pPr>
      <w:r w:rsidRPr="00AA3F66">
        <w:rPr>
          <w:rFonts w:eastAsia="Batang" w:cs="Times New Roman"/>
          <w:szCs w:val="24"/>
        </w:rPr>
        <w:t>104,3 млн. лв. за социални плащания във връзка с определения нов размер от 526 лв. на линията на бедност за 2024 г., в т. ч. за разходите за помощите по Закона за социално подпомагане – 75,6 млн. лв., допълнителни разходи при определяне на финансовата подкрепа по Закона за хората с увреждания – 27,6 млн. лв. и 1,1 млн. лв. за помощите по Закона за закрила на детето;</w:t>
      </w:r>
    </w:p>
    <w:p w:rsidR="00457080" w:rsidRPr="00AA3F66" w:rsidRDefault="007061C0" w:rsidP="00B30642">
      <w:pPr>
        <w:numPr>
          <w:ilvl w:val="0"/>
          <w:numId w:val="16"/>
        </w:numPr>
        <w:rPr>
          <w:rFonts w:eastAsia="Batang" w:cs="Times New Roman"/>
          <w:szCs w:val="24"/>
        </w:rPr>
      </w:pPr>
      <w:r w:rsidRPr="00AA3F66">
        <w:rPr>
          <w:rFonts w:eastAsia="Batang" w:cs="Times New Roman"/>
          <w:szCs w:val="24"/>
        </w:rPr>
        <w:t>230,3 млн. лв. във връзка с ефекта от промяна на МРЗ от 780 лв. на 933 лв., в т.ч.  224,6 млн. лв. при определяне възнагражденията на личните асистенти по Закона за личната помощ и 5,7 млн. лв. за възнаграждения за професионалните приемни семейства по Закона за закрила на детето;</w:t>
      </w:r>
    </w:p>
    <w:p w:rsidR="00457080" w:rsidRPr="00AA3F66" w:rsidRDefault="00457080" w:rsidP="00457080">
      <w:pPr>
        <w:numPr>
          <w:ilvl w:val="0"/>
          <w:numId w:val="16"/>
        </w:numPr>
        <w:rPr>
          <w:rFonts w:eastAsia="Batang" w:cs="Times New Roman"/>
          <w:szCs w:val="24"/>
        </w:rPr>
      </w:pPr>
      <w:r w:rsidRPr="00AA3F66">
        <w:rPr>
          <w:rFonts w:eastAsia="Batang" w:cs="Times New Roman"/>
          <w:szCs w:val="24"/>
        </w:rPr>
        <w:t>23,4 млн. лв. във връзка с целегодишното обезпечаване на въведената през 2023 г. еднократна помощ за учениците от втори, трети и четвърти клас без доходен тест, независимо от вида на училището по Закона за семейни помощи за деца;</w:t>
      </w:r>
    </w:p>
    <w:p w:rsidR="00457080" w:rsidRPr="00AA3F66" w:rsidRDefault="00457080" w:rsidP="00457080">
      <w:pPr>
        <w:numPr>
          <w:ilvl w:val="0"/>
          <w:numId w:val="16"/>
        </w:numPr>
        <w:rPr>
          <w:rFonts w:eastAsia="Batang" w:cs="Times New Roman"/>
          <w:szCs w:val="24"/>
        </w:rPr>
      </w:pPr>
      <w:r w:rsidRPr="00AA3F66">
        <w:rPr>
          <w:rFonts w:eastAsia="Batang" w:cs="Times New Roman"/>
          <w:szCs w:val="24"/>
        </w:rPr>
        <w:t>40,6 млн. лв. за увеличение на размерите на месечните помощи за отглеждане на дете с трайно увреждане по чл. 8д от Закона за семейни помощи за деца;</w:t>
      </w:r>
    </w:p>
    <w:p w:rsidR="00457080" w:rsidRPr="00AA3F66" w:rsidRDefault="00457080" w:rsidP="00457080">
      <w:pPr>
        <w:numPr>
          <w:ilvl w:val="0"/>
          <w:numId w:val="16"/>
        </w:numPr>
        <w:rPr>
          <w:rFonts w:eastAsia="Batang" w:cs="Times New Roman"/>
          <w:szCs w:val="24"/>
        </w:rPr>
      </w:pPr>
      <w:r w:rsidRPr="00AA3F66">
        <w:rPr>
          <w:rFonts w:eastAsia="Batang" w:cs="Times New Roman"/>
          <w:szCs w:val="24"/>
        </w:rPr>
        <w:t>12,</w:t>
      </w:r>
      <w:r w:rsidR="00C6149A">
        <w:rPr>
          <w:rFonts w:eastAsia="Batang" w:cs="Times New Roman"/>
          <w:szCs w:val="24"/>
        </w:rPr>
        <w:t>5</w:t>
      </w:r>
      <w:r w:rsidRPr="00AA3F66">
        <w:rPr>
          <w:rFonts w:eastAsia="Batang" w:cs="Times New Roman"/>
          <w:szCs w:val="24"/>
        </w:rPr>
        <w:t xml:space="preserve"> млн. лв. за увеличение на размерите на еднократните помощи при бременност и раждане по Закона за семе</w:t>
      </w:r>
      <w:r w:rsidR="00D515F6" w:rsidRPr="00AA3F66">
        <w:rPr>
          <w:rFonts w:eastAsia="Batang" w:cs="Times New Roman"/>
          <w:szCs w:val="24"/>
        </w:rPr>
        <w:t>й</w:t>
      </w:r>
      <w:r w:rsidRPr="00AA3F66">
        <w:rPr>
          <w:rFonts w:eastAsia="Batang" w:cs="Times New Roman"/>
          <w:szCs w:val="24"/>
        </w:rPr>
        <w:t>ни помощи за деца;</w:t>
      </w:r>
    </w:p>
    <w:p w:rsidR="00457080" w:rsidRPr="00AA3F66" w:rsidRDefault="00457080" w:rsidP="00457080">
      <w:pPr>
        <w:numPr>
          <w:ilvl w:val="0"/>
          <w:numId w:val="16"/>
        </w:numPr>
        <w:rPr>
          <w:rFonts w:eastAsia="Batang" w:cs="Times New Roman"/>
          <w:szCs w:val="24"/>
        </w:rPr>
      </w:pPr>
      <w:r w:rsidRPr="00AA3F66">
        <w:rPr>
          <w:rFonts w:eastAsia="Batang" w:cs="Times New Roman"/>
          <w:szCs w:val="24"/>
        </w:rPr>
        <w:t>15,0 млн. лв. допълнителн</w:t>
      </w:r>
      <w:r w:rsidR="001B6F44" w:rsidRPr="00AA3F66">
        <w:rPr>
          <w:rFonts w:eastAsia="Batang" w:cs="Times New Roman"/>
          <w:szCs w:val="24"/>
        </w:rPr>
        <w:t>и</w:t>
      </w:r>
      <w:r w:rsidRPr="00AA3F66">
        <w:rPr>
          <w:rFonts w:eastAsia="Batang" w:cs="Times New Roman"/>
          <w:szCs w:val="24"/>
        </w:rPr>
        <w:t xml:space="preserve"> средства за активна политика на пазара на труда.</w:t>
      </w:r>
    </w:p>
    <w:p w:rsidR="00457080" w:rsidRPr="00AA3F66" w:rsidRDefault="00457080" w:rsidP="00457080">
      <w:pPr>
        <w:rPr>
          <w:rFonts w:eastAsia="Batang" w:cs="Times New Roman"/>
          <w:szCs w:val="24"/>
        </w:rPr>
      </w:pPr>
      <w:r w:rsidRPr="00AA3F66">
        <w:rPr>
          <w:rFonts w:eastAsia="Batang" w:cs="Times New Roman"/>
          <w:szCs w:val="24"/>
        </w:rPr>
        <w:t xml:space="preserve">За </w:t>
      </w:r>
      <w:r w:rsidRPr="00BD28EB">
        <w:rPr>
          <w:rFonts w:eastAsia="Batang" w:cs="Times New Roman"/>
          <w:i/>
          <w:szCs w:val="24"/>
        </w:rPr>
        <w:t>делегираните от държавата дейности</w:t>
      </w:r>
      <w:r w:rsidRPr="00AA3F66">
        <w:rPr>
          <w:rFonts w:eastAsia="Batang" w:cs="Times New Roman"/>
          <w:szCs w:val="24"/>
        </w:rPr>
        <w:t xml:space="preserve"> в сферата на социалните услуги, финансирани чрез бюджетите на общините, са предвидени допълнителни разходи в размер на:</w:t>
      </w:r>
    </w:p>
    <w:p w:rsidR="00457080" w:rsidRPr="00AA3F66" w:rsidRDefault="00457080" w:rsidP="00457080">
      <w:pPr>
        <w:numPr>
          <w:ilvl w:val="0"/>
          <w:numId w:val="16"/>
        </w:numPr>
        <w:rPr>
          <w:rFonts w:eastAsia="Batang" w:cs="Times New Roman"/>
          <w:szCs w:val="24"/>
        </w:rPr>
      </w:pPr>
      <w:r w:rsidRPr="00AA3F66">
        <w:rPr>
          <w:rFonts w:eastAsia="Batang" w:cs="Times New Roman"/>
          <w:szCs w:val="24"/>
        </w:rPr>
        <w:t>131,7 млн. лв. във връзка с ефекта от промяна на МРЗ от 780 лв. на 933 лв</w:t>
      </w:r>
      <w:r w:rsidR="00194A80">
        <w:rPr>
          <w:rFonts w:eastAsia="Batang" w:cs="Times New Roman"/>
          <w:szCs w:val="24"/>
        </w:rPr>
        <w:t>.</w:t>
      </w:r>
      <w:r w:rsidRPr="00AA3F66">
        <w:rPr>
          <w:rFonts w:eastAsia="Batang" w:cs="Times New Roman"/>
          <w:szCs w:val="24"/>
        </w:rPr>
        <w:t>, при съобразяване с разпоредбите на Наредбата за стандартите за заплащане на труда на служителите, осъществяващи дейности по предоставяне на социални услуги, които се финансират от държавния бюджет, приета с ПМС № 343 от 2020 г.;</w:t>
      </w:r>
    </w:p>
    <w:p w:rsidR="00457080" w:rsidRPr="00AA3F66" w:rsidRDefault="00457080" w:rsidP="00457080">
      <w:pPr>
        <w:numPr>
          <w:ilvl w:val="0"/>
          <w:numId w:val="16"/>
        </w:numPr>
        <w:rPr>
          <w:rFonts w:eastAsia="Batang" w:cs="Times New Roman"/>
          <w:szCs w:val="24"/>
        </w:rPr>
      </w:pPr>
      <w:r w:rsidRPr="00AA3F66">
        <w:rPr>
          <w:rFonts w:eastAsia="Batang" w:cs="Times New Roman"/>
          <w:szCs w:val="24"/>
        </w:rPr>
        <w:t xml:space="preserve">81,7 млн. лв. за разкриване на нови социални услуги по приключили проекти по оперативни програми и осигуряване на увеличения капацитет на съществуващи такива; </w:t>
      </w:r>
    </w:p>
    <w:p w:rsidR="00457080" w:rsidRPr="00AA3F66" w:rsidRDefault="00457080" w:rsidP="00457080">
      <w:pPr>
        <w:numPr>
          <w:ilvl w:val="0"/>
          <w:numId w:val="16"/>
        </w:numPr>
        <w:rPr>
          <w:rFonts w:eastAsia="Batang" w:cs="Times New Roman"/>
          <w:szCs w:val="24"/>
        </w:rPr>
      </w:pPr>
      <w:r w:rsidRPr="00AA3F66">
        <w:rPr>
          <w:rFonts w:eastAsia="Batang" w:cs="Times New Roman"/>
          <w:szCs w:val="24"/>
        </w:rPr>
        <w:t xml:space="preserve">42,8 млн. лв. за увеличение на издръжката на специализираните институции за предоставяне на социални услуги, социалните услуги предоставяни в общността и на асистентската подкрепа; </w:t>
      </w:r>
    </w:p>
    <w:p w:rsidR="00457080" w:rsidRPr="00AA3F66" w:rsidRDefault="00457080" w:rsidP="00457080">
      <w:pPr>
        <w:numPr>
          <w:ilvl w:val="0"/>
          <w:numId w:val="16"/>
        </w:numPr>
        <w:rPr>
          <w:rFonts w:eastAsia="Batang" w:cs="Times New Roman"/>
          <w:szCs w:val="24"/>
        </w:rPr>
      </w:pPr>
      <w:r w:rsidRPr="00AA3F66">
        <w:rPr>
          <w:rFonts w:eastAsia="Batang" w:cs="Times New Roman"/>
          <w:szCs w:val="24"/>
        </w:rPr>
        <w:t xml:space="preserve">1,7 млн. лв. за осигуряване в годишен размер на месечната помощ </w:t>
      </w:r>
      <w:r w:rsidR="00952358" w:rsidRPr="00AA3F66">
        <w:rPr>
          <w:rFonts w:eastAsia="Batang" w:cs="Times New Roman"/>
          <w:szCs w:val="24"/>
        </w:rPr>
        <w:t xml:space="preserve">в размер на 90 лева </w:t>
      </w:r>
      <w:r w:rsidRPr="00AA3F66">
        <w:rPr>
          <w:rFonts w:eastAsia="Batang" w:cs="Times New Roman"/>
          <w:szCs w:val="24"/>
        </w:rPr>
        <w:t xml:space="preserve">на ученик, настанен в социална услуга по Закона за закрила на детето. </w:t>
      </w:r>
    </w:p>
    <w:p w:rsidR="007061C0" w:rsidRPr="00EA6851" w:rsidRDefault="007061C0" w:rsidP="00457080">
      <w:pPr>
        <w:ind w:left="720"/>
        <w:rPr>
          <w:rFonts w:eastAsia="Batang" w:cs="Times New Roman"/>
          <w:szCs w:val="24"/>
        </w:rPr>
      </w:pPr>
    </w:p>
    <w:p w:rsidR="00AF259D" w:rsidRPr="00EA6851" w:rsidRDefault="00AF259D" w:rsidP="00CA1DDD">
      <w:pPr>
        <w:pStyle w:val="Heading4"/>
      </w:pPr>
      <w:r w:rsidRPr="00EA6851">
        <w:t>Политика в областта на пазара на труда, свободното движение на работници и трудовата миграция</w:t>
      </w:r>
    </w:p>
    <w:p w:rsidR="00BE5707" w:rsidRPr="00EA6851" w:rsidRDefault="00BE5707" w:rsidP="00BE5707">
      <w:r w:rsidRPr="00EA6851">
        <w:t>Активната политика на пазара на труда е насочена към осигуряване на повече и по-квалифицирана работна сила и интегриране на пазара на труда на безработните и неактивните лица в трудоспособна възраст. Реализира се при спазване на принципите за регионализация, развитие на интегрираните услуги, повишаване ефективността на програмите и мерките на база резултатите от периодичните оценки на ефектите от тяхното приложение, обвързване на обученията с краткосрочните и средносрочните прогнози за търсенето на работна сила, по-добър контрол върху качеството на обученията.</w:t>
      </w:r>
    </w:p>
    <w:p w:rsidR="00BE5707" w:rsidRPr="00EA6851" w:rsidRDefault="00BE5707" w:rsidP="00BE5707">
      <w:r w:rsidRPr="00EA6851">
        <w:t xml:space="preserve">Основен принос </w:t>
      </w:r>
      <w:r w:rsidR="00952358" w:rsidRPr="00EA6851">
        <w:t>за</w:t>
      </w:r>
      <w:r w:rsidRPr="00EA6851">
        <w:t xml:space="preserve"> нейната реализация има Агенцията по заетостта чрез своите териториални поделения.</w:t>
      </w:r>
    </w:p>
    <w:p w:rsidR="00BE5707" w:rsidRPr="00EA6851" w:rsidRDefault="00BE5707" w:rsidP="00BE5707">
      <w:r w:rsidRPr="00EA6851">
        <w:t>Прилагането на интегриран подход между отделните политики – икономическа, социална и политика по заетостта и свободното движение на работници</w:t>
      </w:r>
      <w:r w:rsidR="00952358" w:rsidRPr="00EA6851">
        <w:t>,</w:t>
      </w:r>
      <w:r w:rsidRPr="00EA6851">
        <w:t xml:space="preserve"> е в основата на постигането на заложените цели. Разкриването на работни места е в пряка зависимост от провежданата икономическа, финансова и данъчна политика. Осигуряването на качествена работна сила е свързано с провежданата политика от Министерството на образованието и науката. Намаляването на регионалните различия в страната по отношение на заетостта и безработицата е в тясна връзка с изпълняваните политики от Министерството на регионалното развитие и благоустройството, както и с политиката за развитие на селските региони.</w:t>
      </w:r>
    </w:p>
    <w:p w:rsidR="00BE5707" w:rsidRPr="00EA6851" w:rsidRDefault="00BE5707" w:rsidP="00BE5707">
      <w:r w:rsidRPr="00EA6851">
        <w:t xml:space="preserve">Осигуряването на чуждестранна работна сила за българската икономика и реализирането на правото на свободно движение на работници в ЕС </w:t>
      </w:r>
      <w:r w:rsidR="00952358" w:rsidRPr="00EA6851">
        <w:t xml:space="preserve">в рамките на </w:t>
      </w:r>
      <w:r w:rsidRPr="00EA6851">
        <w:t xml:space="preserve">политиката в областта на свободното движение на работници и трудовата миграция цели ограничаване на недостига на кадри за пазара на труда в България, чрез регулиране на трудовата миграция, както и чрез гарантиране правата на българските работници, упражняващи правото си на свободно движение и заетост в ЕС/ЕИП. </w:t>
      </w:r>
    </w:p>
    <w:p w:rsidR="00040DFE" w:rsidRPr="00EA6851" w:rsidRDefault="00BE5707" w:rsidP="00040DFE">
      <w:r w:rsidRPr="00EA6851">
        <w:t>Програмата в областта на свободното движение на работници и трудовата миграция, като част от посочената политика, се реализира на основание на Закона за трудовата миграция и трудовата мобилност и на Правилника за неговото прилагане, като с изпълнението са ангажирани МТСП и изпълнителните агенции към министъра на труда и социалната политика – Агенцията по заетостта, Изпълнителната агенция „Главна инспекция по труда“, Държавната агенция за закрила на детето, Агенцията за социално подпомагане, както и други министерства и ведомства с компетенции в специфични аспекти в областта на миграцията (МВР, МВнР, Държавната агенция за бежанците, Държавната агенция за българите в чужбина (ДАБЧ), НАП, НСИ, НОИ, НЗОК и др.).</w:t>
      </w:r>
    </w:p>
    <w:p w:rsidR="00040DFE" w:rsidRPr="00EA6851" w:rsidRDefault="00040DFE" w:rsidP="00040DFE">
      <w:r w:rsidRPr="00EA6851">
        <w:t>Достигането на поставените цели в областта на пазара на труда, свободното движение на работници и трудовата миграция ще се осъществява чрез изпълнение на комплексни действия в програма „Активна политика на пазара на труда“ и програма „Свободно движение на работници и трудова миграция”. През 2024 г. по Политика</w:t>
      </w:r>
      <w:r w:rsidR="00952358" w:rsidRPr="00EA6851">
        <w:t>та</w:t>
      </w:r>
      <w:r w:rsidRPr="00EA6851">
        <w:t xml:space="preserve"> в областта на пазара на труда, свободното движение на работници и трудовата миграция са осигурени допълнително 15,0</w:t>
      </w:r>
      <w:r w:rsidR="001B147B" w:rsidRPr="00EA6851">
        <w:t xml:space="preserve"> млн</w:t>
      </w:r>
      <w:r w:rsidRPr="00EA6851">
        <w:t xml:space="preserve">. лв. </w:t>
      </w:r>
    </w:p>
    <w:p w:rsidR="00AF259D" w:rsidRPr="00EA6851" w:rsidRDefault="00AF259D" w:rsidP="00AF259D">
      <w:pPr>
        <w:suppressAutoHyphens/>
        <w:autoSpaceDN w:val="0"/>
        <w:jc w:val="left"/>
        <w:textAlignment w:val="baseline"/>
        <w:rPr>
          <w:rFonts w:eastAsia="Batang"/>
          <w:b/>
          <w:color w:val="000000"/>
          <w:sz w:val="20"/>
          <w:szCs w:val="20"/>
          <w:lang w:eastAsia="ko-KR"/>
        </w:rPr>
      </w:pPr>
      <w:r w:rsidRPr="00EA6851">
        <w:rPr>
          <w:rFonts w:eastAsia="Batang"/>
          <w:b/>
          <w:color w:val="000000"/>
          <w:sz w:val="20"/>
          <w:szCs w:val="20"/>
          <w:lang w:eastAsia="ko-KR"/>
        </w:rPr>
        <w:t xml:space="preserve">КЛЮЧОВИ ИНДИКАТОРИ ЗА ИЗПЪЛНЕНИЕ И ЦЕЛЕВИ СТОЙНОСТИ </w:t>
      </w:r>
    </w:p>
    <w:tbl>
      <w:tblPr>
        <w:tblW w:w="5000" w:type="pct"/>
        <w:jc w:val="center"/>
        <w:tblBorders>
          <w:top w:val="single" w:sz="4" w:space="0" w:color="auto"/>
          <w:bottom w:val="single" w:sz="4" w:space="0" w:color="auto"/>
        </w:tblBorders>
        <w:tblCellMar>
          <w:left w:w="70" w:type="dxa"/>
          <w:right w:w="70" w:type="dxa"/>
        </w:tblCellMar>
        <w:tblLook w:val="0000" w:firstRow="0" w:lastRow="0" w:firstColumn="0" w:lastColumn="0" w:noHBand="0" w:noVBand="0"/>
      </w:tblPr>
      <w:tblGrid>
        <w:gridCol w:w="2973"/>
        <w:gridCol w:w="1077"/>
        <w:gridCol w:w="1377"/>
        <w:gridCol w:w="1205"/>
        <w:gridCol w:w="1449"/>
        <w:gridCol w:w="989"/>
      </w:tblGrid>
      <w:tr w:rsidR="00040DFE" w:rsidRPr="00EA6851" w:rsidTr="00040DFE">
        <w:trPr>
          <w:trHeight w:val="440"/>
          <w:tblHeader/>
          <w:jc w:val="center"/>
        </w:trPr>
        <w:tc>
          <w:tcPr>
            <w:tcW w:w="2973" w:type="dxa"/>
            <w:shd w:val="clear" w:color="auto" w:fill="FFFFFF"/>
            <w:vAlign w:val="center"/>
          </w:tcPr>
          <w:p w:rsidR="00040DFE" w:rsidRPr="00EA6851" w:rsidRDefault="00040DFE" w:rsidP="00040DFE">
            <w:pPr>
              <w:spacing w:after="0" w:line="276" w:lineRule="auto"/>
              <w:jc w:val="center"/>
              <w:rPr>
                <w:b/>
                <w:bCs/>
                <w:i/>
                <w:iCs/>
                <w:sz w:val="18"/>
                <w:szCs w:val="18"/>
              </w:rPr>
            </w:pPr>
            <w:r w:rsidRPr="00EA6851">
              <w:rPr>
                <w:b/>
                <w:bCs/>
                <w:i/>
                <w:iCs/>
                <w:sz w:val="18"/>
                <w:szCs w:val="18"/>
              </w:rPr>
              <w:t>Политика в областта на пазара на труда, свободното движение на работници и трудовата миграция</w:t>
            </w:r>
          </w:p>
        </w:tc>
        <w:tc>
          <w:tcPr>
            <w:tcW w:w="1077" w:type="dxa"/>
            <w:vMerge w:val="restart"/>
            <w:shd w:val="clear" w:color="auto" w:fill="F2F2F2"/>
            <w:vAlign w:val="center"/>
          </w:tcPr>
          <w:p w:rsidR="00040DFE" w:rsidRPr="00EA6851" w:rsidRDefault="00040DFE" w:rsidP="00040DFE">
            <w:pPr>
              <w:spacing w:after="0" w:line="276" w:lineRule="auto"/>
              <w:jc w:val="center"/>
              <w:rPr>
                <w:b/>
                <w:bCs/>
                <w:iCs/>
                <w:sz w:val="18"/>
                <w:szCs w:val="18"/>
              </w:rPr>
            </w:pPr>
            <w:r w:rsidRPr="00EA6851">
              <w:rPr>
                <w:b/>
                <w:bCs/>
                <w:iCs/>
                <w:sz w:val="18"/>
                <w:szCs w:val="18"/>
              </w:rPr>
              <w:t>Мерна единица</w:t>
            </w:r>
          </w:p>
        </w:tc>
        <w:tc>
          <w:tcPr>
            <w:tcW w:w="4031" w:type="dxa"/>
            <w:gridSpan w:val="3"/>
            <w:tcBorders>
              <w:bottom w:val="single" w:sz="4" w:space="0" w:color="auto"/>
            </w:tcBorders>
            <w:shd w:val="clear" w:color="auto" w:fill="FFFFFF"/>
            <w:vAlign w:val="center"/>
          </w:tcPr>
          <w:p w:rsidR="00040DFE" w:rsidRPr="00EA6851" w:rsidRDefault="00040DFE" w:rsidP="00040DFE">
            <w:pPr>
              <w:spacing w:after="0" w:line="276" w:lineRule="auto"/>
              <w:jc w:val="center"/>
              <w:rPr>
                <w:b/>
                <w:bCs/>
                <w:iCs/>
                <w:sz w:val="18"/>
                <w:szCs w:val="18"/>
              </w:rPr>
            </w:pPr>
            <w:r w:rsidRPr="00EA6851">
              <w:rPr>
                <w:b/>
                <w:bCs/>
                <w:iCs/>
                <w:sz w:val="18"/>
                <w:szCs w:val="18"/>
              </w:rPr>
              <w:t>Целева стойност</w:t>
            </w:r>
          </w:p>
        </w:tc>
        <w:tc>
          <w:tcPr>
            <w:tcW w:w="989" w:type="dxa"/>
            <w:tcBorders>
              <w:bottom w:val="single" w:sz="4" w:space="0" w:color="auto"/>
            </w:tcBorders>
            <w:shd w:val="clear" w:color="auto" w:fill="FFFFFF"/>
          </w:tcPr>
          <w:p w:rsidR="00040DFE" w:rsidRPr="00EA6851" w:rsidRDefault="00040DFE" w:rsidP="00040DFE">
            <w:pPr>
              <w:spacing w:after="0" w:line="276" w:lineRule="auto"/>
              <w:jc w:val="center"/>
              <w:rPr>
                <w:b/>
                <w:bCs/>
                <w:i/>
                <w:iCs/>
                <w:sz w:val="18"/>
                <w:szCs w:val="18"/>
              </w:rPr>
            </w:pPr>
          </w:p>
        </w:tc>
      </w:tr>
      <w:tr w:rsidR="00040DFE" w:rsidRPr="00EA6851" w:rsidTr="00040DFE">
        <w:trPr>
          <w:trHeight w:val="73"/>
          <w:tblHeader/>
          <w:jc w:val="center"/>
        </w:trPr>
        <w:tc>
          <w:tcPr>
            <w:tcW w:w="2973" w:type="dxa"/>
            <w:tcBorders>
              <w:bottom w:val="single" w:sz="4" w:space="0" w:color="auto"/>
            </w:tcBorders>
            <w:shd w:val="clear" w:color="auto" w:fill="FFFFFF"/>
            <w:vAlign w:val="center"/>
          </w:tcPr>
          <w:p w:rsidR="00040DFE" w:rsidRPr="00EA6851" w:rsidRDefault="00040DFE" w:rsidP="00040DFE">
            <w:pPr>
              <w:spacing w:after="0" w:line="276" w:lineRule="auto"/>
              <w:jc w:val="center"/>
              <w:rPr>
                <w:b/>
                <w:bCs/>
                <w:iCs/>
                <w:sz w:val="18"/>
                <w:szCs w:val="18"/>
              </w:rPr>
            </w:pPr>
            <w:r w:rsidRPr="00EA6851">
              <w:rPr>
                <w:b/>
                <w:bCs/>
                <w:iCs/>
                <w:sz w:val="18"/>
                <w:szCs w:val="18"/>
              </w:rPr>
              <w:t>Наименование на индикатора</w:t>
            </w:r>
          </w:p>
        </w:tc>
        <w:tc>
          <w:tcPr>
            <w:tcW w:w="1077" w:type="dxa"/>
            <w:vMerge/>
            <w:tcBorders>
              <w:bottom w:val="single" w:sz="4" w:space="0" w:color="auto"/>
            </w:tcBorders>
            <w:shd w:val="clear" w:color="auto" w:fill="F2F2F2"/>
            <w:vAlign w:val="center"/>
          </w:tcPr>
          <w:p w:rsidR="00040DFE" w:rsidRPr="00EA6851" w:rsidRDefault="00040DFE" w:rsidP="00040DFE">
            <w:pPr>
              <w:spacing w:after="0" w:line="276" w:lineRule="auto"/>
              <w:jc w:val="center"/>
              <w:rPr>
                <w:b/>
                <w:bCs/>
                <w:i/>
                <w:iCs/>
                <w:sz w:val="18"/>
                <w:szCs w:val="18"/>
              </w:rPr>
            </w:pPr>
          </w:p>
        </w:tc>
        <w:tc>
          <w:tcPr>
            <w:tcW w:w="1377" w:type="dxa"/>
            <w:tcBorders>
              <w:top w:val="single" w:sz="4" w:space="0" w:color="auto"/>
              <w:bottom w:val="single" w:sz="4" w:space="0" w:color="auto"/>
            </w:tcBorders>
            <w:shd w:val="clear" w:color="auto" w:fill="FFFFFF"/>
            <w:vAlign w:val="center"/>
          </w:tcPr>
          <w:p w:rsidR="00040DFE" w:rsidRPr="00EA6851" w:rsidRDefault="00040DFE" w:rsidP="00040DFE">
            <w:pPr>
              <w:spacing w:after="0" w:line="276" w:lineRule="auto"/>
              <w:jc w:val="center"/>
              <w:rPr>
                <w:b/>
                <w:bCs/>
                <w:i/>
                <w:iCs/>
                <w:sz w:val="18"/>
                <w:szCs w:val="18"/>
              </w:rPr>
            </w:pPr>
            <w:r w:rsidRPr="00EA6851">
              <w:rPr>
                <w:b/>
                <w:bCs/>
                <w:i/>
                <w:iCs/>
                <w:sz w:val="18"/>
                <w:szCs w:val="18"/>
              </w:rPr>
              <w:t>Програма</w:t>
            </w:r>
          </w:p>
          <w:p w:rsidR="00040DFE" w:rsidRPr="00EA6851" w:rsidRDefault="00040DFE" w:rsidP="00040DFE">
            <w:pPr>
              <w:spacing w:after="0" w:line="276" w:lineRule="auto"/>
              <w:jc w:val="center"/>
              <w:rPr>
                <w:b/>
                <w:bCs/>
                <w:i/>
                <w:iCs/>
                <w:sz w:val="18"/>
                <w:szCs w:val="18"/>
              </w:rPr>
            </w:pPr>
            <w:r w:rsidRPr="00EA6851">
              <w:rPr>
                <w:b/>
                <w:bCs/>
                <w:i/>
                <w:iCs/>
                <w:sz w:val="18"/>
                <w:szCs w:val="18"/>
              </w:rPr>
              <w:t>2023 г.</w:t>
            </w:r>
          </w:p>
        </w:tc>
        <w:tc>
          <w:tcPr>
            <w:tcW w:w="1205" w:type="dxa"/>
            <w:tcBorders>
              <w:top w:val="single" w:sz="4" w:space="0" w:color="auto"/>
              <w:bottom w:val="single" w:sz="4" w:space="0" w:color="auto"/>
            </w:tcBorders>
            <w:shd w:val="clear" w:color="auto" w:fill="FFFFFF"/>
            <w:vAlign w:val="center"/>
          </w:tcPr>
          <w:p w:rsidR="00040DFE" w:rsidRPr="00EA6851" w:rsidRDefault="00040DFE" w:rsidP="00040DFE">
            <w:pPr>
              <w:spacing w:after="0" w:line="276" w:lineRule="auto"/>
              <w:jc w:val="center"/>
              <w:rPr>
                <w:b/>
                <w:bCs/>
                <w:i/>
                <w:iCs/>
                <w:sz w:val="18"/>
                <w:szCs w:val="18"/>
              </w:rPr>
            </w:pPr>
            <w:r w:rsidRPr="00EA6851">
              <w:rPr>
                <w:b/>
                <w:bCs/>
                <w:i/>
                <w:iCs/>
                <w:sz w:val="18"/>
                <w:szCs w:val="18"/>
              </w:rPr>
              <w:t>Проект</w:t>
            </w:r>
          </w:p>
          <w:p w:rsidR="00040DFE" w:rsidRPr="00EA6851" w:rsidRDefault="00040DFE" w:rsidP="00040DFE">
            <w:pPr>
              <w:spacing w:after="0" w:line="276" w:lineRule="auto"/>
              <w:jc w:val="center"/>
              <w:rPr>
                <w:b/>
                <w:bCs/>
                <w:i/>
                <w:iCs/>
                <w:sz w:val="18"/>
                <w:szCs w:val="18"/>
              </w:rPr>
            </w:pPr>
            <w:r w:rsidRPr="00EA6851">
              <w:rPr>
                <w:b/>
                <w:bCs/>
                <w:i/>
                <w:iCs/>
                <w:sz w:val="18"/>
                <w:szCs w:val="18"/>
              </w:rPr>
              <w:t>2024 г.</w:t>
            </w:r>
          </w:p>
        </w:tc>
        <w:tc>
          <w:tcPr>
            <w:tcW w:w="1449" w:type="dxa"/>
            <w:tcBorders>
              <w:top w:val="single" w:sz="4" w:space="0" w:color="auto"/>
              <w:bottom w:val="single" w:sz="4" w:space="0" w:color="auto"/>
            </w:tcBorders>
            <w:shd w:val="clear" w:color="auto" w:fill="FFFFFF"/>
            <w:vAlign w:val="center"/>
          </w:tcPr>
          <w:p w:rsidR="00040DFE" w:rsidRPr="00EA6851" w:rsidRDefault="00040DFE" w:rsidP="00040DFE">
            <w:pPr>
              <w:spacing w:after="0" w:line="276" w:lineRule="auto"/>
              <w:jc w:val="center"/>
              <w:rPr>
                <w:b/>
                <w:bCs/>
                <w:i/>
                <w:iCs/>
                <w:sz w:val="18"/>
                <w:szCs w:val="18"/>
              </w:rPr>
            </w:pPr>
            <w:r w:rsidRPr="00EA6851">
              <w:rPr>
                <w:b/>
                <w:bCs/>
                <w:i/>
                <w:iCs/>
                <w:sz w:val="18"/>
                <w:szCs w:val="18"/>
              </w:rPr>
              <w:t>Прогноза</w:t>
            </w:r>
          </w:p>
          <w:p w:rsidR="00040DFE" w:rsidRPr="00EA6851" w:rsidRDefault="00040DFE" w:rsidP="00040DFE">
            <w:pPr>
              <w:spacing w:after="0" w:line="276" w:lineRule="auto"/>
              <w:jc w:val="center"/>
              <w:rPr>
                <w:b/>
                <w:bCs/>
                <w:i/>
                <w:iCs/>
                <w:sz w:val="18"/>
                <w:szCs w:val="18"/>
              </w:rPr>
            </w:pPr>
            <w:r w:rsidRPr="00EA6851">
              <w:rPr>
                <w:b/>
                <w:bCs/>
                <w:i/>
                <w:iCs/>
                <w:sz w:val="18"/>
                <w:szCs w:val="18"/>
              </w:rPr>
              <w:t>2025 г.</w:t>
            </w:r>
          </w:p>
        </w:tc>
        <w:tc>
          <w:tcPr>
            <w:tcW w:w="989" w:type="dxa"/>
            <w:tcBorders>
              <w:top w:val="single" w:sz="4" w:space="0" w:color="auto"/>
              <w:bottom w:val="single" w:sz="4" w:space="0" w:color="auto"/>
            </w:tcBorders>
            <w:shd w:val="clear" w:color="auto" w:fill="FFFFFF"/>
            <w:vAlign w:val="center"/>
          </w:tcPr>
          <w:p w:rsidR="00040DFE" w:rsidRPr="00EA6851" w:rsidRDefault="00040DFE" w:rsidP="00040DFE">
            <w:pPr>
              <w:spacing w:after="0" w:line="276" w:lineRule="auto"/>
              <w:jc w:val="center"/>
              <w:rPr>
                <w:b/>
                <w:bCs/>
                <w:i/>
                <w:iCs/>
                <w:sz w:val="18"/>
                <w:szCs w:val="18"/>
              </w:rPr>
            </w:pPr>
            <w:r w:rsidRPr="00EA6851">
              <w:rPr>
                <w:b/>
                <w:bCs/>
                <w:i/>
                <w:iCs/>
                <w:sz w:val="18"/>
                <w:szCs w:val="18"/>
              </w:rPr>
              <w:t>Прогноза</w:t>
            </w:r>
          </w:p>
          <w:p w:rsidR="00040DFE" w:rsidRPr="00EA6851" w:rsidRDefault="00040DFE" w:rsidP="00040DFE">
            <w:pPr>
              <w:spacing w:after="0" w:line="276" w:lineRule="auto"/>
              <w:jc w:val="center"/>
              <w:rPr>
                <w:b/>
                <w:bCs/>
                <w:i/>
                <w:iCs/>
                <w:sz w:val="18"/>
                <w:szCs w:val="18"/>
              </w:rPr>
            </w:pPr>
            <w:r w:rsidRPr="00EA6851">
              <w:rPr>
                <w:b/>
                <w:bCs/>
                <w:i/>
                <w:iCs/>
                <w:sz w:val="18"/>
                <w:szCs w:val="18"/>
              </w:rPr>
              <w:t>2026 г.</w:t>
            </w:r>
          </w:p>
        </w:tc>
      </w:tr>
      <w:tr w:rsidR="00040DFE" w:rsidRPr="00EA6851" w:rsidTr="00040DFE">
        <w:trPr>
          <w:trHeight w:val="525"/>
          <w:jc w:val="center"/>
        </w:trPr>
        <w:tc>
          <w:tcPr>
            <w:tcW w:w="2973" w:type="dxa"/>
            <w:tcBorders>
              <w:top w:val="single" w:sz="4" w:space="0" w:color="auto"/>
            </w:tcBorders>
            <w:shd w:val="clear" w:color="auto" w:fill="FFFFFF"/>
            <w:vAlign w:val="center"/>
          </w:tcPr>
          <w:p w:rsidR="00040DFE" w:rsidRPr="00EA6851" w:rsidRDefault="00040DFE" w:rsidP="00040DFE">
            <w:pPr>
              <w:spacing w:after="0" w:line="276" w:lineRule="auto"/>
              <w:jc w:val="left"/>
              <w:rPr>
                <w:bCs/>
                <w:iCs/>
                <w:sz w:val="18"/>
                <w:szCs w:val="18"/>
              </w:rPr>
            </w:pPr>
            <w:r w:rsidRPr="00EA6851">
              <w:rPr>
                <w:bCs/>
                <w:iCs/>
                <w:sz w:val="18"/>
                <w:szCs w:val="18"/>
              </w:rPr>
              <w:t>1.Равнище на регистрираната безработица</w:t>
            </w:r>
          </w:p>
        </w:tc>
        <w:tc>
          <w:tcPr>
            <w:tcW w:w="1077" w:type="dxa"/>
            <w:tcBorders>
              <w:top w:val="single" w:sz="4" w:space="0" w:color="auto"/>
            </w:tcBorders>
            <w:shd w:val="clear" w:color="auto" w:fill="F2F2F2"/>
            <w:vAlign w:val="center"/>
          </w:tcPr>
          <w:p w:rsidR="00040DFE" w:rsidRPr="00EA6851" w:rsidRDefault="00040DFE" w:rsidP="00040DFE">
            <w:pPr>
              <w:spacing w:after="0" w:line="276" w:lineRule="auto"/>
              <w:jc w:val="center"/>
              <w:rPr>
                <w:bCs/>
                <w:iCs/>
                <w:sz w:val="18"/>
                <w:szCs w:val="18"/>
              </w:rPr>
            </w:pPr>
            <w:r w:rsidRPr="00EA6851">
              <w:rPr>
                <w:bCs/>
                <w:iCs/>
                <w:sz w:val="18"/>
                <w:szCs w:val="18"/>
              </w:rPr>
              <w:t>%</w:t>
            </w:r>
          </w:p>
        </w:tc>
        <w:tc>
          <w:tcPr>
            <w:tcW w:w="1377" w:type="dxa"/>
            <w:tcBorders>
              <w:top w:val="single" w:sz="4" w:space="0" w:color="auto"/>
            </w:tcBorders>
            <w:shd w:val="clear" w:color="auto" w:fill="FFFFFF"/>
            <w:vAlign w:val="center"/>
          </w:tcPr>
          <w:p w:rsidR="00040DFE" w:rsidRPr="00EA6851" w:rsidRDefault="00040DFE" w:rsidP="00040DFE">
            <w:pPr>
              <w:spacing w:after="0" w:line="276" w:lineRule="auto"/>
              <w:jc w:val="center"/>
              <w:rPr>
                <w:bCs/>
                <w:iCs/>
                <w:sz w:val="18"/>
                <w:szCs w:val="18"/>
              </w:rPr>
            </w:pPr>
            <w:r w:rsidRPr="00EA6851">
              <w:rPr>
                <w:bCs/>
                <w:iCs/>
                <w:sz w:val="18"/>
                <w:szCs w:val="18"/>
              </w:rPr>
              <w:t>5,47</w:t>
            </w:r>
          </w:p>
        </w:tc>
        <w:tc>
          <w:tcPr>
            <w:tcW w:w="1205" w:type="dxa"/>
            <w:tcBorders>
              <w:top w:val="single" w:sz="4" w:space="0" w:color="auto"/>
            </w:tcBorders>
            <w:shd w:val="clear" w:color="auto" w:fill="FFFFFF"/>
            <w:vAlign w:val="center"/>
          </w:tcPr>
          <w:p w:rsidR="00040DFE" w:rsidRPr="00EA6851" w:rsidRDefault="00040DFE" w:rsidP="00040DFE">
            <w:pPr>
              <w:spacing w:after="0" w:line="276" w:lineRule="auto"/>
              <w:jc w:val="center"/>
              <w:rPr>
                <w:bCs/>
                <w:iCs/>
                <w:sz w:val="18"/>
                <w:szCs w:val="18"/>
              </w:rPr>
            </w:pPr>
            <w:r w:rsidRPr="00EA6851">
              <w:rPr>
                <w:bCs/>
                <w:iCs/>
                <w:sz w:val="18"/>
                <w:szCs w:val="18"/>
              </w:rPr>
              <w:t>5,47</w:t>
            </w:r>
          </w:p>
        </w:tc>
        <w:tc>
          <w:tcPr>
            <w:tcW w:w="1449" w:type="dxa"/>
            <w:tcBorders>
              <w:top w:val="single" w:sz="4" w:space="0" w:color="auto"/>
            </w:tcBorders>
            <w:shd w:val="clear" w:color="auto" w:fill="FFFFFF"/>
            <w:vAlign w:val="center"/>
          </w:tcPr>
          <w:p w:rsidR="00040DFE" w:rsidRPr="00EA6851" w:rsidRDefault="00040DFE" w:rsidP="00040DFE">
            <w:pPr>
              <w:spacing w:after="0" w:line="276" w:lineRule="auto"/>
              <w:jc w:val="center"/>
              <w:rPr>
                <w:bCs/>
                <w:iCs/>
                <w:sz w:val="18"/>
                <w:szCs w:val="18"/>
              </w:rPr>
            </w:pPr>
            <w:r w:rsidRPr="00EA6851">
              <w:rPr>
                <w:bCs/>
                <w:iCs/>
                <w:sz w:val="18"/>
                <w:szCs w:val="18"/>
              </w:rPr>
              <w:t>5,47</w:t>
            </w:r>
          </w:p>
        </w:tc>
        <w:tc>
          <w:tcPr>
            <w:tcW w:w="989" w:type="dxa"/>
            <w:tcBorders>
              <w:top w:val="single" w:sz="4" w:space="0" w:color="auto"/>
            </w:tcBorders>
            <w:shd w:val="clear" w:color="auto" w:fill="FFFFFF"/>
            <w:vAlign w:val="center"/>
          </w:tcPr>
          <w:p w:rsidR="00040DFE" w:rsidRPr="00EA6851" w:rsidRDefault="00040DFE" w:rsidP="00040DFE">
            <w:pPr>
              <w:spacing w:after="0" w:line="276" w:lineRule="auto"/>
              <w:jc w:val="center"/>
              <w:rPr>
                <w:bCs/>
                <w:iCs/>
                <w:sz w:val="18"/>
                <w:szCs w:val="18"/>
              </w:rPr>
            </w:pPr>
            <w:r w:rsidRPr="00EA6851">
              <w:rPr>
                <w:bCs/>
                <w:iCs/>
                <w:sz w:val="18"/>
                <w:szCs w:val="18"/>
              </w:rPr>
              <w:t>5,47</w:t>
            </w:r>
          </w:p>
        </w:tc>
      </w:tr>
      <w:tr w:rsidR="00040DFE" w:rsidRPr="00EA6851" w:rsidTr="00040DFE">
        <w:trPr>
          <w:trHeight w:val="255"/>
          <w:jc w:val="center"/>
        </w:trPr>
        <w:tc>
          <w:tcPr>
            <w:tcW w:w="2973" w:type="dxa"/>
            <w:shd w:val="clear" w:color="auto" w:fill="FFFFFF"/>
          </w:tcPr>
          <w:p w:rsidR="00040DFE" w:rsidRPr="00EA6851" w:rsidRDefault="00040DFE" w:rsidP="00040DFE">
            <w:pPr>
              <w:spacing w:after="0" w:line="276" w:lineRule="auto"/>
              <w:jc w:val="left"/>
              <w:rPr>
                <w:bCs/>
                <w:iCs/>
                <w:sz w:val="18"/>
                <w:szCs w:val="18"/>
              </w:rPr>
            </w:pPr>
            <w:r w:rsidRPr="00EA6851">
              <w:rPr>
                <w:bCs/>
                <w:iCs/>
                <w:sz w:val="18"/>
                <w:szCs w:val="18"/>
              </w:rPr>
              <w:t>2.Регистрирани безработни лица</w:t>
            </w:r>
          </w:p>
        </w:tc>
        <w:tc>
          <w:tcPr>
            <w:tcW w:w="1077" w:type="dxa"/>
            <w:shd w:val="clear" w:color="auto" w:fill="F2F2F2"/>
            <w:vAlign w:val="center"/>
          </w:tcPr>
          <w:p w:rsidR="00040DFE" w:rsidRPr="00EA6851" w:rsidRDefault="00040DFE" w:rsidP="00040DFE">
            <w:pPr>
              <w:spacing w:after="0" w:line="276" w:lineRule="auto"/>
              <w:jc w:val="center"/>
              <w:rPr>
                <w:bCs/>
                <w:iCs/>
                <w:sz w:val="18"/>
                <w:szCs w:val="18"/>
              </w:rPr>
            </w:pPr>
            <w:r w:rsidRPr="00EA6851">
              <w:rPr>
                <w:bCs/>
                <w:iCs/>
                <w:sz w:val="18"/>
                <w:szCs w:val="18"/>
              </w:rPr>
              <w:t>Ср. мес. бр.</w:t>
            </w:r>
          </w:p>
        </w:tc>
        <w:tc>
          <w:tcPr>
            <w:tcW w:w="1377" w:type="dxa"/>
            <w:shd w:val="clear" w:color="auto" w:fill="FFFFFF"/>
            <w:vAlign w:val="center"/>
          </w:tcPr>
          <w:p w:rsidR="00040DFE" w:rsidRPr="00EA6851" w:rsidRDefault="00040DFE" w:rsidP="00040DFE">
            <w:pPr>
              <w:spacing w:after="0" w:line="276" w:lineRule="auto"/>
              <w:jc w:val="center"/>
              <w:rPr>
                <w:bCs/>
                <w:iCs/>
                <w:sz w:val="18"/>
                <w:szCs w:val="18"/>
              </w:rPr>
            </w:pPr>
            <w:r w:rsidRPr="00EA6851">
              <w:rPr>
                <w:bCs/>
                <w:iCs/>
                <w:sz w:val="18"/>
                <w:szCs w:val="18"/>
              </w:rPr>
              <w:t>155 000</w:t>
            </w:r>
          </w:p>
        </w:tc>
        <w:tc>
          <w:tcPr>
            <w:tcW w:w="1205" w:type="dxa"/>
            <w:shd w:val="clear" w:color="auto" w:fill="FFFFFF"/>
            <w:vAlign w:val="center"/>
          </w:tcPr>
          <w:p w:rsidR="00040DFE" w:rsidRPr="00EA6851" w:rsidRDefault="00040DFE" w:rsidP="00040DFE">
            <w:pPr>
              <w:spacing w:after="0" w:line="276" w:lineRule="auto"/>
              <w:jc w:val="center"/>
              <w:rPr>
                <w:bCs/>
                <w:iCs/>
                <w:sz w:val="18"/>
                <w:szCs w:val="18"/>
              </w:rPr>
            </w:pPr>
            <w:r w:rsidRPr="00EA6851">
              <w:rPr>
                <w:bCs/>
                <w:iCs/>
                <w:sz w:val="18"/>
                <w:szCs w:val="18"/>
              </w:rPr>
              <w:t>155 000</w:t>
            </w:r>
          </w:p>
        </w:tc>
        <w:tc>
          <w:tcPr>
            <w:tcW w:w="1449" w:type="dxa"/>
            <w:shd w:val="clear" w:color="auto" w:fill="FFFFFF"/>
            <w:vAlign w:val="center"/>
          </w:tcPr>
          <w:p w:rsidR="00040DFE" w:rsidRPr="00EA6851" w:rsidRDefault="00040DFE" w:rsidP="00040DFE">
            <w:pPr>
              <w:spacing w:after="0" w:line="276" w:lineRule="auto"/>
              <w:jc w:val="center"/>
              <w:rPr>
                <w:bCs/>
                <w:iCs/>
                <w:sz w:val="18"/>
                <w:szCs w:val="18"/>
              </w:rPr>
            </w:pPr>
            <w:r w:rsidRPr="00EA6851">
              <w:rPr>
                <w:bCs/>
                <w:iCs/>
                <w:sz w:val="18"/>
                <w:szCs w:val="18"/>
              </w:rPr>
              <w:t>155 000</w:t>
            </w:r>
          </w:p>
        </w:tc>
        <w:tc>
          <w:tcPr>
            <w:tcW w:w="989" w:type="dxa"/>
            <w:shd w:val="clear" w:color="auto" w:fill="FFFFFF"/>
            <w:vAlign w:val="center"/>
          </w:tcPr>
          <w:p w:rsidR="00040DFE" w:rsidRPr="00EA6851" w:rsidRDefault="00040DFE" w:rsidP="00040DFE">
            <w:pPr>
              <w:spacing w:after="0" w:line="276" w:lineRule="auto"/>
              <w:jc w:val="center"/>
              <w:rPr>
                <w:bCs/>
                <w:iCs/>
                <w:sz w:val="18"/>
                <w:szCs w:val="18"/>
              </w:rPr>
            </w:pPr>
            <w:r w:rsidRPr="00EA6851">
              <w:rPr>
                <w:bCs/>
                <w:iCs/>
                <w:sz w:val="18"/>
                <w:szCs w:val="18"/>
              </w:rPr>
              <w:t>155 000</w:t>
            </w:r>
          </w:p>
        </w:tc>
      </w:tr>
      <w:tr w:rsidR="00040DFE" w:rsidRPr="00EA6851" w:rsidTr="00040DFE">
        <w:trPr>
          <w:trHeight w:val="255"/>
          <w:jc w:val="center"/>
        </w:trPr>
        <w:tc>
          <w:tcPr>
            <w:tcW w:w="2973" w:type="dxa"/>
            <w:shd w:val="clear" w:color="auto" w:fill="FFFFFF"/>
            <w:vAlign w:val="center"/>
          </w:tcPr>
          <w:p w:rsidR="00040DFE" w:rsidRPr="00EA6851" w:rsidRDefault="00040DFE" w:rsidP="00040DFE">
            <w:pPr>
              <w:spacing w:after="0" w:line="276" w:lineRule="auto"/>
              <w:jc w:val="left"/>
              <w:rPr>
                <w:bCs/>
                <w:iCs/>
                <w:sz w:val="18"/>
                <w:szCs w:val="18"/>
              </w:rPr>
            </w:pPr>
            <w:r w:rsidRPr="00EA6851">
              <w:rPr>
                <w:bCs/>
                <w:iCs/>
                <w:sz w:val="18"/>
                <w:szCs w:val="18"/>
              </w:rPr>
              <w:t>3.Регистрирани продължително безработни лица</w:t>
            </w:r>
          </w:p>
        </w:tc>
        <w:tc>
          <w:tcPr>
            <w:tcW w:w="1077" w:type="dxa"/>
            <w:shd w:val="clear" w:color="auto" w:fill="F2F2F2"/>
            <w:vAlign w:val="center"/>
          </w:tcPr>
          <w:p w:rsidR="00040DFE" w:rsidRPr="00EA6851" w:rsidRDefault="00040DFE" w:rsidP="00040DFE">
            <w:pPr>
              <w:spacing w:after="0" w:line="276" w:lineRule="auto"/>
              <w:jc w:val="center"/>
              <w:rPr>
                <w:bCs/>
                <w:iCs/>
                <w:sz w:val="18"/>
                <w:szCs w:val="18"/>
              </w:rPr>
            </w:pPr>
            <w:r w:rsidRPr="00EA6851">
              <w:rPr>
                <w:bCs/>
                <w:iCs/>
                <w:sz w:val="18"/>
                <w:szCs w:val="18"/>
              </w:rPr>
              <w:t>Ср. мес. бр.</w:t>
            </w:r>
          </w:p>
        </w:tc>
        <w:tc>
          <w:tcPr>
            <w:tcW w:w="1377" w:type="dxa"/>
            <w:shd w:val="clear" w:color="auto" w:fill="FFFFFF"/>
            <w:vAlign w:val="center"/>
          </w:tcPr>
          <w:p w:rsidR="00040DFE" w:rsidRPr="00EA6851" w:rsidRDefault="00040DFE" w:rsidP="00040DFE">
            <w:pPr>
              <w:spacing w:after="0" w:line="276" w:lineRule="auto"/>
              <w:jc w:val="center"/>
              <w:rPr>
                <w:bCs/>
                <w:iCs/>
                <w:sz w:val="18"/>
                <w:szCs w:val="18"/>
              </w:rPr>
            </w:pPr>
            <w:r w:rsidRPr="00EA6851">
              <w:rPr>
                <w:bCs/>
                <w:iCs/>
                <w:sz w:val="18"/>
                <w:szCs w:val="18"/>
              </w:rPr>
              <w:t>33 500</w:t>
            </w:r>
          </w:p>
        </w:tc>
        <w:tc>
          <w:tcPr>
            <w:tcW w:w="1205" w:type="dxa"/>
            <w:shd w:val="clear" w:color="auto" w:fill="FFFFFF"/>
            <w:vAlign w:val="center"/>
          </w:tcPr>
          <w:p w:rsidR="00040DFE" w:rsidRPr="00EA6851" w:rsidRDefault="00040DFE" w:rsidP="00040DFE">
            <w:pPr>
              <w:spacing w:after="0" w:line="276" w:lineRule="auto"/>
              <w:jc w:val="center"/>
              <w:rPr>
                <w:bCs/>
                <w:iCs/>
                <w:sz w:val="18"/>
                <w:szCs w:val="18"/>
              </w:rPr>
            </w:pPr>
            <w:r w:rsidRPr="00EA6851">
              <w:rPr>
                <w:bCs/>
                <w:iCs/>
                <w:sz w:val="18"/>
                <w:szCs w:val="18"/>
              </w:rPr>
              <w:t>33 000</w:t>
            </w:r>
          </w:p>
        </w:tc>
        <w:tc>
          <w:tcPr>
            <w:tcW w:w="1449" w:type="dxa"/>
            <w:shd w:val="clear" w:color="auto" w:fill="FFFFFF"/>
            <w:vAlign w:val="center"/>
          </w:tcPr>
          <w:p w:rsidR="00040DFE" w:rsidRPr="00EA6851" w:rsidRDefault="00040DFE" w:rsidP="00040DFE">
            <w:pPr>
              <w:spacing w:after="0" w:line="276" w:lineRule="auto"/>
              <w:jc w:val="center"/>
              <w:rPr>
                <w:bCs/>
                <w:iCs/>
                <w:sz w:val="18"/>
                <w:szCs w:val="18"/>
              </w:rPr>
            </w:pPr>
            <w:r w:rsidRPr="00EA6851">
              <w:rPr>
                <w:bCs/>
                <w:iCs/>
                <w:sz w:val="18"/>
                <w:szCs w:val="18"/>
              </w:rPr>
              <w:t>33 000</w:t>
            </w:r>
          </w:p>
        </w:tc>
        <w:tc>
          <w:tcPr>
            <w:tcW w:w="989" w:type="dxa"/>
            <w:shd w:val="clear" w:color="auto" w:fill="FFFFFF"/>
            <w:vAlign w:val="center"/>
          </w:tcPr>
          <w:p w:rsidR="00040DFE" w:rsidRPr="00EA6851" w:rsidRDefault="00040DFE" w:rsidP="00040DFE">
            <w:pPr>
              <w:spacing w:after="0" w:line="276" w:lineRule="auto"/>
              <w:jc w:val="center"/>
              <w:rPr>
                <w:bCs/>
                <w:iCs/>
                <w:sz w:val="18"/>
                <w:szCs w:val="18"/>
              </w:rPr>
            </w:pPr>
            <w:r w:rsidRPr="00EA6851">
              <w:rPr>
                <w:bCs/>
                <w:iCs/>
                <w:sz w:val="18"/>
                <w:szCs w:val="18"/>
              </w:rPr>
              <w:t>33 000</w:t>
            </w:r>
          </w:p>
        </w:tc>
      </w:tr>
      <w:tr w:rsidR="00040DFE" w:rsidRPr="00EA6851" w:rsidTr="00040DFE">
        <w:trPr>
          <w:trHeight w:val="255"/>
          <w:jc w:val="center"/>
        </w:trPr>
        <w:tc>
          <w:tcPr>
            <w:tcW w:w="2973" w:type="dxa"/>
            <w:shd w:val="clear" w:color="auto" w:fill="FFFFFF"/>
            <w:vAlign w:val="center"/>
          </w:tcPr>
          <w:p w:rsidR="00040DFE" w:rsidRPr="00EA6851" w:rsidRDefault="00040DFE" w:rsidP="00040DFE">
            <w:pPr>
              <w:spacing w:after="0" w:line="276" w:lineRule="auto"/>
              <w:jc w:val="left"/>
              <w:rPr>
                <w:bCs/>
                <w:iCs/>
                <w:sz w:val="18"/>
                <w:szCs w:val="18"/>
              </w:rPr>
            </w:pPr>
            <w:r w:rsidRPr="00EA6851">
              <w:rPr>
                <w:bCs/>
                <w:iCs/>
                <w:sz w:val="18"/>
                <w:szCs w:val="18"/>
              </w:rPr>
              <w:t>4.Регистрирани безработни младежи (15-29 години.)</w:t>
            </w:r>
          </w:p>
        </w:tc>
        <w:tc>
          <w:tcPr>
            <w:tcW w:w="1077" w:type="dxa"/>
            <w:shd w:val="clear" w:color="auto" w:fill="F2F2F2"/>
            <w:vAlign w:val="center"/>
          </w:tcPr>
          <w:p w:rsidR="00040DFE" w:rsidRPr="00EA6851" w:rsidRDefault="00040DFE" w:rsidP="00040DFE">
            <w:pPr>
              <w:spacing w:after="0" w:line="276" w:lineRule="auto"/>
              <w:jc w:val="center"/>
              <w:rPr>
                <w:bCs/>
                <w:iCs/>
                <w:sz w:val="18"/>
                <w:szCs w:val="18"/>
              </w:rPr>
            </w:pPr>
            <w:r w:rsidRPr="00EA6851">
              <w:rPr>
                <w:bCs/>
                <w:iCs/>
                <w:sz w:val="18"/>
                <w:szCs w:val="18"/>
              </w:rPr>
              <w:t>Ср. мес. бр.</w:t>
            </w:r>
          </w:p>
        </w:tc>
        <w:tc>
          <w:tcPr>
            <w:tcW w:w="1377" w:type="dxa"/>
            <w:shd w:val="clear" w:color="auto" w:fill="FFFFFF"/>
            <w:vAlign w:val="center"/>
          </w:tcPr>
          <w:p w:rsidR="00040DFE" w:rsidRPr="00EA6851" w:rsidRDefault="00040DFE" w:rsidP="00040DFE">
            <w:pPr>
              <w:spacing w:after="0" w:line="276" w:lineRule="auto"/>
              <w:jc w:val="center"/>
              <w:rPr>
                <w:bCs/>
                <w:iCs/>
                <w:sz w:val="18"/>
                <w:szCs w:val="18"/>
              </w:rPr>
            </w:pPr>
            <w:r w:rsidRPr="00EA6851">
              <w:rPr>
                <w:bCs/>
                <w:iCs/>
                <w:sz w:val="18"/>
                <w:szCs w:val="18"/>
              </w:rPr>
              <w:t>18 000</w:t>
            </w:r>
          </w:p>
        </w:tc>
        <w:tc>
          <w:tcPr>
            <w:tcW w:w="1205" w:type="dxa"/>
            <w:shd w:val="clear" w:color="auto" w:fill="FFFFFF"/>
            <w:vAlign w:val="center"/>
          </w:tcPr>
          <w:p w:rsidR="00040DFE" w:rsidRPr="00EA6851" w:rsidRDefault="00040DFE" w:rsidP="00040DFE">
            <w:pPr>
              <w:spacing w:after="0" w:line="276" w:lineRule="auto"/>
              <w:jc w:val="center"/>
              <w:rPr>
                <w:bCs/>
                <w:iCs/>
                <w:sz w:val="18"/>
                <w:szCs w:val="18"/>
              </w:rPr>
            </w:pPr>
            <w:r w:rsidRPr="00EA6851">
              <w:rPr>
                <w:bCs/>
                <w:iCs/>
                <w:sz w:val="18"/>
                <w:szCs w:val="18"/>
              </w:rPr>
              <w:t>18 000</w:t>
            </w:r>
          </w:p>
        </w:tc>
        <w:tc>
          <w:tcPr>
            <w:tcW w:w="1449" w:type="dxa"/>
            <w:shd w:val="clear" w:color="auto" w:fill="FFFFFF"/>
            <w:vAlign w:val="center"/>
          </w:tcPr>
          <w:p w:rsidR="00040DFE" w:rsidRPr="00EA6851" w:rsidRDefault="00040DFE" w:rsidP="00040DFE">
            <w:pPr>
              <w:spacing w:after="0" w:line="276" w:lineRule="auto"/>
              <w:jc w:val="center"/>
              <w:rPr>
                <w:bCs/>
                <w:iCs/>
                <w:sz w:val="18"/>
                <w:szCs w:val="18"/>
              </w:rPr>
            </w:pPr>
            <w:r w:rsidRPr="00EA6851">
              <w:rPr>
                <w:bCs/>
                <w:iCs/>
                <w:sz w:val="18"/>
                <w:szCs w:val="18"/>
              </w:rPr>
              <w:t>18 000</w:t>
            </w:r>
          </w:p>
        </w:tc>
        <w:tc>
          <w:tcPr>
            <w:tcW w:w="989" w:type="dxa"/>
            <w:shd w:val="clear" w:color="auto" w:fill="FFFFFF"/>
            <w:vAlign w:val="center"/>
          </w:tcPr>
          <w:p w:rsidR="00040DFE" w:rsidRPr="00EA6851" w:rsidRDefault="00040DFE" w:rsidP="00040DFE">
            <w:pPr>
              <w:spacing w:after="0" w:line="276" w:lineRule="auto"/>
              <w:jc w:val="center"/>
              <w:rPr>
                <w:bCs/>
                <w:iCs/>
                <w:sz w:val="18"/>
                <w:szCs w:val="18"/>
              </w:rPr>
            </w:pPr>
            <w:r w:rsidRPr="00EA6851">
              <w:rPr>
                <w:bCs/>
                <w:iCs/>
                <w:sz w:val="18"/>
                <w:szCs w:val="18"/>
              </w:rPr>
              <w:t>18 000</w:t>
            </w:r>
          </w:p>
        </w:tc>
      </w:tr>
      <w:tr w:rsidR="00040DFE" w:rsidRPr="00EA6851" w:rsidTr="00040DFE">
        <w:trPr>
          <w:trHeight w:val="420"/>
          <w:jc w:val="center"/>
        </w:trPr>
        <w:tc>
          <w:tcPr>
            <w:tcW w:w="2973" w:type="dxa"/>
            <w:shd w:val="clear" w:color="auto" w:fill="FFFFFF"/>
            <w:vAlign w:val="center"/>
          </w:tcPr>
          <w:p w:rsidR="00040DFE" w:rsidRPr="00EA6851" w:rsidRDefault="00040DFE" w:rsidP="00040DFE">
            <w:pPr>
              <w:spacing w:after="0" w:line="276" w:lineRule="auto"/>
              <w:jc w:val="left"/>
              <w:rPr>
                <w:bCs/>
                <w:iCs/>
                <w:sz w:val="18"/>
                <w:szCs w:val="18"/>
              </w:rPr>
            </w:pPr>
            <w:r w:rsidRPr="00EA6851">
              <w:rPr>
                <w:bCs/>
                <w:iCs/>
                <w:sz w:val="18"/>
                <w:szCs w:val="18"/>
              </w:rPr>
              <w:t>5.Брой наети на работа лица по програми и мерки</w:t>
            </w:r>
          </w:p>
        </w:tc>
        <w:tc>
          <w:tcPr>
            <w:tcW w:w="1077" w:type="dxa"/>
            <w:shd w:val="clear" w:color="auto" w:fill="F2F2F2"/>
            <w:vAlign w:val="center"/>
          </w:tcPr>
          <w:p w:rsidR="00040DFE" w:rsidRPr="00EA6851" w:rsidRDefault="00040DFE" w:rsidP="00040DFE">
            <w:pPr>
              <w:spacing w:after="0" w:line="276" w:lineRule="auto"/>
              <w:jc w:val="center"/>
              <w:rPr>
                <w:bCs/>
                <w:iCs/>
                <w:sz w:val="18"/>
                <w:szCs w:val="18"/>
              </w:rPr>
            </w:pPr>
            <w:r w:rsidRPr="00EA6851">
              <w:rPr>
                <w:bCs/>
                <w:iCs/>
                <w:sz w:val="18"/>
                <w:szCs w:val="18"/>
              </w:rPr>
              <w:t>Брой</w:t>
            </w:r>
          </w:p>
        </w:tc>
        <w:tc>
          <w:tcPr>
            <w:tcW w:w="1377" w:type="dxa"/>
            <w:shd w:val="clear" w:color="auto" w:fill="FFFFFF"/>
            <w:vAlign w:val="center"/>
          </w:tcPr>
          <w:p w:rsidR="00040DFE" w:rsidRPr="00EA6851" w:rsidRDefault="00040DFE" w:rsidP="00040DFE">
            <w:pPr>
              <w:suppressAutoHyphens/>
              <w:autoSpaceDN w:val="0"/>
              <w:spacing w:after="0" w:line="276" w:lineRule="auto"/>
              <w:jc w:val="center"/>
              <w:textAlignment w:val="baseline"/>
              <w:rPr>
                <w:bCs/>
                <w:iCs/>
                <w:sz w:val="18"/>
                <w:szCs w:val="18"/>
              </w:rPr>
            </w:pPr>
            <w:r w:rsidRPr="00EA6851">
              <w:rPr>
                <w:bCs/>
                <w:iCs/>
                <w:sz w:val="18"/>
                <w:szCs w:val="18"/>
              </w:rPr>
              <w:t>7 300</w:t>
            </w:r>
          </w:p>
        </w:tc>
        <w:tc>
          <w:tcPr>
            <w:tcW w:w="1205" w:type="dxa"/>
            <w:shd w:val="clear" w:color="auto" w:fill="FFFFFF"/>
            <w:vAlign w:val="center"/>
          </w:tcPr>
          <w:p w:rsidR="00040DFE" w:rsidRPr="00EA6851" w:rsidRDefault="00040DFE" w:rsidP="00040DFE">
            <w:pPr>
              <w:suppressAutoHyphens/>
              <w:autoSpaceDN w:val="0"/>
              <w:spacing w:after="0" w:line="276" w:lineRule="auto"/>
              <w:jc w:val="center"/>
              <w:textAlignment w:val="baseline"/>
              <w:rPr>
                <w:bCs/>
                <w:iCs/>
                <w:sz w:val="18"/>
                <w:szCs w:val="18"/>
              </w:rPr>
            </w:pPr>
            <w:r w:rsidRPr="00EA6851">
              <w:rPr>
                <w:bCs/>
                <w:iCs/>
                <w:sz w:val="18"/>
                <w:szCs w:val="18"/>
              </w:rPr>
              <w:t>7 705</w:t>
            </w:r>
          </w:p>
        </w:tc>
        <w:tc>
          <w:tcPr>
            <w:tcW w:w="1449" w:type="dxa"/>
            <w:shd w:val="clear" w:color="auto" w:fill="FFFFFF"/>
            <w:vAlign w:val="center"/>
          </w:tcPr>
          <w:p w:rsidR="00040DFE" w:rsidRPr="00EA6851" w:rsidRDefault="00040DFE" w:rsidP="00040DFE">
            <w:pPr>
              <w:suppressAutoHyphens/>
              <w:autoSpaceDN w:val="0"/>
              <w:spacing w:after="0" w:line="276" w:lineRule="auto"/>
              <w:jc w:val="center"/>
              <w:textAlignment w:val="baseline"/>
              <w:rPr>
                <w:bCs/>
                <w:iCs/>
                <w:sz w:val="18"/>
                <w:szCs w:val="18"/>
              </w:rPr>
            </w:pPr>
            <w:r w:rsidRPr="00EA6851">
              <w:rPr>
                <w:bCs/>
                <w:iCs/>
                <w:sz w:val="18"/>
                <w:szCs w:val="18"/>
              </w:rPr>
              <w:t>6 980</w:t>
            </w:r>
          </w:p>
        </w:tc>
        <w:tc>
          <w:tcPr>
            <w:tcW w:w="989" w:type="dxa"/>
            <w:shd w:val="clear" w:color="auto" w:fill="FFFFFF"/>
            <w:vAlign w:val="center"/>
          </w:tcPr>
          <w:p w:rsidR="00040DFE" w:rsidRPr="00EA6851" w:rsidRDefault="00040DFE" w:rsidP="00040DFE">
            <w:pPr>
              <w:suppressAutoHyphens/>
              <w:autoSpaceDN w:val="0"/>
              <w:spacing w:after="0" w:line="276" w:lineRule="auto"/>
              <w:jc w:val="center"/>
              <w:textAlignment w:val="baseline"/>
              <w:rPr>
                <w:bCs/>
                <w:iCs/>
                <w:sz w:val="18"/>
                <w:szCs w:val="18"/>
              </w:rPr>
            </w:pPr>
            <w:r w:rsidRPr="00EA6851">
              <w:rPr>
                <w:bCs/>
                <w:iCs/>
                <w:sz w:val="18"/>
                <w:szCs w:val="18"/>
              </w:rPr>
              <w:t>6 320</w:t>
            </w:r>
          </w:p>
        </w:tc>
      </w:tr>
    </w:tbl>
    <w:p w:rsidR="00040DFE" w:rsidRPr="00EA6851" w:rsidRDefault="00040DFE" w:rsidP="00AF259D">
      <w:pPr>
        <w:suppressAutoHyphens/>
        <w:autoSpaceDN w:val="0"/>
        <w:jc w:val="left"/>
        <w:textAlignment w:val="baseline"/>
        <w:rPr>
          <w:rFonts w:eastAsia="Batang"/>
          <w:b/>
          <w:color w:val="000000"/>
          <w:sz w:val="20"/>
          <w:szCs w:val="20"/>
          <w:lang w:eastAsia="ko-KR"/>
        </w:rPr>
      </w:pPr>
    </w:p>
    <w:p w:rsidR="00AF259D" w:rsidRPr="00EA6851" w:rsidRDefault="00AF259D" w:rsidP="00CA1DDD">
      <w:pPr>
        <w:pStyle w:val="Heading4"/>
      </w:pPr>
      <w:r w:rsidRPr="00EA6851">
        <w:t xml:space="preserve">Политика в областта на трудовите отношения </w:t>
      </w:r>
    </w:p>
    <w:p w:rsidR="00BE5707" w:rsidRPr="00EA6851" w:rsidRDefault="00BE5707" w:rsidP="00BE5707">
      <w:pPr>
        <w:rPr>
          <w:rFonts w:eastAsia="Batang"/>
        </w:rPr>
      </w:pPr>
      <w:r w:rsidRPr="00EA6851">
        <w:rPr>
          <w:rFonts w:eastAsia="Batang"/>
        </w:rPr>
        <w:t>Политиката в областта на трудовите отношения допринася за успешно функциониращ пазар на труда, основан на адекватна регулация на трудовите отношения, балансирана система за социална сигурност и ефективен социален диалог. Основните предизвикателства, които определят насоките за действие в областта на трудовите отношения са: икономическото състояние и достъпността на финансова</w:t>
      </w:r>
      <w:r w:rsidR="00806715" w:rsidRPr="00EA6851">
        <w:rPr>
          <w:rFonts w:eastAsia="Batang"/>
        </w:rPr>
        <w:t>та</w:t>
      </w:r>
      <w:r w:rsidRPr="00EA6851">
        <w:rPr>
          <w:rFonts w:eastAsia="Batang"/>
        </w:rPr>
        <w:t xml:space="preserve"> подкрепа, в частност и във връзка с предизвикателствата, свързани с войната в Украйна; атипичните форми на заетост и промените в организацията на работните процеси, включително повишаване на използването на работа от разстояние, предпоставка за които е ускоряването на дигитализацията; повишаващата се заетост в микро, малките и средни предприятия (МСП); промените на работното място и възникването на нови професионални рискове; защитата на работещите при експозиция на канцерогени, мутагени и химични агенти и на биологични агенти; тенденцията към увеличаване на работното време и интензивността на труда; демографските промени и застаряването на работещото население. Важно значение имат и въпросите, свързани с професионално-квалификационното равнище на работната сила и осигуряване на безопасни и здравословни условия на труд, в светлината на съвременните предизвикателства.</w:t>
      </w:r>
    </w:p>
    <w:p w:rsidR="00BE5707" w:rsidRPr="00EA6851" w:rsidRDefault="00BE5707" w:rsidP="00BE5707">
      <w:pPr>
        <w:rPr>
          <w:rFonts w:eastAsia="Batang"/>
        </w:rPr>
      </w:pPr>
      <w:r w:rsidRPr="00EA6851">
        <w:rPr>
          <w:rFonts w:eastAsia="Batang"/>
        </w:rPr>
        <w:t>Стратегическата цел на политиката в областта на трудовите отношения на МТСП съчетава три основни направления: повишаване на качеството и сигурността на труда, защита на правата на българите зад граница в областта на социалната сигурност и гарантиране на адекватността и устойчивостта на пенсионната система.</w:t>
      </w:r>
    </w:p>
    <w:p w:rsidR="00BE5707" w:rsidRPr="00EA6851" w:rsidRDefault="00BE5707" w:rsidP="00AF259D">
      <w:pPr>
        <w:rPr>
          <w:rFonts w:eastAsia="Batang"/>
        </w:rPr>
      </w:pPr>
      <w:r w:rsidRPr="00EA6851">
        <w:rPr>
          <w:rFonts w:eastAsia="Batang"/>
        </w:rPr>
        <w:t>Разработването и провеждането на политиката в областта на трудовите отношения се осъществява в сътрудничество с признатите за представителни на национално равнище организации на работодателите и на работниците и служителите. Принос в политиката имат ИА</w:t>
      </w:r>
      <w:r w:rsidRPr="00EA6851">
        <w:rPr>
          <w:rFonts w:eastAsia="Batang"/>
          <w:vertAlign w:val="superscript"/>
        </w:rPr>
        <w:footnoteReference w:id="21"/>
      </w:r>
      <w:r w:rsidRPr="00EA6851">
        <w:rPr>
          <w:rFonts w:eastAsia="Batang"/>
        </w:rPr>
        <w:t xml:space="preserve"> „Главна инспекция по труда“ чрез осъществяване на цялостен контрол по спазване на трудовото законодателство във всички отрасли и дейности в Република България, Фонд „Условия на труд“, който подпомага дейностите за осигуряване на здравословни и безопасни условия на труд и Националния институт за помирение и арбитраж, който допринася за развитието на ефективния двустранен социален диалог.</w:t>
      </w:r>
    </w:p>
    <w:p w:rsidR="00AF259D" w:rsidRPr="00EA6851" w:rsidRDefault="00AF259D" w:rsidP="00AF259D">
      <w:pPr>
        <w:ind w:right="396"/>
        <w:rPr>
          <w:b/>
          <w:sz w:val="20"/>
          <w:szCs w:val="20"/>
        </w:rPr>
      </w:pPr>
      <w:r w:rsidRPr="00EA6851">
        <w:rPr>
          <w:b/>
          <w:sz w:val="20"/>
          <w:szCs w:val="20"/>
        </w:rPr>
        <w:t>КЛЮЧОВИ ИНДИКАТОРИ ЗА ИЗПЪЛНЕНИЕ И ЦЕЛЕВИ СТОЙНОСТИ</w:t>
      </w:r>
    </w:p>
    <w:tbl>
      <w:tblPr>
        <w:tblW w:w="4975" w:type="pct"/>
        <w:jc w:val="center"/>
        <w:tblBorders>
          <w:top w:val="single" w:sz="4" w:space="0" w:color="auto"/>
          <w:bottom w:val="single" w:sz="4" w:space="0" w:color="auto"/>
        </w:tblBorders>
        <w:shd w:val="clear" w:color="auto" w:fill="FFFFFF"/>
        <w:tblCellMar>
          <w:left w:w="70" w:type="dxa"/>
          <w:right w:w="70" w:type="dxa"/>
        </w:tblCellMar>
        <w:tblLook w:val="0000" w:firstRow="0" w:lastRow="0" w:firstColumn="0" w:lastColumn="0" w:noHBand="0" w:noVBand="0"/>
      </w:tblPr>
      <w:tblGrid>
        <w:gridCol w:w="2873"/>
        <w:gridCol w:w="1268"/>
        <w:gridCol w:w="1129"/>
        <w:gridCol w:w="1384"/>
        <w:gridCol w:w="1177"/>
        <w:gridCol w:w="1183"/>
        <w:gridCol w:w="11"/>
      </w:tblGrid>
      <w:tr w:rsidR="00BE5707" w:rsidRPr="00EA6851" w:rsidTr="0003268C">
        <w:trPr>
          <w:trHeight w:val="255"/>
          <w:tblHeader/>
          <w:jc w:val="center"/>
        </w:trPr>
        <w:tc>
          <w:tcPr>
            <w:tcW w:w="2872" w:type="dxa"/>
            <w:tcBorders>
              <w:top w:val="single" w:sz="4" w:space="0" w:color="auto"/>
              <w:bottom w:val="nil"/>
            </w:tcBorders>
            <w:shd w:val="clear" w:color="auto" w:fill="FFFFFF"/>
            <w:vAlign w:val="center"/>
          </w:tcPr>
          <w:p w:rsidR="00BE5707" w:rsidRPr="00EA6851" w:rsidRDefault="00BE5707" w:rsidP="0003268C">
            <w:pPr>
              <w:spacing w:after="0" w:line="276" w:lineRule="auto"/>
              <w:jc w:val="center"/>
              <w:rPr>
                <w:b/>
                <w:bCs/>
                <w:i/>
                <w:iCs/>
                <w:sz w:val="18"/>
                <w:szCs w:val="18"/>
              </w:rPr>
            </w:pPr>
            <w:r w:rsidRPr="00EA6851">
              <w:rPr>
                <w:b/>
                <w:bCs/>
                <w:i/>
                <w:iCs/>
                <w:sz w:val="18"/>
                <w:szCs w:val="18"/>
              </w:rPr>
              <w:t>Политика в областта на трудовите отношения</w:t>
            </w:r>
          </w:p>
        </w:tc>
        <w:tc>
          <w:tcPr>
            <w:tcW w:w="1268" w:type="dxa"/>
            <w:vMerge w:val="restart"/>
            <w:tcBorders>
              <w:top w:val="single" w:sz="4" w:space="0" w:color="auto"/>
              <w:bottom w:val="nil"/>
            </w:tcBorders>
            <w:shd w:val="clear" w:color="auto" w:fill="F2F2F2"/>
            <w:vAlign w:val="center"/>
          </w:tcPr>
          <w:p w:rsidR="00BE5707" w:rsidRPr="00EA6851" w:rsidRDefault="00BE5707" w:rsidP="0003268C">
            <w:pPr>
              <w:spacing w:after="0" w:line="276" w:lineRule="auto"/>
              <w:jc w:val="center"/>
              <w:rPr>
                <w:b/>
                <w:bCs/>
                <w:iCs/>
                <w:sz w:val="18"/>
                <w:szCs w:val="18"/>
              </w:rPr>
            </w:pPr>
            <w:r w:rsidRPr="00EA6851">
              <w:rPr>
                <w:b/>
                <w:bCs/>
                <w:iCs/>
                <w:sz w:val="18"/>
                <w:szCs w:val="18"/>
              </w:rPr>
              <w:t>Мерна единица</w:t>
            </w:r>
          </w:p>
        </w:tc>
        <w:tc>
          <w:tcPr>
            <w:tcW w:w="4884" w:type="dxa"/>
            <w:gridSpan w:val="5"/>
            <w:tcBorders>
              <w:top w:val="single" w:sz="4" w:space="0" w:color="auto"/>
              <w:bottom w:val="single" w:sz="4" w:space="0" w:color="auto"/>
            </w:tcBorders>
            <w:shd w:val="clear" w:color="auto" w:fill="FFFFFF"/>
            <w:vAlign w:val="center"/>
          </w:tcPr>
          <w:p w:rsidR="00BE5707" w:rsidRPr="00EA6851" w:rsidRDefault="00BE5707" w:rsidP="0003268C">
            <w:pPr>
              <w:spacing w:after="0" w:line="276" w:lineRule="auto"/>
              <w:ind w:left="162" w:hanging="162"/>
              <w:jc w:val="center"/>
              <w:rPr>
                <w:b/>
                <w:bCs/>
                <w:iCs/>
                <w:sz w:val="18"/>
                <w:szCs w:val="18"/>
              </w:rPr>
            </w:pPr>
            <w:r w:rsidRPr="00EA6851">
              <w:rPr>
                <w:b/>
                <w:bCs/>
                <w:iCs/>
                <w:sz w:val="18"/>
                <w:szCs w:val="18"/>
              </w:rPr>
              <w:t>Целева стойност</w:t>
            </w:r>
          </w:p>
        </w:tc>
      </w:tr>
      <w:tr w:rsidR="00BE5707" w:rsidRPr="00EA6851" w:rsidTr="0003268C">
        <w:trPr>
          <w:gridAfter w:val="1"/>
          <w:wAfter w:w="11" w:type="dxa"/>
          <w:trHeight w:val="591"/>
          <w:tblHeader/>
          <w:jc w:val="center"/>
        </w:trPr>
        <w:tc>
          <w:tcPr>
            <w:tcW w:w="2872" w:type="dxa"/>
            <w:tcBorders>
              <w:top w:val="nil"/>
              <w:bottom w:val="single" w:sz="4" w:space="0" w:color="auto"/>
            </w:tcBorders>
            <w:shd w:val="clear" w:color="auto" w:fill="FFFFFF"/>
            <w:vAlign w:val="center"/>
          </w:tcPr>
          <w:p w:rsidR="00BE5707" w:rsidRPr="00EA6851" w:rsidRDefault="00BE5707" w:rsidP="0003268C">
            <w:pPr>
              <w:spacing w:after="0" w:line="276" w:lineRule="auto"/>
              <w:jc w:val="center"/>
              <w:rPr>
                <w:b/>
                <w:bCs/>
                <w:iCs/>
                <w:sz w:val="18"/>
                <w:szCs w:val="18"/>
              </w:rPr>
            </w:pPr>
            <w:r w:rsidRPr="00EA6851">
              <w:rPr>
                <w:b/>
                <w:bCs/>
                <w:iCs/>
                <w:sz w:val="18"/>
                <w:szCs w:val="18"/>
              </w:rPr>
              <w:t>Наименование на индикатора</w:t>
            </w:r>
          </w:p>
        </w:tc>
        <w:tc>
          <w:tcPr>
            <w:tcW w:w="1268" w:type="dxa"/>
            <w:vMerge/>
            <w:tcBorders>
              <w:top w:val="nil"/>
              <w:bottom w:val="single" w:sz="4" w:space="0" w:color="auto"/>
            </w:tcBorders>
            <w:shd w:val="clear" w:color="auto" w:fill="F2F2F2"/>
            <w:vAlign w:val="center"/>
          </w:tcPr>
          <w:p w:rsidR="00BE5707" w:rsidRPr="00EA6851" w:rsidRDefault="00BE5707" w:rsidP="0003268C">
            <w:pPr>
              <w:spacing w:after="0" w:line="276" w:lineRule="auto"/>
              <w:jc w:val="center"/>
              <w:rPr>
                <w:b/>
                <w:bCs/>
                <w:i/>
                <w:iCs/>
                <w:sz w:val="18"/>
                <w:szCs w:val="18"/>
              </w:rPr>
            </w:pPr>
          </w:p>
        </w:tc>
        <w:tc>
          <w:tcPr>
            <w:tcW w:w="1129" w:type="dxa"/>
            <w:tcBorders>
              <w:top w:val="single" w:sz="4" w:space="0" w:color="auto"/>
              <w:bottom w:val="single" w:sz="4" w:space="0" w:color="auto"/>
            </w:tcBorders>
            <w:shd w:val="clear" w:color="auto" w:fill="FFFFFF"/>
            <w:vAlign w:val="center"/>
          </w:tcPr>
          <w:p w:rsidR="00BE5707" w:rsidRPr="00EA6851" w:rsidRDefault="00BE5707" w:rsidP="0003268C">
            <w:pPr>
              <w:spacing w:after="0" w:line="276" w:lineRule="auto"/>
              <w:jc w:val="center"/>
              <w:rPr>
                <w:b/>
                <w:bCs/>
                <w:i/>
                <w:iCs/>
                <w:sz w:val="18"/>
                <w:szCs w:val="18"/>
              </w:rPr>
            </w:pPr>
            <w:r w:rsidRPr="00EA6851">
              <w:rPr>
                <w:b/>
                <w:bCs/>
                <w:i/>
                <w:iCs/>
                <w:sz w:val="18"/>
                <w:szCs w:val="18"/>
              </w:rPr>
              <w:t>Програма</w:t>
            </w:r>
          </w:p>
          <w:p w:rsidR="00BE5707" w:rsidRPr="00EA6851" w:rsidRDefault="00BE5707" w:rsidP="0003268C">
            <w:pPr>
              <w:spacing w:after="0" w:line="276" w:lineRule="auto"/>
              <w:jc w:val="center"/>
              <w:rPr>
                <w:b/>
                <w:bCs/>
                <w:i/>
                <w:iCs/>
                <w:sz w:val="18"/>
                <w:szCs w:val="18"/>
              </w:rPr>
            </w:pPr>
            <w:r w:rsidRPr="00EA6851">
              <w:rPr>
                <w:b/>
                <w:bCs/>
                <w:i/>
                <w:iCs/>
                <w:sz w:val="18"/>
                <w:szCs w:val="18"/>
              </w:rPr>
              <w:t>2023 г.</w:t>
            </w:r>
          </w:p>
        </w:tc>
        <w:tc>
          <w:tcPr>
            <w:tcW w:w="1384" w:type="dxa"/>
            <w:tcBorders>
              <w:top w:val="single" w:sz="4" w:space="0" w:color="auto"/>
              <w:bottom w:val="single" w:sz="4" w:space="0" w:color="auto"/>
            </w:tcBorders>
            <w:shd w:val="clear" w:color="auto" w:fill="FFFFFF"/>
            <w:vAlign w:val="center"/>
          </w:tcPr>
          <w:p w:rsidR="00BE5707" w:rsidRPr="00EA6851" w:rsidRDefault="00BE5707" w:rsidP="0003268C">
            <w:pPr>
              <w:spacing w:after="0" w:line="276" w:lineRule="auto"/>
              <w:jc w:val="center"/>
              <w:rPr>
                <w:b/>
                <w:bCs/>
                <w:i/>
                <w:iCs/>
                <w:sz w:val="18"/>
                <w:szCs w:val="18"/>
              </w:rPr>
            </w:pPr>
            <w:r w:rsidRPr="00EA6851">
              <w:rPr>
                <w:b/>
                <w:bCs/>
                <w:i/>
                <w:iCs/>
                <w:sz w:val="18"/>
                <w:szCs w:val="18"/>
              </w:rPr>
              <w:t>Проект</w:t>
            </w:r>
          </w:p>
          <w:p w:rsidR="00BE5707" w:rsidRPr="00EA6851" w:rsidRDefault="00BE5707" w:rsidP="0003268C">
            <w:pPr>
              <w:spacing w:after="0" w:line="276" w:lineRule="auto"/>
              <w:jc w:val="center"/>
              <w:rPr>
                <w:b/>
                <w:bCs/>
                <w:i/>
                <w:iCs/>
                <w:sz w:val="18"/>
                <w:szCs w:val="18"/>
              </w:rPr>
            </w:pPr>
            <w:r w:rsidRPr="00EA6851">
              <w:rPr>
                <w:b/>
                <w:bCs/>
                <w:i/>
                <w:iCs/>
                <w:sz w:val="18"/>
                <w:szCs w:val="18"/>
              </w:rPr>
              <w:t>2024 г.</w:t>
            </w:r>
          </w:p>
        </w:tc>
        <w:tc>
          <w:tcPr>
            <w:tcW w:w="1177" w:type="dxa"/>
            <w:tcBorders>
              <w:top w:val="single" w:sz="4" w:space="0" w:color="auto"/>
              <w:bottom w:val="single" w:sz="4" w:space="0" w:color="auto"/>
            </w:tcBorders>
            <w:shd w:val="clear" w:color="auto" w:fill="FFFFFF"/>
            <w:vAlign w:val="center"/>
          </w:tcPr>
          <w:p w:rsidR="00BE5707" w:rsidRPr="00EA6851" w:rsidRDefault="00BE5707" w:rsidP="0003268C">
            <w:pPr>
              <w:spacing w:after="0" w:line="276" w:lineRule="auto"/>
              <w:jc w:val="center"/>
              <w:rPr>
                <w:b/>
                <w:bCs/>
                <w:i/>
                <w:iCs/>
                <w:sz w:val="18"/>
                <w:szCs w:val="18"/>
              </w:rPr>
            </w:pPr>
            <w:r w:rsidRPr="00EA6851">
              <w:rPr>
                <w:b/>
                <w:bCs/>
                <w:i/>
                <w:iCs/>
                <w:sz w:val="18"/>
                <w:szCs w:val="18"/>
              </w:rPr>
              <w:t>Прогноза</w:t>
            </w:r>
          </w:p>
          <w:p w:rsidR="00BE5707" w:rsidRPr="00EA6851" w:rsidRDefault="00BE5707" w:rsidP="0003268C">
            <w:pPr>
              <w:spacing w:after="0" w:line="276" w:lineRule="auto"/>
              <w:jc w:val="center"/>
              <w:rPr>
                <w:b/>
                <w:bCs/>
                <w:i/>
                <w:iCs/>
                <w:sz w:val="18"/>
                <w:szCs w:val="18"/>
              </w:rPr>
            </w:pPr>
            <w:r w:rsidRPr="00EA6851">
              <w:rPr>
                <w:b/>
                <w:bCs/>
                <w:i/>
                <w:iCs/>
                <w:sz w:val="18"/>
                <w:szCs w:val="18"/>
              </w:rPr>
              <w:t>2025 г.</w:t>
            </w:r>
          </w:p>
        </w:tc>
        <w:tc>
          <w:tcPr>
            <w:tcW w:w="1183" w:type="dxa"/>
            <w:tcBorders>
              <w:top w:val="single" w:sz="4" w:space="0" w:color="auto"/>
              <w:bottom w:val="single" w:sz="4" w:space="0" w:color="auto"/>
            </w:tcBorders>
            <w:shd w:val="clear" w:color="auto" w:fill="FFFFFF"/>
            <w:vAlign w:val="center"/>
          </w:tcPr>
          <w:p w:rsidR="00BE5707" w:rsidRPr="00EA6851" w:rsidRDefault="00BE5707" w:rsidP="0003268C">
            <w:pPr>
              <w:spacing w:after="0" w:line="276" w:lineRule="auto"/>
              <w:jc w:val="center"/>
              <w:rPr>
                <w:b/>
                <w:bCs/>
                <w:i/>
                <w:iCs/>
                <w:sz w:val="18"/>
                <w:szCs w:val="18"/>
              </w:rPr>
            </w:pPr>
            <w:r w:rsidRPr="00EA6851">
              <w:rPr>
                <w:b/>
                <w:bCs/>
                <w:i/>
                <w:iCs/>
                <w:sz w:val="18"/>
                <w:szCs w:val="18"/>
              </w:rPr>
              <w:t>Прогноза</w:t>
            </w:r>
          </w:p>
          <w:p w:rsidR="00BE5707" w:rsidRPr="00EA6851" w:rsidRDefault="00BE5707" w:rsidP="0003268C">
            <w:pPr>
              <w:spacing w:after="0" w:line="276" w:lineRule="auto"/>
              <w:jc w:val="center"/>
              <w:rPr>
                <w:b/>
                <w:bCs/>
                <w:i/>
                <w:iCs/>
                <w:sz w:val="18"/>
                <w:szCs w:val="18"/>
              </w:rPr>
            </w:pPr>
            <w:r w:rsidRPr="00EA6851">
              <w:rPr>
                <w:b/>
                <w:bCs/>
                <w:i/>
                <w:iCs/>
                <w:sz w:val="18"/>
                <w:szCs w:val="18"/>
              </w:rPr>
              <w:t>2026 г.</w:t>
            </w:r>
          </w:p>
        </w:tc>
      </w:tr>
      <w:tr w:rsidR="00BE5707" w:rsidRPr="00EA6851" w:rsidTr="0003268C">
        <w:trPr>
          <w:gridAfter w:val="1"/>
          <w:wAfter w:w="11" w:type="dxa"/>
          <w:trHeight w:val="1254"/>
          <w:jc w:val="center"/>
        </w:trPr>
        <w:tc>
          <w:tcPr>
            <w:tcW w:w="2872" w:type="dxa"/>
            <w:tcBorders>
              <w:top w:val="single" w:sz="4" w:space="0" w:color="auto"/>
            </w:tcBorders>
            <w:shd w:val="clear" w:color="auto" w:fill="FFFFFF"/>
          </w:tcPr>
          <w:p w:rsidR="00BE5707" w:rsidRPr="00EA6851" w:rsidRDefault="00BE5707" w:rsidP="0003268C">
            <w:pPr>
              <w:spacing w:after="0" w:line="276" w:lineRule="auto"/>
              <w:jc w:val="left"/>
              <w:rPr>
                <w:bCs/>
                <w:iCs/>
                <w:sz w:val="18"/>
                <w:szCs w:val="18"/>
              </w:rPr>
            </w:pPr>
            <w:r w:rsidRPr="00EA6851">
              <w:rPr>
                <w:bCs/>
                <w:iCs/>
                <w:sz w:val="18"/>
                <w:szCs w:val="18"/>
              </w:rPr>
              <w:t>1.Намаляване на дела на работещите при неспазени норми за условия на труд в проверените предприятия</w:t>
            </w:r>
          </w:p>
        </w:tc>
        <w:tc>
          <w:tcPr>
            <w:tcW w:w="1268" w:type="dxa"/>
            <w:tcBorders>
              <w:top w:val="single" w:sz="4" w:space="0" w:color="auto"/>
            </w:tcBorders>
            <w:shd w:val="clear" w:color="auto" w:fill="F2F2F2"/>
          </w:tcPr>
          <w:p w:rsidR="00BE5707" w:rsidRPr="00EA6851" w:rsidRDefault="00BE5707" w:rsidP="0003268C">
            <w:pPr>
              <w:spacing w:after="0" w:line="276" w:lineRule="auto"/>
              <w:jc w:val="center"/>
              <w:rPr>
                <w:bCs/>
                <w:iCs/>
                <w:sz w:val="18"/>
                <w:szCs w:val="18"/>
              </w:rPr>
            </w:pPr>
            <w:r w:rsidRPr="00EA6851">
              <w:rPr>
                <w:bCs/>
                <w:iCs/>
                <w:sz w:val="18"/>
                <w:szCs w:val="18"/>
              </w:rPr>
              <w:t>% спрямо общия брой работещи в проверените предприятия</w:t>
            </w:r>
          </w:p>
        </w:tc>
        <w:tc>
          <w:tcPr>
            <w:tcW w:w="1129" w:type="dxa"/>
            <w:tcBorders>
              <w:top w:val="single" w:sz="4" w:space="0" w:color="auto"/>
            </w:tcBorders>
            <w:shd w:val="clear" w:color="auto" w:fill="FFFFFF"/>
          </w:tcPr>
          <w:p w:rsidR="00BE5707" w:rsidRPr="00EA6851" w:rsidRDefault="00BE5707" w:rsidP="0003268C">
            <w:pPr>
              <w:spacing w:after="0" w:line="276" w:lineRule="auto"/>
              <w:jc w:val="center"/>
              <w:rPr>
                <w:bCs/>
                <w:iCs/>
                <w:sz w:val="18"/>
                <w:szCs w:val="18"/>
              </w:rPr>
            </w:pPr>
            <w:r w:rsidRPr="00EA6851">
              <w:rPr>
                <w:bCs/>
                <w:iCs/>
                <w:sz w:val="18"/>
                <w:szCs w:val="18"/>
              </w:rPr>
              <w:t>под 12%</w:t>
            </w:r>
          </w:p>
        </w:tc>
        <w:tc>
          <w:tcPr>
            <w:tcW w:w="1384" w:type="dxa"/>
            <w:tcBorders>
              <w:top w:val="single" w:sz="4" w:space="0" w:color="auto"/>
            </w:tcBorders>
            <w:shd w:val="clear" w:color="auto" w:fill="FFFFFF"/>
          </w:tcPr>
          <w:p w:rsidR="00BE5707" w:rsidRPr="00EA6851" w:rsidRDefault="00BE5707" w:rsidP="0003268C">
            <w:pPr>
              <w:spacing w:after="0" w:line="276" w:lineRule="auto"/>
              <w:jc w:val="center"/>
              <w:rPr>
                <w:bCs/>
                <w:iCs/>
                <w:sz w:val="18"/>
                <w:szCs w:val="18"/>
              </w:rPr>
            </w:pPr>
            <w:r w:rsidRPr="00EA6851">
              <w:rPr>
                <w:bCs/>
                <w:iCs/>
                <w:sz w:val="18"/>
                <w:szCs w:val="18"/>
              </w:rPr>
              <w:t>под 12%</w:t>
            </w:r>
          </w:p>
        </w:tc>
        <w:tc>
          <w:tcPr>
            <w:tcW w:w="1177" w:type="dxa"/>
            <w:tcBorders>
              <w:top w:val="single" w:sz="4" w:space="0" w:color="auto"/>
            </w:tcBorders>
            <w:shd w:val="clear" w:color="auto" w:fill="FFFFFF"/>
          </w:tcPr>
          <w:p w:rsidR="00BE5707" w:rsidRPr="00EA6851" w:rsidRDefault="00BE5707" w:rsidP="0003268C">
            <w:pPr>
              <w:spacing w:after="0" w:line="276" w:lineRule="auto"/>
              <w:jc w:val="center"/>
              <w:rPr>
                <w:bCs/>
                <w:iCs/>
                <w:sz w:val="18"/>
                <w:szCs w:val="18"/>
              </w:rPr>
            </w:pPr>
            <w:r w:rsidRPr="00EA6851">
              <w:rPr>
                <w:bCs/>
                <w:iCs/>
                <w:sz w:val="18"/>
                <w:szCs w:val="18"/>
              </w:rPr>
              <w:t>под 12%</w:t>
            </w:r>
          </w:p>
        </w:tc>
        <w:tc>
          <w:tcPr>
            <w:tcW w:w="1183" w:type="dxa"/>
            <w:tcBorders>
              <w:top w:val="single" w:sz="4" w:space="0" w:color="auto"/>
            </w:tcBorders>
            <w:shd w:val="clear" w:color="auto" w:fill="FFFFFF"/>
          </w:tcPr>
          <w:p w:rsidR="00BE5707" w:rsidRPr="00EA6851" w:rsidRDefault="00BE5707" w:rsidP="0003268C">
            <w:pPr>
              <w:spacing w:after="0" w:line="276" w:lineRule="auto"/>
              <w:jc w:val="center"/>
              <w:rPr>
                <w:bCs/>
                <w:iCs/>
                <w:sz w:val="18"/>
                <w:szCs w:val="18"/>
              </w:rPr>
            </w:pPr>
            <w:r w:rsidRPr="00EA6851">
              <w:rPr>
                <w:bCs/>
                <w:iCs/>
                <w:sz w:val="18"/>
                <w:szCs w:val="18"/>
              </w:rPr>
              <w:t>под 12%</w:t>
            </w:r>
          </w:p>
        </w:tc>
      </w:tr>
      <w:tr w:rsidR="00BE5707" w:rsidRPr="00EA6851" w:rsidTr="0003268C">
        <w:trPr>
          <w:gridAfter w:val="1"/>
          <w:wAfter w:w="11" w:type="dxa"/>
          <w:trHeight w:val="625"/>
          <w:jc w:val="center"/>
        </w:trPr>
        <w:tc>
          <w:tcPr>
            <w:tcW w:w="2872" w:type="dxa"/>
            <w:shd w:val="clear" w:color="auto" w:fill="FFFFFF"/>
          </w:tcPr>
          <w:p w:rsidR="00BE5707" w:rsidRPr="00EA6851" w:rsidRDefault="00BE5707" w:rsidP="0003268C">
            <w:pPr>
              <w:spacing w:after="0" w:line="276" w:lineRule="auto"/>
              <w:jc w:val="left"/>
              <w:rPr>
                <w:bCs/>
                <w:iCs/>
                <w:sz w:val="18"/>
                <w:szCs w:val="18"/>
              </w:rPr>
            </w:pPr>
            <w:r w:rsidRPr="00EA6851">
              <w:rPr>
                <w:bCs/>
                <w:iCs/>
                <w:sz w:val="18"/>
                <w:szCs w:val="18"/>
              </w:rPr>
              <w:t>2.Задържане/намаляване честотата на трудовите злополуки (ТЗ)</w:t>
            </w:r>
          </w:p>
        </w:tc>
        <w:tc>
          <w:tcPr>
            <w:tcW w:w="1268" w:type="dxa"/>
            <w:shd w:val="clear" w:color="auto" w:fill="F2F2F2"/>
          </w:tcPr>
          <w:p w:rsidR="00BE5707" w:rsidRPr="00EA6851" w:rsidRDefault="00BE5707" w:rsidP="0003268C">
            <w:pPr>
              <w:spacing w:after="0" w:line="276" w:lineRule="auto"/>
              <w:jc w:val="center"/>
              <w:rPr>
                <w:bCs/>
                <w:iCs/>
                <w:sz w:val="18"/>
                <w:szCs w:val="18"/>
              </w:rPr>
            </w:pPr>
            <w:r w:rsidRPr="00EA6851">
              <w:rPr>
                <w:bCs/>
                <w:iCs/>
                <w:sz w:val="18"/>
                <w:szCs w:val="18"/>
              </w:rPr>
              <w:t>Коефициент на честота</w:t>
            </w:r>
          </w:p>
        </w:tc>
        <w:tc>
          <w:tcPr>
            <w:tcW w:w="1129" w:type="dxa"/>
            <w:shd w:val="clear" w:color="auto" w:fill="FFFFFF"/>
          </w:tcPr>
          <w:p w:rsidR="00BE5707" w:rsidRPr="00EA6851" w:rsidRDefault="00BE5707" w:rsidP="0003268C">
            <w:pPr>
              <w:spacing w:after="0" w:line="276" w:lineRule="auto"/>
              <w:jc w:val="center"/>
              <w:rPr>
                <w:bCs/>
                <w:iCs/>
                <w:sz w:val="18"/>
                <w:szCs w:val="18"/>
              </w:rPr>
            </w:pPr>
            <w:r w:rsidRPr="00EA6851">
              <w:rPr>
                <w:bCs/>
                <w:iCs/>
                <w:sz w:val="18"/>
                <w:szCs w:val="18"/>
              </w:rPr>
              <w:t>под 1,00</w:t>
            </w:r>
          </w:p>
        </w:tc>
        <w:tc>
          <w:tcPr>
            <w:tcW w:w="1384" w:type="dxa"/>
            <w:shd w:val="clear" w:color="auto" w:fill="FFFFFF"/>
          </w:tcPr>
          <w:p w:rsidR="00BE5707" w:rsidRPr="00EA6851" w:rsidRDefault="00BE5707" w:rsidP="0003268C">
            <w:pPr>
              <w:spacing w:after="0" w:line="276" w:lineRule="auto"/>
              <w:jc w:val="center"/>
              <w:rPr>
                <w:bCs/>
                <w:iCs/>
                <w:sz w:val="18"/>
                <w:szCs w:val="18"/>
              </w:rPr>
            </w:pPr>
            <w:r w:rsidRPr="00EA6851">
              <w:rPr>
                <w:bCs/>
                <w:iCs/>
                <w:sz w:val="18"/>
                <w:szCs w:val="18"/>
              </w:rPr>
              <w:t>под 1,00</w:t>
            </w:r>
          </w:p>
        </w:tc>
        <w:tc>
          <w:tcPr>
            <w:tcW w:w="1177" w:type="dxa"/>
            <w:shd w:val="clear" w:color="auto" w:fill="FFFFFF"/>
          </w:tcPr>
          <w:p w:rsidR="00BE5707" w:rsidRPr="00EA6851" w:rsidRDefault="00BE5707" w:rsidP="0003268C">
            <w:pPr>
              <w:spacing w:after="0" w:line="276" w:lineRule="auto"/>
              <w:jc w:val="center"/>
              <w:rPr>
                <w:bCs/>
                <w:iCs/>
                <w:sz w:val="18"/>
                <w:szCs w:val="18"/>
              </w:rPr>
            </w:pPr>
            <w:r w:rsidRPr="00EA6851">
              <w:rPr>
                <w:bCs/>
                <w:iCs/>
                <w:sz w:val="18"/>
                <w:szCs w:val="18"/>
              </w:rPr>
              <w:t>под 1,00</w:t>
            </w:r>
          </w:p>
        </w:tc>
        <w:tc>
          <w:tcPr>
            <w:tcW w:w="1183" w:type="dxa"/>
            <w:shd w:val="clear" w:color="auto" w:fill="FFFFFF"/>
          </w:tcPr>
          <w:p w:rsidR="00BE5707" w:rsidRPr="00EA6851" w:rsidRDefault="00BE5707" w:rsidP="0003268C">
            <w:pPr>
              <w:spacing w:after="0" w:line="276" w:lineRule="auto"/>
              <w:jc w:val="center"/>
              <w:rPr>
                <w:bCs/>
                <w:iCs/>
                <w:sz w:val="18"/>
                <w:szCs w:val="18"/>
              </w:rPr>
            </w:pPr>
            <w:r w:rsidRPr="00EA6851">
              <w:rPr>
                <w:bCs/>
                <w:iCs/>
                <w:sz w:val="18"/>
                <w:szCs w:val="18"/>
              </w:rPr>
              <w:t>под 1,00</w:t>
            </w:r>
          </w:p>
        </w:tc>
      </w:tr>
      <w:tr w:rsidR="00BE5707" w:rsidRPr="00EA6851" w:rsidTr="0003268C">
        <w:trPr>
          <w:gridAfter w:val="1"/>
          <w:wAfter w:w="11" w:type="dxa"/>
          <w:trHeight w:val="527"/>
          <w:jc w:val="center"/>
        </w:trPr>
        <w:tc>
          <w:tcPr>
            <w:tcW w:w="2872" w:type="dxa"/>
            <w:shd w:val="clear" w:color="auto" w:fill="FFFFFF"/>
          </w:tcPr>
          <w:p w:rsidR="00BE5707" w:rsidRPr="00EA6851" w:rsidRDefault="00BE5707" w:rsidP="0003268C">
            <w:pPr>
              <w:spacing w:after="0" w:line="276" w:lineRule="auto"/>
              <w:jc w:val="left"/>
              <w:rPr>
                <w:bCs/>
                <w:iCs/>
                <w:sz w:val="18"/>
                <w:szCs w:val="18"/>
              </w:rPr>
            </w:pPr>
            <w:r w:rsidRPr="00EA6851">
              <w:rPr>
                <w:bCs/>
                <w:iCs/>
                <w:sz w:val="18"/>
                <w:szCs w:val="18"/>
              </w:rPr>
              <w:t>3. Намаляване броя на трудовите злополуки</w:t>
            </w:r>
            <w:r w:rsidR="0003268C" w:rsidRPr="00EA6851">
              <w:rPr>
                <w:bCs/>
                <w:iCs/>
                <w:sz w:val="18"/>
                <w:szCs w:val="18"/>
              </w:rPr>
              <w:t>,</w:t>
            </w:r>
            <w:r w:rsidRPr="00EA6851">
              <w:rPr>
                <w:bCs/>
                <w:iCs/>
                <w:sz w:val="18"/>
                <w:szCs w:val="18"/>
              </w:rPr>
              <w:t xml:space="preserve"> довели до трайна неработоспособност или смърт</w:t>
            </w:r>
          </w:p>
        </w:tc>
        <w:tc>
          <w:tcPr>
            <w:tcW w:w="1268" w:type="dxa"/>
            <w:shd w:val="clear" w:color="auto" w:fill="F2F2F2"/>
          </w:tcPr>
          <w:p w:rsidR="00BE5707" w:rsidRPr="00EA6851" w:rsidRDefault="00BE5707" w:rsidP="0003268C">
            <w:pPr>
              <w:spacing w:after="0" w:line="276" w:lineRule="auto"/>
              <w:jc w:val="center"/>
              <w:rPr>
                <w:bCs/>
                <w:iCs/>
                <w:sz w:val="18"/>
                <w:szCs w:val="18"/>
              </w:rPr>
            </w:pPr>
            <w:r w:rsidRPr="00EA6851">
              <w:rPr>
                <w:bCs/>
                <w:iCs/>
                <w:sz w:val="18"/>
                <w:szCs w:val="18"/>
              </w:rPr>
              <w:t>Брой</w:t>
            </w:r>
          </w:p>
        </w:tc>
        <w:tc>
          <w:tcPr>
            <w:tcW w:w="1129" w:type="dxa"/>
            <w:shd w:val="clear" w:color="auto" w:fill="FFFFFF"/>
          </w:tcPr>
          <w:p w:rsidR="00BE5707" w:rsidRPr="00EA6851" w:rsidRDefault="00BE5707" w:rsidP="0003268C">
            <w:pPr>
              <w:spacing w:after="0" w:line="276" w:lineRule="auto"/>
              <w:jc w:val="center"/>
              <w:rPr>
                <w:bCs/>
                <w:iCs/>
                <w:sz w:val="18"/>
                <w:szCs w:val="18"/>
              </w:rPr>
            </w:pPr>
            <w:r w:rsidRPr="00EA6851">
              <w:rPr>
                <w:bCs/>
                <w:iCs/>
                <w:sz w:val="18"/>
                <w:szCs w:val="18"/>
              </w:rPr>
              <w:t>не повече от</w:t>
            </w:r>
          </w:p>
          <w:p w:rsidR="00BE5707" w:rsidRPr="00EA6851" w:rsidRDefault="00BE5707" w:rsidP="0003268C">
            <w:pPr>
              <w:spacing w:after="0" w:line="276" w:lineRule="auto"/>
              <w:jc w:val="center"/>
              <w:rPr>
                <w:bCs/>
                <w:iCs/>
                <w:sz w:val="18"/>
                <w:szCs w:val="18"/>
              </w:rPr>
            </w:pPr>
            <w:r w:rsidRPr="00EA6851">
              <w:rPr>
                <w:bCs/>
                <w:iCs/>
                <w:sz w:val="18"/>
                <w:szCs w:val="18"/>
              </w:rPr>
              <w:t>125</w:t>
            </w:r>
          </w:p>
        </w:tc>
        <w:tc>
          <w:tcPr>
            <w:tcW w:w="1384" w:type="dxa"/>
            <w:shd w:val="clear" w:color="auto" w:fill="FFFFFF"/>
          </w:tcPr>
          <w:p w:rsidR="00BE5707" w:rsidRPr="00EA6851" w:rsidRDefault="00BE5707" w:rsidP="0003268C">
            <w:pPr>
              <w:spacing w:after="0" w:line="276" w:lineRule="auto"/>
              <w:jc w:val="center"/>
              <w:rPr>
                <w:bCs/>
                <w:iCs/>
                <w:sz w:val="18"/>
                <w:szCs w:val="18"/>
              </w:rPr>
            </w:pPr>
            <w:r w:rsidRPr="00EA6851">
              <w:rPr>
                <w:bCs/>
                <w:iCs/>
                <w:sz w:val="18"/>
                <w:szCs w:val="18"/>
              </w:rPr>
              <w:t>не повече от</w:t>
            </w:r>
          </w:p>
          <w:p w:rsidR="00BE5707" w:rsidRPr="00EA6851" w:rsidRDefault="00BE5707" w:rsidP="0003268C">
            <w:pPr>
              <w:spacing w:after="0" w:line="276" w:lineRule="auto"/>
              <w:jc w:val="center"/>
              <w:rPr>
                <w:bCs/>
                <w:iCs/>
                <w:sz w:val="18"/>
                <w:szCs w:val="18"/>
              </w:rPr>
            </w:pPr>
            <w:r w:rsidRPr="00EA6851">
              <w:rPr>
                <w:bCs/>
                <w:iCs/>
                <w:sz w:val="18"/>
                <w:szCs w:val="18"/>
              </w:rPr>
              <w:t>120</w:t>
            </w:r>
          </w:p>
        </w:tc>
        <w:tc>
          <w:tcPr>
            <w:tcW w:w="1177" w:type="dxa"/>
            <w:shd w:val="clear" w:color="auto" w:fill="FFFFFF"/>
          </w:tcPr>
          <w:p w:rsidR="00BE5707" w:rsidRPr="00EA6851" w:rsidRDefault="00BE5707" w:rsidP="0003268C">
            <w:pPr>
              <w:spacing w:after="0" w:line="276" w:lineRule="auto"/>
              <w:jc w:val="center"/>
              <w:rPr>
                <w:bCs/>
                <w:iCs/>
                <w:sz w:val="18"/>
                <w:szCs w:val="18"/>
              </w:rPr>
            </w:pPr>
            <w:r w:rsidRPr="00EA6851">
              <w:rPr>
                <w:bCs/>
                <w:iCs/>
                <w:sz w:val="18"/>
                <w:szCs w:val="18"/>
              </w:rPr>
              <w:t>не повече от</w:t>
            </w:r>
          </w:p>
          <w:p w:rsidR="00BE5707" w:rsidRPr="00EA6851" w:rsidRDefault="00BE5707" w:rsidP="0003268C">
            <w:pPr>
              <w:spacing w:after="0" w:line="276" w:lineRule="auto"/>
              <w:jc w:val="center"/>
              <w:rPr>
                <w:bCs/>
                <w:iCs/>
                <w:sz w:val="18"/>
                <w:szCs w:val="18"/>
              </w:rPr>
            </w:pPr>
            <w:r w:rsidRPr="00EA6851">
              <w:rPr>
                <w:bCs/>
                <w:iCs/>
                <w:sz w:val="18"/>
                <w:szCs w:val="18"/>
              </w:rPr>
              <w:t>120</w:t>
            </w:r>
          </w:p>
        </w:tc>
        <w:tc>
          <w:tcPr>
            <w:tcW w:w="1183" w:type="dxa"/>
            <w:shd w:val="clear" w:color="auto" w:fill="FFFFFF"/>
          </w:tcPr>
          <w:p w:rsidR="00BE5707" w:rsidRPr="00EA6851" w:rsidRDefault="00BE5707" w:rsidP="0003268C">
            <w:pPr>
              <w:spacing w:after="0" w:line="276" w:lineRule="auto"/>
              <w:jc w:val="center"/>
              <w:rPr>
                <w:bCs/>
                <w:iCs/>
                <w:sz w:val="18"/>
                <w:szCs w:val="18"/>
              </w:rPr>
            </w:pPr>
            <w:r w:rsidRPr="00EA6851">
              <w:rPr>
                <w:bCs/>
                <w:iCs/>
                <w:sz w:val="18"/>
                <w:szCs w:val="18"/>
              </w:rPr>
              <w:t>не повече от</w:t>
            </w:r>
          </w:p>
          <w:p w:rsidR="00BE5707" w:rsidRPr="00EA6851" w:rsidRDefault="00BE5707" w:rsidP="0003268C">
            <w:pPr>
              <w:spacing w:after="0" w:line="276" w:lineRule="auto"/>
              <w:jc w:val="center"/>
              <w:rPr>
                <w:bCs/>
                <w:iCs/>
                <w:sz w:val="18"/>
                <w:szCs w:val="18"/>
              </w:rPr>
            </w:pPr>
            <w:r w:rsidRPr="00EA6851">
              <w:rPr>
                <w:bCs/>
                <w:iCs/>
                <w:sz w:val="18"/>
                <w:szCs w:val="18"/>
              </w:rPr>
              <w:t>120</w:t>
            </w:r>
          </w:p>
        </w:tc>
      </w:tr>
    </w:tbl>
    <w:p w:rsidR="00AF259D" w:rsidRPr="00EA6851" w:rsidRDefault="00AF259D" w:rsidP="0003268C">
      <w:pPr>
        <w:ind w:right="396"/>
        <w:jc w:val="center"/>
        <w:rPr>
          <w:b/>
          <w:sz w:val="20"/>
          <w:szCs w:val="20"/>
          <w:highlight w:val="yellow"/>
        </w:rPr>
      </w:pPr>
    </w:p>
    <w:p w:rsidR="00AF259D" w:rsidRPr="00EA6851" w:rsidRDefault="00AF259D" w:rsidP="00CA1DDD">
      <w:pPr>
        <w:pStyle w:val="Heading4"/>
      </w:pPr>
      <w:r w:rsidRPr="00EA6851">
        <w:t>Политика в областта на социалното подпомагане и равнопоставеността на жените и мъжете</w:t>
      </w:r>
    </w:p>
    <w:p w:rsidR="00DB5D0E" w:rsidRPr="00EA6851" w:rsidRDefault="00DB5D0E" w:rsidP="00DB5D0E">
      <w:pPr>
        <w:rPr>
          <w:rFonts w:eastAsia="Batang"/>
        </w:rPr>
      </w:pPr>
      <w:r w:rsidRPr="00EA6851">
        <w:rPr>
          <w:rFonts w:eastAsia="Batang"/>
        </w:rPr>
        <w:t>Политиката по социално подпомагане е насочена към гарантиране задоволяването на основните жизненоважни потребности на хората, изпаднали в критична ситуация, като се прилага ясен, точен и обективно обоснован механизъм. За периода 2024-2026 г. приоритет остават оптимизиране</w:t>
      </w:r>
      <w:r w:rsidR="00806715" w:rsidRPr="00EA6851">
        <w:rPr>
          <w:rFonts w:eastAsia="Batang"/>
        </w:rPr>
        <w:t>то</w:t>
      </w:r>
      <w:r w:rsidRPr="00EA6851">
        <w:rPr>
          <w:rFonts w:eastAsia="Batang"/>
        </w:rPr>
        <w:t xml:space="preserve"> на социалното подпомагане на уязвимите групи от населението, гарантиране</w:t>
      </w:r>
      <w:r w:rsidR="00806715" w:rsidRPr="00EA6851">
        <w:rPr>
          <w:rFonts w:eastAsia="Batang"/>
        </w:rPr>
        <w:t>то</w:t>
      </w:r>
      <w:r w:rsidRPr="00EA6851">
        <w:rPr>
          <w:rFonts w:eastAsia="Batang"/>
        </w:rPr>
        <w:t xml:space="preserve"> на тяхната социална защита чрез по-добра целенасоченост на социалните помощи, повишаване</w:t>
      </w:r>
      <w:r w:rsidR="00806715" w:rsidRPr="00EA6851">
        <w:rPr>
          <w:rFonts w:eastAsia="Batang"/>
        </w:rPr>
        <w:t>то</w:t>
      </w:r>
      <w:r w:rsidRPr="00EA6851">
        <w:rPr>
          <w:rFonts w:eastAsia="Batang"/>
        </w:rPr>
        <w:t xml:space="preserve"> ефективността на програмите и усъвършенстване</w:t>
      </w:r>
      <w:r w:rsidR="00806715" w:rsidRPr="00EA6851">
        <w:rPr>
          <w:rFonts w:eastAsia="Batang"/>
        </w:rPr>
        <w:t>то</w:t>
      </w:r>
      <w:r w:rsidRPr="00EA6851">
        <w:rPr>
          <w:rFonts w:eastAsia="Batang"/>
        </w:rPr>
        <w:t xml:space="preserve"> на нормативната уредба в сферата на социалните помощи в съответствие с динамично променящите се условия на средата. </w:t>
      </w:r>
    </w:p>
    <w:p w:rsidR="00DB5D0E" w:rsidRPr="00EA6851" w:rsidRDefault="00DB5D0E" w:rsidP="00DB5D0E">
      <w:pPr>
        <w:rPr>
          <w:rFonts w:eastAsia="Batang"/>
        </w:rPr>
      </w:pPr>
      <w:r w:rsidRPr="00EA6851">
        <w:rPr>
          <w:rFonts w:eastAsia="Batang"/>
        </w:rPr>
        <w:t>Политиката се реализира от Агенцията за социално подпомагане чрез нейните териториални структури – дирекциите „Социално подпомагане” и Регионалните дирекции за социално подпомагане, и от Фонд „Социална закрила“.</w:t>
      </w:r>
    </w:p>
    <w:p w:rsidR="00DB5D0E" w:rsidRPr="00EA6851" w:rsidRDefault="00DB5D0E" w:rsidP="00DB5D0E">
      <w:pPr>
        <w:rPr>
          <w:rFonts w:eastAsia="Batang"/>
        </w:rPr>
      </w:pPr>
      <w:r w:rsidRPr="00EA6851">
        <w:rPr>
          <w:rFonts w:eastAsia="Batang"/>
        </w:rPr>
        <w:t>През 2023 г. стартира законодателна промяна в системата за социалното подпомагане, която пряко засяга месечните помощи, за което от 48-то НС на 15.12.2022 г. бяха приети съответните изменения в ЗСП. Ключовата законова промяна се изразява в преминаване на обвързването на социалните помощи от гарантирания минимален доход (ГМД) към линията на бедност (ЛБ), определяна по методологията на Евростат. С това гарантираният минимален доход отпада при определянето и отпускането на помощите, като същевременно се въвежда механизъм за регулярно актуализиране на достъпа до подпомагане и актуализиране на техния размер. Това обвързване на социалните помощи с линията на бедност предвижда до 2024 година размерът им да достигне не по-малко от 30% от ЛБ.</w:t>
      </w:r>
    </w:p>
    <w:p w:rsidR="00DB5D0E" w:rsidRPr="00EA6851" w:rsidRDefault="002B1C4C" w:rsidP="00DB5D0E">
      <w:pPr>
        <w:rPr>
          <w:rFonts w:eastAsia="Batang"/>
        </w:rPr>
      </w:pPr>
      <w:r w:rsidRPr="00EA6851">
        <w:rPr>
          <w:rFonts w:eastAsia="Batang"/>
        </w:rPr>
        <w:t>К</w:t>
      </w:r>
      <w:r w:rsidR="00DB5D0E" w:rsidRPr="00EA6851">
        <w:rPr>
          <w:rFonts w:eastAsia="Batang"/>
        </w:rPr>
        <w:t>ъм настоящия момент е в ход разработване на подзаконовата нормативна уредба, с която ще се гарантира предвидената в ПВУ и по настояване на ЕК либерализация на месечното социално подпомагане.</w:t>
      </w:r>
    </w:p>
    <w:p w:rsidR="00DB5D0E" w:rsidRPr="00EA6851" w:rsidRDefault="00DB5D0E" w:rsidP="00AF259D">
      <w:pPr>
        <w:rPr>
          <w:rFonts w:eastAsia="Batang"/>
        </w:rPr>
      </w:pPr>
      <w:r w:rsidRPr="00EA6851">
        <w:rPr>
          <w:rFonts w:eastAsia="Batang"/>
        </w:rPr>
        <w:t>Равнопоставеността на жените и мъжете е основополагащ принцип в обществото, к</w:t>
      </w:r>
      <w:r w:rsidR="00806715" w:rsidRPr="00EA6851">
        <w:rPr>
          <w:rFonts w:eastAsia="Batang"/>
        </w:rPr>
        <w:t>ой</w:t>
      </w:r>
      <w:r w:rsidRPr="00EA6851">
        <w:rPr>
          <w:rFonts w:eastAsia="Batang"/>
        </w:rPr>
        <w:t xml:space="preserve">то гарантира равноправно участие в създаването, управлението и потреблението на обществените блага и услуги. Политиката в областта на равнопоставеността на жените и мъжете има хоризонтален, междусекторен характер. Провеждането ѝ се основава на Закона за равнопоставеност на жените и мъжете чрез интегриране на въпросите за равнопоставеността на жените и мъжете в отделните секторни политики. </w:t>
      </w:r>
    </w:p>
    <w:p w:rsidR="00AF259D" w:rsidRPr="00EA6851" w:rsidRDefault="00AF259D" w:rsidP="00AF259D">
      <w:pPr>
        <w:ind w:right="396"/>
        <w:rPr>
          <w:b/>
          <w:sz w:val="20"/>
          <w:szCs w:val="20"/>
        </w:rPr>
      </w:pPr>
      <w:r w:rsidRPr="00EA6851">
        <w:rPr>
          <w:b/>
          <w:sz w:val="20"/>
          <w:szCs w:val="20"/>
        </w:rPr>
        <w:t>КЛЮЧОВИ ИНДИКАТОРИ ЗА ИЗПЪЛНЕНИЕ И ЦЕЛЕВИ СТОЙНОСТИ</w:t>
      </w:r>
    </w:p>
    <w:tbl>
      <w:tblPr>
        <w:tblW w:w="5000" w:type="pct"/>
        <w:jc w:val="center"/>
        <w:tblBorders>
          <w:top w:val="single" w:sz="4" w:space="0" w:color="auto"/>
          <w:bottom w:val="single" w:sz="4" w:space="0" w:color="auto"/>
        </w:tblBorders>
        <w:tblCellMar>
          <w:left w:w="70" w:type="dxa"/>
          <w:right w:w="70" w:type="dxa"/>
        </w:tblCellMar>
        <w:tblLook w:val="0000" w:firstRow="0" w:lastRow="0" w:firstColumn="0" w:lastColumn="0" w:noHBand="0" w:noVBand="0"/>
      </w:tblPr>
      <w:tblGrid>
        <w:gridCol w:w="2978"/>
        <w:gridCol w:w="1171"/>
        <w:gridCol w:w="1314"/>
        <w:gridCol w:w="955"/>
        <w:gridCol w:w="1445"/>
        <w:gridCol w:w="1207"/>
      </w:tblGrid>
      <w:tr w:rsidR="00DB5D0E" w:rsidRPr="00EA6851" w:rsidTr="00012250">
        <w:trPr>
          <w:trHeight w:val="804"/>
          <w:tblHeader/>
          <w:jc w:val="center"/>
        </w:trPr>
        <w:tc>
          <w:tcPr>
            <w:tcW w:w="2978" w:type="dxa"/>
            <w:tcBorders>
              <w:top w:val="single" w:sz="4" w:space="0" w:color="auto"/>
              <w:bottom w:val="nil"/>
            </w:tcBorders>
            <w:shd w:val="clear" w:color="auto" w:fill="FFFFFF"/>
            <w:vAlign w:val="center"/>
          </w:tcPr>
          <w:p w:rsidR="00DB5D0E" w:rsidRPr="00EA6851" w:rsidRDefault="00DB5D0E" w:rsidP="00DA37CC">
            <w:pPr>
              <w:spacing w:after="0" w:line="276" w:lineRule="auto"/>
              <w:jc w:val="center"/>
              <w:rPr>
                <w:b/>
                <w:bCs/>
                <w:i/>
                <w:iCs/>
                <w:sz w:val="18"/>
                <w:szCs w:val="18"/>
              </w:rPr>
            </w:pPr>
            <w:r w:rsidRPr="00EA6851">
              <w:rPr>
                <w:b/>
                <w:bCs/>
                <w:i/>
                <w:iCs/>
                <w:sz w:val="18"/>
                <w:szCs w:val="18"/>
              </w:rPr>
              <w:t>Политика в областта на социалното подпомагане и равнопоставеността на жените и мъжете</w:t>
            </w:r>
          </w:p>
        </w:tc>
        <w:tc>
          <w:tcPr>
            <w:tcW w:w="1171" w:type="dxa"/>
            <w:vMerge w:val="restart"/>
            <w:tcBorders>
              <w:top w:val="single" w:sz="4" w:space="0" w:color="auto"/>
              <w:bottom w:val="nil"/>
            </w:tcBorders>
            <w:shd w:val="clear" w:color="auto" w:fill="F2F2F2"/>
            <w:vAlign w:val="center"/>
          </w:tcPr>
          <w:p w:rsidR="00DB5D0E" w:rsidRPr="00EA6851" w:rsidRDefault="00DB5D0E" w:rsidP="00DA37CC">
            <w:pPr>
              <w:spacing w:after="0" w:line="276" w:lineRule="auto"/>
              <w:jc w:val="center"/>
              <w:rPr>
                <w:b/>
                <w:bCs/>
                <w:iCs/>
                <w:sz w:val="18"/>
                <w:szCs w:val="18"/>
              </w:rPr>
            </w:pPr>
            <w:r w:rsidRPr="00EA6851">
              <w:rPr>
                <w:b/>
                <w:bCs/>
                <w:iCs/>
                <w:sz w:val="18"/>
                <w:szCs w:val="18"/>
              </w:rPr>
              <w:t>Мерна единица</w:t>
            </w:r>
          </w:p>
        </w:tc>
        <w:tc>
          <w:tcPr>
            <w:tcW w:w="4921" w:type="dxa"/>
            <w:gridSpan w:val="4"/>
            <w:tcBorders>
              <w:top w:val="single" w:sz="4" w:space="0" w:color="auto"/>
              <w:bottom w:val="single" w:sz="4" w:space="0" w:color="auto"/>
            </w:tcBorders>
            <w:shd w:val="clear" w:color="auto" w:fill="FFFFFF"/>
            <w:vAlign w:val="center"/>
          </w:tcPr>
          <w:p w:rsidR="00DB5D0E" w:rsidRPr="00EA6851" w:rsidRDefault="00DB5D0E" w:rsidP="00DA37CC">
            <w:pPr>
              <w:spacing w:after="0" w:line="276" w:lineRule="auto"/>
              <w:ind w:left="162" w:hanging="162"/>
              <w:jc w:val="center"/>
              <w:rPr>
                <w:b/>
                <w:bCs/>
                <w:iCs/>
                <w:sz w:val="18"/>
                <w:szCs w:val="18"/>
              </w:rPr>
            </w:pPr>
            <w:r w:rsidRPr="00EA6851">
              <w:rPr>
                <w:b/>
                <w:bCs/>
                <w:iCs/>
                <w:sz w:val="18"/>
                <w:szCs w:val="18"/>
              </w:rPr>
              <w:t>Целева стойност</w:t>
            </w:r>
          </w:p>
        </w:tc>
      </w:tr>
      <w:tr w:rsidR="00DB5D0E" w:rsidRPr="00EA6851" w:rsidTr="00012250">
        <w:trPr>
          <w:trHeight w:val="450"/>
          <w:tblHeader/>
          <w:jc w:val="center"/>
        </w:trPr>
        <w:tc>
          <w:tcPr>
            <w:tcW w:w="2978" w:type="dxa"/>
            <w:tcBorders>
              <w:top w:val="nil"/>
              <w:bottom w:val="single" w:sz="4" w:space="0" w:color="auto"/>
            </w:tcBorders>
            <w:shd w:val="clear" w:color="auto" w:fill="FFFFFF"/>
            <w:vAlign w:val="center"/>
          </w:tcPr>
          <w:p w:rsidR="00DB5D0E" w:rsidRPr="00EA6851" w:rsidRDefault="00DB5D0E" w:rsidP="00DA37CC">
            <w:pPr>
              <w:spacing w:after="0" w:line="276" w:lineRule="auto"/>
              <w:jc w:val="center"/>
              <w:rPr>
                <w:b/>
                <w:bCs/>
                <w:iCs/>
                <w:sz w:val="18"/>
                <w:szCs w:val="18"/>
              </w:rPr>
            </w:pPr>
            <w:r w:rsidRPr="00EA6851">
              <w:rPr>
                <w:b/>
                <w:bCs/>
                <w:iCs/>
                <w:sz w:val="18"/>
                <w:szCs w:val="18"/>
              </w:rPr>
              <w:t>Наименование на индикатора</w:t>
            </w:r>
          </w:p>
        </w:tc>
        <w:tc>
          <w:tcPr>
            <w:tcW w:w="1171" w:type="dxa"/>
            <w:vMerge/>
            <w:tcBorders>
              <w:top w:val="nil"/>
              <w:bottom w:val="single" w:sz="4" w:space="0" w:color="auto"/>
            </w:tcBorders>
            <w:shd w:val="clear" w:color="auto" w:fill="F2F2F2"/>
            <w:vAlign w:val="center"/>
          </w:tcPr>
          <w:p w:rsidR="00DB5D0E" w:rsidRPr="00EA6851" w:rsidRDefault="00DB5D0E" w:rsidP="00DA37CC">
            <w:pPr>
              <w:spacing w:after="0" w:line="276" w:lineRule="auto"/>
              <w:jc w:val="center"/>
              <w:rPr>
                <w:b/>
                <w:bCs/>
                <w:i/>
                <w:iCs/>
                <w:sz w:val="18"/>
                <w:szCs w:val="18"/>
              </w:rPr>
            </w:pPr>
          </w:p>
        </w:tc>
        <w:tc>
          <w:tcPr>
            <w:tcW w:w="1314" w:type="dxa"/>
            <w:tcBorders>
              <w:top w:val="single" w:sz="4" w:space="0" w:color="auto"/>
              <w:bottom w:val="single" w:sz="4" w:space="0" w:color="auto"/>
            </w:tcBorders>
            <w:shd w:val="clear" w:color="auto" w:fill="FFFFFF"/>
            <w:vAlign w:val="center"/>
          </w:tcPr>
          <w:p w:rsidR="00DB5D0E" w:rsidRPr="00EA6851" w:rsidRDefault="00DB5D0E" w:rsidP="00DA37CC">
            <w:pPr>
              <w:spacing w:after="0" w:line="276" w:lineRule="auto"/>
              <w:jc w:val="center"/>
              <w:rPr>
                <w:b/>
                <w:bCs/>
                <w:i/>
                <w:iCs/>
                <w:sz w:val="18"/>
                <w:szCs w:val="18"/>
              </w:rPr>
            </w:pPr>
            <w:r w:rsidRPr="00EA6851">
              <w:rPr>
                <w:b/>
                <w:bCs/>
                <w:i/>
                <w:iCs/>
                <w:sz w:val="18"/>
                <w:szCs w:val="18"/>
              </w:rPr>
              <w:t>Програма</w:t>
            </w:r>
          </w:p>
          <w:p w:rsidR="00DB5D0E" w:rsidRPr="00EA6851" w:rsidRDefault="00DB5D0E" w:rsidP="00DA37CC">
            <w:pPr>
              <w:spacing w:after="0" w:line="276" w:lineRule="auto"/>
              <w:jc w:val="center"/>
              <w:rPr>
                <w:b/>
                <w:bCs/>
                <w:i/>
                <w:iCs/>
                <w:sz w:val="18"/>
                <w:szCs w:val="18"/>
              </w:rPr>
            </w:pPr>
            <w:r w:rsidRPr="00EA6851">
              <w:rPr>
                <w:b/>
                <w:bCs/>
                <w:i/>
                <w:iCs/>
                <w:sz w:val="18"/>
                <w:szCs w:val="18"/>
              </w:rPr>
              <w:t>2023 г.</w:t>
            </w:r>
          </w:p>
        </w:tc>
        <w:tc>
          <w:tcPr>
            <w:tcW w:w="955" w:type="dxa"/>
            <w:tcBorders>
              <w:top w:val="single" w:sz="4" w:space="0" w:color="auto"/>
              <w:bottom w:val="single" w:sz="4" w:space="0" w:color="auto"/>
            </w:tcBorders>
            <w:shd w:val="clear" w:color="auto" w:fill="FFFFFF"/>
            <w:vAlign w:val="center"/>
          </w:tcPr>
          <w:p w:rsidR="00DB5D0E" w:rsidRPr="00EA6851" w:rsidRDefault="00DB5D0E" w:rsidP="00DA37CC">
            <w:pPr>
              <w:spacing w:after="0" w:line="276" w:lineRule="auto"/>
              <w:jc w:val="center"/>
              <w:rPr>
                <w:b/>
                <w:bCs/>
                <w:i/>
                <w:iCs/>
                <w:sz w:val="18"/>
                <w:szCs w:val="18"/>
              </w:rPr>
            </w:pPr>
            <w:r w:rsidRPr="00EA6851">
              <w:rPr>
                <w:b/>
                <w:bCs/>
                <w:i/>
                <w:iCs/>
                <w:sz w:val="18"/>
                <w:szCs w:val="18"/>
              </w:rPr>
              <w:t>Проект</w:t>
            </w:r>
          </w:p>
          <w:p w:rsidR="00DB5D0E" w:rsidRPr="00EA6851" w:rsidRDefault="00DB5D0E" w:rsidP="00DA37CC">
            <w:pPr>
              <w:spacing w:after="0" w:line="276" w:lineRule="auto"/>
              <w:jc w:val="center"/>
              <w:rPr>
                <w:b/>
                <w:bCs/>
                <w:i/>
                <w:iCs/>
                <w:sz w:val="18"/>
                <w:szCs w:val="18"/>
              </w:rPr>
            </w:pPr>
            <w:r w:rsidRPr="00EA6851">
              <w:rPr>
                <w:b/>
                <w:bCs/>
                <w:i/>
                <w:iCs/>
                <w:sz w:val="18"/>
                <w:szCs w:val="18"/>
              </w:rPr>
              <w:t>2024 г.</w:t>
            </w:r>
          </w:p>
        </w:tc>
        <w:tc>
          <w:tcPr>
            <w:tcW w:w="1445" w:type="dxa"/>
            <w:tcBorders>
              <w:top w:val="single" w:sz="4" w:space="0" w:color="auto"/>
              <w:bottom w:val="single" w:sz="4" w:space="0" w:color="auto"/>
            </w:tcBorders>
            <w:shd w:val="clear" w:color="auto" w:fill="FFFFFF"/>
            <w:vAlign w:val="center"/>
          </w:tcPr>
          <w:p w:rsidR="00DB5D0E" w:rsidRPr="00EA6851" w:rsidRDefault="00DB5D0E" w:rsidP="00DA37CC">
            <w:pPr>
              <w:spacing w:after="0" w:line="276" w:lineRule="auto"/>
              <w:jc w:val="center"/>
              <w:rPr>
                <w:b/>
                <w:bCs/>
                <w:i/>
                <w:iCs/>
                <w:sz w:val="18"/>
                <w:szCs w:val="18"/>
              </w:rPr>
            </w:pPr>
            <w:r w:rsidRPr="00EA6851">
              <w:rPr>
                <w:b/>
                <w:bCs/>
                <w:i/>
                <w:iCs/>
                <w:sz w:val="18"/>
                <w:szCs w:val="18"/>
              </w:rPr>
              <w:t>Прогноза</w:t>
            </w:r>
          </w:p>
          <w:p w:rsidR="00DB5D0E" w:rsidRPr="00EA6851" w:rsidRDefault="00DB5D0E" w:rsidP="00DA37CC">
            <w:pPr>
              <w:spacing w:after="0" w:line="276" w:lineRule="auto"/>
              <w:jc w:val="center"/>
              <w:rPr>
                <w:b/>
                <w:bCs/>
                <w:i/>
                <w:iCs/>
                <w:sz w:val="18"/>
                <w:szCs w:val="18"/>
              </w:rPr>
            </w:pPr>
            <w:r w:rsidRPr="00EA6851">
              <w:rPr>
                <w:b/>
                <w:bCs/>
                <w:i/>
                <w:iCs/>
                <w:sz w:val="18"/>
                <w:szCs w:val="18"/>
              </w:rPr>
              <w:t>2025 г.</w:t>
            </w:r>
          </w:p>
        </w:tc>
        <w:tc>
          <w:tcPr>
            <w:tcW w:w="1207" w:type="dxa"/>
            <w:tcBorders>
              <w:top w:val="single" w:sz="4" w:space="0" w:color="auto"/>
              <w:bottom w:val="single" w:sz="4" w:space="0" w:color="auto"/>
            </w:tcBorders>
            <w:shd w:val="clear" w:color="auto" w:fill="FFFFFF"/>
            <w:vAlign w:val="center"/>
          </w:tcPr>
          <w:p w:rsidR="00DB5D0E" w:rsidRPr="00EA6851" w:rsidRDefault="00DB5D0E" w:rsidP="00DA37CC">
            <w:pPr>
              <w:spacing w:after="0" w:line="276" w:lineRule="auto"/>
              <w:jc w:val="center"/>
              <w:rPr>
                <w:b/>
                <w:bCs/>
                <w:i/>
                <w:iCs/>
                <w:sz w:val="18"/>
                <w:szCs w:val="18"/>
              </w:rPr>
            </w:pPr>
            <w:r w:rsidRPr="00EA6851">
              <w:rPr>
                <w:b/>
                <w:bCs/>
                <w:i/>
                <w:iCs/>
                <w:sz w:val="18"/>
                <w:szCs w:val="18"/>
              </w:rPr>
              <w:t>Прогноза</w:t>
            </w:r>
          </w:p>
          <w:p w:rsidR="00DB5D0E" w:rsidRPr="00EA6851" w:rsidRDefault="00DB5D0E" w:rsidP="00DA37CC">
            <w:pPr>
              <w:spacing w:after="0" w:line="276" w:lineRule="auto"/>
              <w:jc w:val="center"/>
              <w:rPr>
                <w:b/>
                <w:bCs/>
                <w:i/>
                <w:iCs/>
                <w:sz w:val="18"/>
                <w:szCs w:val="18"/>
              </w:rPr>
            </w:pPr>
            <w:r w:rsidRPr="00EA6851">
              <w:rPr>
                <w:b/>
                <w:bCs/>
                <w:i/>
                <w:iCs/>
                <w:sz w:val="18"/>
                <w:szCs w:val="18"/>
              </w:rPr>
              <w:t>2026 г.</w:t>
            </w:r>
          </w:p>
        </w:tc>
      </w:tr>
      <w:tr w:rsidR="00DB5D0E" w:rsidRPr="00EA6851" w:rsidTr="00DB5D0E">
        <w:trPr>
          <w:trHeight w:val="255"/>
          <w:jc w:val="center"/>
        </w:trPr>
        <w:tc>
          <w:tcPr>
            <w:tcW w:w="2978" w:type="dxa"/>
            <w:tcBorders>
              <w:top w:val="single" w:sz="4" w:space="0" w:color="auto"/>
            </w:tcBorders>
            <w:shd w:val="clear" w:color="auto" w:fill="FFFFFF"/>
          </w:tcPr>
          <w:p w:rsidR="00DB5D0E" w:rsidRPr="00EA6851" w:rsidRDefault="00DB5D0E" w:rsidP="00DA37CC">
            <w:pPr>
              <w:spacing w:after="0" w:line="276" w:lineRule="auto"/>
              <w:jc w:val="left"/>
              <w:rPr>
                <w:bCs/>
                <w:iCs/>
                <w:sz w:val="18"/>
                <w:szCs w:val="18"/>
              </w:rPr>
            </w:pPr>
            <w:r w:rsidRPr="00EA6851">
              <w:rPr>
                <w:bCs/>
                <w:iCs/>
                <w:sz w:val="18"/>
                <w:szCs w:val="18"/>
              </w:rPr>
              <w:t>1. Месечни помощи</w:t>
            </w:r>
          </w:p>
        </w:tc>
        <w:tc>
          <w:tcPr>
            <w:tcW w:w="1171" w:type="dxa"/>
            <w:tcBorders>
              <w:top w:val="single" w:sz="4" w:space="0" w:color="auto"/>
            </w:tcBorders>
            <w:shd w:val="clear" w:color="auto" w:fill="F2F2F2"/>
            <w:vAlign w:val="center"/>
          </w:tcPr>
          <w:p w:rsidR="00DB5D0E" w:rsidRPr="00EA6851" w:rsidRDefault="00DB5D0E" w:rsidP="00DA37CC">
            <w:pPr>
              <w:spacing w:after="0" w:line="276" w:lineRule="auto"/>
              <w:jc w:val="center"/>
              <w:rPr>
                <w:bCs/>
                <w:iCs/>
                <w:sz w:val="18"/>
                <w:szCs w:val="18"/>
              </w:rPr>
            </w:pPr>
            <w:r w:rsidRPr="00EA6851">
              <w:rPr>
                <w:bCs/>
                <w:iCs/>
                <w:sz w:val="18"/>
                <w:szCs w:val="18"/>
              </w:rPr>
              <w:t>Ср. мес. бр. лица и семейства</w:t>
            </w:r>
          </w:p>
        </w:tc>
        <w:tc>
          <w:tcPr>
            <w:tcW w:w="1314" w:type="dxa"/>
            <w:tcBorders>
              <w:top w:val="single" w:sz="4" w:space="0" w:color="auto"/>
            </w:tcBorders>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45 810</w:t>
            </w:r>
          </w:p>
        </w:tc>
        <w:tc>
          <w:tcPr>
            <w:tcW w:w="955" w:type="dxa"/>
            <w:tcBorders>
              <w:top w:val="single" w:sz="4" w:space="0" w:color="auto"/>
            </w:tcBorders>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54 971</w:t>
            </w:r>
          </w:p>
        </w:tc>
        <w:tc>
          <w:tcPr>
            <w:tcW w:w="1445" w:type="dxa"/>
            <w:tcBorders>
              <w:top w:val="single" w:sz="4" w:space="0" w:color="auto"/>
            </w:tcBorders>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54 971</w:t>
            </w:r>
          </w:p>
        </w:tc>
        <w:tc>
          <w:tcPr>
            <w:tcW w:w="1207" w:type="dxa"/>
            <w:tcBorders>
              <w:top w:val="single" w:sz="4" w:space="0" w:color="auto"/>
            </w:tcBorders>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54 971</w:t>
            </w:r>
          </w:p>
        </w:tc>
      </w:tr>
      <w:tr w:rsidR="00DB5D0E" w:rsidRPr="00EA6851" w:rsidTr="00DB5D0E">
        <w:trPr>
          <w:trHeight w:val="255"/>
          <w:jc w:val="center"/>
        </w:trPr>
        <w:tc>
          <w:tcPr>
            <w:tcW w:w="2978" w:type="dxa"/>
            <w:shd w:val="clear" w:color="auto" w:fill="FFFFFF"/>
          </w:tcPr>
          <w:p w:rsidR="00DB5D0E" w:rsidRPr="00EA6851" w:rsidRDefault="00DB5D0E" w:rsidP="00DA37CC">
            <w:pPr>
              <w:spacing w:after="0" w:line="276" w:lineRule="auto"/>
              <w:jc w:val="left"/>
              <w:rPr>
                <w:bCs/>
                <w:iCs/>
                <w:sz w:val="18"/>
                <w:szCs w:val="18"/>
              </w:rPr>
            </w:pPr>
            <w:r w:rsidRPr="00EA6851">
              <w:rPr>
                <w:bCs/>
                <w:iCs/>
                <w:sz w:val="18"/>
                <w:szCs w:val="18"/>
              </w:rPr>
              <w:t>2. Целеви помощи за отопление</w:t>
            </w:r>
          </w:p>
        </w:tc>
        <w:tc>
          <w:tcPr>
            <w:tcW w:w="1171" w:type="dxa"/>
            <w:shd w:val="clear" w:color="auto" w:fill="F2F2F2"/>
            <w:vAlign w:val="center"/>
          </w:tcPr>
          <w:p w:rsidR="00DB5D0E" w:rsidRPr="00EA6851" w:rsidRDefault="00DB5D0E" w:rsidP="00DA37CC">
            <w:pPr>
              <w:spacing w:after="0" w:line="276" w:lineRule="auto"/>
              <w:jc w:val="center"/>
              <w:rPr>
                <w:bCs/>
                <w:iCs/>
                <w:sz w:val="18"/>
                <w:szCs w:val="18"/>
              </w:rPr>
            </w:pPr>
            <w:r w:rsidRPr="00EA6851">
              <w:rPr>
                <w:bCs/>
                <w:iCs/>
                <w:sz w:val="18"/>
                <w:szCs w:val="18"/>
              </w:rPr>
              <w:t>Бр. лица и семейства</w:t>
            </w:r>
          </w:p>
        </w:tc>
        <w:tc>
          <w:tcPr>
            <w:tcW w:w="1314" w:type="dxa"/>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300 000</w:t>
            </w:r>
          </w:p>
        </w:tc>
        <w:tc>
          <w:tcPr>
            <w:tcW w:w="955" w:type="dxa"/>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300 000</w:t>
            </w:r>
          </w:p>
        </w:tc>
        <w:tc>
          <w:tcPr>
            <w:tcW w:w="1445" w:type="dxa"/>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300 000</w:t>
            </w:r>
          </w:p>
        </w:tc>
        <w:tc>
          <w:tcPr>
            <w:tcW w:w="1207" w:type="dxa"/>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300 000</w:t>
            </w:r>
          </w:p>
        </w:tc>
      </w:tr>
      <w:tr w:rsidR="00DB5D0E" w:rsidRPr="00EA6851" w:rsidTr="00DB5D0E">
        <w:trPr>
          <w:trHeight w:val="895"/>
          <w:jc w:val="center"/>
        </w:trPr>
        <w:tc>
          <w:tcPr>
            <w:tcW w:w="2978" w:type="dxa"/>
            <w:shd w:val="clear" w:color="auto" w:fill="FFFFFF"/>
          </w:tcPr>
          <w:p w:rsidR="00DB5D0E" w:rsidRPr="00EA6851" w:rsidRDefault="00DB5D0E" w:rsidP="00DA37CC">
            <w:pPr>
              <w:spacing w:after="0" w:line="276" w:lineRule="auto"/>
              <w:jc w:val="left"/>
              <w:rPr>
                <w:bCs/>
                <w:iCs/>
                <w:sz w:val="18"/>
                <w:szCs w:val="18"/>
              </w:rPr>
            </w:pPr>
            <w:r w:rsidRPr="00EA6851">
              <w:rPr>
                <w:bCs/>
                <w:iCs/>
                <w:sz w:val="18"/>
                <w:szCs w:val="18"/>
              </w:rPr>
              <w:t>3. Лица, бенефициенти на целеви социални програми и проекти в областта на социалното включване и социалната подкрепа</w:t>
            </w:r>
          </w:p>
        </w:tc>
        <w:tc>
          <w:tcPr>
            <w:tcW w:w="1171" w:type="dxa"/>
            <w:shd w:val="clear" w:color="auto" w:fill="F2F2F2"/>
            <w:vAlign w:val="center"/>
          </w:tcPr>
          <w:p w:rsidR="00DB5D0E" w:rsidRPr="00EA6851" w:rsidRDefault="00DB5D0E" w:rsidP="00DA37CC">
            <w:pPr>
              <w:spacing w:after="0" w:line="276" w:lineRule="auto"/>
              <w:jc w:val="center"/>
              <w:rPr>
                <w:bCs/>
                <w:iCs/>
                <w:sz w:val="18"/>
                <w:szCs w:val="18"/>
              </w:rPr>
            </w:pPr>
            <w:r w:rsidRPr="00EA6851">
              <w:rPr>
                <w:bCs/>
                <w:iCs/>
                <w:sz w:val="18"/>
                <w:szCs w:val="18"/>
              </w:rPr>
              <w:t>Бр. лица</w:t>
            </w:r>
          </w:p>
        </w:tc>
        <w:tc>
          <w:tcPr>
            <w:tcW w:w="1314" w:type="dxa"/>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14 535</w:t>
            </w:r>
          </w:p>
        </w:tc>
        <w:tc>
          <w:tcPr>
            <w:tcW w:w="955" w:type="dxa"/>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14 535</w:t>
            </w:r>
          </w:p>
        </w:tc>
        <w:tc>
          <w:tcPr>
            <w:tcW w:w="1445" w:type="dxa"/>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14 535</w:t>
            </w:r>
          </w:p>
        </w:tc>
        <w:tc>
          <w:tcPr>
            <w:tcW w:w="1207" w:type="dxa"/>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14 535</w:t>
            </w:r>
          </w:p>
        </w:tc>
      </w:tr>
    </w:tbl>
    <w:p w:rsidR="00DB5D0E" w:rsidRPr="00EA6851" w:rsidRDefault="00DB5D0E" w:rsidP="00DB5D0E">
      <w:pPr>
        <w:ind w:right="403"/>
        <w:rPr>
          <w:rFonts w:eastAsia="Batang"/>
        </w:rPr>
      </w:pPr>
    </w:p>
    <w:p w:rsidR="00D557E8" w:rsidRPr="00EA6851" w:rsidRDefault="00DB5D0E" w:rsidP="00D557E8">
      <w:pPr>
        <w:ind w:right="-20"/>
        <w:rPr>
          <w:rFonts w:eastAsia="Batang"/>
        </w:rPr>
      </w:pPr>
      <w:r w:rsidRPr="00EA6851">
        <w:rPr>
          <w:rFonts w:eastAsia="Batang"/>
        </w:rPr>
        <w:t>Ключовите индикатори отчитат непосредствените резултати (ефекти) от интервенцията за съответните преки адресати на социална подкрепа и на тази база позволяват да се оценява ефективността от провеждане на политиката по социално подпомагане,</w:t>
      </w:r>
      <w:r w:rsidRPr="00DB5D0E">
        <w:rPr>
          <w:rFonts w:eastAsia="Batang"/>
        </w:rPr>
        <w:t xml:space="preserve"> </w:t>
      </w:r>
      <w:r w:rsidRPr="00EA6851">
        <w:rPr>
          <w:rFonts w:eastAsia="Batang"/>
        </w:rPr>
        <w:t>гарантиране на социалната защита на уязвимите групи от населението и осигуряване на достъп до ресурсите на обществото и участие в тяхното потребление за всички групи в неравностойно положение при съобразяване с конкретните индивидуални потребности на нуждаещите се с оглед осигуряването на качествена подкрепа. Заложените индикатори осигуряват прозрачност на изпълнение на политиката, финансов контрол и отчетност.</w:t>
      </w:r>
    </w:p>
    <w:p w:rsidR="00AF259D" w:rsidRPr="00EA6851" w:rsidRDefault="00AF259D" w:rsidP="00CA1DDD">
      <w:pPr>
        <w:pStyle w:val="Heading4"/>
      </w:pPr>
      <w:r w:rsidRPr="00EA6851">
        <w:t xml:space="preserve">Политика в областта на хората с увреждания </w:t>
      </w:r>
    </w:p>
    <w:p w:rsidR="00DB5D0E" w:rsidRPr="00EA6851" w:rsidRDefault="00DB5D0E" w:rsidP="00DB5D0E">
      <w:pPr>
        <w:ind w:right="-1"/>
        <w:rPr>
          <w:rFonts w:eastAsia="Batang"/>
        </w:rPr>
      </w:pPr>
      <w:r w:rsidRPr="00EA6851">
        <w:rPr>
          <w:rFonts w:eastAsia="Batang"/>
        </w:rPr>
        <w:t>Политиката за правата на хората с увреждания е свързана с универсалността, неделимостта и взаимната зависимост на всички права на човека и основни свободи и осигуряване на правни гаранции за недопускане на дискриминация по признак „увреждане“. Основният фокус е поставен върху създаване на условия и възможности за социално приобщаване и предоставяне на уязвимите групи от хора с увреждания</w:t>
      </w:r>
      <w:r w:rsidR="00806715" w:rsidRPr="00EA6851">
        <w:rPr>
          <w:rFonts w:eastAsia="Batang"/>
        </w:rPr>
        <w:t xml:space="preserve"> на целенасочени подкрепящи и насърчителни мерки</w:t>
      </w:r>
      <w:r w:rsidRPr="00EA6851">
        <w:rPr>
          <w:rFonts w:eastAsia="Batang"/>
        </w:rPr>
        <w:t>, имащи благоприятно въздействие върху качеството на живот и превенция от социалното изключване. Тази политика е тясно свързана с прилагането на интегриран подход с хоризонтално въздействие, обединяващ ресурсите в различни секторни политики. Развива се в съответствие с изпълнението на националните ангажименти, съгласно изискванията на Конвенцията на ООН за правата на хората с увреждания и при спазване на приоритетите на релевантните стратегически документи.</w:t>
      </w:r>
    </w:p>
    <w:p w:rsidR="00DB5D0E" w:rsidRPr="00EA6851" w:rsidRDefault="00DB5D0E" w:rsidP="00DB5D0E">
      <w:pPr>
        <w:ind w:right="-1"/>
        <w:rPr>
          <w:rFonts w:eastAsia="Batang"/>
        </w:rPr>
      </w:pPr>
      <w:r w:rsidRPr="00EA6851">
        <w:rPr>
          <w:rFonts w:eastAsia="Batang"/>
        </w:rPr>
        <w:t>За изпълнение на политиката допринасят второстепенните разпоредители с бюджет към министъра на труда и социалната политика – Агенцията за хората с увреждания и Агенцията за социално подпомагане.</w:t>
      </w:r>
    </w:p>
    <w:p w:rsidR="00DB5D0E" w:rsidRPr="00EA6851" w:rsidRDefault="00DB5D0E" w:rsidP="00DB5D0E">
      <w:pPr>
        <w:ind w:right="-1"/>
        <w:rPr>
          <w:rFonts w:eastAsia="Batang"/>
        </w:rPr>
      </w:pPr>
      <w:r w:rsidRPr="00EA6851">
        <w:rPr>
          <w:rFonts w:eastAsia="Batang"/>
        </w:rPr>
        <w:t xml:space="preserve">Адаптирането на българското законодателство в неговата пълнота с изискванията на </w:t>
      </w:r>
      <w:r w:rsidRPr="00EA6851">
        <w:rPr>
          <w:rFonts w:eastAsia="Batang"/>
          <w:i/>
        </w:rPr>
        <w:t>Конвенцията за правата на хората с увреждания на ООН</w:t>
      </w:r>
      <w:r w:rsidRPr="00EA6851">
        <w:rPr>
          <w:rFonts w:eastAsia="Batang"/>
        </w:rPr>
        <w:t xml:space="preserve"> е продължителен процес и неговото успешно протичане предполага активното включване и сътрудничество с неправителствени организации и хора с увреждания на всеки един етап на планиране на мерки, тяхното обсъждане, приемане, прилагане и мониторинг.</w:t>
      </w:r>
    </w:p>
    <w:p w:rsidR="00DB5D0E" w:rsidRPr="00EA6851" w:rsidRDefault="00DB5D0E" w:rsidP="00DB5D0E">
      <w:pPr>
        <w:ind w:right="-1"/>
        <w:rPr>
          <w:rFonts w:eastAsia="Batang"/>
        </w:rPr>
      </w:pPr>
      <w:r w:rsidRPr="00EA6851">
        <w:rPr>
          <w:rFonts w:eastAsia="Batang"/>
        </w:rPr>
        <w:t xml:space="preserve">Съгласно чл. 68, ал. 1 от Закона за хората с увреждания (ЗХУ) хората с увреждания имат право на финансова подкрепа в зависимост от потребностите им, определени в индивидуалната оценка по чл. 20 от ЗХУ. Финансовата подкрепа за хората с увреждания е предназначена за компенсиране на разходите, свързани с преодоляване на затрудненията, предизвикани от вида и степента на увреждане. Състои се от два компонента: месечна финансова подкрепа и целеви помощи, посредством заявена и установена потребност при индивидуално оценяване и при спазване на нормативните изисквания и условия. Въведен е подход на индивидуална оценка с отчитане на волята и реалните потребности през възприятието на конкретния човек с увреждане, съобразен с изискванията на Конвенцията за правата на хората с увреждания. </w:t>
      </w:r>
    </w:p>
    <w:p w:rsidR="00DB5D0E" w:rsidRPr="00EA6851" w:rsidRDefault="00DB5D0E" w:rsidP="00DB5D0E">
      <w:pPr>
        <w:ind w:right="-1"/>
        <w:rPr>
          <w:rFonts w:eastAsia="Batang"/>
        </w:rPr>
      </w:pPr>
      <w:r w:rsidRPr="00EA6851">
        <w:rPr>
          <w:rFonts w:eastAsia="Batang"/>
        </w:rPr>
        <w:t xml:space="preserve">В изпълнение на Закона за личната помощ с оглед обезпечаване на дейностите по предоставяне на Механизма лична помощ, на общините/районите се превеждат финансови средства </w:t>
      </w:r>
      <w:r w:rsidR="0043706B" w:rsidRPr="00EA6851">
        <w:rPr>
          <w:rFonts w:eastAsia="Batang"/>
        </w:rPr>
        <w:t>за</w:t>
      </w:r>
      <w:r w:rsidRPr="00EA6851">
        <w:rPr>
          <w:rFonts w:eastAsia="Batang"/>
        </w:rPr>
        <w:t xml:space="preserve"> осигуряването на този специфичен вид асистентска грижа, съобразно индивидуалните нужди на ползвателите. </w:t>
      </w:r>
    </w:p>
    <w:p w:rsidR="00DB5D0E" w:rsidRPr="00EA6851" w:rsidRDefault="00DB5D0E" w:rsidP="00DB5D0E">
      <w:pPr>
        <w:ind w:right="-1"/>
        <w:rPr>
          <w:rFonts w:eastAsia="Batang"/>
        </w:rPr>
      </w:pPr>
      <w:r w:rsidRPr="00EA6851">
        <w:rPr>
          <w:rFonts w:eastAsia="Batang"/>
        </w:rPr>
        <w:t>С реализацията на програмата за финансиране на проекти на неправителствени организации в подкрепа на хората с трайни увреждания, включени в мероприятия за рехабилитация и социална интеграция (съгласно чл. 10</w:t>
      </w:r>
      <w:r w:rsidR="002B1C4C" w:rsidRPr="00EA6851">
        <w:rPr>
          <w:rFonts w:eastAsia="Batang"/>
        </w:rPr>
        <w:t>,</w:t>
      </w:r>
      <w:r w:rsidRPr="00EA6851">
        <w:rPr>
          <w:rFonts w:eastAsia="Batang"/>
        </w:rPr>
        <w:t xml:space="preserve"> ал. 3, т. 8 от ЗХУ) се постига партньорство на държавата с неправителствения сектор за реализиране на мероприятия като обучения, различни видове арт терапии, придобиване на умения за самостоятелен живот, посещения на културни и други мероприятия, провеждане на фестивали, концерти и др. с активното участие на целевата група, както и разработване на помагала, наръчници и др., насочени към промяна на обществените възприятия за хората с увреждания. </w:t>
      </w:r>
    </w:p>
    <w:p w:rsidR="00DB5D0E" w:rsidRPr="00EA6851" w:rsidRDefault="00DB5D0E" w:rsidP="00AF259D">
      <w:pPr>
        <w:ind w:right="-1"/>
        <w:rPr>
          <w:rFonts w:eastAsia="Batang"/>
        </w:rPr>
      </w:pPr>
      <w:r w:rsidRPr="00EA6851">
        <w:rPr>
          <w:rFonts w:eastAsia="Batang"/>
        </w:rPr>
        <w:t>Съгласно разпоредбите на чл. 95 от Закон за хората с увреждания държавата осигурява финансова подкрепа на организациите на и за хората с увреждания с призната национална представителност за дейности в областта на правата на хората с увреждания с цел тяхното социално приобщаване, под формата на субсидия от държавния бюджет. Национално представителните организации на и за хората с увреждания разходват субсидиите съобразно ежегодно утвърждавано разпределение на тяхното предназначение с Решение на Министерския съвет и съгласно бюджетни насоки и срокове, както и с оглед тяхната целесъобразност.</w:t>
      </w:r>
    </w:p>
    <w:p w:rsidR="00AF259D" w:rsidRPr="00EA6851" w:rsidRDefault="00AF259D" w:rsidP="00AF259D">
      <w:pPr>
        <w:ind w:right="396"/>
        <w:jc w:val="left"/>
        <w:rPr>
          <w:b/>
          <w:sz w:val="20"/>
          <w:szCs w:val="20"/>
        </w:rPr>
      </w:pPr>
      <w:r w:rsidRPr="00EA6851">
        <w:rPr>
          <w:b/>
          <w:sz w:val="20"/>
          <w:szCs w:val="20"/>
        </w:rPr>
        <w:t>КЛЮЧОВИ ИНДИКАТОРИ ЗА ИЗПЪЛНЕНИЕ И ЦЕЛЕВИ СТОЙНОСТИ</w:t>
      </w:r>
    </w:p>
    <w:tbl>
      <w:tblPr>
        <w:tblW w:w="5000" w:type="pct"/>
        <w:jc w:val="center"/>
        <w:tblBorders>
          <w:top w:val="single" w:sz="4" w:space="0" w:color="auto"/>
          <w:bottom w:val="single" w:sz="4" w:space="0" w:color="auto"/>
        </w:tblBorders>
        <w:tblLayout w:type="fixed"/>
        <w:tblCellMar>
          <w:left w:w="70" w:type="dxa"/>
          <w:right w:w="70" w:type="dxa"/>
        </w:tblCellMar>
        <w:tblLook w:val="0000" w:firstRow="0" w:lastRow="0" w:firstColumn="0" w:lastColumn="0" w:noHBand="0" w:noVBand="0"/>
      </w:tblPr>
      <w:tblGrid>
        <w:gridCol w:w="4248"/>
        <w:gridCol w:w="938"/>
        <w:gridCol w:w="937"/>
        <w:gridCol w:w="962"/>
        <w:gridCol w:w="1048"/>
        <w:gridCol w:w="937"/>
      </w:tblGrid>
      <w:tr w:rsidR="00DB5D0E" w:rsidRPr="00EA6851" w:rsidTr="00012250">
        <w:trPr>
          <w:trHeight w:val="417"/>
          <w:tblHeader/>
          <w:jc w:val="center"/>
        </w:trPr>
        <w:tc>
          <w:tcPr>
            <w:tcW w:w="4535" w:type="dxa"/>
            <w:tcBorders>
              <w:top w:val="single" w:sz="4" w:space="0" w:color="auto"/>
              <w:bottom w:val="nil"/>
            </w:tcBorders>
            <w:shd w:val="clear" w:color="auto" w:fill="FFFFFF"/>
            <w:vAlign w:val="center"/>
          </w:tcPr>
          <w:p w:rsidR="00DB5D0E" w:rsidRPr="00EA6851" w:rsidRDefault="00DB5D0E" w:rsidP="00DA37CC">
            <w:pPr>
              <w:spacing w:after="0" w:line="276" w:lineRule="auto"/>
              <w:jc w:val="center"/>
              <w:rPr>
                <w:b/>
                <w:bCs/>
                <w:i/>
                <w:iCs/>
                <w:sz w:val="18"/>
                <w:szCs w:val="18"/>
              </w:rPr>
            </w:pPr>
            <w:r w:rsidRPr="00EA6851">
              <w:rPr>
                <w:b/>
                <w:bCs/>
                <w:i/>
                <w:iCs/>
                <w:sz w:val="18"/>
                <w:szCs w:val="18"/>
              </w:rPr>
              <w:t>Политика в областта на хората с увреждания</w:t>
            </w:r>
          </w:p>
        </w:tc>
        <w:tc>
          <w:tcPr>
            <w:tcW w:w="993" w:type="dxa"/>
            <w:vMerge w:val="restart"/>
            <w:tcBorders>
              <w:top w:val="single" w:sz="4" w:space="0" w:color="auto"/>
              <w:bottom w:val="nil"/>
            </w:tcBorders>
            <w:shd w:val="clear" w:color="auto" w:fill="F2F2F2"/>
            <w:vAlign w:val="center"/>
          </w:tcPr>
          <w:p w:rsidR="00DB5D0E" w:rsidRPr="00EA6851" w:rsidRDefault="00DB5D0E" w:rsidP="00DA37CC">
            <w:pPr>
              <w:spacing w:after="0" w:line="276" w:lineRule="auto"/>
              <w:jc w:val="center"/>
              <w:rPr>
                <w:b/>
                <w:bCs/>
                <w:iCs/>
                <w:sz w:val="18"/>
                <w:szCs w:val="18"/>
              </w:rPr>
            </w:pPr>
            <w:r w:rsidRPr="00EA6851">
              <w:rPr>
                <w:b/>
                <w:bCs/>
                <w:iCs/>
                <w:sz w:val="18"/>
                <w:szCs w:val="18"/>
              </w:rPr>
              <w:t>Мерна единица</w:t>
            </w:r>
          </w:p>
        </w:tc>
        <w:tc>
          <w:tcPr>
            <w:tcW w:w="4111" w:type="dxa"/>
            <w:gridSpan w:val="4"/>
            <w:tcBorders>
              <w:top w:val="single" w:sz="4" w:space="0" w:color="auto"/>
              <w:bottom w:val="single" w:sz="4" w:space="0" w:color="auto"/>
            </w:tcBorders>
            <w:shd w:val="clear" w:color="auto" w:fill="FFFFFF"/>
            <w:vAlign w:val="center"/>
          </w:tcPr>
          <w:p w:rsidR="00DB5D0E" w:rsidRPr="00EA6851" w:rsidRDefault="00DB5D0E" w:rsidP="00DA37CC">
            <w:pPr>
              <w:spacing w:after="0" w:line="276" w:lineRule="auto"/>
              <w:jc w:val="center"/>
              <w:rPr>
                <w:b/>
                <w:bCs/>
                <w:iCs/>
                <w:sz w:val="18"/>
                <w:szCs w:val="18"/>
              </w:rPr>
            </w:pPr>
            <w:r w:rsidRPr="00EA6851">
              <w:rPr>
                <w:b/>
                <w:bCs/>
                <w:iCs/>
                <w:sz w:val="18"/>
                <w:szCs w:val="18"/>
              </w:rPr>
              <w:t>Целева стойност</w:t>
            </w:r>
          </w:p>
        </w:tc>
      </w:tr>
      <w:tr w:rsidR="00DB5D0E" w:rsidRPr="00EA6851" w:rsidTr="00012250">
        <w:trPr>
          <w:trHeight w:val="450"/>
          <w:tblHeader/>
          <w:jc w:val="center"/>
        </w:trPr>
        <w:tc>
          <w:tcPr>
            <w:tcW w:w="4535" w:type="dxa"/>
            <w:tcBorders>
              <w:top w:val="nil"/>
              <w:bottom w:val="single" w:sz="4" w:space="0" w:color="auto"/>
            </w:tcBorders>
            <w:shd w:val="clear" w:color="auto" w:fill="FFFFFF"/>
            <w:vAlign w:val="center"/>
          </w:tcPr>
          <w:p w:rsidR="00DB5D0E" w:rsidRPr="00EA6851" w:rsidRDefault="00DB5D0E" w:rsidP="00DA37CC">
            <w:pPr>
              <w:spacing w:after="0" w:line="276" w:lineRule="auto"/>
              <w:jc w:val="center"/>
              <w:rPr>
                <w:b/>
                <w:bCs/>
                <w:iCs/>
                <w:sz w:val="18"/>
                <w:szCs w:val="18"/>
              </w:rPr>
            </w:pPr>
            <w:r w:rsidRPr="00EA6851">
              <w:rPr>
                <w:b/>
                <w:bCs/>
                <w:iCs/>
                <w:sz w:val="18"/>
                <w:szCs w:val="18"/>
              </w:rPr>
              <w:t>Наименование на индикатора</w:t>
            </w:r>
          </w:p>
        </w:tc>
        <w:tc>
          <w:tcPr>
            <w:tcW w:w="993" w:type="dxa"/>
            <w:vMerge/>
            <w:tcBorders>
              <w:top w:val="nil"/>
              <w:bottom w:val="single" w:sz="4" w:space="0" w:color="auto"/>
            </w:tcBorders>
            <w:shd w:val="clear" w:color="auto" w:fill="F2F2F2"/>
            <w:vAlign w:val="center"/>
          </w:tcPr>
          <w:p w:rsidR="00DB5D0E" w:rsidRPr="00EA6851" w:rsidRDefault="00DB5D0E" w:rsidP="00DA37CC">
            <w:pPr>
              <w:spacing w:after="0" w:line="276" w:lineRule="auto"/>
              <w:jc w:val="center"/>
              <w:rPr>
                <w:b/>
                <w:bCs/>
                <w:i/>
                <w:iCs/>
                <w:sz w:val="18"/>
                <w:szCs w:val="18"/>
              </w:rPr>
            </w:pPr>
          </w:p>
        </w:tc>
        <w:tc>
          <w:tcPr>
            <w:tcW w:w="991" w:type="dxa"/>
            <w:tcBorders>
              <w:top w:val="single" w:sz="4" w:space="0" w:color="auto"/>
              <w:bottom w:val="single" w:sz="4" w:space="0" w:color="auto"/>
            </w:tcBorders>
            <w:shd w:val="clear" w:color="auto" w:fill="FFFFFF"/>
            <w:vAlign w:val="center"/>
          </w:tcPr>
          <w:p w:rsidR="00DB5D0E" w:rsidRPr="00EA6851" w:rsidRDefault="00DB5D0E" w:rsidP="00DA37CC">
            <w:pPr>
              <w:spacing w:after="0" w:line="276" w:lineRule="auto"/>
              <w:jc w:val="center"/>
              <w:rPr>
                <w:b/>
                <w:bCs/>
                <w:i/>
                <w:iCs/>
                <w:sz w:val="18"/>
                <w:szCs w:val="18"/>
              </w:rPr>
            </w:pPr>
            <w:r w:rsidRPr="00EA6851">
              <w:rPr>
                <w:b/>
                <w:bCs/>
                <w:i/>
                <w:iCs/>
                <w:sz w:val="18"/>
                <w:szCs w:val="18"/>
              </w:rPr>
              <w:t>Програма</w:t>
            </w:r>
          </w:p>
          <w:p w:rsidR="00DB5D0E" w:rsidRPr="00EA6851" w:rsidRDefault="00DB5D0E" w:rsidP="00DA37CC">
            <w:pPr>
              <w:spacing w:after="0" w:line="276" w:lineRule="auto"/>
              <w:jc w:val="center"/>
              <w:rPr>
                <w:b/>
                <w:bCs/>
                <w:i/>
                <w:iCs/>
                <w:sz w:val="18"/>
                <w:szCs w:val="18"/>
              </w:rPr>
            </w:pPr>
            <w:r w:rsidRPr="00EA6851">
              <w:rPr>
                <w:b/>
                <w:bCs/>
                <w:i/>
                <w:iCs/>
                <w:sz w:val="18"/>
                <w:szCs w:val="18"/>
              </w:rPr>
              <w:t>2023 г.</w:t>
            </w:r>
          </w:p>
        </w:tc>
        <w:tc>
          <w:tcPr>
            <w:tcW w:w="1018" w:type="dxa"/>
            <w:tcBorders>
              <w:top w:val="single" w:sz="4" w:space="0" w:color="auto"/>
              <w:bottom w:val="single" w:sz="4" w:space="0" w:color="auto"/>
            </w:tcBorders>
            <w:shd w:val="clear" w:color="auto" w:fill="FFFFFF"/>
            <w:vAlign w:val="center"/>
          </w:tcPr>
          <w:p w:rsidR="00DB5D0E" w:rsidRPr="00EA6851" w:rsidRDefault="00DB5D0E" w:rsidP="00DA37CC">
            <w:pPr>
              <w:spacing w:after="0" w:line="276" w:lineRule="auto"/>
              <w:jc w:val="center"/>
              <w:rPr>
                <w:b/>
                <w:bCs/>
                <w:i/>
                <w:iCs/>
                <w:sz w:val="18"/>
                <w:szCs w:val="18"/>
              </w:rPr>
            </w:pPr>
            <w:r w:rsidRPr="00EA6851">
              <w:rPr>
                <w:b/>
                <w:bCs/>
                <w:i/>
                <w:iCs/>
                <w:sz w:val="18"/>
                <w:szCs w:val="18"/>
              </w:rPr>
              <w:t>Проект</w:t>
            </w:r>
          </w:p>
          <w:p w:rsidR="00DB5D0E" w:rsidRPr="00EA6851" w:rsidRDefault="00DB5D0E" w:rsidP="00DA37CC">
            <w:pPr>
              <w:spacing w:after="0" w:line="276" w:lineRule="auto"/>
              <w:jc w:val="center"/>
              <w:rPr>
                <w:b/>
                <w:bCs/>
                <w:i/>
                <w:iCs/>
                <w:sz w:val="18"/>
                <w:szCs w:val="18"/>
              </w:rPr>
            </w:pPr>
            <w:r w:rsidRPr="00EA6851">
              <w:rPr>
                <w:b/>
                <w:bCs/>
                <w:i/>
                <w:iCs/>
                <w:sz w:val="18"/>
                <w:szCs w:val="18"/>
              </w:rPr>
              <w:t>2024 г.</w:t>
            </w:r>
          </w:p>
        </w:tc>
        <w:tc>
          <w:tcPr>
            <w:tcW w:w="1110" w:type="dxa"/>
            <w:tcBorders>
              <w:top w:val="single" w:sz="4" w:space="0" w:color="auto"/>
              <w:bottom w:val="single" w:sz="4" w:space="0" w:color="auto"/>
            </w:tcBorders>
            <w:shd w:val="clear" w:color="auto" w:fill="FFFFFF"/>
            <w:vAlign w:val="center"/>
          </w:tcPr>
          <w:p w:rsidR="00DB5D0E" w:rsidRPr="00EA6851" w:rsidRDefault="00DB5D0E" w:rsidP="00DA37CC">
            <w:pPr>
              <w:spacing w:after="0" w:line="276" w:lineRule="auto"/>
              <w:jc w:val="center"/>
              <w:rPr>
                <w:b/>
                <w:bCs/>
                <w:i/>
                <w:iCs/>
                <w:sz w:val="18"/>
                <w:szCs w:val="18"/>
              </w:rPr>
            </w:pPr>
            <w:r w:rsidRPr="00EA6851">
              <w:rPr>
                <w:b/>
                <w:bCs/>
                <w:i/>
                <w:iCs/>
                <w:sz w:val="18"/>
                <w:szCs w:val="18"/>
              </w:rPr>
              <w:t>Прогноза</w:t>
            </w:r>
          </w:p>
          <w:p w:rsidR="00DB5D0E" w:rsidRPr="00EA6851" w:rsidRDefault="00DB5D0E" w:rsidP="00DA37CC">
            <w:pPr>
              <w:spacing w:after="0" w:line="276" w:lineRule="auto"/>
              <w:jc w:val="center"/>
              <w:rPr>
                <w:b/>
                <w:bCs/>
                <w:i/>
                <w:iCs/>
                <w:sz w:val="18"/>
                <w:szCs w:val="18"/>
              </w:rPr>
            </w:pPr>
            <w:r w:rsidRPr="00EA6851">
              <w:rPr>
                <w:b/>
                <w:bCs/>
                <w:i/>
                <w:iCs/>
                <w:sz w:val="18"/>
                <w:szCs w:val="18"/>
              </w:rPr>
              <w:t>2025 г.</w:t>
            </w:r>
          </w:p>
        </w:tc>
        <w:tc>
          <w:tcPr>
            <w:tcW w:w="992" w:type="dxa"/>
            <w:tcBorders>
              <w:top w:val="single" w:sz="4" w:space="0" w:color="auto"/>
              <w:bottom w:val="single" w:sz="4" w:space="0" w:color="auto"/>
            </w:tcBorders>
            <w:shd w:val="clear" w:color="auto" w:fill="FFFFFF"/>
            <w:vAlign w:val="center"/>
          </w:tcPr>
          <w:p w:rsidR="00DB5D0E" w:rsidRPr="00EA6851" w:rsidRDefault="00DB5D0E" w:rsidP="00DA37CC">
            <w:pPr>
              <w:spacing w:after="0" w:line="276" w:lineRule="auto"/>
              <w:jc w:val="center"/>
              <w:rPr>
                <w:b/>
                <w:bCs/>
                <w:i/>
                <w:iCs/>
                <w:sz w:val="18"/>
                <w:szCs w:val="18"/>
              </w:rPr>
            </w:pPr>
            <w:r w:rsidRPr="00EA6851">
              <w:rPr>
                <w:b/>
                <w:bCs/>
                <w:i/>
                <w:iCs/>
                <w:sz w:val="18"/>
                <w:szCs w:val="18"/>
              </w:rPr>
              <w:t>Прогноза</w:t>
            </w:r>
          </w:p>
          <w:p w:rsidR="00DB5D0E" w:rsidRPr="00EA6851" w:rsidRDefault="00DB5D0E" w:rsidP="00DA37CC">
            <w:pPr>
              <w:spacing w:after="0" w:line="276" w:lineRule="auto"/>
              <w:jc w:val="center"/>
              <w:rPr>
                <w:b/>
                <w:bCs/>
                <w:i/>
                <w:iCs/>
                <w:sz w:val="18"/>
                <w:szCs w:val="18"/>
              </w:rPr>
            </w:pPr>
            <w:r w:rsidRPr="00EA6851">
              <w:rPr>
                <w:b/>
                <w:bCs/>
                <w:i/>
                <w:iCs/>
                <w:sz w:val="18"/>
                <w:szCs w:val="18"/>
              </w:rPr>
              <w:t>2026 г.</w:t>
            </w:r>
          </w:p>
        </w:tc>
      </w:tr>
      <w:tr w:rsidR="00DB5D0E" w:rsidRPr="00EA6851" w:rsidTr="00DA37CC">
        <w:trPr>
          <w:trHeight w:val="570"/>
          <w:jc w:val="center"/>
        </w:trPr>
        <w:tc>
          <w:tcPr>
            <w:tcW w:w="4535" w:type="dxa"/>
            <w:tcBorders>
              <w:top w:val="single" w:sz="4" w:space="0" w:color="auto"/>
            </w:tcBorders>
            <w:shd w:val="clear" w:color="auto" w:fill="FFFFFF"/>
          </w:tcPr>
          <w:p w:rsidR="00DB5D0E" w:rsidRPr="00EA6851" w:rsidRDefault="00DB5D0E" w:rsidP="00DA37CC">
            <w:pPr>
              <w:spacing w:after="0" w:line="276" w:lineRule="auto"/>
              <w:jc w:val="left"/>
              <w:rPr>
                <w:bCs/>
                <w:iCs/>
                <w:sz w:val="18"/>
                <w:szCs w:val="18"/>
              </w:rPr>
            </w:pPr>
            <w:r w:rsidRPr="00EA6851">
              <w:rPr>
                <w:bCs/>
                <w:iCs/>
                <w:sz w:val="18"/>
                <w:szCs w:val="18"/>
              </w:rPr>
              <w:t>1. Месечна финансова подкрепа за хора с трайни увреждания</w:t>
            </w:r>
          </w:p>
        </w:tc>
        <w:tc>
          <w:tcPr>
            <w:tcW w:w="993" w:type="dxa"/>
            <w:tcBorders>
              <w:top w:val="single" w:sz="4" w:space="0" w:color="auto"/>
            </w:tcBorders>
            <w:shd w:val="clear" w:color="auto" w:fill="F2F2F2"/>
            <w:vAlign w:val="center"/>
          </w:tcPr>
          <w:p w:rsidR="00DB5D0E" w:rsidRPr="00EA6851" w:rsidRDefault="00DB5D0E" w:rsidP="00DA37CC">
            <w:pPr>
              <w:spacing w:after="0" w:line="276" w:lineRule="auto"/>
              <w:jc w:val="center"/>
              <w:rPr>
                <w:bCs/>
                <w:iCs/>
                <w:sz w:val="18"/>
                <w:szCs w:val="18"/>
              </w:rPr>
            </w:pPr>
            <w:r w:rsidRPr="00EA6851">
              <w:rPr>
                <w:bCs/>
                <w:iCs/>
                <w:sz w:val="18"/>
                <w:szCs w:val="18"/>
              </w:rPr>
              <w:t>Ср. мес. бр.</w:t>
            </w:r>
          </w:p>
        </w:tc>
        <w:tc>
          <w:tcPr>
            <w:tcW w:w="991" w:type="dxa"/>
            <w:tcBorders>
              <w:top w:val="single" w:sz="4" w:space="0" w:color="auto"/>
            </w:tcBorders>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670 000</w:t>
            </w:r>
          </w:p>
        </w:tc>
        <w:tc>
          <w:tcPr>
            <w:tcW w:w="1018" w:type="dxa"/>
            <w:tcBorders>
              <w:top w:val="single" w:sz="4" w:space="0" w:color="auto"/>
            </w:tcBorders>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670 000</w:t>
            </w:r>
          </w:p>
        </w:tc>
        <w:tc>
          <w:tcPr>
            <w:tcW w:w="1110" w:type="dxa"/>
            <w:tcBorders>
              <w:top w:val="single" w:sz="4" w:space="0" w:color="auto"/>
            </w:tcBorders>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670 000</w:t>
            </w:r>
          </w:p>
        </w:tc>
        <w:tc>
          <w:tcPr>
            <w:tcW w:w="992" w:type="dxa"/>
            <w:tcBorders>
              <w:top w:val="single" w:sz="4" w:space="0" w:color="auto"/>
            </w:tcBorders>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670 000</w:t>
            </w:r>
          </w:p>
        </w:tc>
      </w:tr>
      <w:tr w:rsidR="00DB5D0E" w:rsidRPr="00EA6851" w:rsidTr="005C237B">
        <w:trPr>
          <w:trHeight w:val="382"/>
          <w:jc w:val="center"/>
        </w:trPr>
        <w:tc>
          <w:tcPr>
            <w:tcW w:w="4535" w:type="dxa"/>
            <w:shd w:val="clear" w:color="auto" w:fill="FFFFFF"/>
          </w:tcPr>
          <w:p w:rsidR="00DB5D0E" w:rsidRPr="00EA6851" w:rsidRDefault="00DB5D0E" w:rsidP="00DA37CC">
            <w:pPr>
              <w:spacing w:after="0" w:line="276" w:lineRule="auto"/>
              <w:jc w:val="left"/>
              <w:rPr>
                <w:bCs/>
                <w:iCs/>
                <w:sz w:val="18"/>
                <w:szCs w:val="18"/>
              </w:rPr>
            </w:pPr>
            <w:r w:rsidRPr="00EA6851">
              <w:rPr>
                <w:bCs/>
                <w:iCs/>
                <w:sz w:val="18"/>
                <w:szCs w:val="18"/>
              </w:rPr>
              <w:t>2. Механизъм лична помощ</w:t>
            </w:r>
          </w:p>
        </w:tc>
        <w:tc>
          <w:tcPr>
            <w:tcW w:w="993" w:type="dxa"/>
            <w:shd w:val="clear" w:color="auto" w:fill="F2F2F2"/>
            <w:vAlign w:val="center"/>
          </w:tcPr>
          <w:p w:rsidR="00DB5D0E" w:rsidRPr="00EA6851" w:rsidRDefault="00DB5D0E" w:rsidP="00DA37CC">
            <w:pPr>
              <w:spacing w:after="0" w:line="276" w:lineRule="auto"/>
              <w:jc w:val="center"/>
              <w:rPr>
                <w:bCs/>
                <w:iCs/>
                <w:sz w:val="18"/>
                <w:szCs w:val="18"/>
              </w:rPr>
            </w:pPr>
            <w:r w:rsidRPr="00EA6851">
              <w:rPr>
                <w:bCs/>
                <w:iCs/>
                <w:sz w:val="18"/>
                <w:szCs w:val="18"/>
              </w:rPr>
              <w:t>Ср. мес. бр.</w:t>
            </w:r>
          </w:p>
        </w:tc>
        <w:tc>
          <w:tcPr>
            <w:tcW w:w="991" w:type="dxa"/>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49 000</w:t>
            </w:r>
          </w:p>
        </w:tc>
        <w:tc>
          <w:tcPr>
            <w:tcW w:w="1018" w:type="dxa"/>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54 100</w:t>
            </w:r>
          </w:p>
        </w:tc>
        <w:tc>
          <w:tcPr>
            <w:tcW w:w="1110" w:type="dxa"/>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59 500</w:t>
            </w:r>
          </w:p>
        </w:tc>
        <w:tc>
          <w:tcPr>
            <w:tcW w:w="992" w:type="dxa"/>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59 500</w:t>
            </w:r>
          </w:p>
        </w:tc>
      </w:tr>
      <w:tr w:rsidR="00DB5D0E" w:rsidRPr="00EA6851" w:rsidTr="005C237B">
        <w:trPr>
          <w:trHeight w:val="634"/>
          <w:jc w:val="center"/>
        </w:trPr>
        <w:tc>
          <w:tcPr>
            <w:tcW w:w="4535" w:type="dxa"/>
            <w:shd w:val="clear" w:color="auto" w:fill="FFFFFF"/>
          </w:tcPr>
          <w:p w:rsidR="00DB5D0E" w:rsidRPr="00EA6851" w:rsidRDefault="00DB5D0E" w:rsidP="00DA37CC">
            <w:pPr>
              <w:spacing w:after="0" w:line="276" w:lineRule="auto"/>
              <w:jc w:val="left"/>
              <w:rPr>
                <w:bCs/>
                <w:iCs/>
                <w:sz w:val="18"/>
                <w:szCs w:val="18"/>
              </w:rPr>
            </w:pPr>
            <w:r w:rsidRPr="00EA6851">
              <w:rPr>
                <w:bCs/>
                <w:iCs/>
                <w:sz w:val="18"/>
                <w:szCs w:val="18"/>
              </w:rPr>
              <w:t>3. Хора с увреждания, включени в мероприятия за рехабилитация и социална интеграция</w:t>
            </w:r>
          </w:p>
        </w:tc>
        <w:tc>
          <w:tcPr>
            <w:tcW w:w="993" w:type="dxa"/>
            <w:shd w:val="clear" w:color="auto" w:fill="F2F2F2"/>
            <w:vAlign w:val="center"/>
          </w:tcPr>
          <w:p w:rsidR="00DB5D0E" w:rsidRPr="00EA6851" w:rsidRDefault="00DB5D0E" w:rsidP="00DA37CC">
            <w:pPr>
              <w:spacing w:after="0" w:line="276" w:lineRule="auto"/>
              <w:jc w:val="center"/>
              <w:rPr>
                <w:bCs/>
                <w:iCs/>
                <w:sz w:val="18"/>
                <w:szCs w:val="18"/>
              </w:rPr>
            </w:pPr>
            <w:r w:rsidRPr="00EA6851">
              <w:rPr>
                <w:bCs/>
                <w:iCs/>
                <w:sz w:val="18"/>
                <w:szCs w:val="18"/>
              </w:rPr>
              <w:t>Брой</w:t>
            </w:r>
          </w:p>
        </w:tc>
        <w:tc>
          <w:tcPr>
            <w:tcW w:w="991" w:type="dxa"/>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3 600</w:t>
            </w:r>
          </w:p>
        </w:tc>
        <w:tc>
          <w:tcPr>
            <w:tcW w:w="1018" w:type="dxa"/>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3 600</w:t>
            </w:r>
          </w:p>
        </w:tc>
        <w:tc>
          <w:tcPr>
            <w:tcW w:w="1110" w:type="dxa"/>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3 600</w:t>
            </w:r>
          </w:p>
        </w:tc>
        <w:tc>
          <w:tcPr>
            <w:tcW w:w="992" w:type="dxa"/>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3 600</w:t>
            </w:r>
          </w:p>
        </w:tc>
      </w:tr>
      <w:tr w:rsidR="00DB5D0E" w:rsidRPr="00EA6851" w:rsidTr="00DA37CC">
        <w:trPr>
          <w:trHeight w:val="270"/>
          <w:jc w:val="center"/>
        </w:trPr>
        <w:tc>
          <w:tcPr>
            <w:tcW w:w="4535" w:type="dxa"/>
            <w:shd w:val="clear" w:color="auto" w:fill="FFFFFF"/>
          </w:tcPr>
          <w:p w:rsidR="00DB5D0E" w:rsidRPr="00EA6851" w:rsidRDefault="00DB5D0E" w:rsidP="00DA37CC">
            <w:pPr>
              <w:spacing w:after="0" w:line="276" w:lineRule="auto"/>
              <w:jc w:val="left"/>
              <w:rPr>
                <w:bCs/>
                <w:iCs/>
                <w:sz w:val="18"/>
                <w:szCs w:val="18"/>
              </w:rPr>
            </w:pPr>
            <w:r w:rsidRPr="00EA6851">
              <w:rPr>
                <w:bCs/>
                <w:iCs/>
                <w:sz w:val="18"/>
                <w:szCs w:val="18"/>
              </w:rPr>
              <w:t>4. Организации на и за хора с увреждания с призната национална представителност с осигурена финансова подкрепа под формата на субсидия</w:t>
            </w:r>
          </w:p>
        </w:tc>
        <w:tc>
          <w:tcPr>
            <w:tcW w:w="993" w:type="dxa"/>
            <w:shd w:val="clear" w:color="auto" w:fill="F2F2F2"/>
            <w:vAlign w:val="center"/>
          </w:tcPr>
          <w:p w:rsidR="00DB5D0E" w:rsidRPr="00EA6851" w:rsidRDefault="00DB5D0E" w:rsidP="00DA37CC">
            <w:pPr>
              <w:spacing w:after="0" w:line="276" w:lineRule="auto"/>
              <w:jc w:val="center"/>
              <w:rPr>
                <w:bCs/>
                <w:iCs/>
                <w:sz w:val="18"/>
                <w:szCs w:val="18"/>
              </w:rPr>
            </w:pPr>
            <w:r w:rsidRPr="00EA6851">
              <w:rPr>
                <w:bCs/>
                <w:iCs/>
                <w:sz w:val="18"/>
                <w:szCs w:val="18"/>
              </w:rPr>
              <w:t>Брой</w:t>
            </w:r>
          </w:p>
        </w:tc>
        <w:tc>
          <w:tcPr>
            <w:tcW w:w="991" w:type="dxa"/>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21</w:t>
            </w:r>
          </w:p>
        </w:tc>
        <w:tc>
          <w:tcPr>
            <w:tcW w:w="1018" w:type="dxa"/>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21</w:t>
            </w:r>
          </w:p>
        </w:tc>
        <w:tc>
          <w:tcPr>
            <w:tcW w:w="1110" w:type="dxa"/>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21</w:t>
            </w:r>
          </w:p>
        </w:tc>
        <w:tc>
          <w:tcPr>
            <w:tcW w:w="992" w:type="dxa"/>
            <w:shd w:val="clear" w:color="auto" w:fill="FFFFFF"/>
            <w:vAlign w:val="center"/>
          </w:tcPr>
          <w:p w:rsidR="00DB5D0E" w:rsidRPr="00EA6851" w:rsidRDefault="00DB5D0E" w:rsidP="00DA37CC">
            <w:pPr>
              <w:spacing w:after="0" w:line="276" w:lineRule="auto"/>
              <w:jc w:val="center"/>
              <w:rPr>
                <w:bCs/>
                <w:iCs/>
                <w:sz w:val="18"/>
                <w:szCs w:val="18"/>
              </w:rPr>
            </w:pPr>
            <w:r w:rsidRPr="00EA6851">
              <w:rPr>
                <w:bCs/>
                <w:iCs/>
                <w:sz w:val="18"/>
                <w:szCs w:val="18"/>
              </w:rPr>
              <w:t>21</w:t>
            </w:r>
          </w:p>
        </w:tc>
      </w:tr>
    </w:tbl>
    <w:p w:rsidR="00DB5D0E" w:rsidRPr="00EA6851" w:rsidRDefault="00DB5D0E" w:rsidP="00AF259D">
      <w:pPr>
        <w:ind w:right="396"/>
        <w:jc w:val="left"/>
        <w:rPr>
          <w:b/>
          <w:sz w:val="20"/>
          <w:szCs w:val="20"/>
          <w:highlight w:val="yellow"/>
        </w:rPr>
      </w:pPr>
    </w:p>
    <w:p w:rsidR="00DB5D0E" w:rsidRPr="00EA6851" w:rsidRDefault="00DB5D0E" w:rsidP="00DB5D0E">
      <w:pPr>
        <w:ind w:right="-1"/>
        <w:rPr>
          <w:rFonts w:eastAsia="Batang"/>
        </w:rPr>
      </w:pPr>
      <w:r w:rsidRPr="00EA6851">
        <w:rPr>
          <w:rFonts w:eastAsia="Batang"/>
        </w:rPr>
        <w:t>Заложените индикатори и целеви стойности отчитат непосредствените резултати (ефекти) от интервенцията в подкрепа на хората с увреждания и на тази база позволяват да се оценява ефективността от провеждане на политиката за гарантиране на социалното им приобщаване.</w:t>
      </w:r>
    </w:p>
    <w:p w:rsidR="00F30C0A" w:rsidRPr="00EA6851" w:rsidRDefault="00DB5D0E" w:rsidP="00AF259D">
      <w:pPr>
        <w:ind w:right="-1"/>
        <w:rPr>
          <w:rFonts w:eastAsia="Batang"/>
        </w:rPr>
      </w:pPr>
      <w:r w:rsidRPr="00EA6851">
        <w:rPr>
          <w:rFonts w:eastAsia="Batang"/>
        </w:rPr>
        <w:t>Стратегически приоритет на МТСП в областта на политиката за правата на хората с увреждания е гарантирането на правата на хората с увреждания. Политиката се развива в съответствие с изпълнението на националните ангажименти по прилагане на изискванията на ратифицираната Конвенция за правата на хората с увреждания на ООН, както и при спазване на приоритетите на релевантните стратегически документи.</w:t>
      </w:r>
    </w:p>
    <w:p w:rsidR="00AF259D" w:rsidRPr="00EA6851" w:rsidRDefault="00AF259D" w:rsidP="00CA1DDD">
      <w:pPr>
        <w:pStyle w:val="Heading4"/>
      </w:pPr>
      <w:r w:rsidRPr="00EA6851">
        <w:t xml:space="preserve">Политика в областта на социалното включване </w:t>
      </w:r>
    </w:p>
    <w:p w:rsidR="00DB5D0E" w:rsidRPr="00EA6851" w:rsidRDefault="00DB5D0E" w:rsidP="00DB5D0E">
      <w:pPr>
        <w:rPr>
          <w:rFonts w:eastAsia="Batang"/>
        </w:rPr>
      </w:pPr>
      <w:r w:rsidRPr="00EA6851">
        <w:rPr>
          <w:rFonts w:eastAsia="Batang"/>
        </w:rPr>
        <w:t xml:space="preserve">Политиката в областта на социалното включване е многосекторна политика, свързана с подобряване на целенасочеността на мерките и прилагане на интегриран подход за насърчаване на социалното включване. За постигане на целите на политиката за социално включване се прилагат редица законодателни мерки и се изпълняват стратегически документи и планове, приети на национално ниво, сред които Национална стратегия за намаляване на бедността и насърчаване на социалното включване 2030, приета с Решение № 976 </w:t>
      </w:r>
      <w:r w:rsidR="002B1C4C" w:rsidRPr="00EA6851">
        <w:rPr>
          <w:rFonts w:eastAsia="Batang"/>
        </w:rPr>
        <w:t xml:space="preserve">на Министерския съвет </w:t>
      </w:r>
      <w:r w:rsidRPr="00EA6851">
        <w:rPr>
          <w:rFonts w:eastAsia="Batang"/>
        </w:rPr>
        <w:t>от 2020 г.</w:t>
      </w:r>
      <w:r w:rsidR="002B1C4C" w:rsidRPr="00EA6851">
        <w:rPr>
          <w:rFonts w:eastAsia="Batang"/>
        </w:rPr>
        <w:t>,</w:t>
      </w:r>
      <w:r w:rsidRPr="00EA6851">
        <w:rPr>
          <w:rFonts w:eastAsia="Batang"/>
        </w:rPr>
        <w:t xml:space="preserve"> изм. и доп. с РМС № 368</w:t>
      </w:r>
      <w:r w:rsidR="002B1C4C" w:rsidRPr="00EA6851">
        <w:rPr>
          <w:rFonts w:eastAsia="Batang"/>
        </w:rPr>
        <w:t xml:space="preserve"> от </w:t>
      </w:r>
      <w:r w:rsidRPr="00EA6851">
        <w:rPr>
          <w:rFonts w:eastAsia="Batang"/>
        </w:rPr>
        <w:t>2022 г.). В изпълнение на Плана за действие за прилагане на Европейския стълб на социалните права и европейската цел за намаляване на бедността до 2030 г. е приета Национална цел за намаляване на броя на лицата в риск от бедност или социално изключване до 2030 г. със 787 000 души и специфична подцел за намаляване на броя на децата под 18 години в риск от бедност или социално изключване със 196 750 лица (25% от общата национална цел).</w:t>
      </w:r>
    </w:p>
    <w:p w:rsidR="00DB5D0E" w:rsidRPr="00EA6851" w:rsidRDefault="00DB5D0E" w:rsidP="00DB5D0E">
      <w:pPr>
        <w:rPr>
          <w:rFonts w:eastAsia="Batang"/>
        </w:rPr>
      </w:pPr>
      <w:r w:rsidRPr="00EA6851">
        <w:rPr>
          <w:rFonts w:eastAsia="Batang"/>
        </w:rPr>
        <w:t>Съществена част от политиката за социално включване е предоставянето на материална подкрепа за семействата с деца и семействата, които полагат грижи за деца в риск.</w:t>
      </w:r>
    </w:p>
    <w:p w:rsidR="00DB5D0E" w:rsidRPr="00EA6851" w:rsidRDefault="00DB5D0E" w:rsidP="00DB5D0E">
      <w:pPr>
        <w:rPr>
          <w:rFonts w:eastAsia="Batang"/>
        </w:rPr>
      </w:pPr>
      <w:r w:rsidRPr="00EA6851">
        <w:rPr>
          <w:rFonts w:eastAsia="Batang"/>
        </w:rPr>
        <w:t>С промените в Закона за семейни помощи за деца от 23.12.2022 г. е разширен обхватът на еднократната помощ по чл.</w:t>
      </w:r>
      <w:r w:rsidR="00291C06">
        <w:rPr>
          <w:rFonts w:eastAsia="Batang"/>
        </w:rPr>
        <w:t xml:space="preserve"> </w:t>
      </w:r>
      <w:r w:rsidRPr="00EA6851">
        <w:rPr>
          <w:rFonts w:eastAsia="Batang"/>
        </w:rPr>
        <w:t>10а за ученици в първи клас, която ще се изплаща и за втори, трети и четвърти клас. Помощта се отпуска независимо от дохода на семейството и вида на училището и е предназначена да покрие част от разходите за учебната година. Еднократната помощ се предоставя и на настойника/попечителя, който отглежда детето, както и за деца, настанени в семейства на роднини или близки и приемни семейства по реда на чл. 26 от ЗЗД. Размерът на еднократната помощ се определя ежегодно в закона за държавния бюджет на Република България за съответната година, но не по-малък от предходната година. Помощта се изплаща на два пъти, като 50 на сто от нейния размер се изплаща след влизане в сила на заповедта за отпускането й, а остатъкът се изплаща в началото на втория учебен срок, ако детето продължава да посещава училище. Размерът на еднократната помощ за всички ученици ще бъде 300 лв.</w:t>
      </w:r>
    </w:p>
    <w:p w:rsidR="00DB5D0E" w:rsidRPr="00EA6851" w:rsidRDefault="00DB5D0E" w:rsidP="00DB5D0E">
      <w:pPr>
        <w:rPr>
          <w:rFonts w:eastAsia="Batang"/>
        </w:rPr>
      </w:pPr>
      <w:r w:rsidRPr="00EA6851">
        <w:rPr>
          <w:rFonts w:eastAsia="Batang"/>
        </w:rPr>
        <w:t>Предвижда се през 2024 г., 2025 г. и 2026 г. увеличение на доходните критерии при определяне правото на достъп до семейните помощи за деца по ЗСПД, както следва:</w:t>
      </w:r>
    </w:p>
    <w:p w:rsidR="00DB5D0E" w:rsidRPr="00EA6851" w:rsidRDefault="00DB5D0E" w:rsidP="00B30642">
      <w:pPr>
        <w:numPr>
          <w:ilvl w:val="0"/>
          <w:numId w:val="23"/>
        </w:numPr>
        <w:rPr>
          <w:rFonts w:eastAsia="Batang"/>
        </w:rPr>
      </w:pPr>
      <w:r w:rsidRPr="00EA6851">
        <w:rPr>
          <w:rFonts w:eastAsia="Batang"/>
        </w:rPr>
        <w:t>Увеличение на доходния критерий при определяне правото на достъп до месечни семейни помощи за отглеждане на дете до завършване на средно образование, но не повече от 20-годишна възраст съгласно чл. 7 от ЗСПД:</w:t>
      </w:r>
    </w:p>
    <w:p w:rsidR="00DB5D0E" w:rsidRPr="00EA6851" w:rsidRDefault="00DB5D0E" w:rsidP="00B30642">
      <w:pPr>
        <w:numPr>
          <w:ilvl w:val="0"/>
          <w:numId w:val="19"/>
        </w:numPr>
        <w:rPr>
          <w:rFonts w:eastAsia="Batang"/>
        </w:rPr>
      </w:pPr>
      <w:r w:rsidRPr="00EA6851">
        <w:rPr>
          <w:rFonts w:eastAsia="Batang"/>
        </w:rPr>
        <w:t>за получаване на пълния размер на помощта съответно от 01.01.2024 г. от 510 лв. на 710 лв., от 01.01.2025 г. от 710 лв. на 760 лв.</w:t>
      </w:r>
      <w:r w:rsidR="00BB13BB" w:rsidRPr="00EA6851">
        <w:rPr>
          <w:rFonts w:eastAsia="Batang"/>
        </w:rPr>
        <w:t>,</w:t>
      </w:r>
      <w:r w:rsidRPr="00EA6851">
        <w:rPr>
          <w:rFonts w:eastAsia="Batang"/>
        </w:rPr>
        <w:t xml:space="preserve"> от 01.01.2026 г. от 760 лв. на 810 лв.;</w:t>
      </w:r>
    </w:p>
    <w:p w:rsidR="00DB5D0E" w:rsidRPr="00EA6851" w:rsidRDefault="00DB5D0E" w:rsidP="00B30642">
      <w:pPr>
        <w:numPr>
          <w:ilvl w:val="0"/>
          <w:numId w:val="19"/>
        </w:numPr>
        <w:rPr>
          <w:rFonts w:eastAsia="Batang"/>
        </w:rPr>
      </w:pPr>
      <w:r w:rsidRPr="00EA6851">
        <w:rPr>
          <w:rFonts w:eastAsia="Batang"/>
        </w:rPr>
        <w:t>за получаване на 80 на сто от пълния размер на помощта съответно от 01.01.2024 г. от 510,01 лв. до 610 лв. на 710,01 лв. до 810 лв., включително и от 01.01.2025 г. от 710,01 лв. до 810 лв. на 760,01 лв. до 860 лв. включително и от 01.01.2026 г. от 760,01 лв. до 860 лв. на 860,01 лв. до 910 лв. включително;</w:t>
      </w:r>
    </w:p>
    <w:p w:rsidR="00457080" w:rsidRPr="00EA6851" w:rsidRDefault="00DB5D0E" w:rsidP="00457080">
      <w:pPr>
        <w:numPr>
          <w:ilvl w:val="0"/>
          <w:numId w:val="24"/>
        </w:numPr>
        <w:rPr>
          <w:rFonts w:eastAsia="Batang"/>
        </w:rPr>
      </w:pPr>
      <w:r w:rsidRPr="00EA6851">
        <w:rPr>
          <w:rFonts w:eastAsia="Batang"/>
        </w:rPr>
        <w:t>Увеличение на доходния критерий при определяне правото на достъп до останалите две семейни помощи за деца, които се предоставят с доходен тест – еднократната помощ при бременност и месечните помощи за отглеждане на дете до навършване на една година съответно от 01.01.2024 г. от 610 лв. на 810 лв. и 01.01.2025 г. от 810 лв. на 860 лв. и 01.01.2026 г. от 860 лв. на 910 лв.</w:t>
      </w:r>
    </w:p>
    <w:p w:rsidR="00040DFE" w:rsidRPr="00EA6851" w:rsidRDefault="00040DFE" w:rsidP="00040DFE">
      <w:pPr>
        <w:rPr>
          <w:rFonts w:eastAsia="Batang"/>
        </w:rPr>
      </w:pPr>
      <w:r w:rsidRPr="00EA6851">
        <w:rPr>
          <w:rFonts w:eastAsia="Batang"/>
        </w:rPr>
        <w:t>През 2024 г. по отношение на политиката в областта на социалното включване се предвижда промяна в размерите на някои семейни помощи за деца по Закона за семейни помощи за деца:</w:t>
      </w:r>
    </w:p>
    <w:p w:rsidR="00040DFE" w:rsidRPr="00EA6851" w:rsidRDefault="00040DFE" w:rsidP="00040DFE">
      <w:pPr>
        <w:numPr>
          <w:ilvl w:val="0"/>
          <w:numId w:val="63"/>
        </w:numPr>
        <w:ind w:hanging="436"/>
        <w:rPr>
          <w:rFonts w:eastAsia="Batang"/>
        </w:rPr>
      </w:pPr>
      <w:r w:rsidRPr="00EA6851">
        <w:rPr>
          <w:rFonts w:eastAsia="Batang"/>
        </w:rPr>
        <w:t>Увеличение на размера на еднократната помощ при раждане по чл. 6, ал. 1 от ЗСПД от 250 лв. на 375 лв. за първо дете, от 600 лв. на 900 лв. за второ дете, от 300 лв. на 450 лв. за трето дете и от 200 лв. на 300 лв. за четвърто и всяко следващо дете. Това увеличение ще се отрази и на еднократната помощ при осиновяване на дете по чл. 6б, ал. 1 от Закона за семейни помощи за деца, тъй като размерът й се определя в зависимост от размера на помощта при раждане на първо дете;</w:t>
      </w:r>
    </w:p>
    <w:p w:rsidR="00040DFE" w:rsidRPr="00EA6851" w:rsidRDefault="00040DFE" w:rsidP="00040DFE">
      <w:pPr>
        <w:numPr>
          <w:ilvl w:val="0"/>
          <w:numId w:val="63"/>
        </w:numPr>
        <w:ind w:hanging="436"/>
        <w:rPr>
          <w:rFonts w:eastAsia="Batang"/>
        </w:rPr>
      </w:pPr>
      <w:r w:rsidRPr="00EA6851">
        <w:rPr>
          <w:rFonts w:eastAsia="Batang"/>
        </w:rPr>
        <w:t>Увеличение на еднократната помощ при бременност по чл. 5а, ал. 1 от ЗСПД от 150 лв. на 225 лв.;</w:t>
      </w:r>
    </w:p>
    <w:p w:rsidR="00040DFE" w:rsidRPr="00EA6851" w:rsidRDefault="00040DFE" w:rsidP="00040DFE">
      <w:pPr>
        <w:numPr>
          <w:ilvl w:val="0"/>
          <w:numId w:val="63"/>
        </w:numPr>
        <w:ind w:hanging="436"/>
        <w:rPr>
          <w:rFonts w:eastAsia="Batang"/>
        </w:rPr>
      </w:pPr>
      <w:r w:rsidRPr="00EA6851">
        <w:rPr>
          <w:rFonts w:eastAsia="Batang"/>
        </w:rPr>
        <w:t>Увеличение на месечните помощи за отглеждане на дете с трайно увреждане по чл. 8д от ЗСПД, както следва:</w:t>
      </w:r>
    </w:p>
    <w:p w:rsidR="00040DFE" w:rsidRPr="00EA6851" w:rsidRDefault="00040DFE" w:rsidP="00040DFE">
      <w:pPr>
        <w:numPr>
          <w:ilvl w:val="0"/>
          <w:numId w:val="64"/>
        </w:numPr>
        <w:ind w:left="810" w:firstLine="11"/>
        <w:rPr>
          <w:rFonts w:eastAsia="Batang"/>
          <w:b/>
        </w:rPr>
      </w:pPr>
      <w:r w:rsidRPr="00EA6851">
        <w:rPr>
          <w:rFonts w:eastAsia="Batang"/>
        </w:rPr>
        <w:t>за родители (осиновители), семейства на роднини или близки и доброволни приемни семейства, при които са настанени деца с трайни увреждания по реда на чл. 26 от Закона за закрила на детето, в т.ч.:</w:t>
      </w:r>
    </w:p>
    <w:p w:rsidR="00040DFE" w:rsidRPr="00EA6851" w:rsidRDefault="00040DFE" w:rsidP="00040DFE">
      <w:pPr>
        <w:ind w:left="1418" w:hanging="142"/>
        <w:rPr>
          <w:rFonts w:eastAsia="Batang"/>
        </w:rPr>
      </w:pPr>
      <w:r w:rsidRPr="00EA6851">
        <w:rPr>
          <w:rFonts w:eastAsia="Batang"/>
        </w:rPr>
        <w:t>- за дете с определени 90 и над 90 на сто вид и степен на увреждане или степен на трайно намалена работоспособност – от 930 лв. на 1 180 лв.,</w:t>
      </w:r>
    </w:p>
    <w:p w:rsidR="00040DFE" w:rsidRPr="00EA6851" w:rsidRDefault="00040DFE" w:rsidP="00040DFE">
      <w:pPr>
        <w:ind w:left="1418" w:hanging="142"/>
        <w:rPr>
          <w:rFonts w:eastAsia="Batang"/>
        </w:rPr>
      </w:pPr>
      <w:r w:rsidRPr="00EA6851">
        <w:rPr>
          <w:rFonts w:eastAsia="Batang"/>
        </w:rPr>
        <w:t>- за дете с определени от 70 до 90 на сто вид и степен на увреждане или степен на трайно намалена работоспособност – от 450 лв. на 570 лв.,</w:t>
      </w:r>
    </w:p>
    <w:p w:rsidR="00040DFE" w:rsidRPr="00EA6851" w:rsidRDefault="00040DFE" w:rsidP="00040DFE">
      <w:pPr>
        <w:ind w:left="1418" w:hanging="142"/>
        <w:rPr>
          <w:rFonts w:eastAsia="Batang"/>
        </w:rPr>
      </w:pPr>
      <w:r w:rsidRPr="00EA6851">
        <w:rPr>
          <w:rFonts w:eastAsia="Batang"/>
        </w:rPr>
        <w:t>- за дете с определени от 50 до 70 на сто вид и степен на увреждане или степен на трайно намалена работоспособност – от 350 лв. на 450 лв.</w:t>
      </w:r>
    </w:p>
    <w:p w:rsidR="00040DFE" w:rsidRPr="00EA6851" w:rsidRDefault="00040DFE" w:rsidP="00040DFE">
      <w:pPr>
        <w:numPr>
          <w:ilvl w:val="0"/>
          <w:numId w:val="64"/>
        </w:numPr>
        <w:ind w:left="810" w:firstLine="0"/>
        <w:rPr>
          <w:rFonts w:eastAsia="Batang"/>
          <w:b/>
        </w:rPr>
      </w:pPr>
      <w:r w:rsidRPr="00EA6851">
        <w:rPr>
          <w:rFonts w:eastAsia="Batang"/>
        </w:rPr>
        <w:t>за професионални приемни семейства, при които са настанени деца с трайни увреждания по реда на чл. 26 от Закона за закрила на детето, в т.ч.:</w:t>
      </w:r>
    </w:p>
    <w:p w:rsidR="00040DFE" w:rsidRPr="00EA6851" w:rsidRDefault="00040DFE" w:rsidP="00040DFE">
      <w:pPr>
        <w:ind w:left="1418" w:hanging="142"/>
        <w:rPr>
          <w:rFonts w:eastAsia="Batang"/>
        </w:rPr>
      </w:pPr>
      <w:r w:rsidRPr="00EA6851">
        <w:rPr>
          <w:rFonts w:eastAsia="Batang"/>
        </w:rPr>
        <w:t>- за дете с определени 90 и над 90 на сто вид и степен на увреждане или степен на трайно намалена работоспособност – от 490 лв. на 620 лв.,</w:t>
      </w:r>
    </w:p>
    <w:p w:rsidR="00040DFE" w:rsidRPr="00EA6851" w:rsidRDefault="00040DFE" w:rsidP="00040DFE">
      <w:pPr>
        <w:ind w:left="1418" w:hanging="142"/>
        <w:rPr>
          <w:rFonts w:eastAsia="Batang"/>
        </w:rPr>
      </w:pPr>
      <w:r w:rsidRPr="00EA6851">
        <w:rPr>
          <w:rFonts w:eastAsia="Batang"/>
        </w:rPr>
        <w:t>- за дете с определени от 70 до 90 на сто вид и степен на увреждане или степен на трайно намалена работоспособност – от 420 лв. на 530 лв.,</w:t>
      </w:r>
    </w:p>
    <w:p w:rsidR="00040DFE" w:rsidRPr="00EA6851" w:rsidRDefault="00040DFE" w:rsidP="00040DFE">
      <w:pPr>
        <w:ind w:left="1418" w:hanging="142"/>
        <w:rPr>
          <w:rFonts w:eastAsia="Batang"/>
        </w:rPr>
      </w:pPr>
      <w:r w:rsidRPr="00EA6851">
        <w:rPr>
          <w:rFonts w:eastAsia="Batang"/>
        </w:rPr>
        <w:t>- за дете с определени от 50 до 70 на сто вид и степен на увреждане или степен на трайно намалена работоспособност – от 350 лв. на 450 лв.</w:t>
      </w:r>
    </w:p>
    <w:p w:rsidR="00040DFE" w:rsidRPr="00EA6851" w:rsidRDefault="00040DFE" w:rsidP="00986333">
      <w:pPr>
        <w:rPr>
          <w:rFonts w:eastAsia="Batang"/>
        </w:rPr>
      </w:pPr>
      <w:r w:rsidRPr="00EA6851">
        <w:rPr>
          <w:rFonts w:eastAsia="Batang"/>
        </w:rPr>
        <w:t>Предлаганите увеличения на размерите на някои видове семейни помощи за деца са с оглед по-адекватна подкрепа на семействата в условията на съществуващите инфлационни процеси в страната. Следва да се отбележи, че размерът на еднократната помощ при бременност не е актуализиран от самото й въвеждане в ЗСПД от 2004 г. Размерът на еднократната помощ при раждане на първо и второ дете е актуализиран през 2008 г., а от 2016 г. е увеличен и за трето дете чрез регламентиране на по-висок размер на помощта за първо, второ и трето дете. Размерът на еднократната помощ при осиновяване на дете не е актуализиран от самото й въвеждане в ЗСПД от 2016 г. Размерите на месечните помощи за отглеждане на дете с трайно увреждане не са увеличавани от тяхното въвеждане от 2017 г. Предложението за увеличение на размера на помощта по чл. 8д от ЗСПД е направено с оглед компенсиране на нарастването на разходите на семействата за отглеждане на децата спрямо момента на въвеждане на помощта.</w:t>
      </w:r>
    </w:p>
    <w:p w:rsidR="00F30C0A" w:rsidRPr="00EA6851" w:rsidRDefault="00AF259D" w:rsidP="00AF259D">
      <w:pPr>
        <w:ind w:right="396"/>
        <w:jc w:val="left"/>
        <w:rPr>
          <w:b/>
          <w:sz w:val="20"/>
          <w:szCs w:val="20"/>
        </w:rPr>
      </w:pPr>
      <w:r w:rsidRPr="00EA6851">
        <w:rPr>
          <w:b/>
          <w:sz w:val="20"/>
          <w:szCs w:val="20"/>
        </w:rPr>
        <w:t>КЛЮЧОВИ ИНДИКАТОРИ ЗА ИЗПЪЛНЕНИЕ И ЦЕЛЕВИ СТОЙНОСТИ</w:t>
      </w:r>
    </w:p>
    <w:tbl>
      <w:tblPr>
        <w:tblW w:w="4969" w:type="pct"/>
        <w:tblBorders>
          <w:top w:val="single" w:sz="4" w:space="0" w:color="auto"/>
          <w:bottom w:val="single" w:sz="4" w:space="0" w:color="auto"/>
        </w:tblBorders>
        <w:tblCellMar>
          <w:left w:w="70" w:type="dxa"/>
          <w:right w:w="70" w:type="dxa"/>
        </w:tblCellMar>
        <w:tblLook w:val="0000" w:firstRow="0" w:lastRow="0" w:firstColumn="0" w:lastColumn="0" w:noHBand="0" w:noVBand="0"/>
      </w:tblPr>
      <w:tblGrid>
        <w:gridCol w:w="3023"/>
        <w:gridCol w:w="1267"/>
        <w:gridCol w:w="1136"/>
        <w:gridCol w:w="1202"/>
        <w:gridCol w:w="1246"/>
        <w:gridCol w:w="1140"/>
      </w:tblGrid>
      <w:tr w:rsidR="00F30C0A" w:rsidRPr="00EA6851" w:rsidTr="00DA37CC">
        <w:trPr>
          <w:trHeight w:val="255"/>
          <w:tblHeader/>
        </w:trPr>
        <w:tc>
          <w:tcPr>
            <w:tcW w:w="3301" w:type="dxa"/>
            <w:tcBorders>
              <w:bottom w:val="nil"/>
            </w:tcBorders>
            <w:shd w:val="clear" w:color="auto" w:fill="FFFFFF"/>
            <w:vAlign w:val="center"/>
          </w:tcPr>
          <w:p w:rsidR="00F30C0A" w:rsidRPr="00EA6851" w:rsidRDefault="00F30C0A" w:rsidP="00DA37CC">
            <w:pPr>
              <w:spacing w:after="0" w:line="276" w:lineRule="auto"/>
              <w:jc w:val="center"/>
              <w:rPr>
                <w:b/>
                <w:bCs/>
                <w:i/>
                <w:iCs/>
                <w:sz w:val="18"/>
                <w:szCs w:val="18"/>
              </w:rPr>
            </w:pPr>
            <w:r w:rsidRPr="00EA6851">
              <w:rPr>
                <w:b/>
                <w:bCs/>
                <w:i/>
                <w:iCs/>
                <w:sz w:val="18"/>
                <w:szCs w:val="18"/>
              </w:rPr>
              <w:t>Политика в областта на социалното включване</w:t>
            </w:r>
          </w:p>
        </w:tc>
        <w:tc>
          <w:tcPr>
            <w:tcW w:w="1342" w:type="dxa"/>
            <w:vMerge w:val="restart"/>
            <w:tcBorders>
              <w:bottom w:val="nil"/>
            </w:tcBorders>
            <w:shd w:val="clear" w:color="auto" w:fill="F2F2F2"/>
          </w:tcPr>
          <w:p w:rsidR="00F30C0A" w:rsidRPr="00EA6851" w:rsidRDefault="00F30C0A" w:rsidP="00DA37CC">
            <w:pPr>
              <w:spacing w:after="0" w:line="276" w:lineRule="auto"/>
              <w:jc w:val="center"/>
              <w:rPr>
                <w:b/>
                <w:bCs/>
                <w:iCs/>
                <w:sz w:val="18"/>
                <w:szCs w:val="18"/>
              </w:rPr>
            </w:pPr>
            <w:r w:rsidRPr="00EA6851">
              <w:rPr>
                <w:b/>
                <w:bCs/>
                <w:iCs/>
                <w:sz w:val="18"/>
                <w:szCs w:val="18"/>
              </w:rPr>
              <w:t>Мерна единица</w:t>
            </w:r>
          </w:p>
        </w:tc>
        <w:tc>
          <w:tcPr>
            <w:tcW w:w="4935" w:type="dxa"/>
            <w:gridSpan w:val="4"/>
            <w:tcBorders>
              <w:bottom w:val="single" w:sz="4" w:space="0" w:color="auto"/>
            </w:tcBorders>
            <w:shd w:val="clear" w:color="auto" w:fill="FFFFFF"/>
          </w:tcPr>
          <w:p w:rsidR="00F30C0A" w:rsidRPr="00EA6851" w:rsidRDefault="00F30C0A" w:rsidP="00DA37CC">
            <w:pPr>
              <w:spacing w:after="0" w:line="276" w:lineRule="auto"/>
              <w:ind w:left="-38" w:hanging="709"/>
              <w:jc w:val="center"/>
              <w:rPr>
                <w:b/>
                <w:bCs/>
                <w:iCs/>
                <w:sz w:val="18"/>
                <w:szCs w:val="18"/>
              </w:rPr>
            </w:pPr>
            <w:r w:rsidRPr="00EA6851">
              <w:rPr>
                <w:b/>
                <w:bCs/>
                <w:iCs/>
                <w:sz w:val="18"/>
                <w:szCs w:val="18"/>
              </w:rPr>
              <w:t>Целева стойност</w:t>
            </w:r>
          </w:p>
        </w:tc>
      </w:tr>
      <w:tr w:rsidR="00F30C0A" w:rsidRPr="00EA6851" w:rsidTr="00DA37CC">
        <w:trPr>
          <w:trHeight w:val="472"/>
          <w:tblHeader/>
        </w:trPr>
        <w:tc>
          <w:tcPr>
            <w:tcW w:w="3301" w:type="dxa"/>
            <w:tcBorders>
              <w:top w:val="nil"/>
              <w:bottom w:val="single" w:sz="4" w:space="0" w:color="auto"/>
            </w:tcBorders>
            <w:shd w:val="clear" w:color="auto" w:fill="FFFFFF"/>
            <w:vAlign w:val="center"/>
          </w:tcPr>
          <w:p w:rsidR="00F30C0A" w:rsidRPr="00EA6851" w:rsidRDefault="00F30C0A" w:rsidP="00DA37CC">
            <w:pPr>
              <w:spacing w:after="0" w:line="276" w:lineRule="auto"/>
              <w:jc w:val="center"/>
              <w:rPr>
                <w:b/>
                <w:bCs/>
                <w:iCs/>
                <w:sz w:val="18"/>
                <w:szCs w:val="18"/>
              </w:rPr>
            </w:pPr>
            <w:r w:rsidRPr="00EA6851">
              <w:rPr>
                <w:b/>
                <w:bCs/>
                <w:iCs/>
                <w:sz w:val="18"/>
                <w:szCs w:val="18"/>
              </w:rPr>
              <w:t>Наименование на индикатора</w:t>
            </w:r>
          </w:p>
        </w:tc>
        <w:tc>
          <w:tcPr>
            <w:tcW w:w="1342" w:type="dxa"/>
            <w:vMerge/>
            <w:tcBorders>
              <w:top w:val="nil"/>
              <w:bottom w:val="single" w:sz="4" w:space="0" w:color="auto"/>
            </w:tcBorders>
            <w:shd w:val="clear" w:color="auto" w:fill="F2F2F2"/>
            <w:vAlign w:val="center"/>
          </w:tcPr>
          <w:p w:rsidR="00F30C0A" w:rsidRPr="00EA6851" w:rsidRDefault="00F30C0A" w:rsidP="00DA37CC">
            <w:pPr>
              <w:spacing w:after="0" w:line="276" w:lineRule="auto"/>
              <w:jc w:val="center"/>
              <w:rPr>
                <w:b/>
                <w:bCs/>
                <w:i/>
                <w:iCs/>
                <w:sz w:val="18"/>
                <w:szCs w:val="18"/>
              </w:rPr>
            </w:pPr>
          </w:p>
        </w:tc>
        <w:tc>
          <w:tcPr>
            <w:tcW w:w="1172" w:type="dxa"/>
            <w:tcBorders>
              <w:top w:val="single" w:sz="4" w:space="0" w:color="auto"/>
              <w:bottom w:val="single" w:sz="4" w:space="0" w:color="auto"/>
            </w:tcBorders>
            <w:shd w:val="clear" w:color="auto" w:fill="FFFFFF"/>
            <w:vAlign w:val="center"/>
          </w:tcPr>
          <w:p w:rsidR="00F30C0A" w:rsidRPr="00EA6851" w:rsidRDefault="00F30C0A" w:rsidP="00DA37CC">
            <w:pPr>
              <w:spacing w:after="0" w:line="276" w:lineRule="auto"/>
              <w:jc w:val="center"/>
              <w:rPr>
                <w:b/>
                <w:bCs/>
                <w:i/>
                <w:iCs/>
                <w:sz w:val="18"/>
                <w:szCs w:val="18"/>
              </w:rPr>
            </w:pPr>
            <w:r w:rsidRPr="00EA6851">
              <w:rPr>
                <w:b/>
                <w:bCs/>
                <w:i/>
                <w:iCs/>
                <w:sz w:val="18"/>
                <w:szCs w:val="18"/>
              </w:rPr>
              <w:t>Програма</w:t>
            </w:r>
          </w:p>
          <w:p w:rsidR="00F30C0A" w:rsidRPr="00EA6851" w:rsidRDefault="00F30C0A" w:rsidP="00DA37CC">
            <w:pPr>
              <w:spacing w:after="0" w:line="276" w:lineRule="auto"/>
              <w:jc w:val="center"/>
              <w:rPr>
                <w:b/>
                <w:bCs/>
                <w:i/>
                <w:iCs/>
                <w:sz w:val="18"/>
                <w:szCs w:val="18"/>
              </w:rPr>
            </w:pPr>
            <w:r w:rsidRPr="00EA6851">
              <w:rPr>
                <w:b/>
                <w:bCs/>
                <w:i/>
                <w:iCs/>
                <w:sz w:val="18"/>
                <w:szCs w:val="18"/>
              </w:rPr>
              <w:t>2023 г.</w:t>
            </w:r>
          </w:p>
        </w:tc>
        <w:tc>
          <w:tcPr>
            <w:tcW w:w="1273" w:type="dxa"/>
            <w:tcBorders>
              <w:top w:val="single" w:sz="4" w:space="0" w:color="auto"/>
              <w:bottom w:val="single" w:sz="4" w:space="0" w:color="auto"/>
            </w:tcBorders>
            <w:shd w:val="clear" w:color="auto" w:fill="FFFFFF"/>
            <w:vAlign w:val="center"/>
          </w:tcPr>
          <w:p w:rsidR="00F30C0A" w:rsidRPr="00EA6851" w:rsidRDefault="00F30C0A" w:rsidP="00DA37CC">
            <w:pPr>
              <w:spacing w:after="0" w:line="276" w:lineRule="auto"/>
              <w:jc w:val="center"/>
              <w:rPr>
                <w:b/>
                <w:bCs/>
                <w:i/>
                <w:iCs/>
                <w:sz w:val="18"/>
                <w:szCs w:val="18"/>
              </w:rPr>
            </w:pPr>
            <w:r w:rsidRPr="00EA6851">
              <w:rPr>
                <w:b/>
                <w:bCs/>
                <w:i/>
                <w:iCs/>
                <w:sz w:val="18"/>
                <w:szCs w:val="18"/>
              </w:rPr>
              <w:t>Проект</w:t>
            </w:r>
          </w:p>
          <w:p w:rsidR="00F30C0A" w:rsidRPr="00EA6851" w:rsidRDefault="00F30C0A" w:rsidP="00DA37CC">
            <w:pPr>
              <w:spacing w:after="0" w:line="276" w:lineRule="auto"/>
              <w:jc w:val="center"/>
              <w:rPr>
                <w:b/>
                <w:bCs/>
                <w:i/>
                <w:iCs/>
                <w:sz w:val="18"/>
                <w:szCs w:val="18"/>
              </w:rPr>
            </w:pPr>
            <w:r w:rsidRPr="00EA6851">
              <w:rPr>
                <w:b/>
                <w:bCs/>
                <w:i/>
                <w:iCs/>
                <w:sz w:val="18"/>
                <w:szCs w:val="18"/>
              </w:rPr>
              <w:t>2024 г.</w:t>
            </w:r>
          </w:p>
        </w:tc>
        <w:tc>
          <w:tcPr>
            <w:tcW w:w="1307" w:type="dxa"/>
            <w:tcBorders>
              <w:top w:val="single" w:sz="4" w:space="0" w:color="auto"/>
              <w:bottom w:val="single" w:sz="4" w:space="0" w:color="auto"/>
            </w:tcBorders>
            <w:shd w:val="clear" w:color="auto" w:fill="FFFFFF"/>
            <w:vAlign w:val="center"/>
          </w:tcPr>
          <w:p w:rsidR="00F30C0A" w:rsidRPr="00EA6851" w:rsidRDefault="00F30C0A" w:rsidP="00DA37CC">
            <w:pPr>
              <w:spacing w:after="0" w:line="276" w:lineRule="auto"/>
              <w:jc w:val="center"/>
              <w:rPr>
                <w:b/>
                <w:bCs/>
                <w:i/>
                <w:iCs/>
                <w:sz w:val="18"/>
                <w:szCs w:val="18"/>
              </w:rPr>
            </w:pPr>
            <w:r w:rsidRPr="00EA6851">
              <w:rPr>
                <w:b/>
                <w:bCs/>
                <w:i/>
                <w:iCs/>
                <w:sz w:val="18"/>
                <w:szCs w:val="18"/>
              </w:rPr>
              <w:t>Прогноза</w:t>
            </w:r>
          </w:p>
          <w:p w:rsidR="00F30C0A" w:rsidRPr="00EA6851" w:rsidRDefault="00F30C0A" w:rsidP="00DA37CC">
            <w:pPr>
              <w:spacing w:after="0" w:line="276" w:lineRule="auto"/>
              <w:jc w:val="center"/>
              <w:rPr>
                <w:b/>
                <w:bCs/>
                <w:i/>
                <w:iCs/>
                <w:sz w:val="18"/>
                <w:szCs w:val="18"/>
              </w:rPr>
            </w:pPr>
            <w:r w:rsidRPr="00EA6851">
              <w:rPr>
                <w:b/>
                <w:bCs/>
                <w:i/>
                <w:iCs/>
                <w:sz w:val="18"/>
                <w:szCs w:val="18"/>
              </w:rPr>
              <w:t>2025 г.</w:t>
            </w:r>
          </w:p>
        </w:tc>
        <w:tc>
          <w:tcPr>
            <w:tcW w:w="1181" w:type="dxa"/>
            <w:tcBorders>
              <w:top w:val="single" w:sz="4" w:space="0" w:color="auto"/>
              <w:bottom w:val="single" w:sz="4" w:space="0" w:color="auto"/>
            </w:tcBorders>
            <w:shd w:val="clear" w:color="auto" w:fill="FFFFFF"/>
            <w:vAlign w:val="center"/>
          </w:tcPr>
          <w:p w:rsidR="00F30C0A" w:rsidRPr="00EA6851" w:rsidRDefault="00F30C0A" w:rsidP="00DA37CC">
            <w:pPr>
              <w:spacing w:after="0" w:line="276" w:lineRule="auto"/>
              <w:jc w:val="center"/>
              <w:rPr>
                <w:b/>
                <w:bCs/>
                <w:i/>
                <w:iCs/>
                <w:sz w:val="18"/>
                <w:szCs w:val="18"/>
              </w:rPr>
            </w:pPr>
            <w:r w:rsidRPr="00EA6851">
              <w:rPr>
                <w:b/>
                <w:bCs/>
                <w:i/>
                <w:iCs/>
                <w:sz w:val="18"/>
                <w:szCs w:val="18"/>
              </w:rPr>
              <w:t>Прогноза</w:t>
            </w:r>
          </w:p>
          <w:p w:rsidR="00F30C0A" w:rsidRPr="00EA6851" w:rsidRDefault="00F30C0A" w:rsidP="00DA37CC">
            <w:pPr>
              <w:spacing w:after="0" w:line="276" w:lineRule="auto"/>
              <w:jc w:val="center"/>
              <w:rPr>
                <w:b/>
                <w:bCs/>
                <w:i/>
                <w:iCs/>
                <w:sz w:val="18"/>
                <w:szCs w:val="18"/>
              </w:rPr>
            </w:pPr>
            <w:r w:rsidRPr="00EA6851">
              <w:rPr>
                <w:b/>
                <w:bCs/>
                <w:i/>
                <w:iCs/>
                <w:sz w:val="18"/>
                <w:szCs w:val="18"/>
              </w:rPr>
              <w:t>2026 г.</w:t>
            </w:r>
          </w:p>
        </w:tc>
      </w:tr>
      <w:tr w:rsidR="00F30C0A" w:rsidRPr="00EA6851" w:rsidTr="00DA37CC">
        <w:trPr>
          <w:trHeight w:val="73"/>
        </w:trPr>
        <w:tc>
          <w:tcPr>
            <w:tcW w:w="3301" w:type="dxa"/>
            <w:tcBorders>
              <w:top w:val="single" w:sz="4" w:space="0" w:color="auto"/>
            </w:tcBorders>
            <w:shd w:val="clear" w:color="auto" w:fill="FFFFFF"/>
          </w:tcPr>
          <w:p w:rsidR="00F30C0A" w:rsidRPr="00EA6851" w:rsidRDefault="00F30C0A" w:rsidP="00DA37CC">
            <w:pPr>
              <w:spacing w:after="0" w:line="276" w:lineRule="auto"/>
              <w:jc w:val="left"/>
              <w:rPr>
                <w:bCs/>
                <w:iCs/>
                <w:sz w:val="18"/>
                <w:szCs w:val="18"/>
              </w:rPr>
            </w:pPr>
            <w:r w:rsidRPr="00EA6851">
              <w:rPr>
                <w:bCs/>
                <w:iCs/>
                <w:sz w:val="18"/>
                <w:szCs w:val="18"/>
              </w:rPr>
              <w:t>1. Подкрепа на деца в риск</w:t>
            </w:r>
          </w:p>
        </w:tc>
        <w:tc>
          <w:tcPr>
            <w:tcW w:w="1342" w:type="dxa"/>
            <w:tcBorders>
              <w:top w:val="single" w:sz="4" w:space="0" w:color="auto"/>
            </w:tcBorders>
            <w:shd w:val="clear" w:color="auto" w:fill="F2F2F2"/>
            <w:vAlign w:val="center"/>
          </w:tcPr>
          <w:p w:rsidR="00F30C0A" w:rsidRPr="00EA6851" w:rsidRDefault="00F30C0A" w:rsidP="00DA37CC">
            <w:pPr>
              <w:spacing w:after="0" w:line="276" w:lineRule="auto"/>
              <w:jc w:val="center"/>
              <w:rPr>
                <w:bCs/>
                <w:iCs/>
                <w:sz w:val="18"/>
                <w:szCs w:val="18"/>
              </w:rPr>
            </w:pPr>
            <w:r w:rsidRPr="00EA6851">
              <w:rPr>
                <w:bCs/>
                <w:iCs/>
                <w:sz w:val="18"/>
                <w:szCs w:val="18"/>
              </w:rPr>
              <w:t>Ср. мес. бр. случаи</w:t>
            </w:r>
          </w:p>
        </w:tc>
        <w:tc>
          <w:tcPr>
            <w:tcW w:w="1172" w:type="dxa"/>
            <w:tcBorders>
              <w:top w:val="single" w:sz="4" w:space="0" w:color="auto"/>
            </w:tcBorders>
            <w:shd w:val="clear" w:color="auto" w:fill="FFFFFF"/>
            <w:vAlign w:val="center"/>
          </w:tcPr>
          <w:p w:rsidR="00F30C0A" w:rsidRPr="00EA6851" w:rsidRDefault="00F30C0A" w:rsidP="00DA37CC">
            <w:pPr>
              <w:spacing w:after="0" w:line="276" w:lineRule="auto"/>
              <w:jc w:val="center"/>
              <w:rPr>
                <w:bCs/>
                <w:iCs/>
                <w:sz w:val="18"/>
                <w:szCs w:val="18"/>
              </w:rPr>
            </w:pPr>
            <w:r w:rsidRPr="00EA6851">
              <w:rPr>
                <w:bCs/>
                <w:iCs/>
                <w:sz w:val="18"/>
                <w:szCs w:val="18"/>
              </w:rPr>
              <w:t>4 800</w:t>
            </w:r>
          </w:p>
        </w:tc>
        <w:tc>
          <w:tcPr>
            <w:tcW w:w="1273" w:type="dxa"/>
            <w:tcBorders>
              <w:top w:val="single" w:sz="4" w:space="0" w:color="auto"/>
            </w:tcBorders>
            <w:shd w:val="clear" w:color="auto" w:fill="FFFFFF"/>
            <w:vAlign w:val="center"/>
          </w:tcPr>
          <w:p w:rsidR="00F30C0A" w:rsidRPr="00EA6851" w:rsidRDefault="00F30C0A" w:rsidP="00DA37CC">
            <w:pPr>
              <w:spacing w:after="0" w:line="276" w:lineRule="auto"/>
              <w:jc w:val="center"/>
              <w:rPr>
                <w:bCs/>
                <w:iCs/>
                <w:sz w:val="18"/>
                <w:szCs w:val="18"/>
              </w:rPr>
            </w:pPr>
            <w:r w:rsidRPr="00EA6851">
              <w:rPr>
                <w:bCs/>
                <w:iCs/>
                <w:sz w:val="18"/>
                <w:szCs w:val="18"/>
              </w:rPr>
              <w:t>4 800</w:t>
            </w:r>
          </w:p>
        </w:tc>
        <w:tc>
          <w:tcPr>
            <w:tcW w:w="1307" w:type="dxa"/>
            <w:tcBorders>
              <w:top w:val="single" w:sz="4" w:space="0" w:color="auto"/>
            </w:tcBorders>
            <w:shd w:val="clear" w:color="auto" w:fill="FFFFFF"/>
            <w:vAlign w:val="center"/>
          </w:tcPr>
          <w:p w:rsidR="00F30C0A" w:rsidRPr="00EA6851" w:rsidRDefault="00F30C0A" w:rsidP="00DA37CC">
            <w:pPr>
              <w:spacing w:after="0" w:line="276" w:lineRule="auto"/>
              <w:jc w:val="center"/>
              <w:rPr>
                <w:bCs/>
                <w:iCs/>
                <w:sz w:val="18"/>
                <w:szCs w:val="18"/>
              </w:rPr>
            </w:pPr>
            <w:r w:rsidRPr="00EA6851">
              <w:rPr>
                <w:bCs/>
                <w:iCs/>
                <w:sz w:val="18"/>
                <w:szCs w:val="18"/>
              </w:rPr>
              <w:t>4 800</w:t>
            </w:r>
          </w:p>
        </w:tc>
        <w:tc>
          <w:tcPr>
            <w:tcW w:w="1181" w:type="dxa"/>
            <w:tcBorders>
              <w:top w:val="single" w:sz="4" w:space="0" w:color="auto"/>
            </w:tcBorders>
            <w:shd w:val="clear" w:color="auto" w:fill="FFFFFF"/>
            <w:vAlign w:val="center"/>
          </w:tcPr>
          <w:p w:rsidR="00F30C0A" w:rsidRPr="00EA6851" w:rsidRDefault="00F30C0A" w:rsidP="00DA37CC">
            <w:pPr>
              <w:spacing w:after="0" w:line="276" w:lineRule="auto"/>
              <w:jc w:val="center"/>
              <w:rPr>
                <w:bCs/>
                <w:iCs/>
                <w:sz w:val="18"/>
                <w:szCs w:val="18"/>
              </w:rPr>
            </w:pPr>
            <w:r w:rsidRPr="00EA6851">
              <w:rPr>
                <w:bCs/>
                <w:iCs/>
                <w:sz w:val="18"/>
                <w:szCs w:val="18"/>
              </w:rPr>
              <w:t>4 800</w:t>
            </w:r>
          </w:p>
        </w:tc>
      </w:tr>
      <w:tr w:rsidR="00F30C0A" w:rsidRPr="00EA6851" w:rsidTr="00DA37CC">
        <w:trPr>
          <w:trHeight w:val="150"/>
        </w:trPr>
        <w:tc>
          <w:tcPr>
            <w:tcW w:w="3301" w:type="dxa"/>
            <w:shd w:val="clear" w:color="auto" w:fill="FFFFFF"/>
          </w:tcPr>
          <w:p w:rsidR="00F30C0A" w:rsidRPr="00EA6851" w:rsidRDefault="00F30C0A" w:rsidP="00DA37CC">
            <w:pPr>
              <w:spacing w:after="0" w:line="276" w:lineRule="auto"/>
              <w:jc w:val="left"/>
              <w:rPr>
                <w:bCs/>
                <w:iCs/>
                <w:sz w:val="18"/>
                <w:szCs w:val="18"/>
              </w:rPr>
            </w:pPr>
            <w:r w:rsidRPr="00EA6851">
              <w:rPr>
                <w:bCs/>
                <w:iCs/>
                <w:sz w:val="18"/>
                <w:szCs w:val="18"/>
              </w:rPr>
              <w:t xml:space="preserve">2. Еднократна помощ при раждане на дете </w:t>
            </w:r>
          </w:p>
        </w:tc>
        <w:tc>
          <w:tcPr>
            <w:tcW w:w="1342" w:type="dxa"/>
            <w:shd w:val="clear" w:color="auto" w:fill="F2F2F2"/>
            <w:vAlign w:val="center"/>
          </w:tcPr>
          <w:p w:rsidR="00F30C0A" w:rsidRPr="00EA6851" w:rsidRDefault="00F30C0A" w:rsidP="00DA37CC">
            <w:pPr>
              <w:spacing w:after="0" w:line="276" w:lineRule="auto"/>
              <w:jc w:val="center"/>
              <w:rPr>
                <w:bCs/>
                <w:iCs/>
                <w:sz w:val="18"/>
                <w:szCs w:val="18"/>
              </w:rPr>
            </w:pPr>
            <w:r w:rsidRPr="00EA6851">
              <w:rPr>
                <w:bCs/>
                <w:iCs/>
                <w:sz w:val="18"/>
                <w:szCs w:val="18"/>
              </w:rPr>
              <w:t>Бр. деца</w:t>
            </w:r>
          </w:p>
        </w:tc>
        <w:tc>
          <w:tcPr>
            <w:tcW w:w="1172" w:type="dxa"/>
            <w:shd w:val="clear" w:color="auto" w:fill="FFFFFF"/>
            <w:vAlign w:val="center"/>
          </w:tcPr>
          <w:p w:rsidR="00F30C0A" w:rsidRPr="00EA6851" w:rsidRDefault="00F30C0A" w:rsidP="00DA37CC">
            <w:pPr>
              <w:spacing w:after="0" w:line="276" w:lineRule="auto"/>
              <w:jc w:val="center"/>
              <w:rPr>
                <w:bCs/>
                <w:iCs/>
                <w:sz w:val="18"/>
                <w:szCs w:val="18"/>
              </w:rPr>
            </w:pPr>
            <w:r w:rsidRPr="00EA6851">
              <w:rPr>
                <w:bCs/>
                <w:iCs/>
                <w:sz w:val="18"/>
                <w:szCs w:val="18"/>
              </w:rPr>
              <w:t>60 000</w:t>
            </w:r>
          </w:p>
        </w:tc>
        <w:tc>
          <w:tcPr>
            <w:tcW w:w="1273" w:type="dxa"/>
            <w:shd w:val="clear" w:color="auto" w:fill="FFFFFF"/>
            <w:vAlign w:val="center"/>
          </w:tcPr>
          <w:p w:rsidR="00F30C0A" w:rsidRPr="00EA6851" w:rsidRDefault="00F30C0A" w:rsidP="00DA37CC">
            <w:pPr>
              <w:spacing w:after="0" w:line="276" w:lineRule="auto"/>
              <w:jc w:val="center"/>
              <w:rPr>
                <w:bCs/>
                <w:iCs/>
                <w:sz w:val="18"/>
                <w:szCs w:val="18"/>
              </w:rPr>
            </w:pPr>
            <w:r w:rsidRPr="00EA6851">
              <w:rPr>
                <w:bCs/>
                <w:iCs/>
                <w:sz w:val="18"/>
                <w:szCs w:val="18"/>
              </w:rPr>
              <w:t>60 000</w:t>
            </w:r>
          </w:p>
        </w:tc>
        <w:tc>
          <w:tcPr>
            <w:tcW w:w="1307" w:type="dxa"/>
            <w:shd w:val="clear" w:color="auto" w:fill="FFFFFF"/>
            <w:vAlign w:val="center"/>
          </w:tcPr>
          <w:p w:rsidR="00F30C0A" w:rsidRPr="00EA6851" w:rsidRDefault="00F30C0A" w:rsidP="00DA37CC">
            <w:pPr>
              <w:spacing w:after="0" w:line="276" w:lineRule="auto"/>
              <w:jc w:val="center"/>
              <w:rPr>
                <w:bCs/>
                <w:iCs/>
                <w:sz w:val="18"/>
                <w:szCs w:val="18"/>
              </w:rPr>
            </w:pPr>
            <w:r w:rsidRPr="00EA6851">
              <w:rPr>
                <w:bCs/>
                <w:iCs/>
                <w:sz w:val="18"/>
                <w:szCs w:val="18"/>
              </w:rPr>
              <w:t>60 000</w:t>
            </w:r>
          </w:p>
        </w:tc>
        <w:tc>
          <w:tcPr>
            <w:tcW w:w="1181" w:type="dxa"/>
            <w:shd w:val="clear" w:color="auto" w:fill="FFFFFF"/>
            <w:vAlign w:val="center"/>
          </w:tcPr>
          <w:p w:rsidR="00F30C0A" w:rsidRPr="00EA6851" w:rsidRDefault="00F30C0A" w:rsidP="00DA37CC">
            <w:pPr>
              <w:spacing w:after="0" w:line="276" w:lineRule="auto"/>
              <w:jc w:val="center"/>
              <w:rPr>
                <w:bCs/>
                <w:iCs/>
                <w:sz w:val="18"/>
                <w:szCs w:val="18"/>
              </w:rPr>
            </w:pPr>
            <w:r w:rsidRPr="00EA6851">
              <w:rPr>
                <w:bCs/>
                <w:iCs/>
                <w:sz w:val="18"/>
                <w:szCs w:val="18"/>
              </w:rPr>
              <w:t>60 000</w:t>
            </w:r>
          </w:p>
        </w:tc>
      </w:tr>
      <w:tr w:rsidR="00F30C0A" w:rsidRPr="00EA6851" w:rsidTr="00DA37CC">
        <w:trPr>
          <w:trHeight w:val="544"/>
        </w:trPr>
        <w:tc>
          <w:tcPr>
            <w:tcW w:w="3301" w:type="dxa"/>
            <w:shd w:val="clear" w:color="auto" w:fill="FFFFFF"/>
          </w:tcPr>
          <w:p w:rsidR="00F30C0A" w:rsidRPr="00EA6851" w:rsidRDefault="00F30C0A" w:rsidP="00DA37CC">
            <w:pPr>
              <w:spacing w:after="0" w:line="276" w:lineRule="auto"/>
              <w:jc w:val="left"/>
              <w:rPr>
                <w:bCs/>
                <w:iCs/>
                <w:sz w:val="18"/>
                <w:szCs w:val="18"/>
              </w:rPr>
            </w:pPr>
            <w:r w:rsidRPr="00EA6851">
              <w:rPr>
                <w:bCs/>
                <w:iCs/>
                <w:sz w:val="18"/>
                <w:szCs w:val="18"/>
              </w:rPr>
              <w:t>3.Еднократна помощ за ученици по чл. 10а от Закона за семейни помощи за деца</w:t>
            </w:r>
          </w:p>
        </w:tc>
        <w:tc>
          <w:tcPr>
            <w:tcW w:w="1342" w:type="dxa"/>
            <w:shd w:val="clear" w:color="auto" w:fill="F2F2F2"/>
            <w:vAlign w:val="center"/>
          </w:tcPr>
          <w:p w:rsidR="00F30C0A" w:rsidRPr="00EA6851" w:rsidRDefault="00F30C0A" w:rsidP="00DA37CC">
            <w:pPr>
              <w:spacing w:after="0" w:line="276" w:lineRule="auto"/>
              <w:jc w:val="center"/>
              <w:rPr>
                <w:bCs/>
                <w:iCs/>
                <w:sz w:val="18"/>
                <w:szCs w:val="18"/>
              </w:rPr>
            </w:pPr>
            <w:r w:rsidRPr="00EA6851">
              <w:rPr>
                <w:bCs/>
                <w:iCs/>
                <w:sz w:val="18"/>
                <w:szCs w:val="18"/>
              </w:rPr>
              <w:t>Бр. деца</w:t>
            </w:r>
          </w:p>
        </w:tc>
        <w:tc>
          <w:tcPr>
            <w:tcW w:w="1172" w:type="dxa"/>
            <w:shd w:val="clear" w:color="auto" w:fill="FFFFFF"/>
            <w:vAlign w:val="center"/>
          </w:tcPr>
          <w:p w:rsidR="00F30C0A" w:rsidRPr="00EA6851" w:rsidRDefault="00C6149A" w:rsidP="00DA37CC">
            <w:pPr>
              <w:spacing w:after="0" w:line="276" w:lineRule="auto"/>
              <w:jc w:val="center"/>
              <w:rPr>
                <w:bCs/>
                <w:iCs/>
                <w:sz w:val="18"/>
                <w:szCs w:val="18"/>
              </w:rPr>
            </w:pPr>
            <w:r w:rsidRPr="00C6149A">
              <w:rPr>
                <w:bCs/>
                <w:iCs/>
                <w:sz w:val="18"/>
                <w:szCs w:val="18"/>
              </w:rPr>
              <w:t>208 000</w:t>
            </w:r>
          </w:p>
        </w:tc>
        <w:tc>
          <w:tcPr>
            <w:tcW w:w="1273" w:type="dxa"/>
            <w:shd w:val="clear" w:color="auto" w:fill="FFFFFF"/>
            <w:vAlign w:val="center"/>
          </w:tcPr>
          <w:p w:rsidR="00F30C0A" w:rsidRPr="00EA6851" w:rsidRDefault="00F30C0A" w:rsidP="00DA37CC">
            <w:pPr>
              <w:spacing w:after="0" w:line="276" w:lineRule="auto"/>
              <w:jc w:val="center"/>
              <w:rPr>
                <w:bCs/>
                <w:iCs/>
                <w:sz w:val="18"/>
                <w:szCs w:val="18"/>
              </w:rPr>
            </w:pPr>
            <w:r w:rsidRPr="00EA6851">
              <w:rPr>
                <w:bCs/>
                <w:iCs/>
                <w:sz w:val="18"/>
                <w:szCs w:val="18"/>
              </w:rPr>
              <w:t>208 000</w:t>
            </w:r>
          </w:p>
        </w:tc>
        <w:tc>
          <w:tcPr>
            <w:tcW w:w="1307" w:type="dxa"/>
            <w:shd w:val="clear" w:color="auto" w:fill="FFFFFF"/>
            <w:vAlign w:val="center"/>
          </w:tcPr>
          <w:p w:rsidR="00F30C0A" w:rsidRPr="00EA6851" w:rsidRDefault="00F30C0A" w:rsidP="00DA37CC">
            <w:pPr>
              <w:spacing w:after="0" w:line="276" w:lineRule="auto"/>
              <w:jc w:val="center"/>
              <w:rPr>
                <w:bCs/>
                <w:iCs/>
                <w:sz w:val="18"/>
                <w:szCs w:val="18"/>
              </w:rPr>
            </w:pPr>
            <w:r w:rsidRPr="00EA6851">
              <w:rPr>
                <w:bCs/>
                <w:iCs/>
                <w:sz w:val="18"/>
                <w:szCs w:val="18"/>
              </w:rPr>
              <w:t>208 000</w:t>
            </w:r>
          </w:p>
        </w:tc>
        <w:tc>
          <w:tcPr>
            <w:tcW w:w="1181" w:type="dxa"/>
            <w:shd w:val="clear" w:color="auto" w:fill="FFFFFF"/>
            <w:vAlign w:val="center"/>
          </w:tcPr>
          <w:p w:rsidR="00F30C0A" w:rsidRPr="00EA6851" w:rsidRDefault="00F30C0A" w:rsidP="00DA37CC">
            <w:pPr>
              <w:spacing w:after="0" w:line="276" w:lineRule="auto"/>
              <w:jc w:val="center"/>
              <w:rPr>
                <w:bCs/>
                <w:iCs/>
                <w:sz w:val="18"/>
                <w:szCs w:val="18"/>
              </w:rPr>
            </w:pPr>
            <w:r w:rsidRPr="00EA6851">
              <w:rPr>
                <w:bCs/>
                <w:iCs/>
                <w:sz w:val="18"/>
                <w:szCs w:val="18"/>
              </w:rPr>
              <w:t>208 000</w:t>
            </w:r>
          </w:p>
        </w:tc>
      </w:tr>
      <w:tr w:rsidR="00F30C0A" w:rsidRPr="00EA6851" w:rsidTr="00DA37CC">
        <w:trPr>
          <w:trHeight w:val="83"/>
        </w:trPr>
        <w:tc>
          <w:tcPr>
            <w:tcW w:w="3301" w:type="dxa"/>
            <w:shd w:val="clear" w:color="auto" w:fill="FFFFFF"/>
          </w:tcPr>
          <w:p w:rsidR="00F30C0A" w:rsidRPr="00EA6851" w:rsidRDefault="00F30C0A" w:rsidP="00DA37CC">
            <w:pPr>
              <w:spacing w:after="0" w:line="276" w:lineRule="auto"/>
              <w:jc w:val="left"/>
              <w:rPr>
                <w:bCs/>
                <w:iCs/>
                <w:sz w:val="18"/>
                <w:szCs w:val="18"/>
              </w:rPr>
            </w:pPr>
            <w:r w:rsidRPr="00EA6851">
              <w:rPr>
                <w:bCs/>
                <w:iCs/>
                <w:sz w:val="18"/>
                <w:szCs w:val="18"/>
              </w:rPr>
              <w:t>4. Еднократна помощ за ученици в осми клас</w:t>
            </w:r>
          </w:p>
        </w:tc>
        <w:tc>
          <w:tcPr>
            <w:tcW w:w="1342" w:type="dxa"/>
            <w:shd w:val="clear" w:color="auto" w:fill="F2F2F2"/>
            <w:vAlign w:val="center"/>
          </w:tcPr>
          <w:p w:rsidR="00F30C0A" w:rsidRPr="00EA6851" w:rsidRDefault="00F30C0A" w:rsidP="00DA37CC">
            <w:pPr>
              <w:spacing w:after="0" w:line="276" w:lineRule="auto"/>
              <w:jc w:val="center"/>
              <w:rPr>
                <w:bCs/>
                <w:iCs/>
                <w:sz w:val="18"/>
                <w:szCs w:val="18"/>
              </w:rPr>
            </w:pPr>
            <w:r w:rsidRPr="00EA6851">
              <w:rPr>
                <w:bCs/>
                <w:iCs/>
                <w:sz w:val="18"/>
                <w:szCs w:val="18"/>
              </w:rPr>
              <w:t>Бр. деца</w:t>
            </w:r>
          </w:p>
        </w:tc>
        <w:tc>
          <w:tcPr>
            <w:tcW w:w="1172" w:type="dxa"/>
            <w:shd w:val="clear" w:color="auto" w:fill="FFFFFF"/>
            <w:vAlign w:val="center"/>
          </w:tcPr>
          <w:p w:rsidR="00F30C0A" w:rsidRPr="00EA6851" w:rsidRDefault="00F30C0A" w:rsidP="00DA37CC">
            <w:pPr>
              <w:spacing w:after="0" w:line="276" w:lineRule="auto"/>
              <w:jc w:val="center"/>
              <w:rPr>
                <w:bCs/>
                <w:iCs/>
                <w:sz w:val="18"/>
                <w:szCs w:val="18"/>
              </w:rPr>
            </w:pPr>
            <w:r w:rsidRPr="00EA6851">
              <w:rPr>
                <w:bCs/>
                <w:iCs/>
                <w:sz w:val="18"/>
                <w:szCs w:val="18"/>
              </w:rPr>
              <w:t>50 000</w:t>
            </w:r>
          </w:p>
        </w:tc>
        <w:tc>
          <w:tcPr>
            <w:tcW w:w="1273" w:type="dxa"/>
            <w:shd w:val="clear" w:color="auto" w:fill="FFFFFF"/>
            <w:vAlign w:val="center"/>
          </w:tcPr>
          <w:p w:rsidR="00F30C0A" w:rsidRPr="00EA6851" w:rsidRDefault="00F30C0A" w:rsidP="00DA37CC">
            <w:pPr>
              <w:spacing w:after="0" w:line="276" w:lineRule="auto"/>
              <w:jc w:val="center"/>
              <w:rPr>
                <w:bCs/>
                <w:iCs/>
                <w:sz w:val="18"/>
                <w:szCs w:val="18"/>
              </w:rPr>
            </w:pPr>
            <w:r w:rsidRPr="00EA6851">
              <w:rPr>
                <w:bCs/>
                <w:iCs/>
                <w:sz w:val="18"/>
                <w:szCs w:val="18"/>
              </w:rPr>
              <w:t>50 000</w:t>
            </w:r>
          </w:p>
        </w:tc>
        <w:tc>
          <w:tcPr>
            <w:tcW w:w="1307" w:type="dxa"/>
            <w:shd w:val="clear" w:color="auto" w:fill="FFFFFF"/>
            <w:vAlign w:val="center"/>
          </w:tcPr>
          <w:p w:rsidR="00F30C0A" w:rsidRPr="00EA6851" w:rsidRDefault="00F30C0A" w:rsidP="00DA37CC">
            <w:pPr>
              <w:spacing w:after="0" w:line="276" w:lineRule="auto"/>
              <w:jc w:val="center"/>
              <w:rPr>
                <w:bCs/>
                <w:iCs/>
                <w:sz w:val="18"/>
                <w:szCs w:val="18"/>
              </w:rPr>
            </w:pPr>
            <w:r w:rsidRPr="00EA6851">
              <w:rPr>
                <w:bCs/>
                <w:iCs/>
                <w:sz w:val="18"/>
                <w:szCs w:val="18"/>
              </w:rPr>
              <w:t>50 000</w:t>
            </w:r>
          </w:p>
        </w:tc>
        <w:tc>
          <w:tcPr>
            <w:tcW w:w="1181" w:type="dxa"/>
            <w:shd w:val="clear" w:color="auto" w:fill="FFFFFF"/>
            <w:vAlign w:val="center"/>
          </w:tcPr>
          <w:p w:rsidR="00F30C0A" w:rsidRPr="00EA6851" w:rsidRDefault="00F30C0A" w:rsidP="00DA37CC">
            <w:pPr>
              <w:spacing w:after="0" w:line="276" w:lineRule="auto"/>
              <w:jc w:val="center"/>
              <w:rPr>
                <w:bCs/>
                <w:iCs/>
                <w:sz w:val="18"/>
                <w:szCs w:val="18"/>
              </w:rPr>
            </w:pPr>
            <w:r w:rsidRPr="00EA6851">
              <w:rPr>
                <w:bCs/>
                <w:iCs/>
                <w:sz w:val="18"/>
                <w:szCs w:val="18"/>
              </w:rPr>
              <w:t>50 000</w:t>
            </w:r>
          </w:p>
        </w:tc>
      </w:tr>
      <w:tr w:rsidR="00F30C0A" w:rsidRPr="00EA6851" w:rsidTr="00DA37CC">
        <w:trPr>
          <w:trHeight w:val="686"/>
        </w:trPr>
        <w:tc>
          <w:tcPr>
            <w:tcW w:w="3301" w:type="dxa"/>
            <w:shd w:val="clear" w:color="auto" w:fill="FFFFFF"/>
          </w:tcPr>
          <w:p w:rsidR="00F30C0A" w:rsidRPr="00EA6851" w:rsidRDefault="00F30C0A" w:rsidP="00DA37CC">
            <w:pPr>
              <w:spacing w:after="0" w:line="276" w:lineRule="auto"/>
              <w:jc w:val="left"/>
              <w:rPr>
                <w:bCs/>
                <w:iCs/>
                <w:sz w:val="18"/>
                <w:szCs w:val="18"/>
              </w:rPr>
            </w:pPr>
            <w:r w:rsidRPr="00EA6851">
              <w:rPr>
                <w:bCs/>
                <w:iCs/>
                <w:sz w:val="18"/>
                <w:szCs w:val="18"/>
              </w:rPr>
              <w:t>5. Месечни помощи за отглеждане на дете до завършване на средно образование, но не повече от 20-годишна възраст</w:t>
            </w:r>
          </w:p>
        </w:tc>
        <w:tc>
          <w:tcPr>
            <w:tcW w:w="1342" w:type="dxa"/>
            <w:shd w:val="clear" w:color="auto" w:fill="F2F2F2"/>
            <w:vAlign w:val="center"/>
          </w:tcPr>
          <w:p w:rsidR="00F30C0A" w:rsidRPr="00EA6851" w:rsidRDefault="00F30C0A" w:rsidP="00DA37CC">
            <w:pPr>
              <w:spacing w:after="0" w:line="276" w:lineRule="auto"/>
              <w:jc w:val="center"/>
              <w:rPr>
                <w:bCs/>
                <w:iCs/>
                <w:sz w:val="18"/>
                <w:szCs w:val="18"/>
              </w:rPr>
            </w:pPr>
            <w:r w:rsidRPr="00EA6851">
              <w:rPr>
                <w:bCs/>
                <w:iCs/>
                <w:sz w:val="18"/>
                <w:szCs w:val="18"/>
              </w:rPr>
              <w:t>Ср. мес. бр. деца</w:t>
            </w:r>
          </w:p>
        </w:tc>
        <w:tc>
          <w:tcPr>
            <w:tcW w:w="1172" w:type="dxa"/>
            <w:shd w:val="clear" w:color="auto" w:fill="FFFFFF"/>
            <w:vAlign w:val="center"/>
          </w:tcPr>
          <w:p w:rsidR="00F30C0A" w:rsidRPr="00EA6851" w:rsidRDefault="00F30C0A" w:rsidP="00DA37CC">
            <w:pPr>
              <w:spacing w:after="0" w:line="276" w:lineRule="auto"/>
              <w:jc w:val="center"/>
              <w:rPr>
                <w:bCs/>
                <w:iCs/>
                <w:sz w:val="18"/>
                <w:szCs w:val="18"/>
              </w:rPr>
            </w:pPr>
            <w:r w:rsidRPr="00EA6851">
              <w:rPr>
                <w:bCs/>
                <w:iCs/>
                <w:sz w:val="18"/>
                <w:szCs w:val="18"/>
              </w:rPr>
              <w:t>462 000</w:t>
            </w:r>
          </w:p>
        </w:tc>
        <w:tc>
          <w:tcPr>
            <w:tcW w:w="1273" w:type="dxa"/>
            <w:shd w:val="clear" w:color="auto" w:fill="FFFFFF"/>
            <w:vAlign w:val="center"/>
          </w:tcPr>
          <w:p w:rsidR="00F30C0A" w:rsidRPr="00EA6851" w:rsidRDefault="00040DFE" w:rsidP="00DA37CC">
            <w:pPr>
              <w:spacing w:after="0" w:line="276" w:lineRule="auto"/>
              <w:jc w:val="center"/>
              <w:rPr>
                <w:bCs/>
                <w:iCs/>
                <w:sz w:val="18"/>
                <w:szCs w:val="18"/>
              </w:rPr>
            </w:pPr>
            <w:r w:rsidRPr="00EA6851">
              <w:rPr>
                <w:bCs/>
                <w:iCs/>
                <w:sz w:val="18"/>
                <w:szCs w:val="18"/>
              </w:rPr>
              <w:t>42</w:t>
            </w:r>
            <w:r w:rsidR="00F30C0A" w:rsidRPr="00EA6851">
              <w:rPr>
                <w:bCs/>
                <w:iCs/>
                <w:sz w:val="18"/>
                <w:szCs w:val="18"/>
              </w:rPr>
              <w:t>2 000</w:t>
            </w:r>
          </w:p>
        </w:tc>
        <w:tc>
          <w:tcPr>
            <w:tcW w:w="1307" w:type="dxa"/>
            <w:shd w:val="clear" w:color="auto" w:fill="FFFFFF"/>
            <w:vAlign w:val="center"/>
          </w:tcPr>
          <w:p w:rsidR="00F30C0A" w:rsidRPr="00EA6851" w:rsidRDefault="00040DFE" w:rsidP="00DA37CC">
            <w:pPr>
              <w:spacing w:after="0" w:line="276" w:lineRule="auto"/>
              <w:jc w:val="center"/>
              <w:rPr>
                <w:bCs/>
                <w:iCs/>
                <w:sz w:val="18"/>
                <w:szCs w:val="18"/>
              </w:rPr>
            </w:pPr>
            <w:r w:rsidRPr="00EA6851">
              <w:rPr>
                <w:bCs/>
                <w:iCs/>
                <w:sz w:val="18"/>
                <w:szCs w:val="18"/>
              </w:rPr>
              <w:t>42</w:t>
            </w:r>
            <w:r w:rsidR="00F30C0A" w:rsidRPr="00EA6851">
              <w:rPr>
                <w:bCs/>
                <w:iCs/>
                <w:sz w:val="18"/>
                <w:szCs w:val="18"/>
              </w:rPr>
              <w:t>2 000</w:t>
            </w:r>
          </w:p>
        </w:tc>
        <w:tc>
          <w:tcPr>
            <w:tcW w:w="1181" w:type="dxa"/>
            <w:shd w:val="clear" w:color="auto" w:fill="FFFFFF"/>
            <w:vAlign w:val="center"/>
          </w:tcPr>
          <w:p w:rsidR="00F30C0A" w:rsidRPr="00EA6851" w:rsidRDefault="00040DFE" w:rsidP="00DA37CC">
            <w:pPr>
              <w:spacing w:after="0" w:line="276" w:lineRule="auto"/>
              <w:jc w:val="center"/>
              <w:rPr>
                <w:bCs/>
                <w:iCs/>
                <w:sz w:val="18"/>
                <w:szCs w:val="18"/>
              </w:rPr>
            </w:pPr>
            <w:r w:rsidRPr="00EA6851">
              <w:rPr>
                <w:bCs/>
                <w:iCs/>
                <w:sz w:val="18"/>
                <w:szCs w:val="18"/>
              </w:rPr>
              <w:t>42</w:t>
            </w:r>
            <w:r w:rsidR="00F30C0A" w:rsidRPr="00EA6851">
              <w:rPr>
                <w:bCs/>
                <w:iCs/>
                <w:sz w:val="18"/>
                <w:szCs w:val="18"/>
              </w:rPr>
              <w:t>2 000</w:t>
            </w:r>
          </w:p>
        </w:tc>
      </w:tr>
      <w:tr w:rsidR="00F30C0A" w:rsidRPr="00EA6851" w:rsidTr="00DA37CC">
        <w:trPr>
          <w:trHeight w:val="255"/>
        </w:trPr>
        <w:tc>
          <w:tcPr>
            <w:tcW w:w="3301" w:type="dxa"/>
            <w:shd w:val="clear" w:color="auto" w:fill="FFFFFF"/>
          </w:tcPr>
          <w:p w:rsidR="00F30C0A" w:rsidRPr="00EA6851" w:rsidRDefault="00F30C0A" w:rsidP="00DA37CC">
            <w:pPr>
              <w:spacing w:after="0" w:line="276" w:lineRule="auto"/>
              <w:jc w:val="left"/>
              <w:rPr>
                <w:bCs/>
                <w:iCs/>
                <w:sz w:val="18"/>
                <w:szCs w:val="18"/>
              </w:rPr>
            </w:pPr>
            <w:r w:rsidRPr="00EA6851">
              <w:rPr>
                <w:bCs/>
                <w:iCs/>
                <w:sz w:val="18"/>
                <w:szCs w:val="18"/>
              </w:rPr>
              <w:t xml:space="preserve">6. Месечни помощи за отглеждане на дете с трайно увреждане </w:t>
            </w:r>
          </w:p>
        </w:tc>
        <w:tc>
          <w:tcPr>
            <w:tcW w:w="1342" w:type="dxa"/>
            <w:shd w:val="clear" w:color="auto" w:fill="F2F2F2"/>
            <w:vAlign w:val="center"/>
          </w:tcPr>
          <w:p w:rsidR="00F30C0A" w:rsidRPr="00EA6851" w:rsidRDefault="00F30C0A" w:rsidP="00DA37CC">
            <w:pPr>
              <w:spacing w:after="0" w:line="276" w:lineRule="auto"/>
              <w:jc w:val="center"/>
              <w:rPr>
                <w:bCs/>
                <w:iCs/>
                <w:sz w:val="18"/>
                <w:szCs w:val="18"/>
              </w:rPr>
            </w:pPr>
            <w:r w:rsidRPr="00EA6851">
              <w:rPr>
                <w:bCs/>
                <w:iCs/>
                <w:sz w:val="18"/>
                <w:szCs w:val="18"/>
              </w:rPr>
              <w:t>Ср. мес. бр. случаи</w:t>
            </w:r>
          </w:p>
        </w:tc>
        <w:tc>
          <w:tcPr>
            <w:tcW w:w="1172" w:type="dxa"/>
            <w:shd w:val="clear" w:color="auto" w:fill="FFFFFF"/>
            <w:vAlign w:val="center"/>
          </w:tcPr>
          <w:p w:rsidR="00F30C0A" w:rsidRPr="00EA6851" w:rsidRDefault="00F30C0A" w:rsidP="00DA37CC">
            <w:pPr>
              <w:spacing w:after="0" w:line="276" w:lineRule="auto"/>
              <w:jc w:val="center"/>
              <w:rPr>
                <w:bCs/>
                <w:iCs/>
                <w:sz w:val="18"/>
                <w:szCs w:val="18"/>
              </w:rPr>
            </w:pPr>
            <w:r w:rsidRPr="00EA6851">
              <w:rPr>
                <w:bCs/>
                <w:iCs/>
                <w:sz w:val="18"/>
                <w:szCs w:val="18"/>
              </w:rPr>
              <w:t>27 000</w:t>
            </w:r>
          </w:p>
        </w:tc>
        <w:tc>
          <w:tcPr>
            <w:tcW w:w="1273" w:type="dxa"/>
            <w:shd w:val="clear" w:color="auto" w:fill="FFFFFF"/>
            <w:vAlign w:val="center"/>
          </w:tcPr>
          <w:p w:rsidR="00F30C0A" w:rsidRPr="00EA6851" w:rsidRDefault="00F30C0A" w:rsidP="00DA37CC">
            <w:pPr>
              <w:spacing w:after="0" w:line="276" w:lineRule="auto"/>
              <w:jc w:val="center"/>
              <w:rPr>
                <w:bCs/>
                <w:iCs/>
                <w:sz w:val="18"/>
                <w:szCs w:val="18"/>
              </w:rPr>
            </w:pPr>
            <w:r w:rsidRPr="00EA6851">
              <w:rPr>
                <w:bCs/>
                <w:iCs/>
                <w:sz w:val="18"/>
                <w:szCs w:val="18"/>
              </w:rPr>
              <w:t>27 000</w:t>
            </w:r>
          </w:p>
        </w:tc>
        <w:tc>
          <w:tcPr>
            <w:tcW w:w="1307" w:type="dxa"/>
            <w:shd w:val="clear" w:color="auto" w:fill="FFFFFF"/>
            <w:vAlign w:val="center"/>
          </w:tcPr>
          <w:p w:rsidR="00F30C0A" w:rsidRPr="00EA6851" w:rsidRDefault="00F30C0A" w:rsidP="00DA37CC">
            <w:pPr>
              <w:spacing w:after="0" w:line="276" w:lineRule="auto"/>
              <w:jc w:val="center"/>
              <w:rPr>
                <w:bCs/>
                <w:iCs/>
                <w:sz w:val="18"/>
                <w:szCs w:val="18"/>
              </w:rPr>
            </w:pPr>
            <w:r w:rsidRPr="00EA6851">
              <w:rPr>
                <w:bCs/>
                <w:iCs/>
                <w:sz w:val="18"/>
                <w:szCs w:val="18"/>
              </w:rPr>
              <w:t>27 000</w:t>
            </w:r>
          </w:p>
        </w:tc>
        <w:tc>
          <w:tcPr>
            <w:tcW w:w="1181" w:type="dxa"/>
            <w:shd w:val="clear" w:color="auto" w:fill="FFFFFF"/>
            <w:vAlign w:val="center"/>
          </w:tcPr>
          <w:p w:rsidR="00F30C0A" w:rsidRPr="00EA6851" w:rsidRDefault="00F30C0A" w:rsidP="00DA37CC">
            <w:pPr>
              <w:spacing w:after="0" w:line="276" w:lineRule="auto"/>
              <w:jc w:val="center"/>
              <w:rPr>
                <w:bCs/>
                <w:iCs/>
                <w:sz w:val="18"/>
                <w:szCs w:val="18"/>
              </w:rPr>
            </w:pPr>
            <w:r w:rsidRPr="00EA6851">
              <w:rPr>
                <w:bCs/>
                <w:iCs/>
                <w:sz w:val="18"/>
                <w:szCs w:val="18"/>
              </w:rPr>
              <w:t>27 000</w:t>
            </w:r>
          </w:p>
        </w:tc>
      </w:tr>
    </w:tbl>
    <w:p w:rsidR="00F30C0A" w:rsidRPr="00EA6851" w:rsidRDefault="00F30C0A" w:rsidP="00AF259D">
      <w:pPr>
        <w:ind w:right="396"/>
        <w:jc w:val="left"/>
        <w:rPr>
          <w:b/>
          <w:sz w:val="20"/>
          <w:szCs w:val="20"/>
        </w:rPr>
      </w:pPr>
    </w:p>
    <w:p w:rsidR="00AF259D" w:rsidRPr="00EA6851" w:rsidRDefault="00F30C0A" w:rsidP="00D557E8">
      <w:pPr>
        <w:ind w:right="396"/>
        <w:rPr>
          <w:rFonts w:eastAsia="Batang"/>
        </w:rPr>
      </w:pPr>
      <w:r w:rsidRPr="00EA6851">
        <w:rPr>
          <w:rFonts w:eastAsia="Batang"/>
        </w:rPr>
        <w:t xml:space="preserve">Децата са специфична уязвима група, в много по-голяма степен застрашени от риск от бедност и социално изключване, отколкото възрастните. Те са силно зависими от възрастните, с които живеят и не могат сами да осигурят своето съществуване. Отчитайки факторите, пораждащи бедност – безработица, ниско образование, ниски доходи и т.н., е от особена важност да се предотврати предаването на бедността между поколенията, да се намали възможността ограниченият достъп до пазара на труда и ниският образователен статус на родителите да се предаде на техните деца. </w:t>
      </w:r>
    </w:p>
    <w:p w:rsidR="00AF259D" w:rsidRPr="00EA6851" w:rsidRDefault="00AF259D" w:rsidP="00CA1DDD">
      <w:pPr>
        <w:pStyle w:val="Heading4"/>
      </w:pPr>
      <w:r w:rsidRPr="00EA6851">
        <w:t>Политика в областта на жизненото равнище, демографското развитие и социалните инвестиции</w:t>
      </w:r>
    </w:p>
    <w:p w:rsidR="00F30C0A" w:rsidRPr="00EA6851" w:rsidRDefault="00F30C0A" w:rsidP="00F30C0A">
      <w:pPr>
        <w:rPr>
          <w:rFonts w:eastAsia="Batang"/>
        </w:rPr>
      </w:pPr>
      <w:r w:rsidRPr="00EA6851">
        <w:rPr>
          <w:rFonts w:eastAsia="Batang"/>
        </w:rPr>
        <w:t>Политиката в областта на жизненото равнище, демографското развитие и социалните инвестиции се разработва в съответствие с приоритетите, заложени в Националната програма за развитие България 2030, Актуализираната Национална стратегия за демографско развитие на населението в Република България (2012-2030 г.) и е насочена към създаване на съвременни мерки, които да са хармонизирани с прилаганите политики на Европейския съюз за намаляване на бедността сред работещите, постигането на социална кохезия и създаването на равни възможности за пълноценен социален и продуктивен живот за всички социални групи от населението, което е в пълно съответствие с утвърдените практики в страните членки на ЕС за защита на доходите и жизнения стандарт на нископлатените работници и на „работещите бедни“, както и за прилагането на минимални стандарти за гарантиране на приемливо жизнено равнище. Посрещането на демографските предизвикателства има пряко значение за изпълнение на заложените приоритети. Повишаването на качествените параметри на възпроизводството на населението се превръща в основно предизвикателство пред демографската политика на страната в контекста на концепцията за устойчиво развитие в процеса на пълноправно европейско членство на България и изграждане на икономика, основана на знанията.</w:t>
      </w:r>
    </w:p>
    <w:p w:rsidR="00F30C0A" w:rsidRPr="00EA6851" w:rsidRDefault="00F30C0A" w:rsidP="00F30C0A">
      <w:pPr>
        <w:rPr>
          <w:rFonts w:eastAsia="Batang"/>
        </w:rPr>
      </w:pPr>
      <w:r w:rsidRPr="00EA6851">
        <w:rPr>
          <w:rFonts w:eastAsia="Batang"/>
        </w:rPr>
        <w:t>Социалната икономика и социалното предприемачество са израз на социалната ангажираност на държавата за стимулиране на предприемаческата активност на лица от уязвими групи. Политиката в тази област се осъществява в подкрепа на цифровия, социалния и зеления преход. Допринася за икономическата устойчивост на страната и социалната приобщеност на гражданите. Реализирането на дейности в областта на корпоративната социална отговорност, съвместно със заинтересованите страни от бизнеса, публичния и гражданския сектор осигурява важни ползи за предприятията по отношение на управлението на риска, спестяване на разходи, достъп до капитал, връзки с клиентите, управление на човешките ресурси, способност за иновации и се основава на ценности, върху които се гради по-сплотено и социално ангажирано общество. Дейностите в тази област допринасят за смекчаване на последиците от горепосочените преходи.</w:t>
      </w:r>
    </w:p>
    <w:p w:rsidR="00F30C0A" w:rsidRPr="00EA6851" w:rsidRDefault="00F30C0A" w:rsidP="00F30C0A">
      <w:pPr>
        <w:rPr>
          <w:rFonts w:eastAsia="Batang"/>
        </w:rPr>
      </w:pPr>
      <w:r w:rsidRPr="00EA6851">
        <w:rPr>
          <w:rFonts w:eastAsia="Batang"/>
        </w:rPr>
        <w:t xml:space="preserve">Приоритетите в областта на социалната икономика и корпоративната социална отговорност се реализират в изпълнение на Националната концепция за социална икономика, Закона за предприятията на социалната и солидарна икономика и Стратегията за корпоративна социална отговорност 2019-2023 г. </w:t>
      </w:r>
    </w:p>
    <w:p w:rsidR="00F30C0A" w:rsidRPr="00EA6851" w:rsidRDefault="00F30C0A" w:rsidP="00AF259D">
      <w:pPr>
        <w:rPr>
          <w:rFonts w:eastAsia="Batang"/>
        </w:rPr>
      </w:pPr>
      <w:r w:rsidRPr="00EA6851">
        <w:rPr>
          <w:rFonts w:eastAsia="Batang"/>
        </w:rPr>
        <w:t>Влезлият в сила Закон за предприятията на социалната и солидарна икономика, изпълнението на Плановете за действие по социална икономика, разработени на основание чл. 4.4 от Националната концепция за социална икономика, както и предстоящото разработване на Стратегия за корпоративна социална отговорност за периода 2024-2026 г. ще доведат до подобряване на качеството на живот на групи от населението чрез развитие на социалната икономика и чрез прозрачни, соци</w:t>
      </w:r>
      <w:r w:rsidR="00E96255" w:rsidRPr="00EA6851">
        <w:rPr>
          <w:rFonts w:eastAsia="Batang"/>
        </w:rPr>
        <w:t>ално</w:t>
      </w:r>
      <w:r w:rsidR="007F2F7C" w:rsidRPr="00EA6851">
        <w:rPr>
          <w:rFonts w:eastAsia="Batang"/>
        </w:rPr>
        <w:t>-</w:t>
      </w:r>
      <w:r w:rsidR="00E96255" w:rsidRPr="00EA6851">
        <w:rPr>
          <w:rFonts w:eastAsia="Batang"/>
        </w:rPr>
        <w:t xml:space="preserve"> отговорни бизнес практики.</w:t>
      </w:r>
    </w:p>
    <w:p w:rsidR="00F30C0A" w:rsidRPr="00EA6851" w:rsidRDefault="00AF259D" w:rsidP="00AF259D">
      <w:pPr>
        <w:ind w:right="396"/>
        <w:rPr>
          <w:b/>
          <w:sz w:val="20"/>
          <w:szCs w:val="20"/>
          <w:highlight w:val="yellow"/>
        </w:rPr>
      </w:pPr>
      <w:r w:rsidRPr="00EA6851">
        <w:rPr>
          <w:b/>
          <w:sz w:val="20"/>
          <w:szCs w:val="20"/>
        </w:rPr>
        <w:t>КЛЮЧОВИ ИНДИКАТОРИ ЗА ИЗПЪЛНЕНИЕ И ЦЕЛЕВИ СТОЙНОСТИ</w:t>
      </w:r>
    </w:p>
    <w:tbl>
      <w:tblPr>
        <w:tblW w:w="5083" w:type="pct"/>
        <w:jc w:val="center"/>
        <w:shd w:val="clear" w:color="auto" w:fill="FFFFFF" w:themeFill="background1"/>
        <w:tblCellMar>
          <w:left w:w="70" w:type="dxa"/>
          <w:right w:w="70" w:type="dxa"/>
        </w:tblCellMar>
        <w:tblLook w:val="0000" w:firstRow="0" w:lastRow="0" w:firstColumn="0" w:lastColumn="0" w:noHBand="0" w:noVBand="0"/>
      </w:tblPr>
      <w:tblGrid>
        <w:gridCol w:w="3421"/>
        <w:gridCol w:w="1215"/>
        <w:gridCol w:w="920"/>
        <w:gridCol w:w="1151"/>
        <w:gridCol w:w="1179"/>
        <w:gridCol w:w="1335"/>
      </w:tblGrid>
      <w:tr w:rsidR="00F30C0A" w:rsidRPr="00EA6851" w:rsidTr="005C237B">
        <w:trPr>
          <w:trHeight w:val="255"/>
          <w:tblHeader/>
          <w:jc w:val="center"/>
        </w:trPr>
        <w:tc>
          <w:tcPr>
            <w:tcW w:w="3420" w:type="dxa"/>
            <w:tcBorders>
              <w:top w:val="single" w:sz="4" w:space="0" w:color="auto"/>
            </w:tcBorders>
            <w:shd w:val="clear" w:color="auto" w:fill="FFFFFF" w:themeFill="background1"/>
            <w:vAlign w:val="center"/>
          </w:tcPr>
          <w:p w:rsidR="00F30C0A" w:rsidRPr="00EA6851" w:rsidRDefault="00F30C0A" w:rsidP="00DA37CC">
            <w:pPr>
              <w:spacing w:after="0" w:line="276" w:lineRule="auto"/>
              <w:jc w:val="center"/>
              <w:rPr>
                <w:b/>
                <w:bCs/>
                <w:i/>
                <w:iCs/>
                <w:sz w:val="18"/>
                <w:szCs w:val="18"/>
              </w:rPr>
            </w:pPr>
            <w:r w:rsidRPr="00EA6851">
              <w:rPr>
                <w:b/>
                <w:bCs/>
                <w:i/>
                <w:iCs/>
                <w:sz w:val="18"/>
                <w:szCs w:val="18"/>
              </w:rPr>
              <w:t>Политика в областта на жизненото равнище, демографското развитие и социалните инвестиции</w:t>
            </w:r>
          </w:p>
        </w:tc>
        <w:tc>
          <w:tcPr>
            <w:tcW w:w="1215" w:type="dxa"/>
            <w:vMerge w:val="restart"/>
            <w:tcBorders>
              <w:top w:val="single" w:sz="4" w:space="0" w:color="auto"/>
            </w:tcBorders>
            <w:shd w:val="clear" w:color="auto" w:fill="F2F2F2" w:themeFill="background1" w:themeFillShade="F2"/>
            <w:vAlign w:val="center"/>
          </w:tcPr>
          <w:p w:rsidR="00F30C0A" w:rsidRPr="00EA6851" w:rsidRDefault="00F30C0A" w:rsidP="00DA37CC">
            <w:pPr>
              <w:spacing w:after="0" w:line="276" w:lineRule="auto"/>
              <w:jc w:val="center"/>
              <w:rPr>
                <w:b/>
                <w:bCs/>
                <w:iCs/>
                <w:sz w:val="18"/>
                <w:szCs w:val="18"/>
              </w:rPr>
            </w:pPr>
            <w:r w:rsidRPr="00EA6851">
              <w:rPr>
                <w:b/>
                <w:bCs/>
                <w:iCs/>
                <w:sz w:val="18"/>
                <w:szCs w:val="18"/>
              </w:rPr>
              <w:t>Мерна единица</w:t>
            </w:r>
          </w:p>
        </w:tc>
        <w:tc>
          <w:tcPr>
            <w:tcW w:w="4585" w:type="dxa"/>
            <w:gridSpan w:val="4"/>
            <w:tcBorders>
              <w:top w:val="single" w:sz="4" w:space="0" w:color="auto"/>
              <w:bottom w:val="single" w:sz="4" w:space="0" w:color="auto"/>
            </w:tcBorders>
            <w:shd w:val="clear" w:color="auto" w:fill="FFFFFF" w:themeFill="background1"/>
            <w:vAlign w:val="center"/>
          </w:tcPr>
          <w:p w:rsidR="00F30C0A" w:rsidRPr="00EA6851" w:rsidRDefault="00F30C0A" w:rsidP="00DA37CC">
            <w:pPr>
              <w:spacing w:after="0" w:line="276" w:lineRule="auto"/>
              <w:ind w:left="162" w:hanging="162"/>
              <w:jc w:val="center"/>
              <w:rPr>
                <w:b/>
                <w:bCs/>
                <w:iCs/>
                <w:sz w:val="18"/>
                <w:szCs w:val="18"/>
              </w:rPr>
            </w:pPr>
            <w:r w:rsidRPr="00EA6851">
              <w:rPr>
                <w:b/>
                <w:bCs/>
                <w:iCs/>
                <w:sz w:val="18"/>
                <w:szCs w:val="18"/>
              </w:rPr>
              <w:t>Целева стойност</w:t>
            </w:r>
          </w:p>
        </w:tc>
      </w:tr>
      <w:tr w:rsidR="00F30C0A" w:rsidRPr="00EA6851" w:rsidTr="005C237B">
        <w:trPr>
          <w:trHeight w:val="450"/>
          <w:tblHeader/>
          <w:jc w:val="center"/>
        </w:trPr>
        <w:tc>
          <w:tcPr>
            <w:tcW w:w="3420" w:type="dxa"/>
            <w:tcBorders>
              <w:bottom w:val="single" w:sz="4" w:space="0" w:color="auto"/>
            </w:tcBorders>
            <w:shd w:val="clear" w:color="auto" w:fill="FFFFFF" w:themeFill="background1"/>
            <w:vAlign w:val="center"/>
          </w:tcPr>
          <w:p w:rsidR="00F30C0A" w:rsidRPr="00EA6851" w:rsidRDefault="00F30C0A" w:rsidP="00DA37CC">
            <w:pPr>
              <w:spacing w:after="0" w:line="276" w:lineRule="auto"/>
              <w:jc w:val="center"/>
              <w:rPr>
                <w:b/>
                <w:bCs/>
                <w:iCs/>
                <w:sz w:val="18"/>
                <w:szCs w:val="18"/>
              </w:rPr>
            </w:pPr>
            <w:r w:rsidRPr="00EA6851">
              <w:rPr>
                <w:b/>
                <w:bCs/>
                <w:iCs/>
                <w:sz w:val="18"/>
                <w:szCs w:val="18"/>
              </w:rPr>
              <w:t>Наименование на индикатора</w:t>
            </w:r>
          </w:p>
        </w:tc>
        <w:tc>
          <w:tcPr>
            <w:tcW w:w="1215" w:type="dxa"/>
            <w:vMerge/>
            <w:tcBorders>
              <w:bottom w:val="single" w:sz="4" w:space="0" w:color="auto"/>
            </w:tcBorders>
            <w:shd w:val="clear" w:color="auto" w:fill="F2F2F2" w:themeFill="background1" w:themeFillShade="F2"/>
            <w:vAlign w:val="center"/>
          </w:tcPr>
          <w:p w:rsidR="00F30C0A" w:rsidRPr="00EA6851" w:rsidRDefault="00F30C0A" w:rsidP="00DA37CC">
            <w:pPr>
              <w:spacing w:after="0" w:line="276" w:lineRule="auto"/>
              <w:jc w:val="center"/>
              <w:rPr>
                <w:b/>
                <w:bCs/>
                <w:i/>
                <w:iCs/>
                <w:sz w:val="18"/>
                <w:szCs w:val="18"/>
              </w:rPr>
            </w:pPr>
          </w:p>
        </w:tc>
        <w:tc>
          <w:tcPr>
            <w:tcW w:w="920" w:type="dxa"/>
            <w:tcBorders>
              <w:top w:val="single" w:sz="4" w:space="0" w:color="auto"/>
              <w:bottom w:val="single" w:sz="4" w:space="0" w:color="auto"/>
            </w:tcBorders>
            <w:shd w:val="clear" w:color="auto" w:fill="FFFFFF" w:themeFill="background1"/>
            <w:vAlign w:val="center"/>
          </w:tcPr>
          <w:p w:rsidR="00F30C0A" w:rsidRPr="00EA6851" w:rsidRDefault="00F30C0A" w:rsidP="00DA37CC">
            <w:pPr>
              <w:spacing w:after="0" w:line="276" w:lineRule="auto"/>
              <w:jc w:val="center"/>
              <w:rPr>
                <w:b/>
                <w:bCs/>
                <w:i/>
                <w:iCs/>
                <w:sz w:val="18"/>
                <w:szCs w:val="18"/>
              </w:rPr>
            </w:pPr>
            <w:r w:rsidRPr="00EA6851">
              <w:rPr>
                <w:b/>
                <w:bCs/>
                <w:i/>
                <w:iCs/>
                <w:sz w:val="18"/>
                <w:szCs w:val="18"/>
              </w:rPr>
              <w:t>Програма</w:t>
            </w:r>
          </w:p>
          <w:p w:rsidR="00F30C0A" w:rsidRPr="00EA6851" w:rsidRDefault="00F30C0A" w:rsidP="00DA37CC">
            <w:pPr>
              <w:spacing w:after="0" w:line="276" w:lineRule="auto"/>
              <w:jc w:val="center"/>
              <w:rPr>
                <w:b/>
                <w:bCs/>
                <w:i/>
                <w:iCs/>
                <w:sz w:val="18"/>
                <w:szCs w:val="18"/>
              </w:rPr>
            </w:pPr>
            <w:r w:rsidRPr="00EA6851">
              <w:rPr>
                <w:b/>
                <w:bCs/>
                <w:i/>
                <w:iCs/>
                <w:sz w:val="18"/>
                <w:szCs w:val="18"/>
              </w:rPr>
              <w:t>2023 г.</w:t>
            </w:r>
          </w:p>
        </w:tc>
        <w:tc>
          <w:tcPr>
            <w:tcW w:w="1151" w:type="dxa"/>
            <w:tcBorders>
              <w:top w:val="single" w:sz="4" w:space="0" w:color="auto"/>
              <w:bottom w:val="single" w:sz="4" w:space="0" w:color="auto"/>
            </w:tcBorders>
            <w:shd w:val="clear" w:color="auto" w:fill="FFFFFF" w:themeFill="background1"/>
            <w:vAlign w:val="center"/>
          </w:tcPr>
          <w:p w:rsidR="00F30C0A" w:rsidRPr="00EA6851" w:rsidRDefault="00F30C0A" w:rsidP="00DA37CC">
            <w:pPr>
              <w:spacing w:after="0" w:line="276" w:lineRule="auto"/>
              <w:jc w:val="center"/>
              <w:rPr>
                <w:b/>
                <w:bCs/>
                <w:i/>
                <w:iCs/>
                <w:sz w:val="18"/>
                <w:szCs w:val="18"/>
              </w:rPr>
            </w:pPr>
            <w:r w:rsidRPr="00EA6851">
              <w:rPr>
                <w:b/>
                <w:bCs/>
                <w:i/>
                <w:iCs/>
                <w:sz w:val="18"/>
                <w:szCs w:val="18"/>
              </w:rPr>
              <w:t>Проект</w:t>
            </w:r>
          </w:p>
          <w:p w:rsidR="00F30C0A" w:rsidRPr="00EA6851" w:rsidRDefault="00F30C0A" w:rsidP="00DA37CC">
            <w:pPr>
              <w:spacing w:after="0" w:line="276" w:lineRule="auto"/>
              <w:jc w:val="center"/>
              <w:rPr>
                <w:b/>
                <w:bCs/>
                <w:i/>
                <w:iCs/>
                <w:sz w:val="18"/>
                <w:szCs w:val="18"/>
              </w:rPr>
            </w:pPr>
            <w:r w:rsidRPr="00EA6851">
              <w:rPr>
                <w:b/>
                <w:bCs/>
                <w:i/>
                <w:iCs/>
                <w:sz w:val="18"/>
                <w:szCs w:val="18"/>
              </w:rPr>
              <w:t>2024 г.</w:t>
            </w:r>
          </w:p>
        </w:tc>
        <w:tc>
          <w:tcPr>
            <w:tcW w:w="1179" w:type="dxa"/>
            <w:tcBorders>
              <w:top w:val="single" w:sz="4" w:space="0" w:color="auto"/>
              <w:bottom w:val="single" w:sz="4" w:space="0" w:color="auto"/>
            </w:tcBorders>
            <w:shd w:val="clear" w:color="auto" w:fill="FFFFFF" w:themeFill="background1"/>
            <w:vAlign w:val="center"/>
          </w:tcPr>
          <w:p w:rsidR="00F30C0A" w:rsidRPr="00EA6851" w:rsidRDefault="00F30C0A" w:rsidP="00DA37CC">
            <w:pPr>
              <w:spacing w:after="0" w:line="276" w:lineRule="auto"/>
              <w:jc w:val="center"/>
              <w:rPr>
                <w:b/>
                <w:bCs/>
                <w:i/>
                <w:iCs/>
                <w:sz w:val="18"/>
                <w:szCs w:val="18"/>
              </w:rPr>
            </w:pPr>
            <w:r w:rsidRPr="00EA6851">
              <w:rPr>
                <w:b/>
                <w:bCs/>
                <w:i/>
                <w:iCs/>
                <w:sz w:val="18"/>
                <w:szCs w:val="18"/>
              </w:rPr>
              <w:t>Прогноза</w:t>
            </w:r>
          </w:p>
          <w:p w:rsidR="00F30C0A" w:rsidRPr="00EA6851" w:rsidRDefault="00F30C0A" w:rsidP="00DA37CC">
            <w:pPr>
              <w:spacing w:after="0" w:line="276" w:lineRule="auto"/>
              <w:jc w:val="center"/>
              <w:rPr>
                <w:b/>
                <w:bCs/>
                <w:i/>
                <w:iCs/>
                <w:sz w:val="18"/>
                <w:szCs w:val="18"/>
              </w:rPr>
            </w:pPr>
            <w:r w:rsidRPr="00EA6851">
              <w:rPr>
                <w:b/>
                <w:bCs/>
                <w:i/>
                <w:iCs/>
                <w:sz w:val="18"/>
                <w:szCs w:val="18"/>
              </w:rPr>
              <w:t>2025 г.</w:t>
            </w:r>
          </w:p>
        </w:tc>
        <w:tc>
          <w:tcPr>
            <w:tcW w:w="1335" w:type="dxa"/>
            <w:tcBorders>
              <w:top w:val="single" w:sz="4" w:space="0" w:color="auto"/>
              <w:bottom w:val="single" w:sz="4" w:space="0" w:color="auto"/>
            </w:tcBorders>
            <w:shd w:val="clear" w:color="auto" w:fill="FFFFFF" w:themeFill="background1"/>
            <w:vAlign w:val="center"/>
          </w:tcPr>
          <w:p w:rsidR="00F30C0A" w:rsidRPr="00EA6851" w:rsidRDefault="00F30C0A" w:rsidP="00DA37CC">
            <w:pPr>
              <w:spacing w:after="0" w:line="276" w:lineRule="auto"/>
              <w:jc w:val="center"/>
              <w:rPr>
                <w:b/>
                <w:bCs/>
                <w:i/>
                <w:iCs/>
                <w:sz w:val="18"/>
                <w:szCs w:val="18"/>
              </w:rPr>
            </w:pPr>
            <w:r w:rsidRPr="00EA6851">
              <w:rPr>
                <w:b/>
                <w:bCs/>
                <w:i/>
                <w:iCs/>
                <w:sz w:val="18"/>
                <w:szCs w:val="18"/>
              </w:rPr>
              <w:t>Прогноза</w:t>
            </w:r>
          </w:p>
          <w:p w:rsidR="00F30C0A" w:rsidRPr="00EA6851" w:rsidRDefault="00F30C0A" w:rsidP="00DA37CC">
            <w:pPr>
              <w:spacing w:after="0" w:line="276" w:lineRule="auto"/>
              <w:jc w:val="center"/>
              <w:rPr>
                <w:b/>
                <w:bCs/>
                <w:i/>
                <w:iCs/>
                <w:sz w:val="18"/>
                <w:szCs w:val="18"/>
              </w:rPr>
            </w:pPr>
            <w:r w:rsidRPr="00EA6851">
              <w:rPr>
                <w:b/>
                <w:bCs/>
                <w:i/>
                <w:iCs/>
                <w:sz w:val="18"/>
                <w:szCs w:val="18"/>
              </w:rPr>
              <w:t>2026 г.</w:t>
            </w:r>
          </w:p>
        </w:tc>
      </w:tr>
      <w:tr w:rsidR="00F30C0A" w:rsidRPr="00EA6851" w:rsidTr="005C237B">
        <w:trPr>
          <w:trHeight w:val="229"/>
          <w:jc w:val="center"/>
        </w:trPr>
        <w:tc>
          <w:tcPr>
            <w:tcW w:w="3420" w:type="dxa"/>
            <w:tcBorders>
              <w:top w:val="single" w:sz="4" w:space="0" w:color="auto"/>
            </w:tcBorders>
            <w:shd w:val="clear" w:color="auto" w:fill="FFFFFF" w:themeFill="background1"/>
          </w:tcPr>
          <w:p w:rsidR="00F30C0A" w:rsidRPr="00EA6851" w:rsidRDefault="00F30C0A" w:rsidP="00DA37CC">
            <w:pPr>
              <w:spacing w:after="0" w:line="276" w:lineRule="auto"/>
              <w:jc w:val="left"/>
              <w:rPr>
                <w:bCs/>
                <w:iCs/>
                <w:sz w:val="18"/>
                <w:szCs w:val="18"/>
              </w:rPr>
            </w:pPr>
            <w:r w:rsidRPr="00EA6851">
              <w:rPr>
                <w:bCs/>
                <w:iCs/>
                <w:sz w:val="18"/>
                <w:szCs w:val="18"/>
              </w:rPr>
              <w:t>1. Коефициент на Джини</w:t>
            </w:r>
          </w:p>
        </w:tc>
        <w:tc>
          <w:tcPr>
            <w:tcW w:w="1215" w:type="dxa"/>
            <w:tcBorders>
              <w:top w:val="single" w:sz="4" w:space="0" w:color="auto"/>
            </w:tcBorders>
            <w:shd w:val="clear" w:color="auto" w:fill="F2F2F2" w:themeFill="background1" w:themeFillShade="F2"/>
            <w:vAlign w:val="center"/>
          </w:tcPr>
          <w:p w:rsidR="00F30C0A" w:rsidRPr="00EA6851" w:rsidRDefault="00F30C0A" w:rsidP="00DA37CC">
            <w:pPr>
              <w:spacing w:after="0" w:line="276" w:lineRule="auto"/>
              <w:jc w:val="center"/>
              <w:rPr>
                <w:bCs/>
                <w:iCs/>
                <w:sz w:val="18"/>
                <w:szCs w:val="18"/>
              </w:rPr>
            </w:pPr>
            <w:r w:rsidRPr="00EA6851">
              <w:rPr>
                <w:bCs/>
                <w:iCs/>
                <w:sz w:val="18"/>
                <w:szCs w:val="18"/>
              </w:rPr>
              <w:t>Варира от 0 до 100</w:t>
            </w:r>
          </w:p>
        </w:tc>
        <w:tc>
          <w:tcPr>
            <w:tcW w:w="920" w:type="dxa"/>
            <w:tcBorders>
              <w:top w:val="single" w:sz="4" w:space="0" w:color="auto"/>
            </w:tcBorders>
            <w:shd w:val="clear" w:color="auto" w:fill="FFFFFF" w:themeFill="background1"/>
            <w:vAlign w:val="center"/>
          </w:tcPr>
          <w:p w:rsidR="00F30C0A" w:rsidRPr="00EA6851" w:rsidRDefault="00F30C0A" w:rsidP="00DA37CC">
            <w:pPr>
              <w:spacing w:after="0" w:line="276" w:lineRule="auto"/>
              <w:jc w:val="center"/>
              <w:rPr>
                <w:bCs/>
                <w:iCs/>
                <w:sz w:val="18"/>
                <w:szCs w:val="18"/>
              </w:rPr>
            </w:pPr>
            <w:r w:rsidRPr="00EA6851">
              <w:rPr>
                <w:bCs/>
                <w:iCs/>
                <w:sz w:val="18"/>
                <w:szCs w:val="18"/>
              </w:rPr>
              <w:t>39,4</w:t>
            </w:r>
          </w:p>
        </w:tc>
        <w:tc>
          <w:tcPr>
            <w:tcW w:w="1151" w:type="dxa"/>
            <w:tcBorders>
              <w:top w:val="single" w:sz="4" w:space="0" w:color="auto"/>
            </w:tcBorders>
            <w:shd w:val="clear" w:color="auto" w:fill="FFFFFF" w:themeFill="background1"/>
            <w:vAlign w:val="center"/>
          </w:tcPr>
          <w:p w:rsidR="00F30C0A" w:rsidRPr="00EA6851" w:rsidRDefault="00F30C0A" w:rsidP="00DA37CC">
            <w:pPr>
              <w:spacing w:after="0" w:line="276" w:lineRule="auto"/>
              <w:jc w:val="center"/>
              <w:rPr>
                <w:bCs/>
                <w:iCs/>
                <w:sz w:val="18"/>
                <w:szCs w:val="18"/>
              </w:rPr>
            </w:pPr>
            <w:r w:rsidRPr="00EA6851">
              <w:rPr>
                <w:bCs/>
                <w:iCs/>
                <w:sz w:val="18"/>
                <w:szCs w:val="18"/>
              </w:rPr>
              <w:t>38,4</w:t>
            </w:r>
          </w:p>
        </w:tc>
        <w:tc>
          <w:tcPr>
            <w:tcW w:w="1179" w:type="dxa"/>
            <w:tcBorders>
              <w:top w:val="single" w:sz="4" w:space="0" w:color="auto"/>
            </w:tcBorders>
            <w:shd w:val="clear" w:color="auto" w:fill="FFFFFF" w:themeFill="background1"/>
            <w:vAlign w:val="center"/>
          </w:tcPr>
          <w:p w:rsidR="00F30C0A" w:rsidRPr="00EA6851" w:rsidRDefault="00F30C0A" w:rsidP="00DA37CC">
            <w:pPr>
              <w:spacing w:after="0" w:line="276" w:lineRule="auto"/>
              <w:jc w:val="center"/>
              <w:rPr>
                <w:bCs/>
                <w:iCs/>
                <w:sz w:val="18"/>
                <w:szCs w:val="18"/>
              </w:rPr>
            </w:pPr>
            <w:r w:rsidRPr="00EA6851">
              <w:rPr>
                <w:bCs/>
                <w:iCs/>
                <w:sz w:val="18"/>
                <w:szCs w:val="18"/>
              </w:rPr>
              <w:t>38,3</w:t>
            </w:r>
          </w:p>
        </w:tc>
        <w:tc>
          <w:tcPr>
            <w:tcW w:w="1335" w:type="dxa"/>
            <w:tcBorders>
              <w:top w:val="single" w:sz="4" w:space="0" w:color="auto"/>
            </w:tcBorders>
            <w:shd w:val="clear" w:color="auto" w:fill="FFFFFF" w:themeFill="background1"/>
            <w:vAlign w:val="center"/>
          </w:tcPr>
          <w:p w:rsidR="00F30C0A" w:rsidRPr="00EA6851" w:rsidRDefault="00F30C0A" w:rsidP="00DA37CC">
            <w:pPr>
              <w:spacing w:after="0" w:line="276" w:lineRule="auto"/>
              <w:jc w:val="center"/>
              <w:rPr>
                <w:bCs/>
                <w:iCs/>
                <w:sz w:val="18"/>
                <w:szCs w:val="18"/>
              </w:rPr>
            </w:pPr>
            <w:r w:rsidRPr="00EA6851">
              <w:rPr>
                <w:bCs/>
                <w:iCs/>
                <w:sz w:val="18"/>
                <w:szCs w:val="18"/>
              </w:rPr>
              <w:t>38,2</w:t>
            </w:r>
          </w:p>
        </w:tc>
      </w:tr>
      <w:tr w:rsidR="00F30C0A" w:rsidRPr="00EA6851" w:rsidTr="005C237B">
        <w:trPr>
          <w:trHeight w:val="80"/>
          <w:jc w:val="center"/>
        </w:trPr>
        <w:tc>
          <w:tcPr>
            <w:tcW w:w="3420" w:type="dxa"/>
            <w:tcBorders>
              <w:bottom w:val="single" w:sz="4" w:space="0" w:color="auto"/>
            </w:tcBorders>
            <w:shd w:val="clear" w:color="auto" w:fill="FFFFFF" w:themeFill="background1"/>
          </w:tcPr>
          <w:p w:rsidR="00F30C0A" w:rsidRPr="00EA6851" w:rsidRDefault="00F30C0A" w:rsidP="00DA37CC">
            <w:pPr>
              <w:spacing w:after="0" w:line="276" w:lineRule="auto"/>
              <w:jc w:val="left"/>
              <w:rPr>
                <w:bCs/>
                <w:iCs/>
                <w:sz w:val="18"/>
                <w:szCs w:val="18"/>
              </w:rPr>
            </w:pPr>
            <w:r w:rsidRPr="00EA6851">
              <w:rPr>
                <w:bCs/>
                <w:iCs/>
                <w:sz w:val="18"/>
                <w:szCs w:val="18"/>
              </w:rPr>
              <w:t>2. Разработен набор от практически мерки на базата на утвърдената Национална концепция за социална икономика</w:t>
            </w:r>
          </w:p>
        </w:tc>
        <w:tc>
          <w:tcPr>
            <w:tcW w:w="1215" w:type="dxa"/>
            <w:tcBorders>
              <w:bottom w:val="single" w:sz="4" w:space="0" w:color="auto"/>
            </w:tcBorders>
            <w:shd w:val="clear" w:color="auto" w:fill="F2F2F2" w:themeFill="background1" w:themeFillShade="F2"/>
            <w:vAlign w:val="center"/>
          </w:tcPr>
          <w:p w:rsidR="00F30C0A" w:rsidRPr="00EA6851" w:rsidRDefault="00F30C0A" w:rsidP="00DA37CC">
            <w:pPr>
              <w:spacing w:after="0" w:line="276" w:lineRule="auto"/>
              <w:jc w:val="center"/>
              <w:rPr>
                <w:bCs/>
                <w:iCs/>
                <w:sz w:val="18"/>
                <w:szCs w:val="18"/>
              </w:rPr>
            </w:pPr>
            <w:r w:rsidRPr="00EA6851">
              <w:rPr>
                <w:bCs/>
                <w:iCs/>
                <w:sz w:val="18"/>
                <w:szCs w:val="18"/>
              </w:rPr>
              <w:t>Брой</w:t>
            </w:r>
          </w:p>
        </w:tc>
        <w:tc>
          <w:tcPr>
            <w:tcW w:w="920" w:type="dxa"/>
            <w:tcBorders>
              <w:bottom w:val="single" w:sz="4" w:space="0" w:color="auto"/>
            </w:tcBorders>
            <w:shd w:val="clear" w:color="auto" w:fill="FFFFFF" w:themeFill="background1"/>
            <w:vAlign w:val="center"/>
          </w:tcPr>
          <w:p w:rsidR="00F30C0A" w:rsidRPr="00EA6851" w:rsidRDefault="00F30C0A" w:rsidP="00DA37CC">
            <w:pPr>
              <w:spacing w:after="0" w:line="276" w:lineRule="auto"/>
              <w:jc w:val="center"/>
              <w:rPr>
                <w:bCs/>
                <w:iCs/>
                <w:sz w:val="18"/>
                <w:szCs w:val="18"/>
              </w:rPr>
            </w:pPr>
            <w:r w:rsidRPr="00EA6851">
              <w:rPr>
                <w:bCs/>
                <w:iCs/>
                <w:sz w:val="18"/>
                <w:szCs w:val="18"/>
              </w:rPr>
              <w:t>1</w:t>
            </w:r>
          </w:p>
        </w:tc>
        <w:tc>
          <w:tcPr>
            <w:tcW w:w="1151" w:type="dxa"/>
            <w:tcBorders>
              <w:bottom w:val="single" w:sz="4" w:space="0" w:color="auto"/>
            </w:tcBorders>
            <w:shd w:val="clear" w:color="auto" w:fill="FFFFFF" w:themeFill="background1"/>
            <w:vAlign w:val="center"/>
          </w:tcPr>
          <w:p w:rsidR="00F30C0A" w:rsidRPr="00EA6851" w:rsidRDefault="00F30C0A" w:rsidP="00DA37CC">
            <w:pPr>
              <w:spacing w:after="0" w:line="276" w:lineRule="auto"/>
              <w:jc w:val="center"/>
              <w:rPr>
                <w:bCs/>
                <w:iCs/>
                <w:sz w:val="18"/>
                <w:szCs w:val="18"/>
              </w:rPr>
            </w:pPr>
            <w:r w:rsidRPr="00EA6851">
              <w:rPr>
                <w:bCs/>
                <w:iCs/>
                <w:sz w:val="18"/>
                <w:szCs w:val="18"/>
              </w:rPr>
              <w:t>1</w:t>
            </w:r>
          </w:p>
        </w:tc>
        <w:tc>
          <w:tcPr>
            <w:tcW w:w="1179" w:type="dxa"/>
            <w:tcBorders>
              <w:bottom w:val="single" w:sz="4" w:space="0" w:color="auto"/>
            </w:tcBorders>
            <w:shd w:val="clear" w:color="auto" w:fill="FFFFFF" w:themeFill="background1"/>
            <w:vAlign w:val="center"/>
          </w:tcPr>
          <w:p w:rsidR="00F30C0A" w:rsidRPr="00EA6851" w:rsidRDefault="00F30C0A" w:rsidP="00DA37CC">
            <w:pPr>
              <w:spacing w:after="0" w:line="276" w:lineRule="auto"/>
              <w:jc w:val="center"/>
              <w:rPr>
                <w:bCs/>
                <w:iCs/>
                <w:sz w:val="18"/>
                <w:szCs w:val="18"/>
              </w:rPr>
            </w:pPr>
            <w:r w:rsidRPr="00EA6851">
              <w:rPr>
                <w:bCs/>
                <w:iCs/>
                <w:sz w:val="18"/>
                <w:szCs w:val="18"/>
              </w:rPr>
              <w:t>1</w:t>
            </w:r>
          </w:p>
        </w:tc>
        <w:tc>
          <w:tcPr>
            <w:tcW w:w="1335" w:type="dxa"/>
            <w:tcBorders>
              <w:bottom w:val="single" w:sz="4" w:space="0" w:color="auto"/>
            </w:tcBorders>
            <w:shd w:val="clear" w:color="auto" w:fill="FFFFFF" w:themeFill="background1"/>
            <w:vAlign w:val="center"/>
          </w:tcPr>
          <w:p w:rsidR="00F30C0A" w:rsidRPr="00EA6851" w:rsidRDefault="00F30C0A" w:rsidP="00DA37CC">
            <w:pPr>
              <w:spacing w:after="0" w:line="276" w:lineRule="auto"/>
              <w:jc w:val="center"/>
              <w:rPr>
                <w:bCs/>
                <w:iCs/>
                <w:sz w:val="18"/>
                <w:szCs w:val="18"/>
              </w:rPr>
            </w:pPr>
            <w:r w:rsidRPr="00EA6851">
              <w:rPr>
                <w:bCs/>
                <w:iCs/>
                <w:sz w:val="18"/>
                <w:szCs w:val="18"/>
              </w:rPr>
              <w:t>1</w:t>
            </w:r>
          </w:p>
        </w:tc>
      </w:tr>
    </w:tbl>
    <w:p w:rsidR="00F30C0A" w:rsidRPr="00EA6851" w:rsidRDefault="00F30C0A" w:rsidP="00AF259D">
      <w:pPr>
        <w:ind w:right="396"/>
        <w:rPr>
          <w:b/>
          <w:sz w:val="20"/>
          <w:szCs w:val="20"/>
          <w:highlight w:val="yellow"/>
        </w:rPr>
      </w:pPr>
    </w:p>
    <w:p w:rsidR="00F30C0A" w:rsidRPr="00EA6851" w:rsidRDefault="00F30C0A" w:rsidP="00CA1DDD">
      <w:pPr>
        <w:rPr>
          <w:rFonts w:eastAsia="Batang"/>
        </w:rPr>
      </w:pPr>
      <w:r w:rsidRPr="00EA6851">
        <w:rPr>
          <w:rFonts w:eastAsia="Batang"/>
        </w:rPr>
        <w:t>Изборът на ключовите индикатори е предопределен от необходимостта за адекватна информационна осигуреност на политиката с оглед поддържането на обществената дискусия по тези важни за обществото ни теми, както и постигането на консенсус за политиките, които са необходими за постигане на качествен обрат.</w:t>
      </w:r>
    </w:p>
    <w:p w:rsidR="00E927FC" w:rsidRPr="00EA6851" w:rsidRDefault="00E927FC" w:rsidP="00E927FC">
      <w:pPr>
        <w:pStyle w:val="Heading3"/>
        <w:ind w:left="0"/>
      </w:pPr>
      <w:r w:rsidRPr="00EA6851">
        <w:t>Здравна политика</w:t>
      </w:r>
    </w:p>
    <w:p w:rsidR="002B6C7A" w:rsidRPr="00EA6851" w:rsidRDefault="002B6C7A" w:rsidP="002B6C7A">
      <w:pPr>
        <w:rPr>
          <w:rFonts w:eastAsia="Times New Roman" w:cs="Times New Roman"/>
        </w:rPr>
      </w:pPr>
      <w:r w:rsidRPr="00EA6851">
        <w:rPr>
          <w:rFonts w:eastAsia="Times New Roman" w:cs="Times New Roman"/>
        </w:rPr>
        <w:t xml:space="preserve">Политиката в областта на здравеопазването е насочена към продължаване на усилията за подобряване на ефективността и удовлетвореността на гражданите от функционирането на сектора. За периода 2024-2026 г. продължава финансирането на основни направления, както следва: </w:t>
      </w:r>
    </w:p>
    <w:p w:rsidR="002B6C7A" w:rsidRPr="00EA6851" w:rsidRDefault="002B6C7A" w:rsidP="00B30642">
      <w:pPr>
        <w:numPr>
          <w:ilvl w:val="0"/>
          <w:numId w:val="16"/>
        </w:numPr>
        <w:rPr>
          <w:rFonts w:eastAsia="Times New Roman" w:cs="Times New Roman"/>
        </w:rPr>
      </w:pPr>
      <w:r w:rsidRPr="00EA6851">
        <w:rPr>
          <w:rFonts w:eastAsia="Times New Roman" w:cs="Times New Roman"/>
        </w:rPr>
        <w:t xml:space="preserve">Опазване на здравето на гражданите като състояние на физическо, психическо и социално благополучие; </w:t>
      </w:r>
    </w:p>
    <w:p w:rsidR="002B6C7A" w:rsidRPr="00EA6851" w:rsidRDefault="002B6C7A" w:rsidP="00B30642">
      <w:pPr>
        <w:numPr>
          <w:ilvl w:val="0"/>
          <w:numId w:val="16"/>
        </w:numPr>
        <w:rPr>
          <w:rFonts w:eastAsia="Times New Roman" w:cs="Times New Roman"/>
        </w:rPr>
      </w:pPr>
      <w:r w:rsidRPr="00EA6851">
        <w:rPr>
          <w:rFonts w:eastAsia="Times New Roman" w:cs="Times New Roman"/>
        </w:rPr>
        <w:t>Осигуряване на финансова стабилност и обезпеченост на здравната система чрез дългосрочен, устойчив и предвидим механизъм на финансиране, основан на здравни резултати;</w:t>
      </w:r>
    </w:p>
    <w:p w:rsidR="002B6C7A" w:rsidRPr="00EA6851" w:rsidRDefault="002B6C7A" w:rsidP="00B30642">
      <w:pPr>
        <w:numPr>
          <w:ilvl w:val="0"/>
          <w:numId w:val="16"/>
        </w:numPr>
        <w:rPr>
          <w:rFonts w:eastAsia="Times New Roman" w:cs="Times New Roman"/>
        </w:rPr>
      </w:pPr>
      <w:r w:rsidRPr="00EA6851">
        <w:rPr>
          <w:rFonts w:eastAsia="Times New Roman" w:cs="Times New Roman"/>
        </w:rPr>
        <w:t>Повишаване качеството и достъпността на здравите услуги с акцент върху превенцията и лечението на социално-значими заболявания;</w:t>
      </w:r>
    </w:p>
    <w:p w:rsidR="002B6C7A" w:rsidRPr="00EA6851" w:rsidRDefault="002B6C7A" w:rsidP="00B30642">
      <w:pPr>
        <w:numPr>
          <w:ilvl w:val="0"/>
          <w:numId w:val="16"/>
        </w:numPr>
        <w:rPr>
          <w:rFonts w:eastAsia="Times New Roman" w:cs="Times New Roman"/>
        </w:rPr>
      </w:pPr>
      <w:r w:rsidRPr="00EA6851">
        <w:rPr>
          <w:rFonts w:eastAsia="Times New Roman" w:cs="Times New Roman"/>
        </w:rPr>
        <w:t>Осигуряване на здравна закрила на деца, бременни и лица с физически увреждания и психически разстройства;</w:t>
      </w:r>
    </w:p>
    <w:p w:rsidR="002B6C7A" w:rsidRPr="00EA6851" w:rsidRDefault="002B6C7A" w:rsidP="00B30642">
      <w:pPr>
        <w:numPr>
          <w:ilvl w:val="0"/>
          <w:numId w:val="16"/>
        </w:numPr>
        <w:rPr>
          <w:rFonts w:eastAsia="Times New Roman" w:cs="Times New Roman"/>
        </w:rPr>
      </w:pPr>
      <w:r w:rsidRPr="00EA6851">
        <w:rPr>
          <w:rFonts w:eastAsia="Times New Roman" w:cs="Times New Roman"/>
        </w:rPr>
        <w:t>Развитие на капацитета за спешна помощ и реагиране при извънредни ситуации;</w:t>
      </w:r>
    </w:p>
    <w:p w:rsidR="002B6C7A" w:rsidRPr="00EA6851" w:rsidRDefault="002B6C7A" w:rsidP="00B30642">
      <w:pPr>
        <w:numPr>
          <w:ilvl w:val="0"/>
          <w:numId w:val="16"/>
        </w:numPr>
        <w:rPr>
          <w:rFonts w:eastAsia="Times New Roman" w:cs="Times New Roman"/>
        </w:rPr>
      </w:pPr>
      <w:r w:rsidRPr="00EA6851">
        <w:rPr>
          <w:rFonts w:eastAsia="Times New Roman" w:cs="Times New Roman"/>
        </w:rPr>
        <w:t>По-добро планиране и мотивиране на работната сила в сектора на здравеопазването;</w:t>
      </w:r>
    </w:p>
    <w:p w:rsidR="002B6C7A" w:rsidRPr="00EA6851" w:rsidRDefault="002B6C7A" w:rsidP="00B30642">
      <w:pPr>
        <w:numPr>
          <w:ilvl w:val="0"/>
          <w:numId w:val="16"/>
        </w:numPr>
        <w:rPr>
          <w:rFonts w:eastAsia="Times New Roman" w:cs="Times New Roman"/>
        </w:rPr>
      </w:pPr>
      <w:r w:rsidRPr="00EA6851">
        <w:rPr>
          <w:rFonts w:eastAsia="Times New Roman" w:cs="Times New Roman"/>
        </w:rPr>
        <w:t>Развитие на електронното здравеопазване и дигитализация на здравната система.</w:t>
      </w:r>
    </w:p>
    <w:p w:rsidR="00040DFE" w:rsidRPr="00EA6851" w:rsidRDefault="00040DFE" w:rsidP="00040DFE">
      <w:pPr>
        <w:rPr>
          <w:rFonts w:eastAsia="Times New Roman" w:cs="Times New Roman"/>
        </w:rPr>
      </w:pPr>
      <w:r w:rsidRPr="00EA6851">
        <w:rPr>
          <w:rFonts w:eastAsia="Times New Roman" w:cs="Times New Roman"/>
        </w:rPr>
        <w:t>В областта на здравеопазването са разчетени допълнителни средства с цел осигуряване в годишен размер на увеличените възнаграждения на персонала в системата на Министерството на здравеопазването – за Центровете за спешна медицинска помощ и за Регионалните здравни инспекции, считано от 1 август 2023 г.</w:t>
      </w:r>
      <w:r w:rsidR="007F2F7C" w:rsidRPr="00EA6851">
        <w:rPr>
          <w:rFonts w:eastAsia="Times New Roman" w:cs="Times New Roman"/>
        </w:rPr>
        <w:t>,</w:t>
      </w:r>
      <w:r w:rsidRPr="00EA6851">
        <w:rPr>
          <w:rFonts w:eastAsia="Times New Roman" w:cs="Times New Roman"/>
        </w:rPr>
        <w:t xml:space="preserve"> и дължимите средства за социално-битово и културно обслужване за персонала в размер на 68,8 млн. лв.</w:t>
      </w:r>
    </w:p>
    <w:p w:rsidR="00040DFE" w:rsidRPr="00EA6851" w:rsidRDefault="00040DFE" w:rsidP="00040DFE">
      <w:pPr>
        <w:rPr>
          <w:rFonts w:eastAsia="Times New Roman" w:cs="Times New Roman"/>
        </w:rPr>
      </w:pPr>
      <w:r w:rsidRPr="00EA6851">
        <w:rPr>
          <w:rFonts w:eastAsia="Times New Roman" w:cs="Times New Roman"/>
        </w:rPr>
        <w:t xml:space="preserve">За организационно и финансово подпомагане на български граждани за извършване на дейности по асистирана репродукция при лица с безплодие, лечимо преди всичко с методите на асистирани репродуктивни техники са осигурени допълнително 2,0 млн. лв. </w:t>
      </w:r>
    </w:p>
    <w:p w:rsidR="00040DFE" w:rsidRPr="00EA6851" w:rsidRDefault="00040DFE" w:rsidP="00040DFE">
      <w:pPr>
        <w:rPr>
          <w:rFonts w:eastAsia="Times New Roman" w:cs="Times New Roman"/>
        </w:rPr>
      </w:pPr>
      <w:r w:rsidRPr="00EA6851">
        <w:rPr>
          <w:rFonts w:eastAsia="Times New Roman" w:cs="Times New Roman"/>
        </w:rPr>
        <w:t>Приоритет в областта на здравеопазването е осигуряване на ресурс за закупуване на ваксини за задължителни имунизации и реимунизации по Имунизационния календар на Република България за 2024 г., с цел гарантиране на устойчивост и непрекъснатост на имунизационния процес и превенция на здравето на българските граждани от ваксинопредотвратими заболявания, при отчитане на европейски и национални препоръки за ваксинация, постоянно развиващите се иновативни технологии при разработване на ваксините за повишаване на тяхната ефективност и безопасност, както и развитието на имунизационната политика в България в съответствие с тази на държавите</w:t>
      </w:r>
      <w:r w:rsidR="007F2F7C" w:rsidRPr="00EA6851">
        <w:rPr>
          <w:rFonts w:eastAsia="Times New Roman" w:cs="Times New Roman"/>
        </w:rPr>
        <w:t>-</w:t>
      </w:r>
      <w:r w:rsidRPr="00EA6851">
        <w:rPr>
          <w:rFonts w:eastAsia="Times New Roman" w:cs="Times New Roman"/>
        </w:rPr>
        <w:t>членки на ЕС. За целта в проектобюджета на Министерството на здравеопазването за 2024 г. са предвидени допълнително 15,0 млн. лв.</w:t>
      </w:r>
    </w:p>
    <w:p w:rsidR="00040DFE" w:rsidRPr="00EA6851" w:rsidRDefault="00040DFE" w:rsidP="00040DFE">
      <w:pPr>
        <w:rPr>
          <w:rFonts w:eastAsia="Times New Roman" w:cs="Times New Roman"/>
        </w:rPr>
      </w:pPr>
      <w:r w:rsidRPr="00EA6851">
        <w:rPr>
          <w:rFonts w:eastAsia="Times New Roman" w:cs="Times New Roman"/>
        </w:rPr>
        <w:t>За осигуряване на лекарствени продукти, предназначени за лечението на инфекциозни заболявания (ХИВ инфекция и туберкулоза) във връзка с ежегодното увеличаване на броя регистрирани пациенти с ХИВ и включването на терапия с еднотаблетен режим са предвидени допълнително 10,0 млн.</w:t>
      </w:r>
      <w:r w:rsidR="00F4157D" w:rsidRPr="00EA6851">
        <w:rPr>
          <w:rFonts w:eastAsia="Times New Roman" w:cs="Times New Roman"/>
        </w:rPr>
        <w:t xml:space="preserve"> </w:t>
      </w:r>
      <w:r w:rsidRPr="00EA6851">
        <w:rPr>
          <w:rFonts w:eastAsia="Times New Roman" w:cs="Times New Roman"/>
        </w:rPr>
        <w:t xml:space="preserve">лв. </w:t>
      </w:r>
    </w:p>
    <w:p w:rsidR="00040DFE" w:rsidRDefault="00040DFE" w:rsidP="00040DFE">
      <w:pPr>
        <w:rPr>
          <w:rFonts w:eastAsia="Times New Roman" w:cs="Times New Roman"/>
        </w:rPr>
      </w:pPr>
      <w:r w:rsidRPr="00EA6851">
        <w:rPr>
          <w:rFonts w:eastAsia="Times New Roman" w:cs="Times New Roman"/>
        </w:rPr>
        <w:t xml:space="preserve">В проекта на бюджет на </w:t>
      </w:r>
      <w:r w:rsidRPr="0030405E">
        <w:rPr>
          <w:rFonts w:eastAsia="Times New Roman" w:cs="Times New Roman"/>
          <w:b/>
        </w:rPr>
        <w:t>Министерството на здравеопазването</w:t>
      </w:r>
      <w:r w:rsidRPr="00EA6851">
        <w:rPr>
          <w:rFonts w:eastAsia="Times New Roman" w:cs="Times New Roman"/>
        </w:rPr>
        <w:t xml:space="preserve"> за 2024 г. са осигурени допълнителни субсидии за лечебни заведения за болнична помощ в размер на 60,0 млн. лв. за изпълнение на държавната политика за защита и опазване живота и здравето на гражданите в съответната област за оказване на медицинска помощ при извънредни ситуации, аварии и катастрофи, включително основно за осигуряване на трудови възнаграждения на персонала и на оперативни разходи за снабдяване с електрическа и/или топлинна енергия, и/или с природен газ и за водоснабдяване в изпъ</w:t>
      </w:r>
      <w:r w:rsidR="006827E4">
        <w:rPr>
          <w:rFonts w:eastAsia="Times New Roman" w:cs="Times New Roman"/>
        </w:rPr>
        <w:t>л</w:t>
      </w:r>
      <w:r w:rsidRPr="00EA6851">
        <w:rPr>
          <w:rFonts w:eastAsia="Times New Roman" w:cs="Times New Roman"/>
        </w:rPr>
        <w:t>нение на чл. 106а, ал.</w:t>
      </w:r>
      <w:r w:rsidR="002B1C4C" w:rsidRPr="00EA6851">
        <w:rPr>
          <w:rFonts w:eastAsia="Times New Roman" w:cs="Times New Roman"/>
        </w:rPr>
        <w:t xml:space="preserve"> </w:t>
      </w:r>
      <w:r w:rsidRPr="00EA6851">
        <w:rPr>
          <w:rFonts w:eastAsia="Times New Roman" w:cs="Times New Roman"/>
        </w:rPr>
        <w:t>5б от Закона за лечебните заведения.</w:t>
      </w:r>
    </w:p>
    <w:p w:rsidR="00C6149A" w:rsidRDefault="00C6149A" w:rsidP="00040DFE">
      <w:pPr>
        <w:rPr>
          <w:rFonts w:eastAsia="Times New Roman" w:cs="Times New Roman"/>
        </w:rPr>
      </w:pPr>
      <w:r w:rsidRPr="00C6149A">
        <w:rPr>
          <w:rFonts w:eastAsia="Times New Roman" w:cs="Times New Roman"/>
        </w:rPr>
        <w:t xml:space="preserve">За допълнителна финансова подкрепа за повишаване готовността на </w:t>
      </w:r>
      <w:r w:rsidRPr="00175C08">
        <w:rPr>
          <w:rFonts w:eastAsia="Times New Roman" w:cs="Times New Roman"/>
        </w:rPr>
        <w:t>Българския Червен кръст</w:t>
      </w:r>
      <w:r w:rsidRPr="00C6149A">
        <w:rPr>
          <w:rFonts w:eastAsia="Times New Roman" w:cs="Times New Roman"/>
        </w:rPr>
        <w:t xml:space="preserve"> за реакция при бедствени и кризисни ситуации, при които да партнира пълноценно на държавата на национално и регионално ниво със своите областни структури с добре обучени аварийни екипи, планински спасители, доброволци и специалисти са предвидени допълнително </w:t>
      </w:r>
      <w:r w:rsidR="00313BCB">
        <w:rPr>
          <w:rFonts w:eastAsia="Times New Roman" w:cs="Times New Roman"/>
        </w:rPr>
        <w:t>3,8</w:t>
      </w:r>
      <w:r w:rsidRPr="00C6149A">
        <w:rPr>
          <w:rFonts w:eastAsia="Times New Roman" w:cs="Times New Roman"/>
        </w:rPr>
        <w:t xml:space="preserve"> млн.</w:t>
      </w:r>
      <w:r w:rsidR="006827E4">
        <w:rPr>
          <w:rFonts w:eastAsia="Times New Roman" w:cs="Times New Roman"/>
        </w:rPr>
        <w:t xml:space="preserve"> </w:t>
      </w:r>
      <w:r w:rsidRPr="00C6149A">
        <w:rPr>
          <w:rFonts w:eastAsia="Times New Roman" w:cs="Times New Roman"/>
        </w:rPr>
        <w:t>лв.</w:t>
      </w:r>
      <w:r w:rsidR="00A05D88" w:rsidRPr="00A05D88">
        <w:rPr>
          <w:rFonts w:eastAsia="Times New Roman" w:cs="Times New Roman"/>
        </w:rPr>
        <w:t xml:space="preserve"> С разчетения допълнителен ресурс достигнатата субсидия от държавния бюджет за Планинската спасителна служба при БЧК възлиза на 2,6 млн.</w:t>
      </w:r>
      <w:r w:rsidR="006827E4">
        <w:rPr>
          <w:rFonts w:eastAsia="Times New Roman" w:cs="Times New Roman"/>
        </w:rPr>
        <w:t xml:space="preserve"> </w:t>
      </w:r>
      <w:r w:rsidR="00A05D88" w:rsidRPr="00A05D88">
        <w:rPr>
          <w:rFonts w:eastAsia="Times New Roman" w:cs="Times New Roman"/>
        </w:rPr>
        <w:t>лв.</w:t>
      </w:r>
    </w:p>
    <w:p w:rsidR="00313BCB" w:rsidRPr="00313BCB" w:rsidRDefault="00313BCB" w:rsidP="00313BCB">
      <w:pPr>
        <w:rPr>
          <w:rFonts w:eastAsia="Times New Roman" w:cs="Times New Roman"/>
        </w:rPr>
      </w:pPr>
      <w:r w:rsidRPr="00313BCB">
        <w:rPr>
          <w:rFonts w:eastAsia="Times New Roman" w:cs="Times New Roman"/>
        </w:rPr>
        <w:t>За организирането и провеждането на скрининг на заболявания</w:t>
      </w:r>
      <w:r>
        <w:rPr>
          <w:rFonts w:eastAsia="Times New Roman" w:cs="Times New Roman"/>
        </w:rPr>
        <w:t>,</w:t>
      </w:r>
      <w:r w:rsidRPr="00313BCB">
        <w:rPr>
          <w:rFonts w:eastAsia="Times New Roman" w:cs="Times New Roman"/>
        </w:rPr>
        <w:t xml:space="preserve"> свързани с детското здраве и репродуктивното здраве на жените - неонатален скрининг и скрининг на злокачествени новообразувания на шийката на матката, като средство, спомагащо за ранната диагноза на определени заболявания, които имат тежко протичане и сериозно здравно-социално значение</w:t>
      </w:r>
      <w:r w:rsidR="00071830">
        <w:rPr>
          <w:rFonts w:eastAsia="Times New Roman" w:cs="Times New Roman"/>
        </w:rPr>
        <w:t>,</w:t>
      </w:r>
      <w:r w:rsidRPr="00313BCB">
        <w:rPr>
          <w:rFonts w:eastAsia="Times New Roman" w:cs="Times New Roman"/>
        </w:rPr>
        <w:t xml:space="preserve"> е предвиден допълнител</w:t>
      </w:r>
      <w:r w:rsidR="00724E76">
        <w:rPr>
          <w:rFonts w:eastAsia="Times New Roman" w:cs="Times New Roman"/>
        </w:rPr>
        <w:t>ен финансов ресурс в размер на 1</w:t>
      </w:r>
      <w:r w:rsidRPr="00313BCB">
        <w:rPr>
          <w:rFonts w:eastAsia="Times New Roman" w:cs="Times New Roman"/>
        </w:rPr>
        <w:t>5,0 млн.</w:t>
      </w:r>
      <w:r>
        <w:rPr>
          <w:rFonts w:eastAsia="Times New Roman" w:cs="Times New Roman"/>
        </w:rPr>
        <w:t xml:space="preserve"> </w:t>
      </w:r>
      <w:r w:rsidRPr="00313BCB">
        <w:rPr>
          <w:rFonts w:eastAsia="Times New Roman" w:cs="Times New Roman"/>
        </w:rPr>
        <w:t>лв.</w:t>
      </w:r>
    </w:p>
    <w:p w:rsidR="00040DFE" w:rsidRPr="00EA6851" w:rsidRDefault="00040DFE" w:rsidP="00040DFE">
      <w:pPr>
        <w:rPr>
          <w:rFonts w:eastAsia="Times New Roman" w:cs="Times New Roman"/>
        </w:rPr>
      </w:pPr>
      <w:r w:rsidRPr="00EA6851">
        <w:rPr>
          <w:rFonts w:eastAsia="Times New Roman" w:cs="Times New Roman"/>
        </w:rPr>
        <w:t xml:space="preserve">Предвиден е и допълнителен трансфер към </w:t>
      </w:r>
      <w:r w:rsidRPr="0030405E">
        <w:rPr>
          <w:rFonts w:eastAsia="Times New Roman" w:cs="Times New Roman"/>
          <w:b/>
        </w:rPr>
        <w:t xml:space="preserve">НЗОК </w:t>
      </w:r>
      <w:r w:rsidRPr="00EA6851">
        <w:rPr>
          <w:rFonts w:eastAsia="Times New Roman" w:cs="Times New Roman"/>
        </w:rPr>
        <w:t>за 2024 г. за осигуряване на помощни средства, приспособления, съоръжения и медицински изделия за хората с увреждания, извън обхвата на задължителното здравно осигуряване в размер на 12,0 млн.</w:t>
      </w:r>
      <w:r w:rsidR="00F4157D" w:rsidRPr="00EA6851">
        <w:rPr>
          <w:rFonts w:eastAsia="Times New Roman" w:cs="Times New Roman"/>
        </w:rPr>
        <w:t xml:space="preserve"> </w:t>
      </w:r>
      <w:r w:rsidRPr="00EA6851">
        <w:rPr>
          <w:rFonts w:eastAsia="Times New Roman" w:cs="Times New Roman"/>
        </w:rPr>
        <w:t>лв.</w:t>
      </w:r>
    </w:p>
    <w:p w:rsidR="00000E19" w:rsidRPr="00EA6851" w:rsidRDefault="00000E19" w:rsidP="00000E19">
      <w:pPr>
        <w:rPr>
          <w:rFonts w:eastAsia="Times New Roman" w:cs="Times New Roman"/>
        </w:rPr>
      </w:pPr>
      <w:r w:rsidRPr="00EA6851">
        <w:rPr>
          <w:rFonts w:eastAsia="Times New Roman" w:cs="Times New Roman"/>
        </w:rPr>
        <w:t xml:space="preserve">В проектобюджета за 2024 г. за </w:t>
      </w:r>
      <w:r w:rsidRPr="00EA6851">
        <w:rPr>
          <w:rFonts w:eastAsia="Times New Roman" w:cs="Times New Roman"/>
          <w:i/>
        </w:rPr>
        <w:t>делегираните от държавата дейности по здравеопазване</w:t>
      </w:r>
      <w:r w:rsidRPr="00EA6851">
        <w:rPr>
          <w:rFonts w:eastAsia="Times New Roman" w:cs="Times New Roman"/>
        </w:rPr>
        <w:t xml:space="preserve">, финансирани чрез бюджетите на общините, са предвидени допълнителни средства в размер на 21,5 млн. лв.  Разчетени са 16,4 млн. лв. за увеличението на минималната работна заплата от 1 януари 2024 г. от 780 на 933 лв. за заетия персонал в детските ясли, детските кухни, в общинските съвети по наркотични вещества и превантивно-информационните центрове, както и за здравните медиатори. Осигурени са допълнително 2,3 млн. лв. за увеличение на възнагражденията на </w:t>
      </w:r>
      <w:r w:rsidR="00602CE5">
        <w:rPr>
          <w:rFonts w:eastAsia="Times New Roman" w:cs="Times New Roman"/>
        </w:rPr>
        <w:t>педагозите</w:t>
      </w:r>
      <w:r w:rsidRPr="00EA6851">
        <w:rPr>
          <w:rFonts w:eastAsia="Times New Roman" w:cs="Times New Roman"/>
        </w:rPr>
        <w:t xml:space="preserve"> в детските ясли във връзка с продължаване на политиката за увеличение на доходите в системата на предучилищното и училищното образование за достигане до ниво от 125 на сто от средната работна заплата за страната, както и 2,2 млн. лв. за издръжка на здравните кабинети в държавните и общинските детски градини и училища, в яслените групи към детските градини, както и на общинските съвети по наркотични вещества и превантивните информационни центрове. За изпълнение на предвидените дейности през 2024 г. в Националната стратегия за борба с наркотиците 2020-2024 г., приета с Решение № 528 на Министерския съвет от 2020 г., са осигурени допълнително 0,6 млн. лв. </w:t>
      </w:r>
    </w:p>
    <w:p w:rsidR="00000E19" w:rsidRPr="00EA6851" w:rsidRDefault="00000E19" w:rsidP="00000E19">
      <w:pPr>
        <w:rPr>
          <w:rFonts w:eastAsia="Times New Roman" w:cs="Times New Roman"/>
        </w:rPr>
      </w:pPr>
      <w:r w:rsidRPr="00EA6851">
        <w:rPr>
          <w:rFonts w:eastAsia="Times New Roman" w:cs="Times New Roman"/>
        </w:rPr>
        <w:t>Осигурени са средства за продължаване на политиката за компенсирането на разходите за отглеждане, възпитание и обучение на деца, които не са приети поради липса на места в общински детски ясли и яслени групи в държавни и общински детски градини.</w:t>
      </w:r>
    </w:p>
    <w:p w:rsidR="00065803" w:rsidRPr="00EA6851" w:rsidRDefault="00065803" w:rsidP="000E564D">
      <w:pPr>
        <w:pStyle w:val="Heading4"/>
      </w:pPr>
      <w:r w:rsidRPr="00EA6851">
        <w:t>Политика в областта на промоцията, превенцията и контрола на общественото здраве</w:t>
      </w:r>
    </w:p>
    <w:p w:rsidR="002B6C7A" w:rsidRPr="00EA6851" w:rsidRDefault="002B6C7A" w:rsidP="002B6C7A">
      <w:r w:rsidRPr="00EA6851">
        <w:t>В Република България разработването и провеждането на националната политика в областта на опазване на общественото здраве е отговорност на Министерството на здравеопазването. Основният обхват на политиката е гарантиране на качествено и ефективно посрещане на здравните потребности на гражданите, чрез реализиране на първична профилактика, промоция на здраве и интегрирана профилактика на заразните болести, в това число имунопрофилактика, надзор на заразните болести и ефективен държавен здравен контрол върху факторите на жизнената среда.</w:t>
      </w:r>
    </w:p>
    <w:p w:rsidR="002B6C7A" w:rsidRPr="00EA6851" w:rsidRDefault="002B6C7A" w:rsidP="002B6C7A">
      <w:r w:rsidRPr="00EA6851">
        <w:t>В обхвата на основните дейности на политиката в областта на промоцията, превенцията и контрола на общественото здраве се включват редица превантивни дейности, свързани с поддържането на готовност за реагиране при възникнала необходимост, в т.ч. поддържане на висок имунизационен обхват и организиране на бърз отговор при възникване на епидемични ситуации от ваксинопредотвратими заразни заболявания; повишаване готовността на страната за посрещане на грипна пандемия, взривове и епидемии от други заразни болести; опазване на страната от внос и разпространение на инфекции с висок епидемичен потенциал чрез създаване и поддържане на механизми за своевременна и адекватна реакция при здравни заплахи от биологично естество, в т.ч. биотероризъм.</w:t>
      </w:r>
    </w:p>
    <w:p w:rsidR="002B6C7A" w:rsidRPr="00EA6851" w:rsidRDefault="002B6C7A" w:rsidP="002B6C7A">
      <w:r w:rsidRPr="00EA6851">
        <w:t>Националните планове, програми и стратегии за периода 2024-2026 г. очертават основните сфери, приоритетите и предизвикателства в областта на опазването на общественото здраве. Те основно са ориентирани към крайните резултати, както и към действията и мерките, които трябва да бъдат предприети за изпълнение на заложените цели.</w:t>
      </w:r>
    </w:p>
    <w:p w:rsidR="002B6C7A" w:rsidRPr="00EA6851" w:rsidRDefault="002B6C7A" w:rsidP="002B6C7A">
      <w:r w:rsidRPr="00EA6851">
        <w:t>Основен принос към реализацията на тази политика има Министерството на здравеопазването, регионалните здравни инспекции и националните центрове по проблемите на общественото здраве.</w:t>
      </w:r>
    </w:p>
    <w:p w:rsidR="002B6C7A" w:rsidRPr="00EA6851" w:rsidRDefault="00065803" w:rsidP="002B6C7A">
      <w:r w:rsidRPr="00EA6851">
        <w:rPr>
          <w:b/>
          <w:sz w:val="20"/>
          <w:szCs w:val="20"/>
        </w:rPr>
        <w:t>КЛЮЧОВИ ИНДИКАТОРИ ЗА ИЗПЪЛНЕНИЕ И ЦЕЛЕВИ СТОЙНОСТИ</w:t>
      </w:r>
    </w:p>
    <w:tbl>
      <w:tblPr>
        <w:tblStyle w:val="TableGrid10"/>
        <w:tblW w:w="9180" w:type="dxa"/>
        <w:jc w:val="center"/>
        <w:tblInd w:w="0" w:type="dxa"/>
        <w:tblLayout w:type="fixed"/>
        <w:tblCellMar>
          <w:top w:w="4" w:type="dxa"/>
          <w:right w:w="27" w:type="dxa"/>
        </w:tblCellMar>
        <w:tblLook w:val="04A0" w:firstRow="1" w:lastRow="0" w:firstColumn="1" w:lastColumn="0" w:noHBand="0" w:noVBand="1"/>
      </w:tblPr>
      <w:tblGrid>
        <w:gridCol w:w="3196"/>
        <w:gridCol w:w="1034"/>
        <w:gridCol w:w="1322"/>
        <w:gridCol w:w="1288"/>
        <w:gridCol w:w="1404"/>
        <w:gridCol w:w="936"/>
      </w:tblGrid>
      <w:tr w:rsidR="002B6C7A" w:rsidRPr="00EA6851" w:rsidTr="002B6C7A">
        <w:trPr>
          <w:trHeight w:val="521"/>
          <w:tblHeader/>
          <w:jc w:val="center"/>
        </w:trPr>
        <w:tc>
          <w:tcPr>
            <w:tcW w:w="3196" w:type="dxa"/>
            <w:vMerge w:val="restart"/>
            <w:tcBorders>
              <w:top w:val="single" w:sz="4" w:space="0" w:color="000000"/>
              <w:left w:val="nil"/>
              <w:bottom w:val="single" w:sz="4" w:space="0" w:color="000000"/>
              <w:right w:val="nil"/>
            </w:tcBorders>
            <w:hideMark/>
          </w:tcPr>
          <w:p w:rsidR="002B6C7A" w:rsidRPr="00EA6851" w:rsidRDefault="002B6C7A" w:rsidP="00CE4003">
            <w:pPr>
              <w:spacing w:line="276" w:lineRule="auto"/>
              <w:jc w:val="center"/>
              <w:rPr>
                <w:b/>
                <w:bCs/>
                <w:i/>
                <w:iCs/>
                <w:sz w:val="18"/>
                <w:szCs w:val="18"/>
              </w:rPr>
            </w:pPr>
            <w:r w:rsidRPr="00EA6851">
              <w:rPr>
                <w:b/>
                <w:bCs/>
                <w:i/>
                <w:iCs/>
                <w:sz w:val="18"/>
                <w:szCs w:val="18"/>
              </w:rPr>
              <w:t>Политика в областта на промоцията, превенцията и контрола на общественото здраве</w:t>
            </w:r>
          </w:p>
          <w:p w:rsidR="002B6C7A" w:rsidRPr="00EA6851" w:rsidRDefault="002B6C7A" w:rsidP="00CE4003">
            <w:pPr>
              <w:spacing w:line="276" w:lineRule="auto"/>
              <w:jc w:val="center"/>
              <w:rPr>
                <w:b/>
                <w:bCs/>
                <w:i/>
                <w:iCs/>
                <w:sz w:val="18"/>
                <w:szCs w:val="18"/>
              </w:rPr>
            </w:pPr>
          </w:p>
          <w:p w:rsidR="002B6C7A" w:rsidRPr="00EA6851" w:rsidRDefault="002B6C7A" w:rsidP="00CE4003">
            <w:pPr>
              <w:spacing w:line="276" w:lineRule="auto"/>
              <w:jc w:val="center"/>
              <w:rPr>
                <w:b/>
                <w:bCs/>
                <w:iCs/>
                <w:sz w:val="18"/>
                <w:szCs w:val="18"/>
              </w:rPr>
            </w:pPr>
            <w:r w:rsidRPr="00EA6851">
              <w:rPr>
                <w:b/>
                <w:bCs/>
                <w:iCs/>
                <w:sz w:val="18"/>
                <w:szCs w:val="18"/>
              </w:rPr>
              <w:t xml:space="preserve">Наименование на индикатора </w:t>
            </w:r>
          </w:p>
        </w:tc>
        <w:tc>
          <w:tcPr>
            <w:tcW w:w="1034" w:type="dxa"/>
            <w:vMerge w:val="restart"/>
            <w:tcBorders>
              <w:top w:val="single" w:sz="4" w:space="0" w:color="000000"/>
              <w:left w:val="nil"/>
              <w:bottom w:val="single" w:sz="4" w:space="0" w:color="000000"/>
              <w:right w:val="nil"/>
            </w:tcBorders>
            <w:shd w:val="clear" w:color="auto" w:fill="F2F2F2"/>
            <w:vAlign w:val="center"/>
            <w:hideMark/>
          </w:tcPr>
          <w:p w:rsidR="002B6C7A" w:rsidRPr="00EA6851" w:rsidRDefault="002B6C7A" w:rsidP="00CE4003">
            <w:pPr>
              <w:spacing w:line="276" w:lineRule="auto"/>
              <w:jc w:val="center"/>
              <w:rPr>
                <w:b/>
                <w:bCs/>
                <w:iCs/>
                <w:sz w:val="18"/>
                <w:szCs w:val="18"/>
              </w:rPr>
            </w:pPr>
            <w:r w:rsidRPr="00EA6851">
              <w:rPr>
                <w:b/>
                <w:bCs/>
                <w:iCs/>
                <w:sz w:val="18"/>
                <w:szCs w:val="18"/>
              </w:rPr>
              <w:t>Мерна единица</w:t>
            </w:r>
          </w:p>
        </w:tc>
        <w:tc>
          <w:tcPr>
            <w:tcW w:w="1322" w:type="dxa"/>
            <w:tcBorders>
              <w:top w:val="single" w:sz="4" w:space="0" w:color="000000"/>
              <w:left w:val="nil"/>
              <w:bottom w:val="single" w:sz="4" w:space="0" w:color="000000"/>
              <w:right w:val="nil"/>
            </w:tcBorders>
          </w:tcPr>
          <w:p w:rsidR="002B6C7A" w:rsidRPr="00EA6851" w:rsidRDefault="002B6C7A" w:rsidP="00CE4003">
            <w:pPr>
              <w:spacing w:line="276" w:lineRule="auto"/>
              <w:jc w:val="center"/>
              <w:rPr>
                <w:b/>
                <w:bCs/>
                <w:i/>
                <w:iCs/>
                <w:sz w:val="18"/>
                <w:szCs w:val="18"/>
              </w:rPr>
            </w:pPr>
          </w:p>
        </w:tc>
        <w:tc>
          <w:tcPr>
            <w:tcW w:w="2692" w:type="dxa"/>
            <w:gridSpan w:val="2"/>
            <w:tcBorders>
              <w:top w:val="single" w:sz="4" w:space="0" w:color="000000"/>
              <w:left w:val="nil"/>
              <w:bottom w:val="single" w:sz="4" w:space="0" w:color="000000"/>
              <w:right w:val="nil"/>
            </w:tcBorders>
            <w:vAlign w:val="center"/>
            <w:hideMark/>
          </w:tcPr>
          <w:p w:rsidR="002B6C7A" w:rsidRPr="00EA6851" w:rsidRDefault="002B6C7A" w:rsidP="00CE4003">
            <w:pPr>
              <w:spacing w:line="276" w:lineRule="auto"/>
              <w:jc w:val="center"/>
              <w:rPr>
                <w:b/>
                <w:bCs/>
                <w:iCs/>
                <w:sz w:val="18"/>
                <w:szCs w:val="18"/>
              </w:rPr>
            </w:pPr>
            <w:r w:rsidRPr="00EA6851">
              <w:rPr>
                <w:b/>
                <w:bCs/>
                <w:iCs/>
                <w:sz w:val="18"/>
                <w:szCs w:val="18"/>
              </w:rPr>
              <w:t xml:space="preserve">                 Целева стойност</w:t>
            </w:r>
          </w:p>
        </w:tc>
        <w:tc>
          <w:tcPr>
            <w:tcW w:w="936" w:type="dxa"/>
            <w:tcBorders>
              <w:top w:val="single" w:sz="4" w:space="0" w:color="000000"/>
              <w:left w:val="nil"/>
              <w:bottom w:val="single" w:sz="4" w:space="0" w:color="000000"/>
              <w:right w:val="nil"/>
            </w:tcBorders>
          </w:tcPr>
          <w:p w:rsidR="002B6C7A" w:rsidRPr="00EA6851" w:rsidRDefault="002B6C7A" w:rsidP="00CE4003">
            <w:pPr>
              <w:spacing w:line="276" w:lineRule="auto"/>
              <w:jc w:val="left"/>
              <w:rPr>
                <w:b/>
                <w:bCs/>
                <w:i/>
                <w:iCs/>
                <w:sz w:val="18"/>
                <w:szCs w:val="18"/>
              </w:rPr>
            </w:pPr>
          </w:p>
        </w:tc>
      </w:tr>
      <w:tr w:rsidR="002B6C7A" w:rsidRPr="00EA6851" w:rsidTr="002B6C7A">
        <w:trPr>
          <w:trHeight w:val="69"/>
          <w:tblHeader/>
          <w:jc w:val="center"/>
        </w:trPr>
        <w:tc>
          <w:tcPr>
            <w:tcW w:w="3196" w:type="dxa"/>
            <w:vMerge/>
            <w:tcBorders>
              <w:top w:val="single" w:sz="4" w:space="0" w:color="000000"/>
              <w:left w:val="nil"/>
              <w:bottom w:val="single" w:sz="4" w:space="0" w:color="000000"/>
              <w:right w:val="nil"/>
            </w:tcBorders>
            <w:vAlign w:val="center"/>
            <w:hideMark/>
          </w:tcPr>
          <w:p w:rsidR="002B6C7A" w:rsidRPr="00EA6851" w:rsidRDefault="002B6C7A" w:rsidP="00CE4003">
            <w:pPr>
              <w:spacing w:line="276" w:lineRule="auto"/>
              <w:jc w:val="center"/>
              <w:rPr>
                <w:b/>
                <w:bCs/>
                <w:i/>
                <w:iCs/>
                <w:sz w:val="18"/>
                <w:szCs w:val="18"/>
              </w:rPr>
            </w:pPr>
          </w:p>
        </w:tc>
        <w:tc>
          <w:tcPr>
            <w:tcW w:w="1034" w:type="dxa"/>
            <w:vMerge/>
            <w:tcBorders>
              <w:top w:val="single" w:sz="4" w:space="0" w:color="000000"/>
              <w:left w:val="nil"/>
              <w:bottom w:val="single" w:sz="4" w:space="0" w:color="000000"/>
              <w:right w:val="nil"/>
            </w:tcBorders>
            <w:vAlign w:val="center"/>
            <w:hideMark/>
          </w:tcPr>
          <w:p w:rsidR="002B6C7A" w:rsidRPr="00EA6851" w:rsidRDefault="002B6C7A" w:rsidP="00CE4003">
            <w:pPr>
              <w:spacing w:line="276" w:lineRule="auto"/>
              <w:jc w:val="center"/>
              <w:rPr>
                <w:b/>
                <w:bCs/>
                <w:i/>
                <w:iCs/>
                <w:sz w:val="18"/>
                <w:szCs w:val="18"/>
              </w:rPr>
            </w:pPr>
          </w:p>
        </w:tc>
        <w:tc>
          <w:tcPr>
            <w:tcW w:w="1322" w:type="dxa"/>
            <w:tcBorders>
              <w:top w:val="single" w:sz="4" w:space="0" w:color="000000"/>
              <w:left w:val="nil"/>
              <w:bottom w:val="single" w:sz="4" w:space="0" w:color="000000"/>
              <w:right w:val="nil"/>
            </w:tcBorders>
          </w:tcPr>
          <w:p w:rsidR="002B6C7A" w:rsidRPr="00EA6851" w:rsidRDefault="002B6C7A" w:rsidP="00CE4003">
            <w:pPr>
              <w:spacing w:line="276" w:lineRule="auto"/>
              <w:jc w:val="center"/>
              <w:rPr>
                <w:b/>
                <w:bCs/>
                <w:i/>
                <w:iCs/>
                <w:sz w:val="18"/>
                <w:szCs w:val="18"/>
              </w:rPr>
            </w:pPr>
            <w:r w:rsidRPr="00EA6851">
              <w:rPr>
                <w:b/>
                <w:bCs/>
                <w:i/>
                <w:iCs/>
                <w:sz w:val="18"/>
                <w:szCs w:val="18"/>
              </w:rPr>
              <w:t>Програма</w:t>
            </w:r>
          </w:p>
          <w:p w:rsidR="002B6C7A" w:rsidRPr="00EA6851" w:rsidRDefault="002B6C7A" w:rsidP="00CE4003">
            <w:pPr>
              <w:spacing w:line="276" w:lineRule="auto"/>
              <w:jc w:val="center"/>
              <w:rPr>
                <w:b/>
                <w:bCs/>
                <w:i/>
                <w:iCs/>
                <w:sz w:val="18"/>
                <w:szCs w:val="18"/>
              </w:rPr>
            </w:pPr>
            <w:r w:rsidRPr="00EA6851">
              <w:rPr>
                <w:b/>
                <w:bCs/>
                <w:i/>
                <w:iCs/>
                <w:sz w:val="18"/>
                <w:szCs w:val="18"/>
              </w:rPr>
              <w:t>2023 г.</w:t>
            </w:r>
          </w:p>
        </w:tc>
        <w:tc>
          <w:tcPr>
            <w:tcW w:w="1288" w:type="dxa"/>
            <w:tcBorders>
              <w:top w:val="single" w:sz="4" w:space="0" w:color="000000"/>
              <w:left w:val="nil"/>
              <w:bottom w:val="single" w:sz="4" w:space="0" w:color="000000"/>
              <w:right w:val="nil"/>
            </w:tcBorders>
            <w:hideMark/>
          </w:tcPr>
          <w:p w:rsidR="002B6C7A" w:rsidRPr="00EA6851" w:rsidRDefault="002B6C7A" w:rsidP="00CE4003">
            <w:pPr>
              <w:spacing w:line="276" w:lineRule="auto"/>
              <w:jc w:val="center"/>
              <w:rPr>
                <w:b/>
                <w:bCs/>
                <w:i/>
                <w:iCs/>
                <w:sz w:val="18"/>
                <w:szCs w:val="18"/>
              </w:rPr>
            </w:pPr>
            <w:r w:rsidRPr="00EA6851">
              <w:rPr>
                <w:b/>
                <w:bCs/>
                <w:i/>
                <w:iCs/>
                <w:sz w:val="18"/>
                <w:szCs w:val="18"/>
              </w:rPr>
              <w:t>Проект</w:t>
            </w:r>
          </w:p>
          <w:p w:rsidR="002B6C7A" w:rsidRPr="00EA6851" w:rsidRDefault="002B6C7A" w:rsidP="00CE4003">
            <w:pPr>
              <w:spacing w:line="276" w:lineRule="auto"/>
              <w:jc w:val="center"/>
              <w:rPr>
                <w:b/>
                <w:bCs/>
                <w:i/>
                <w:iCs/>
                <w:sz w:val="18"/>
                <w:szCs w:val="18"/>
              </w:rPr>
            </w:pPr>
            <w:r w:rsidRPr="00EA6851">
              <w:rPr>
                <w:b/>
                <w:bCs/>
                <w:i/>
                <w:iCs/>
                <w:sz w:val="18"/>
                <w:szCs w:val="18"/>
              </w:rPr>
              <w:t>2024 г.</w:t>
            </w:r>
          </w:p>
        </w:tc>
        <w:tc>
          <w:tcPr>
            <w:tcW w:w="1404" w:type="dxa"/>
            <w:tcBorders>
              <w:top w:val="single" w:sz="4" w:space="0" w:color="000000"/>
              <w:left w:val="nil"/>
              <w:bottom w:val="single" w:sz="4" w:space="0" w:color="000000"/>
              <w:right w:val="nil"/>
            </w:tcBorders>
            <w:hideMark/>
          </w:tcPr>
          <w:p w:rsidR="002B6C7A" w:rsidRPr="00EA6851" w:rsidRDefault="002B6C7A" w:rsidP="00CE4003">
            <w:pPr>
              <w:spacing w:line="276" w:lineRule="auto"/>
              <w:jc w:val="center"/>
              <w:rPr>
                <w:b/>
                <w:bCs/>
                <w:i/>
                <w:iCs/>
                <w:sz w:val="18"/>
                <w:szCs w:val="18"/>
              </w:rPr>
            </w:pPr>
            <w:r w:rsidRPr="00EA6851">
              <w:rPr>
                <w:b/>
                <w:bCs/>
                <w:i/>
                <w:iCs/>
                <w:sz w:val="18"/>
                <w:szCs w:val="18"/>
              </w:rPr>
              <w:t>Прогноза</w:t>
            </w:r>
          </w:p>
          <w:p w:rsidR="002B6C7A" w:rsidRPr="00EA6851" w:rsidRDefault="002B6C7A" w:rsidP="00CE4003">
            <w:pPr>
              <w:spacing w:line="276" w:lineRule="auto"/>
              <w:jc w:val="center"/>
              <w:rPr>
                <w:b/>
                <w:bCs/>
                <w:i/>
                <w:iCs/>
                <w:sz w:val="18"/>
                <w:szCs w:val="18"/>
              </w:rPr>
            </w:pPr>
            <w:r w:rsidRPr="00EA6851">
              <w:rPr>
                <w:b/>
                <w:bCs/>
                <w:i/>
                <w:iCs/>
                <w:sz w:val="18"/>
                <w:szCs w:val="18"/>
              </w:rPr>
              <w:t>2025 г.</w:t>
            </w:r>
          </w:p>
        </w:tc>
        <w:tc>
          <w:tcPr>
            <w:tcW w:w="936" w:type="dxa"/>
            <w:tcBorders>
              <w:top w:val="single" w:sz="4" w:space="0" w:color="000000"/>
              <w:left w:val="nil"/>
              <w:bottom w:val="single" w:sz="4" w:space="0" w:color="000000"/>
              <w:right w:val="nil"/>
            </w:tcBorders>
            <w:hideMark/>
          </w:tcPr>
          <w:p w:rsidR="002B6C7A" w:rsidRPr="00EA6851" w:rsidRDefault="002B6C7A" w:rsidP="00CE4003">
            <w:pPr>
              <w:spacing w:line="276" w:lineRule="auto"/>
              <w:jc w:val="center"/>
              <w:rPr>
                <w:b/>
                <w:bCs/>
                <w:i/>
                <w:iCs/>
                <w:sz w:val="18"/>
                <w:szCs w:val="18"/>
              </w:rPr>
            </w:pPr>
            <w:r w:rsidRPr="00EA6851">
              <w:rPr>
                <w:b/>
                <w:bCs/>
                <w:i/>
                <w:iCs/>
                <w:sz w:val="18"/>
                <w:szCs w:val="18"/>
              </w:rPr>
              <w:t>Прогноза</w:t>
            </w:r>
          </w:p>
          <w:p w:rsidR="002B6C7A" w:rsidRPr="00EA6851" w:rsidRDefault="002B6C7A" w:rsidP="00CE4003">
            <w:pPr>
              <w:spacing w:line="276" w:lineRule="auto"/>
              <w:jc w:val="center"/>
              <w:rPr>
                <w:b/>
                <w:bCs/>
                <w:i/>
                <w:iCs/>
                <w:sz w:val="18"/>
                <w:szCs w:val="18"/>
              </w:rPr>
            </w:pPr>
            <w:r w:rsidRPr="00EA6851">
              <w:rPr>
                <w:b/>
                <w:bCs/>
                <w:i/>
                <w:iCs/>
                <w:sz w:val="18"/>
                <w:szCs w:val="18"/>
              </w:rPr>
              <w:t>2026 г.</w:t>
            </w:r>
          </w:p>
        </w:tc>
      </w:tr>
      <w:tr w:rsidR="002B6C7A" w:rsidRPr="00EA6851" w:rsidTr="002B6C7A">
        <w:trPr>
          <w:trHeight w:val="956"/>
          <w:jc w:val="center"/>
        </w:trPr>
        <w:tc>
          <w:tcPr>
            <w:tcW w:w="3196" w:type="dxa"/>
            <w:tcBorders>
              <w:top w:val="single" w:sz="4" w:space="0" w:color="000000"/>
              <w:left w:val="nil"/>
              <w:bottom w:val="nil"/>
              <w:right w:val="nil"/>
            </w:tcBorders>
            <w:hideMark/>
          </w:tcPr>
          <w:p w:rsidR="002B6C7A" w:rsidRPr="00EA6851" w:rsidRDefault="002B6C7A" w:rsidP="002B6C7A">
            <w:pPr>
              <w:spacing w:line="276" w:lineRule="auto"/>
              <w:jc w:val="left"/>
              <w:rPr>
                <w:bCs/>
                <w:iCs/>
                <w:sz w:val="18"/>
                <w:szCs w:val="18"/>
              </w:rPr>
            </w:pPr>
            <w:r w:rsidRPr="00EA6851">
              <w:rPr>
                <w:bCs/>
                <w:iCs/>
                <w:sz w:val="18"/>
                <w:szCs w:val="18"/>
              </w:rPr>
              <w:t xml:space="preserve">1. Възникнали значими събития с риск за общественото здраве, налагащи провеждането на засилен епидемиологичен надзор, профилактика и здравен контрол </w:t>
            </w:r>
          </w:p>
        </w:tc>
        <w:tc>
          <w:tcPr>
            <w:tcW w:w="1034" w:type="dxa"/>
            <w:tcBorders>
              <w:top w:val="single" w:sz="4" w:space="0" w:color="000000"/>
              <w:left w:val="nil"/>
              <w:bottom w:val="nil"/>
              <w:right w:val="nil"/>
            </w:tcBorders>
            <w:shd w:val="clear" w:color="auto" w:fill="F2F2F2"/>
            <w:hideMark/>
          </w:tcPr>
          <w:p w:rsidR="002B6C7A" w:rsidRPr="00EA6851" w:rsidRDefault="002B6C7A" w:rsidP="00CE4003">
            <w:pPr>
              <w:spacing w:line="276" w:lineRule="auto"/>
              <w:jc w:val="center"/>
              <w:rPr>
                <w:bCs/>
                <w:iCs/>
                <w:sz w:val="18"/>
                <w:szCs w:val="18"/>
              </w:rPr>
            </w:pPr>
            <w:r w:rsidRPr="00EA6851">
              <w:rPr>
                <w:bCs/>
                <w:iCs/>
                <w:sz w:val="18"/>
                <w:szCs w:val="18"/>
              </w:rPr>
              <w:t xml:space="preserve">Брой </w:t>
            </w:r>
          </w:p>
          <w:p w:rsidR="002B6C7A" w:rsidRPr="00EA6851" w:rsidRDefault="002B6C7A" w:rsidP="00CE4003">
            <w:pPr>
              <w:spacing w:line="276" w:lineRule="auto"/>
              <w:jc w:val="center"/>
              <w:rPr>
                <w:bCs/>
                <w:iCs/>
                <w:sz w:val="18"/>
                <w:szCs w:val="18"/>
              </w:rPr>
            </w:pPr>
          </w:p>
        </w:tc>
        <w:tc>
          <w:tcPr>
            <w:tcW w:w="1322" w:type="dxa"/>
            <w:tcBorders>
              <w:top w:val="single" w:sz="4" w:space="0" w:color="000000"/>
              <w:left w:val="nil"/>
              <w:bottom w:val="nil"/>
              <w:right w:val="nil"/>
            </w:tcBorders>
          </w:tcPr>
          <w:p w:rsidR="002B6C7A" w:rsidRPr="00EA6851" w:rsidRDefault="002B6C7A" w:rsidP="00CE4003">
            <w:pPr>
              <w:spacing w:line="276" w:lineRule="auto"/>
              <w:jc w:val="center"/>
              <w:rPr>
                <w:bCs/>
                <w:iCs/>
                <w:sz w:val="18"/>
                <w:szCs w:val="18"/>
              </w:rPr>
            </w:pPr>
            <w:r w:rsidRPr="00EA6851">
              <w:rPr>
                <w:bCs/>
                <w:iCs/>
                <w:sz w:val="18"/>
                <w:szCs w:val="18"/>
              </w:rPr>
              <w:t>0</w:t>
            </w:r>
          </w:p>
          <w:p w:rsidR="002B6C7A" w:rsidRPr="00EA6851" w:rsidRDefault="002B6C7A" w:rsidP="00CE4003">
            <w:pPr>
              <w:spacing w:line="276" w:lineRule="auto"/>
              <w:jc w:val="center"/>
              <w:rPr>
                <w:bCs/>
                <w:iCs/>
                <w:sz w:val="18"/>
                <w:szCs w:val="18"/>
              </w:rPr>
            </w:pPr>
          </w:p>
        </w:tc>
        <w:tc>
          <w:tcPr>
            <w:tcW w:w="1288" w:type="dxa"/>
            <w:tcBorders>
              <w:top w:val="single" w:sz="4" w:space="0" w:color="000000"/>
              <w:left w:val="nil"/>
              <w:bottom w:val="nil"/>
              <w:right w:val="nil"/>
            </w:tcBorders>
            <w:hideMark/>
          </w:tcPr>
          <w:p w:rsidR="002B6C7A" w:rsidRPr="00EA6851" w:rsidRDefault="002B6C7A" w:rsidP="00CE4003">
            <w:pPr>
              <w:spacing w:line="276" w:lineRule="auto"/>
              <w:jc w:val="center"/>
              <w:rPr>
                <w:bCs/>
                <w:iCs/>
                <w:sz w:val="18"/>
                <w:szCs w:val="18"/>
              </w:rPr>
            </w:pPr>
            <w:r w:rsidRPr="00EA6851">
              <w:rPr>
                <w:bCs/>
                <w:iCs/>
                <w:sz w:val="18"/>
                <w:szCs w:val="18"/>
              </w:rPr>
              <w:t>0</w:t>
            </w:r>
          </w:p>
        </w:tc>
        <w:tc>
          <w:tcPr>
            <w:tcW w:w="1404" w:type="dxa"/>
            <w:tcBorders>
              <w:top w:val="single" w:sz="4" w:space="0" w:color="000000"/>
              <w:left w:val="nil"/>
              <w:bottom w:val="nil"/>
              <w:right w:val="nil"/>
            </w:tcBorders>
            <w:hideMark/>
          </w:tcPr>
          <w:p w:rsidR="002B6C7A" w:rsidRPr="00EA6851" w:rsidRDefault="002B6C7A" w:rsidP="00CE4003">
            <w:pPr>
              <w:spacing w:line="276" w:lineRule="auto"/>
              <w:jc w:val="center"/>
              <w:rPr>
                <w:bCs/>
                <w:iCs/>
                <w:sz w:val="18"/>
                <w:szCs w:val="18"/>
              </w:rPr>
            </w:pPr>
            <w:r w:rsidRPr="00EA6851">
              <w:rPr>
                <w:bCs/>
                <w:iCs/>
                <w:sz w:val="18"/>
                <w:szCs w:val="18"/>
              </w:rPr>
              <w:t>0</w:t>
            </w:r>
          </w:p>
        </w:tc>
        <w:tc>
          <w:tcPr>
            <w:tcW w:w="936" w:type="dxa"/>
            <w:tcBorders>
              <w:top w:val="single" w:sz="4" w:space="0" w:color="000000"/>
              <w:left w:val="nil"/>
              <w:bottom w:val="nil"/>
              <w:right w:val="nil"/>
            </w:tcBorders>
            <w:hideMark/>
          </w:tcPr>
          <w:p w:rsidR="002B6C7A" w:rsidRPr="00EA6851" w:rsidRDefault="002B6C7A" w:rsidP="00CE4003">
            <w:pPr>
              <w:spacing w:line="276" w:lineRule="auto"/>
              <w:jc w:val="center"/>
              <w:rPr>
                <w:bCs/>
                <w:iCs/>
                <w:sz w:val="18"/>
                <w:szCs w:val="18"/>
              </w:rPr>
            </w:pPr>
            <w:r w:rsidRPr="00EA6851">
              <w:rPr>
                <w:bCs/>
                <w:iCs/>
                <w:sz w:val="18"/>
                <w:szCs w:val="18"/>
              </w:rPr>
              <w:t>0</w:t>
            </w:r>
          </w:p>
        </w:tc>
      </w:tr>
      <w:tr w:rsidR="002B6C7A" w:rsidRPr="00EA6851" w:rsidTr="002B6C7A">
        <w:trPr>
          <w:trHeight w:val="771"/>
          <w:jc w:val="center"/>
        </w:trPr>
        <w:tc>
          <w:tcPr>
            <w:tcW w:w="3196" w:type="dxa"/>
            <w:hideMark/>
          </w:tcPr>
          <w:p w:rsidR="002B6C7A" w:rsidRPr="00EA6851" w:rsidRDefault="002B6C7A" w:rsidP="002B6C7A">
            <w:pPr>
              <w:spacing w:line="276" w:lineRule="auto"/>
              <w:jc w:val="left"/>
              <w:rPr>
                <w:bCs/>
                <w:iCs/>
                <w:sz w:val="18"/>
                <w:szCs w:val="18"/>
              </w:rPr>
            </w:pPr>
            <w:r w:rsidRPr="00EA6851">
              <w:rPr>
                <w:bCs/>
                <w:iCs/>
                <w:sz w:val="18"/>
                <w:szCs w:val="18"/>
              </w:rPr>
              <w:t xml:space="preserve">2. Регистрирана годишна заболяемост и смъртност от ваксинопредотвратими заболявания </w:t>
            </w:r>
          </w:p>
        </w:tc>
        <w:tc>
          <w:tcPr>
            <w:tcW w:w="1034" w:type="dxa"/>
            <w:shd w:val="clear" w:color="auto" w:fill="F2F2F2"/>
            <w:hideMark/>
          </w:tcPr>
          <w:p w:rsidR="002B6C7A" w:rsidRPr="00EA6851" w:rsidRDefault="002B6C7A" w:rsidP="00CE4003">
            <w:pPr>
              <w:spacing w:line="276" w:lineRule="auto"/>
              <w:jc w:val="center"/>
              <w:rPr>
                <w:bCs/>
                <w:iCs/>
                <w:sz w:val="18"/>
                <w:szCs w:val="18"/>
              </w:rPr>
            </w:pPr>
            <w:r w:rsidRPr="00EA6851">
              <w:rPr>
                <w:bCs/>
                <w:iCs/>
                <w:sz w:val="18"/>
                <w:szCs w:val="18"/>
              </w:rPr>
              <w:t xml:space="preserve">Честота на 100 000 население </w:t>
            </w:r>
          </w:p>
        </w:tc>
        <w:tc>
          <w:tcPr>
            <w:tcW w:w="1322" w:type="dxa"/>
          </w:tcPr>
          <w:p w:rsidR="002B6C7A" w:rsidRPr="00EA6851" w:rsidRDefault="002B6C7A" w:rsidP="00CE4003">
            <w:pPr>
              <w:spacing w:line="276" w:lineRule="auto"/>
              <w:jc w:val="center"/>
              <w:rPr>
                <w:bCs/>
                <w:iCs/>
                <w:sz w:val="18"/>
                <w:szCs w:val="18"/>
              </w:rPr>
            </w:pPr>
            <w:r w:rsidRPr="00EA6851">
              <w:rPr>
                <w:bCs/>
                <w:iCs/>
                <w:sz w:val="18"/>
                <w:szCs w:val="18"/>
              </w:rPr>
              <w:t>4,5%000/ 0,10%000</w:t>
            </w:r>
          </w:p>
        </w:tc>
        <w:tc>
          <w:tcPr>
            <w:tcW w:w="1288" w:type="dxa"/>
            <w:hideMark/>
          </w:tcPr>
          <w:p w:rsidR="002B6C7A" w:rsidRPr="00EA6851" w:rsidRDefault="002B6C7A" w:rsidP="00CE4003">
            <w:pPr>
              <w:spacing w:line="276" w:lineRule="auto"/>
              <w:jc w:val="center"/>
              <w:rPr>
                <w:bCs/>
                <w:iCs/>
                <w:sz w:val="18"/>
                <w:szCs w:val="18"/>
              </w:rPr>
            </w:pPr>
            <w:r w:rsidRPr="00EA6851">
              <w:rPr>
                <w:bCs/>
                <w:iCs/>
                <w:sz w:val="18"/>
                <w:szCs w:val="18"/>
              </w:rPr>
              <w:t>4,5%000/ 0,10%000</w:t>
            </w:r>
          </w:p>
        </w:tc>
        <w:tc>
          <w:tcPr>
            <w:tcW w:w="1404" w:type="dxa"/>
            <w:hideMark/>
          </w:tcPr>
          <w:p w:rsidR="002B6C7A" w:rsidRPr="00EA6851" w:rsidRDefault="002B6C7A" w:rsidP="00CE4003">
            <w:pPr>
              <w:spacing w:line="276" w:lineRule="auto"/>
              <w:jc w:val="center"/>
              <w:rPr>
                <w:bCs/>
                <w:iCs/>
                <w:sz w:val="18"/>
                <w:szCs w:val="18"/>
              </w:rPr>
            </w:pPr>
            <w:r w:rsidRPr="00EA6851">
              <w:rPr>
                <w:bCs/>
                <w:iCs/>
                <w:sz w:val="18"/>
                <w:szCs w:val="18"/>
              </w:rPr>
              <w:t>4,5%000/ 0,10%000</w:t>
            </w:r>
          </w:p>
        </w:tc>
        <w:tc>
          <w:tcPr>
            <w:tcW w:w="936" w:type="dxa"/>
            <w:hideMark/>
          </w:tcPr>
          <w:p w:rsidR="002B6C7A" w:rsidRPr="00EA6851" w:rsidRDefault="002B6C7A" w:rsidP="00CE4003">
            <w:pPr>
              <w:spacing w:line="276" w:lineRule="auto"/>
              <w:jc w:val="center"/>
              <w:rPr>
                <w:bCs/>
                <w:iCs/>
                <w:sz w:val="18"/>
                <w:szCs w:val="18"/>
              </w:rPr>
            </w:pPr>
            <w:r w:rsidRPr="00EA6851">
              <w:rPr>
                <w:bCs/>
                <w:iCs/>
                <w:sz w:val="18"/>
                <w:szCs w:val="18"/>
              </w:rPr>
              <w:t>4,5%000/ 0,10%000</w:t>
            </w:r>
          </w:p>
        </w:tc>
      </w:tr>
      <w:tr w:rsidR="002B6C7A" w:rsidRPr="00EA6851" w:rsidTr="002B6C7A">
        <w:trPr>
          <w:trHeight w:val="1296"/>
          <w:jc w:val="center"/>
        </w:trPr>
        <w:tc>
          <w:tcPr>
            <w:tcW w:w="3196" w:type="dxa"/>
            <w:hideMark/>
          </w:tcPr>
          <w:p w:rsidR="002B6C7A" w:rsidRPr="00EA6851" w:rsidRDefault="002B6C7A" w:rsidP="002B6C7A">
            <w:pPr>
              <w:spacing w:line="276" w:lineRule="auto"/>
              <w:jc w:val="left"/>
              <w:rPr>
                <w:bCs/>
                <w:iCs/>
                <w:sz w:val="18"/>
                <w:szCs w:val="18"/>
              </w:rPr>
            </w:pPr>
            <w:r w:rsidRPr="00EA6851">
              <w:rPr>
                <w:bCs/>
                <w:iCs/>
                <w:sz w:val="18"/>
                <w:szCs w:val="18"/>
              </w:rPr>
              <w:t xml:space="preserve">3. Относителен дял на обхванатите спрямо общият брой на подлежащите на планови имунизации деца от населението - имунизационен обхват, съгласно </w:t>
            </w:r>
          </w:p>
          <w:p w:rsidR="002B6C7A" w:rsidRPr="00EA6851" w:rsidRDefault="002B6C7A" w:rsidP="002B6C7A">
            <w:pPr>
              <w:spacing w:line="276" w:lineRule="auto"/>
              <w:jc w:val="left"/>
              <w:rPr>
                <w:bCs/>
                <w:iCs/>
                <w:sz w:val="18"/>
                <w:szCs w:val="18"/>
              </w:rPr>
            </w:pPr>
            <w:r w:rsidRPr="00EA6851">
              <w:rPr>
                <w:bCs/>
                <w:iCs/>
                <w:sz w:val="18"/>
                <w:szCs w:val="18"/>
              </w:rPr>
              <w:t xml:space="preserve">Националния имунизационен календар </w:t>
            </w:r>
          </w:p>
        </w:tc>
        <w:tc>
          <w:tcPr>
            <w:tcW w:w="1034" w:type="dxa"/>
            <w:shd w:val="clear" w:color="auto" w:fill="F2F2F2"/>
            <w:hideMark/>
          </w:tcPr>
          <w:p w:rsidR="002B6C7A" w:rsidRPr="00EA6851" w:rsidRDefault="002B6C7A" w:rsidP="00CE4003">
            <w:pPr>
              <w:spacing w:line="276" w:lineRule="auto"/>
              <w:jc w:val="center"/>
              <w:rPr>
                <w:bCs/>
                <w:iCs/>
                <w:sz w:val="18"/>
                <w:szCs w:val="18"/>
              </w:rPr>
            </w:pPr>
            <w:r w:rsidRPr="00EA6851">
              <w:rPr>
                <w:bCs/>
                <w:iCs/>
                <w:sz w:val="18"/>
                <w:szCs w:val="18"/>
              </w:rPr>
              <w:t>%</w:t>
            </w:r>
          </w:p>
        </w:tc>
        <w:tc>
          <w:tcPr>
            <w:tcW w:w="1322" w:type="dxa"/>
          </w:tcPr>
          <w:p w:rsidR="002B6C7A" w:rsidRPr="00EA6851" w:rsidRDefault="002B6C7A" w:rsidP="00CE4003">
            <w:pPr>
              <w:spacing w:line="276" w:lineRule="auto"/>
              <w:jc w:val="center"/>
              <w:rPr>
                <w:bCs/>
                <w:iCs/>
                <w:sz w:val="18"/>
                <w:szCs w:val="18"/>
              </w:rPr>
            </w:pPr>
            <w:r w:rsidRPr="00EA6851">
              <w:rPr>
                <w:bCs/>
                <w:iCs/>
                <w:sz w:val="18"/>
                <w:szCs w:val="18"/>
              </w:rPr>
              <w:t>94,00</w:t>
            </w:r>
          </w:p>
        </w:tc>
        <w:tc>
          <w:tcPr>
            <w:tcW w:w="1288" w:type="dxa"/>
            <w:hideMark/>
          </w:tcPr>
          <w:p w:rsidR="002B6C7A" w:rsidRPr="00EA6851" w:rsidRDefault="002B6C7A" w:rsidP="00CE4003">
            <w:pPr>
              <w:spacing w:line="276" w:lineRule="auto"/>
              <w:jc w:val="center"/>
              <w:rPr>
                <w:bCs/>
                <w:iCs/>
                <w:sz w:val="18"/>
                <w:szCs w:val="18"/>
              </w:rPr>
            </w:pPr>
            <w:r w:rsidRPr="00EA6851">
              <w:rPr>
                <w:bCs/>
                <w:iCs/>
                <w:sz w:val="18"/>
                <w:szCs w:val="18"/>
              </w:rPr>
              <w:t>94,00</w:t>
            </w:r>
          </w:p>
        </w:tc>
        <w:tc>
          <w:tcPr>
            <w:tcW w:w="1404" w:type="dxa"/>
            <w:hideMark/>
          </w:tcPr>
          <w:p w:rsidR="002B6C7A" w:rsidRPr="00EA6851" w:rsidRDefault="002B6C7A" w:rsidP="00CE4003">
            <w:pPr>
              <w:spacing w:line="276" w:lineRule="auto"/>
              <w:jc w:val="center"/>
              <w:rPr>
                <w:bCs/>
                <w:iCs/>
                <w:sz w:val="18"/>
                <w:szCs w:val="18"/>
              </w:rPr>
            </w:pPr>
            <w:r w:rsidRPr="00EA6851">
              <w:rPr>
                <w:bCs/>
                <w:iCs/>
                <w:sz w:val="18"/>
                <w:szCs w:val="18"/>
              </w:rPr>
              <w:t>94,00</w:t>
            </w:r>
          </w:p>
        </w:tc>
        <w:tc>
          <w:tcPr>
            <w:tcW w:w="936" w:type="dxa"/>
            <w:hideMark/>
          </w:tcPr>
          <w:p w:rsidR="002B6C7A" w:rsidRPr="00EA6851" w:rsidRDefault="002B6C7A" w:rsidP="00CE4003">
            <w:pPr>
              <w:spacing w:line="276" w:lineRule="auto"/>
              <w:jc w:val="center"/>
              <w:rPr>
                <w:bCs/>
                <w:iCs/>
                <w:sz w:val="18"/>
                <w:szCs w:val="18"/>
              </w:rPr>
            </w:pPr>
            <w:r w:rsidRPr="00EA6851">
              <w:rPr>
                <w:bCs/>
                <w:iCs/>
                <w:sz w:val="18"/>
                <w:szCs w:val="18"/>
              </w:rPr>
              <w:t>94,00</w:t>
            </w:r>
          </w:p>
        </w:tc>
      </w:tr>
      <w:tr w:rsidR="002B6C7A" w:rsidRPr="00EA6851" w:rsidTr="002B6C7A">
        <w:trPr>
          <w:trHeight w:val="550"/>
          <w:jc w:val="center"/>
        </w:trPr>
        <w:tc>
          <w:tcPr>
            <w:tcW w:w="3196" w:type="dxa"/>
            <w:hideMark/>
          </w:tcPr>
          <w:p w:rsidR="002B6C7A" w:rsidRPr="00EA6851" w:rsidRDefault="002B6C7A" w:rsidP="002B6C7A">
            <w:pPr>
              <w:spacing w:line="276" w:lineRule="auto"/>
              <w:jc w:val="left"/>
              <w:rPr>
                <w:bCs/>
                <w:iCs/>
                <w:sz w:val="18"/>
                <w:szCs w:val="18"/>
              </w:rPr>
            </w:pPr>
            <w:r w:rsidRPr="00EA6851">
              <w:rPr>
                <w:bCs/>
                <w:iCs/>
                <w:sz w:val="18"/>
                <w:szCs w:val="18"/>
              </w:rPr>
              <w:t xml:space="preserve">4. Регистрирана </w:t>
            </w:r>
            <w:r w:rsidRPr="00EA6851">
              <w:rPr>
                <w:bCs/>
                <w:iCs/>
                <w:sz w:val="18"/>
                <w:szCs w:val="18"/>
              </w:rPr>
              <w:tab/>
              <w:t xml:space="preserve">годишна заболеваемост от </w:t>
            </w:r>
          </w:p>
          <w:p w:rsidR="002B6C7A" w:rsidRPr="00EA6851" w:rsidRDefault="002B6C7A" w:rsidP="002B6C7A">
            <w:pPr>
              <w:spacing w:line="276" w:lineRule="auto"/>
              <w:jc w:val="left"/>
              <w:rPr>
                <w:bCs/>
                <w:iCs/>
                <w:sz w:val="18"/>
                <w:szCs w:val="18"/>
              </w:rPr>
            </w:pPr>
            <w:r w:rsidRPr="00EA6851">
              <w:rPr>
                <w:bCs/>
                <w:iCs/>
                <w:sz w:val="18"/>
                <w:szCs w:val="18"/>
              </w:rPr>
              <w:t>туберкулоза (нови болни и рецидиви, всички форми)</w:t>
            </w:r>
          </w:p>
        </w:tc>
        <w:tc>
          <w:tcPr>
            <w:tcW w:w="1034" w:type="dxa"/>
            <w:shd w:val="clear" w:color="auto" w:fill="F2F2F2"/>
            <w:hideMark/>
          </w:tcPr>
          <w:p w:rsidR="002B6C7A" w:rsidRPr="00EA6851" w:rsidRDefault="002B6C7A" w:rsidP="00CE4003">
            <w:pPr>
              <w:spacing w:line="276" w:lineRule="auto"/>
              <w:jc w:val="center"/>
              <w:rPr>
                <w:bCs/>
                <w:iCs/>
                <w:sz w:val="18"/>
                <w:szCs w:val="18"/>
              </w:rPr>
            </w:pPr>
            <w:r w:rsidRPr="00EA6851">
              <w:rPr>
                <w:bCs/>
                <w:iCs/>
                <w:sz w:val="18"/>
                <w:szCs w:val="18"/>
              </w:rPr>
              <w:t>Честота на 100 000 население</w:t>
            </w:r>
          </w:p>
          <w:p w:rsidR="002B6C7A" w:rsidRPr="00EA6851" w:rsidRDefault="002B6C7A" w:rsidP="00CE4003">
            <w:pPr>
              <w:spacing w:line="276" w:lineRule="auto"/>
              <w:jc w:val="center"/>
              <w:rPr>
                <w:bCs/>
                <w:iCs/>
                <w:sz w:val="18"/>
                <w:szCs w:val="18"/>
              </w:rPr>
            </w:pPr>
          </w:p>
        </w:tc>
        <w:tc>
          <w:tcPr>
            <w:tcW w:w="1322" w:type="dxa"/>
          </w:tcPr>
          <w:p w:rsidR="002B6C7A" w:rsidRPr="00EA6851" w:rsidRDefault="002B6C7A" w:rsidP="00CE4003">
            <w:pPr>
              <w:spacing w:line="276" w:lineRule="auto"/>
              <w:jc w:val="center"/>
              <w:rPr>
                <w:bCs/>
                <w:iCs/>
                <w:sz w:val="18"/>
                <w:szCs w:val="18"/>
              </w:rPr>
            </w:pPr>
            <w:r w:rsidRPr="00EA6851">
              <w:rPr>
                <w:bCs/>
                <w:iCs/>
                <w:sz w:val="18"/>
                <w:szCs w:val="18"/>
              </w:rPr>
              <w:t>14,75</w:t>
            </w:r>
          </w:p>
        </w:tc>
        <w:tc>
          <w:tcPr>
            <w:tcW w:w="1288" w:type="dxa"/>
            <w:hideMark/>
          </w:tcPr>
          <w:p w:rsidR="002B6C7A" w:rsidRPr="00EA6851" w:rsidRDefault="002B6C7A" w:rsidP="00CE4003">
            <w:pPr>
              <w:spacing w:line="276" w:lineRule="auto"/>
              <w:jc w:val="center"/>
              <w:rPr>
                <w:bCs/>
                <w:iCs/>
                <w:sz w:val="18"/>
                <w:szCs w:val="18"/>
              </w:rPr>
            </w:pPr>
            <w:r w:rsidRPr="00EA6851">
              <w:rPr>
                <w:bCs/>
                <w:iCs/>
                <w:sz w:val="18"/>
                <w:szCs w:val="18"/>
              </w:rPr>
              <w:t>14,02</w:t>
            </w:r>
          </w:p>
        </w:tc>
        <w:tc>
          <w:tcPr>
            <w:tcW w:w="1404" w:type="dxa"/>
            <w:hideMark/>
          </w:tcPr>
          <w:p w:rsidR="002B6C7A" w:rsidRPr="00EA6851" w:rsidRDefault="002B6C7A" w:rsidP="00CE4003">
            <w:pPr>
              <w:spacing w:line="276" w:lineRule="auto"/>
              <w:jc w:val="center"/>
              <w:rPr>
                <w:bCs/>
                <w:iCs/>
                <w:sz w:val="18"/>
                <w:szCs w:val="18"/>
              </w:rPr>
            </w:pPr>
            <w:r w:rsidRPr="00EA6851">
              <w:rPr>
                <w:bCs/>
                <w:iCs/>
                <w:sz w:val="18"/>
                <w:szCs w:val="18"/>
              </w:rPr>
              <w:t>13,33</w:t>
            </w:r>
          </w:p>
        </w:tc>
        <w:tc>
          <w:tcPr>
            <w:tcW w:w="936" w:type="dxa"/>
            <w:hideMark/>
          </w:tcPr>
          <w:p w:rsidR="002B6C7A" w:rsidRPr="00EA6851" w:rsidRDefault="002B6C7A" w:rsidP="00CE4003">
            <w:pPr>
              <w:spacing w:line="276" w:lineRule="auto"/>
              <w:jc w:val="center"/>
              <w:rPr>
                <w:bCs/>
                <w:iCs/>
                <w:sz w:val="18"/>
                <w:szCs w:val="18"/>
              </w:rPr>
            </w:pPr>
            <w:r w:rsidRPr="00EA6851">
              <w:rPr>
                <w:bCs/>
                <w:iCs/>
                <w:sz w:val="18"/>
                <w:szCs w:val="18"/>
              </w:rPr>
              <w:t>12,65</w:t>
            </w:r>
          </w:p>
        </w:tc>
      </w:tr>
      <w:tr w:rsidR="002B6C7A" w:rsidRPr="00EA6851" w:rsidTr="002B6C7A">
        <w:trPr>
          <w:trHeight w:val="966"/>
          <w:jc w:val="center"/>
        </w:trPr>
        <w:tc>
          <w:tcPr>
            <w:tcW w:w="3196" w:type="dxa"/>
            <w:hideMark/>
          </w:tcPr>
          <w:p w:rsidR="002B6C7A" w:rsidRPr="00EA6851" w:rsidRDefault="002B6C7A" w:rsidP="002B6C7A">
            <w:pPr>
              <w:spacing w:line="276" w:lineRule="auto"/>
              <w:jc w:val="left"/>
              <w:rPr>
                <w:bCs/>
                <w:iCs/>
                <w:sz w:val="18"/>
                <w:szCs w:val="18"/>
              </w:rPr>
            </w:pPr>
            <w:r w:rsidRPr="00EA6851">
              <w:rPr>
                <w:bCs/>
                <w:iCs/>
                <w:sz w:val="18"/>
                <w:szCs w:val="18"/>
              </w:rPr>
              <w:t xml:space="preserve">5. Ниво на разпространението на ХИВ сред общото население - брой на ново регистрираните заболели от ХИВ/СПИН от общото население </w:t>
            </w:r>
          </w:p>
        </w:tc>
        <w:tc>
          <w:tcPr>
            <w:tcW w:w="1034" w:type="dxa"/>
            <w:shd w:val="clear" w:color="auto" w:fill="F2F2F2"/>
            <w:hideMark/>
          </w:tcPr>
          <w:p w:rsidR="002B6C7A" w:rsidRPr="00EA6851" w:rsidRDefault="002B6C7A" w:rsidP="00CE4003">
            <w:pPr>
              <w:spacing w:line="276" w:lineRule="auto"/>
              <w:jc w:val="center"/>
              <w:rPr>
                <w:bCs/>
                <w:iCs/>
                <w:sz w:val="18"/>
                <w:szCs w:val="18"/>
              </w:rPr>
            </w:pPr>
            <w:r w:rsidRPr="00EA6851">
              <w:rPr>
                <w:bCs/>
                <w:iCs/>
                <w:sz w:val="18"/>
                <w:szCs w:val="18"/>
              </w:rPr>
              <w:t xml:space="preserve">Честота на 100 000 население </w:t>
            </w:r>
          </w:p>
        </w:tc>
        <w:tc>
          <w:tcPr>
            <w:tcW w:w="1322" w:type="dxa"/>
          </w:tcPr>
          <w:p w:rsidR="002B6C7A" w:rsidRPr="00EA6851" w:rsidRDefault="002B6C7A" w:rsidP="00CE4003">
            <w:pPr>
              <w:spacing w:line="276" w:lineRule="auto"/>
              <w:jc w:val="center"/>
              <w:rPr>
                <w:bCs/>
                <w:iCs/>
                <w:sz w:val="18"/>
                <w:szCs w:val="18"/>
              </w:rPr>
            </w:pPr>
            <w:r w:rsidRPr="00EA6851">
              <w:rPr>
                <w:bCs/>
                <w:iCs/>
                <w:sz w:val="18"/>
                <w:szCs w:val="18"/>
              </w:rPr>
              <w:t>Непревишаване на средната стойност за ЕС за 2023</w:t>
            </w:r>
          </w:p>
        </w:tc>
        <w:tc>
          <w:tcPr>
            <w:tcW w:w="1288" w:type="dxa"/>
            <w:hideMark/>
          </w:tcPr>
          <w:p w:rsidR="002B6C7A" w:rsidRPr="00EA6851" w:rsidRDefault="002B6C7A" w:rsidP="00CE4003">
            <w:pPr>
              <w:spacing w:line="276" w:lineRule="auto"/>
              <w:jc w:val="center"/>
              <w:rPr>
                <w:bCs/>
                <w:iCs/>
                <w:sz w:val="18"/>
                <w:szCs w:val="18"/>
              </w:rPr>
            </w:pPr>
            <w:r w:rsidRPr="00EA6851">
              <w:rPr>
                <w:bCs/>
                <w:iCs/>
                <w:sz w:val="18"/>
                <w:szCs w:val="18"/>
              </w:rPr>
              <w:t>Непревишаване на средната стойност за ЕС за 2024</w:t>
            </w:r>
          </w:p>
        </w:tc>
        <w:tc>
          <w:tcPr>
            <w:tcW w:w="1404" w:type="dxa"/>
            <w:hideMark/>
          </w:tcPr>
          <w:p w:rsidR="002B6C7A" w:rsidRPr="00EA6851" w:rsidRDefault="002B6C7A" w:rsidP="00CE4003">
            <w:pPr>
              <w:spacing w:line="276" w:lineRule="auto"/>
              <w:jc w:val="center"/>
              <w:rPr>
                <w:bCs/>
                <w:iCs/>
                <w:sz w:val="18"/>
                <w:szCs w:val="18"/>
              </w:rPr>
            </w:pPr>
            <w:r w:rsidRPr="00EA6851">
              <w:rPr>
                <w:bCs/>
                <w:iCs/>
                <w:sz w:val="18"/>
                <w:szCs w:val="18"/>
              </w:rPr>
              <w:t>Непревишаване на средната стойност за ЕС за 2025</w:t>
            </w:r>
          </w:p>
        </w:tc>
        <w:tc>
          <w:tcPr>
            <w:tcW w:w="936" w:type="dxa"/>
            <w:hideMark/>
          </w:tcPr>
          <w:p w:rsidR="002B6C7A" w:rsidRPr="00EA6851" w:rsidRDefault="002B6C7A" w:rsidP="00CE4003">
            <w:pPr>
              <w:spacing w:line="276" w:lineRule="auto"/>
              <w:jc w:val="center"/>
              <w:rPr>
                <w:bCs/>
                <w:iCs/>
                <w:sz w:val="18"/>
                <w:szCs w:val="18"/>
              </w:rPr>
            </w:pPr>
            <w:r w:rsidRPr="00EA6851">
              <w:rPr>
                <w:bCs/>
                <w:iCs/>
                <w:sz w:val="18"/>
                <w:szCs w:val="18"/>
              </w:rPr>
              <w:t>Непревишаване на средната стойност за ЕС за 2025</w:t>
            </w:r>
          </w:p>
        </w:tc>
      </w:tr>
      <w:tr w:rsidR="002B6C7A" w:rsidRPr="00EA6851" w:rsidTr="002B6C7A">
        <w:trPr>
          <w:trHeight w:val="966"/>
          <w:jc w:val="center"/>
        </w:trPr>
        <w:tc>
          <w:tcPr>
            <w:tcW w:w="3196" w:type="dxa"/>
            <w:tcBorders>
              <w:bottom w:val="single" w:sz="4" w:space="0" w:color="auto"/>
            </w:tcBorders>
          </w:tcPr>
          <w:p w:rsidR="002B6C7A" w:rsidRPr="00EA6851" w:rsidRDefault="002B6C7A" w:rsidP="002B6C7A">
            <w:pPr>
              <w:spacing w:line="276" w:lineRule="auto"/>
              <w:jc w:val="left"/>
              <w:rPr>
                <w:bCs/>
                <w:iCs/>
                <w:sz w:val="18"/>
                <w:szCs w:val="18"/>
              </w:rPr>
            </w:pPr>
            <w:r w:rsidRPr="00EA6851">
              <w:rPr>
                <w:bCs/>
                <w:iCs/>
                <w:sz w:val="18"/>
                <w:szCs w:val="18"/>
              </w:rPr>
              <w:t>6. Относителен дял на преминали успешно лица, обхванати в програми за лечение с опиеви агонисти и агонисти-антагонисти, получаващи Метадон по Наредба № 34 от 2005 г.</w:t>
            </w:r>
          </w:p>
        </w:tc>
        <w:tc>
          <w:tcPr>
            <w:tcW w:w="1034" w:type="dxa"/>
            <w:tcBorders>
              <w:bottom w:val="single" w:sz="4" w:space="0" w:color="auto"/>
            </w:tcBorders>
            <w:shd w:val="clear" w:color="auto" w:fill="F2F2F2"/>
          </w:tcPr>
          <w:p w:rsidR="002B6C7A" w:rsidRPr="00EA6851" w:rsidRDefault="002B6C7A" w:rsidP="00CE4003">
            <w:pPr>
              <w:spacing w:line="276" w:lineRule="auto"/>
              <w:jc w:val="center"/>
              <w:rPr>
                <w:bCs/>
                <w:iCs/>
                <w:sz w:val="18"/>
                <w:szCs w:val="18"/>
              </w:rPr>
            </w:pPr>
            <w:r w:rsidRPr="00EA6851">
              <w:rPr>
                <w:bCs/>
                <w:iCs/>
                <w:sz w:val="18"/>
                <w:szCs w:val="18"/>
              </w:rPr>
              <w:t>%</w:t>
            </w:r>
          </w:p>
        </w:tc>
        <w:tc>
          <w:tcPr>
            <w:tcW w:w="1322" w:type="dxa"/>
            <w:tcBorders>
              <w:bottom w:val="single" w:sz="4" w:space="0" w:color="auto"/>
            </w:tcBorders>
          </w:tcPr>
          <w:p w:rsidR="002B6C7A" w:rsidRPr="00EA6851" w:rsidRDefault="002B6C7A" w:rsidP="00CE4003">
            <w:pPr>
              <w:spacing w:line="276" w:lineRule="auto"/>
              <w:jc w:val="center"/>
              <w:rPr>
                <w:bCs/>
                <w:iCs/>
                <w:sz w:val="18"/>
                <w:szCs w:val="18"/>
              </w:rPr>
            </w:pPr>
            <w:r w:rsidRPr="00EA6851">
              <w:rPr>
                <w:bCs/>
                <w:iCs/>
                <w:sz w:val="18"/>
                <w:szCs w:val="18"/>
              </w:rPr>
              <w:t>7</w:t>
            </w:r>
          </w:p>
        </w:tc>
        <w:tc>
          <w:tcPr>
            <w:tcW w:w="1288" w:type="dxa"/>
            <w:tcBorders>
              <w:bottom w:val="single" w:sz="4" w:space="0" w:color="auto"/>
            </w:tcBorders>
          </w:tcPr>
          <w:p w:rsidR="002B6C7A" w:rsidRPr="00EA6851" w:rsidRDefault="002B6C7A" w:rsidP="00CE4003">
            <w:pPr>
              <w:spacing w:line="276" w:lineRule="auto"/>
              <w:jc w:val="center"/>
              <w:rPr>
                <w:bCs/>
                <w:iCs/>
                <w:sz w:val="18"/>
                <w:szCs w:val="18"/>
              </w:rPr>
            </w:pPr>
            <w:r w:rsidRPr="00EA6851">
              <w:rPr>
                <w:bCs/>
                <w:iCs/>
                <w:sz w:val="18"/>
                <w:szCs w:val="18"/>
              </w:rPr>
              <w:t>7</w:t>
            </w:r>
          </w:p>
        </w:tc>
        <w:tc>
          <w:tcPr>
            <w:tcW w:w="1404" w:type="dxa"/>
            <w:tcBorders>
              <w:bottom w:val="single" w:sz="4" w:space="0" w:color="auto"/>
            </w:tcBorders>
          </w:tcPr>
          <w:p w:rsidR="002B6C7A" w:rsidRPr="00EA6851" w:rsidRDefault="002B6C7A" w:rsidP="00CE4003">
            <w:pPr>
              <w:spacing w:line="276" w:lineRule="auto"/>
              <w:jc w:val="center"/>
              <w:rPr>
                <w:bCs/>
                <w:iCs/>
                <w:sz w:val="18"/>
                <w:szCs w:val="18"/>
              </w:rPr>
            </w:pPr>
            <w:r w:rsidRPr="00EA6851">
              <w:rPr>
                <w:bCs/>
                <w:iCs/>
                <w:sz w:val="18"/>
                <w:szCs w:val="18"/>
              </w:rPr>
              <w:t>7</w:t>
            </w:r>
          </w:p>
        </w:tc>
        <w:tc>
          <w:tcPr>
            <w:tcW w:w="936" w:type="dxa"/>
            <w:tcBorders>
              <w:bottom w:val="single" w:sz="4" w:space="0" w:color="auto"/>
            </w:tcBorders>
          </w:tcPr>
          <w:p w:rsidR="002B6C7A" w:rsidRPr="00EA6851" w:rsidRDefault="002B6C7A" w:rsidP="00CE4003">
            <w:pPr>
              <w:spacing w:line="276" w:lineRule="auto"/>
              <w:jc w:val="center"/>
              <w:rPr>
                <w:bCs/>
                <w:iCs/>
                <w:sz w:val="18"/>
                <w:szCs w:val="18"/>
              </w:rPr>
            </w:pPr>
            <w:r w:rsidRPr="00EA6851">
              <w:rPr>
                <w:bCs/>
                <w:iCs/>
                <w:sz w:val="18"/>
                <w:szCs w:val="18"/>
              </w:rPr>
              <w:t>7</w:t>
            </w:r>
          </w:p>
        </w:tc>
      </w:tr>
    </w:tbl>
    <w:p w:rsidR="00065803" w:rsidRPr="00EA6851" w:rsidRDefault="00065803" w:rsidP="00065803">
      <w:pPr>
        <w:rPr>
          <w:highlight w:val="yellow"/>
        </w:rPr>
      </w:pPr>
    </w:p>
    <w:p w:rsidR="00065803" w:rsidRPr="00EA6851" w:rsidRDefault="00065803" w:rsidP="000E564D">
      <w:pPr>
        <w:pStyle w:val="Heading4"/>
      </w:pPr>
      <w:r w:rsidRPr="00EA6851">
        <w:t>Политика в областта на диагностиката и лечението</w:t>
      </w:r>
    </w:p>
    <w:p w:rsidR="00AE04FA" w:rsidRPr="00EA6851" w:rsidRDefault="00AE04FA" w:rsidP="00AE04FA">
      <w:r w:rsidRPr="00EA6851">
        <w:t xml:space="preserve">Политиката е насочена към подобряване на здравното благополучие и качеството на живот на българските граждани и намаляване на здравните неравенства чрез подкрепа за специфични дейности в областта на диагностиката и лечението на заболявания и организацията на медицинската помощ извън обхвата на задължителното здравно осигуряване. Дейностите, финансирани чрез програмите на настоящата политика, допълват и надграждат дейностите, финансирани от Националната здравноосигурителна каса в областта на диагностиката и лечението на заболяванията. </w:t>
      </w:r>
    </w:p>
    <w:p w:rsidR="00AE04FA" w:rsidRPr="00EA6851" w:rsidRDefault="00AE04FA" w:rsidP="00AE04FA">
      <w:r w:rsidRPr="00EA6851">
        <w:t xml:space="preserve">Финансирането на политиката е основно със средства от държавния бюджет и от бюджета на Националната здравноосигурителна каса. Основен принос към реализацията на тази политика има Министерството на здравеопазването, Националната здравноосигурителна каса, центровете за спешна медицинска помощ, държавните психиатрични болници, центровете по трансфузионна хематология, домовете за медико-социални грижи за деца, центровете за комплексно обслужване на деца с хронични заболявания и увреждания, Центърът за асистирана репродукция и лечебните заведения. </w:t>
      </w:r>
    </w:p>
    <w:p w:rsidR="00AE04FA" w:rsidRPr="00EA6851" w:rsidRDefault="00AE04FA" w:rsidP="00AE04FA">
      <w:r w:rsidRPr="00EA6851">
        <w:t>Бюджетна прогноза за периода 2024-2026 г. е в съответствие с целите и приоритетите на Националната програма за развитие България 2030 за сектор „Здравеопазване“. През 2023 г. предстои окончателното приемане на водещия стратегически документ в сектор „Здравеопазване“ – Национална здравна стратегия 2030. Чрез стратегията ще се осигури устойчивост на успешните политики, провеждани в периода на действие на Националната здравна стратегия 2020 и ще бъдат надградени постигнатите резултати. Документът ще осигури стратегическата рамка за изпълнението на здравни дейности извън обхвата на здравното осигуряване, свързани с подобряване на здравните детерминанти, повишаване на качеството на предоставяните здравни услуги и намаляване на здравните неравенства.</w:t>
      </w:r>
    </w:p>
    <w:p w:rsidR="00AE04FA" w:rsidRPr="00EA6851" w:rsidRDefault="00AE04FA" w:rsidP="00AE04FA">
      <w:r w:rsidRPr="00EA6851">
        <w:t>Целите на политиката са дефинирани на базата на анализ на здравно-демографското състояние и състоянието на системата на здравеопазване, които показват че през последните десетилетия българската здравна система изостава спрямо здравните системи на страните от ЕС по отношение на ключовите фактори за устойчиво развитие. Основните предизвикателства са свързани с влошаващите се показатели за здравно-демографското състояние на населението, наличието на здравни неравенства и невъзможността на здравната система да отговори по адекватен начин на потребностите от достъпни и качествени здравни услуги.</w:t>
      </w:r>
    </w:p>
    <w:p w:rsidR="00AE04FA" w:rsidRPr="00EA6851" w:rsidRDefault="00AE04FA" w:rsidP="00AE04FA">
      <w:r w:rsidRPr="00EA6851">
        <w:t>Динамиката на тези показатели през периода на действие на стратегията показва, че националните здравни цели за снижаване на смъртността в детските възрастови групи са постигнати, някои от тях преди 2020 г. По отношение на целите, касаещи възрастовите групи 20-65 и над 65 години се отбелязва по-бавен темп на развитие, но въпреки това през периода 2015-2019 г. се наблюдават положителни тенденции. Силно негативно влияние за постигането на тези цели оказа възникналата пандемия от COVID-19, която доведе до драстично увеличение на общата смъртност за страната. С оглед това е необходимо приемането на стратегическа рамка с хоризонт до 2030 г., чрез която да се осигури устойчивост и надграждане на прилаганите политики в областта на майчиното и детско здраве и да се гарантира провеждането на активни и ефективни политики по отношение на здравето и благополучието на лицата в икономически активните възрастови групи и на възрастните хора.</w:t>
      </w:r>
    </w:p>
    <w:p w:rsidR="00AE04FA" w:rsidRPr="00EA6851" w:rsidRDefault="00AE04FA" w:rsidP="00065803">
      <w:r w:rsidRPr="00EA6851">
        <w:t xml:space="preserve">Прилагането на интегриран подход между отделните политики – здравна, социална и икономическа политика е в основата на постигането на заложените цели в политиката в областта на диагностиката и лечението. Реализацията на политиката е в пряка зависимост от провежданата икономическа, финансова и данъчна политика. Осигуряването на специфични медицински услуги за деца и семейства и подобряването на психиатричната помощ е свързано с провежданите политики за деинституционализация и развитие на дългосрочни грижи от Министерството на труда и социалната политика. Осигуряването на устойчивост на системата за спешна помощ е пряко свързано с постигнатите резултати от реализацията на инфраструктурен проект за модернизация на системата за спешна помощ по ОП „Региони в растеж“ 2014-2020 и проекти по ОП „Човешки ресурси“ 2014-2020. Изпълнението на дейностите по осигуряване на диагностика и лечение се осъществява от голям брой лечебни заведения в страната по силата на функционални задължения или договори за финансиране на определени дейности, извън обхвата на задължителното здравно осигуряване. </w:t>
      </w:r>
    </w:p>
    <w:p w:rsidR="00065803" w:rsidRPr="00EA6851" w:rsidRDefault="00065803" w:rsidP="00065803">
      <w:pPr>
        <w:jc w:val="left"/>
        <w:rPr>
          <w:b/>
          <w:sz w:val="20"/>
          <w:szCs w:val="20"/>
        </w:rPr>
      </w:pPr>
      <w:r w:rsidRPr="00EA6851">
        <w:rPr>
          <w:b/>
          <w:sz w:val="20"/>
          <w:szCs w:val="20"/>
        </w:rPr>
        <w:t>КЛЮЧОВИ ИНДИКАТОРИ ЗА ИЗПЪЛНЕНИЕ И ЦЕЛЕВИ СТОЙНОСТИ</w:t>
      </w:r>
    </w:p>
    <w:tbl>
      <w:tblPr>
        <w:tblStyle w:val="TableGrid10"/>
        <w:tblW w:w="9279" w:type="dxa"/>
        <w:jc w:val="center"/>
        <w:tblInd w:w="0" w:type="dxa"/>
        <w:tblCellMar>
          <w:top w:w="4" w:type="dxa"/>
          <w:right w:w="27" w:type="dxa"/>
        </w:tblCellMar>
        <w:tblLook w:val="04A0" w:firstRow="1" w:lastRow="0" w:firstColumn="1" w:lastColumn="0" w:noHBand="0" w:noVBand="1"/>
      </w:tblPr>
      <w:tblGrid>
        <w:gridCol w:w="3330"/>
        <w:gridCol w:w="990"/>
        <w:gridCol w:w="1134"/>
        <w:gridCol w:w="1303"/>
        <w:gridCol w:w="1261"/>
        <w:gridCol w:w="1261"/>
      </w:tblGrid>
      <w:tr w:rsidR="00DF2BD3" w:rsidRPr="00EA6851" w:rsidTr="00DF2BD3">
        <w:trPr>
          <w:trHeight w:val="507"/>
          <w:tblHeader/>
          <w:jc w:val="center"/>
        </w:trPr>
        <w:tc>
          <w:tcPr>
            <w:tcW w:w="3330" w:type="dxa"/>
            <w:vMerge w:val="restart"/>
            <w:tcBorders>
              <w:top w:val="single" w:sz="4" w:space="0" w:color="000000"/>
              <w:left w:val="nil"/>
              <w:bottom w:val="single" w:sz="4" w:space="0" w:color="000000"/>
              <w:right w:val="nil"/>
            </w:tcBorders>
            <w:hideMark/>
          </w:tcPr>
          <w:p w:rsidR="00DF2BD3" w:rsidRPr="00EA6851" w:rsidRDefault="00DF2BD3" w:rsidP="00CE4003">
            <w:pPr>
              <w:spacing w:line="276" w:lineRule="auto"/>
              <w:jc w:val="center"/>
              <w:rPr>
                <w:b/>
                <w:bCs/>
                <w:i/>
                <w:iCs/>
                <w:sz w:val="18"/>
                <w:szCs w:val="18"/>
              </w:rPr>
            </w:pPr>
            <w:r w:rsidRPr="00EA6851">
              <w:rPr>
                <w:b/>
                <w:bCs/>
                <w:i/>
                <w:iCs/>
                <w:sz w:val="18"/>
                <w:szCs w:val="18"/>
              </w:rPr>
              <w:t>Политика в областта на диагностиката и лечението</w:t>
            </w:r>
          </w:p>
          <w:p w:rsidR="00DF2BD3" w:rsidRPr="00EA6851" w:rsidRDefault="00DF2BD3" w:rsidP="00CE4003">
            <w:pPr>
              <w:spacing w:line="276" w:lineRule="auto"/>
              <w:jc w:val="center"/>
              <w:rPr>
                <w:b/>
                <w:bCs/>
                <w:i/>
                <w:iCs/>
                <w:sz w:val="18"/>
                <w:szCs w:val="18"/>
              </w:rPr>
            </w:pPr>
            <w:r w:rsidRPr="00EA6851">
              <w:rPr>
                <w:b/>
                <w:bCs/>
                <w:i/>
                <w:iCs/>
                <w:sz w:val="18"/>
                <w:szCs w:val="18"/>
              </w:rPr>
              <w:t xml:space="preserve"> </w:t>
            </w:r>
          </w:p>
          <w:p w:rsidR="00DF2BD3" w:rsidRPr="00EA6851" w:rsidRDefault="00DF2BD3" w:rsidP="00CE4003">
            <w:pPr>
              <w:spacing w:line="276" w:lineRule="auto"/>
              <w:jc w:val="center"/>
              <w:rPr>
                <w:b/>
                <w:bCs/>
                <w:iCs/>
                <w:sz w:val="18"/>
                <w:szCs w:val="18"/>
              </w:rPr>
            </w:pPr>
            <w:r w:rsidRPr="00EA6851">
              <w:rPr>
                <w:b/>
                <w:bCs/>
                <w:iCs/>
                <w:sz w:val="18"/>
                <w:szCs w:val="18"/>
              </w:rPr>
              <w:t xml:space="preserve">Наименование на индикатора </w:t>
            </w:r>
          </w:p>
        </w:tc>
        <w:tc>
          <w:tcPr>
            <w:tcW w:w="990" w:type="dxa"/>
            <w:vMerge w:val="restart"/>
            <w:tcBorders>
              <w:top w:val="single" w:sz="4" w:space="0" w:color="000000"/>
              <w:left w:val="nil"/>
              <w:bottom w:val="single" w:sz="4" w:space="0" w:color="000000"/>
              <w:right w:val="nil"/>
            </w:tcBorders>
            <w:shd w:val="clear" w:color="auto" w:fill="F2F2F2"/>
            <w:vAlign w:val="center"/>
            <w:hideMark/>
          </w:tcPr>
          <w:p w:rsidR="00DF2BD3" w:rsidRPr="00EA6851" w:rsidRDefault="00DF2BD3" w:rsidP="00CE4003">
            <w:pPr>
              <w:spacing w:line="276" w:lineRule="auto"/>
              <w:jc w:val="center"/>
              <w:rPr>
                <w:b/>
                <w:bCs/>
                <w:iCs/>
                <w:sz w:val="18"/>
                <w:szCs w:val="18"/>
              </w:rPr>
            </w:pPr>
            <w:r w:rsidRPr="00EA6851">
              <w:rPr>
                <w:b/>
                <w:bCs/>
                <w:iCs/>
                <w:sz w:val="18"/>
                <w:szCs w:val="18"/>
              </w:rPr>
              <w:t>Мерна единица</w:t>
            </w:r>
          </w:p>
        </w:tc>
        <w:tc>
          <w:tcPr>
            <w:tcW w:w="4959" w:type="dxa"/>
            <w:gridSpan w:val="4"/>
            <w:tcBorders>
              <w:top w:val="single" w:sz="4" w:space="0" w:color="000000"/>
              <w:left w:val="nil"/>
              <w:bottom w:val="single" w:sz="4" w:space="0" w:color="000000"/>
              <w:right w:val="nil"/>
            </w:tcBorders>
            <w:vAlign w:val="center"/>
          </w:tcPr>
          <w:p w:rsidR="00DF2BD3" w:rsidRPr="00EA6851" w:rsidRDefault="00DF2BD3" w:rsidP="00CE4003">
            <w:pPr>
              <w:spacing w:line="276" w:lineRule="auto"/>
              <w:jc w:val="center"/>
              <w:rPr>
                <w:b/>
                <w:bCs/>
                <w:iCs/>
                <w:sz w:val="18"/>
                <w:szCs w:val="18"/>
              </w:rPr>
            </w:pPr>
            <w:r w:rsidRPr="00EA6851">
              <w:rPr>
                <w:b/>
                <w:bCs/>
                <w:iCs/>
                <w:sz w:val="18"/>
                <w:szCs w:val="18"/>
              </w:rPr>
              <w:t>Целева стойност</w:t>
            </w:r>
          </w:p>
        </w:tc>
      </w:tr>
      <w:tr w:rsidR="00DF2BD3" w:rsidRPr="00EA6851" w:rsidTr="00DF2BD3">
        <w:trPr>
          <w:trHeight w:val="66"/>
          <w:tblHeader/>
          <w:jc w:val="center"/>
        </w:trPr>
        <w:tc>
          <w:tcPr>
            <w:tcW w:w="3330" w:type="dxa"/>
            <w:vMerge/>
            <w:tcBorders>
              <w:top w:val="single" w:sz="4" w:space="0" w:color="000000"/>
              <w:left w:val="nil"/>
              <w:bottom w:val="single" w:sz="4" w:space="0" w:color="000000"/>
              <w:right w:val="nil"/>
            </w:tcBorders>
            <w:vAlign w:val="center"/>
            <w:hideMark/>
          </w:tcPr>
          <w:p w:rsidR="00DF2BD3" w:rsidRPr="00EA6851" w:rsidRDefault="00DF2BD3" w:rsidP="00CE4003">
            <w:pPr>
              <w:spacing w:line="276" w:lineRule="auto"/>
              <w:jc w:val="center"/>
              <w:rPr>
                <w:b/>
                <w:bCs/>
                <w:i/>
                <w:iCs/>
                <w:sz w:val="18"/>
                <w:szCs w:val="18"/>
              </w:rPr>
            </w:pPr>
          </w:p>
        </w:tc>
        <w:tc>
          <w:tcPr>
            <w:tcW w:w="990" w:type="dxa"/>
            <w:vMerge/>
            <w:tcBorders>
              <w:top w:val="single" w:sz="4" w:space="0" w:color="000000"/>
              <w:left w:val="nil"/>
              <w:bottom w:val="single" w:sz="4" w:space="0" w:color="000000"/>
              <w:right w:val="nil"/>
            </w:tcBorders>
            <w:vAlign w:val="center"/>
            <w:hideMark/>
          </w:tcPr>
          <w:p w:rsidR="00DF2BD3" w:rsidRPr="00EA6851" w:rsidRDefault="00DF2BD3" w:rsidP="00CE4003">
            <w:pPr>
              <w:spacing w:line="276" w:lineRule="auto"/>
              <w:jc w:val="center"/>
              <w:rPr>
                <w:b/>
                <w:bCs/>
                <w:i/>
                <w:iCs/>
                <w:sz w:val="18"/>
                <w:szCs w:val="18"/>
              </w:rPr>
            </w:pPr>
          </w:p>
        </w:tc>
        <w:tc>
          <w:tcPr>
            <w:tcW w:w="1134" w:type="dxa"/>
            <w:tcBorders>
              <w:top w:val="single" w:sz="4" w:space="0" w:color="000000"/>
              <w:left w:val="nil"/>
              <w:bottom w:val="single" w:sz="4" w:space="0" w:color="000000"/>
              <w:right w:val="nil"/>
            </w:tcBorders>
          </w:tcPr>
          <w:p w:rsidR="00DF2BD3" w:rsidRPr="00EA6851" w:rsidRDefault="00DF2BD3" w:rsidP="00CE4003">
            <w:pPr>
              <w:spacing w:line="276" w:lineRule="auto"/>
              <w:jc w:val="center"/>
              <w:rPr>
                <w:b/>
                <w:bCs/>
                <w:i/>
                <w:iCs/>
                <w:sz w:val="18"/>
                <w:szCs w:val="18"/>
              </w:rPr>
            </w:pPr>
            <w:r w:rsidRPr="00EA6851">
              <w:rPr>
                <w:b/>
                <w:bCs/>
                <w:i/>
                <w:iCs/>
                <w:sz w:val="18"/>
                <w:szCs w:val="18"/>
              </w:rPr>
              <w:t>Програма</w:t>
            </w:r>
          </w:p>
          <w:p w:rsidR="00DF2BD3" w:rsidRPr="00EA6851" w:rsidRDefault="00DF2BD3" w:rsidP="00CE4003">
            <w:pPr>
              <w:spacing w:line="276" w:lineRule="auto"/>
              <w:jc w:val="center"/>
              <w:rPr>
                <w:b/>
                <w:bCs/>
                <w:i/>
                <w:iCs/>
                <w:sz w:val="18"/>
                <w:szCs w:val="18"/>
              </w:rPr>
            </w:pPr>
            <w:r w:rsidRPr="00EA6851">
              <w:rPr>
                <w:b/>
                <w:bCs/>
                <w:i/>
                <w:iCs/>
                <w:sz w:val="18"/>
                <w:szCs w:val="18"/>
              </w:rPr>
              <w:t>2023 г.</w:t>
            </w:r>
          </w:p>
        </w:tc>
        <w:tc>
          <w:tcPr>
            <w:tcW w:w="1303" w:type="dxa"/>
            <w:tcBorders>
              <w:top w:val="single" w:sz="4" w:space="0" w:color="000000"/>
              <w:left w:val="nil"/>
              <w:bottom w:val="single" w:sz="4" w:space="0" w:color="000000"/>
              <w:right w:val="nil"/>
            </w:tcBorders>
            <w:hideMark/>
          </w:tcPr>
          <w:p w:rsidR="00DF2BD3" w:rsidRPr="00EA6851" w:rsidRDefault="00DF2BD3" w:rsidP="00CE4003">
            <w:pPr>
              <w:spacing w:line="276" w:lineRule="auto"/>
              <w:jc w:val="center"/>
              <w:rPr>
                <w:b/>
                <w:bCs/>
                <w:i/>
                <w:iCs/>
                <w:sz w:val="18"/>
                <w:szCs w:val="18"/>
              </w:rPr>
            </w:pPr>
            <w:r w:rsidRPr="00EA6851">
              <w:rPr>
                <w:b/>
                <w:bCs/>
                <w:i/>
                <w:iCs/>
                <w:sz w:val="18"/>
                <w:szCs w:val="18"/>
              </w:rPr>
              <w:t>Проект</w:t>
            </w:r>
          </w:p>
          <w:p w:rsidR="00DF2BD3" w:rsidRPr="00EA6851" w:rsidRDefault="00DF2BD3" w:rsidP="00CE4003">
            <w:pPr>
              <w:spacing w:line="276" w:lineRule="auto"/>
              <w:jc w:val="center"/>
              <w:rPr>
                <w:b/>
                <w:bCs/>
                <w:i/>
                <w:iCs/>
                <w:sz w:val="18"/>
                <w:szCs w:val="18"/>
              </w:rPr>
            </w:pPr>
            <w:r w:rsidRPr="00EA6851">
              <w:rPr>
                <w:b/>
                <w:bCs/>
                <w:i/>
                <w:iCs/>
                <w:sz w:val="18"/>
                <w:szCs w:val="18"/>
              </w:rPr>
              <w:t>2024 г.</w:t>
            </w:r>
          </w:p>
        </w:tc>
        <w:tc>
          <w:tcPr>
            <w:tcW w:w="1261" w:type="dxa"/>
            <w:tcBorders>
              <w:top w:val="single" w:sz="4" w:space="0" w:color="000000"/>
              <w:left w:val="nil"/>
              <w:bottom w:val="single" w:sz="4" w:space="0" w:color="000000"/>
              <w:right w:val="nil"/>
            </w:tcBorders>
            <w:hideMark/>
          </w:tcPr>
          <w:p w:rsidR="00DF2BD3" w:rsidRPr="00EA6851" w:rsidRDefault="00DF2BD3" w:rsidP="00CE4003">
            <w:pPr>
              <w:spacing w:line="276" w:lineRule="auto"/>
              <w:jc w:val="center"/>
              <w:rPr>
                <w:b/>
                <w:bCs/>
                <w:i/>
                <w:iCs/>
                <w:sz w:val="18"/>
                <w:szCs w:val="18"/>
              </w:rPr>
            </w:pPr>
            <w:r w:rsidRPr="00EA6851">
              <w:rPr>
                <w:b/>
                <w:bCs/>
                <w:i/>
                <w:iCs/>
                <w:sz w:val="18"/>
                <w:szCs w:val="18"/>
              </w:rPr>
              <w:t>Прогноза</w:t>
            </w:r>
          </w:p>
          <w:p w:rsidR="00DF2BD3" w:rsidRPr="00EA6851" w:rsidRDefault="00DF2BD3" w:rsidP="00CE4003">
            <w:pPr>
              <w:spacing w:line="276" w:lineRule="auto"/>
              <w:jc w:val="center"/>
              <w:rPr>
                <w:b/>
                <w:bCs/>
                <w:i/>
                <w:iCs/>
                <w:sz w:val="18"/>
                <w:szCs w:val="18"/>
              </w:rPr>
            </w:pPr>
            <w:r w:rsidRPr="00EA6851">
              <w:rPr>
                <w:b/>
                <w:bCs/>
                <w:i/>
                <w:iCs/>
                <w:sz w:val="18"/>
                <w:szCs w:val="18"/>
              </w:rPr>
              <w:t>2025 г.</w:t>
            </w:r>
          </w:p>
        </w:tc>
        <w:tc>
          <w:tcPr>
            <w:tcW w:w="1261" w:type="dxa"/>
            <w:tcBorders>
              <w:top w:val="single" w:sz="4" w:space="0" w:color="000000"/>
              <w:left w:val="nil"/>
              <w:bottom w:val="single" w:sz="4" w:space="0" w:color="000000"/>
              <w:right w:val="nil"/>
            </w:tcBorders>
            <w:hideMark/>
          </w:tcPr>
          <w:p w:rsidR="00DF2BD3" w:rsidRPr="00EA6851" w:rsidRDefault="00DF2BD3" w:rsidP="00CE4003">
            <w:pPr>
              <w:spacing w:line="276" w:lineRule="auto"/>
              <w:jc w:val="center"/>
              <w:rPr>
                <w:b/>
                <w:bCs/>
                <w:i/>
                <w:iCs/>
                <w:sz w:val="18"/>
                <w:szCs w:val="18"/>
              </w:rPr>
            </w:pPr>
            <w:r w:rsidRPr="00EA6851">
              <w:rPr>
                <w:b/>
                <w:bCs/>
                <w:i/>
                <w:iCs/>
                <w:sz w:val="18"/>
                <w:szCs w:val="18"/>
              </w:rPr>
              <w:t>Прогноза</w:t>
            </w:r>
          </w:p>
          <w:p w:rsidR="00DF2BD3" w:rsidRPr="00EA6851" w:rsidRDefault="00DF2BD3" w:rsidP="00CE4003">
            <w:pPr>
              <w:spacing w:line="276" w:lineRule="auto"/>
              <w:jc w:val="center"/>
              <w:rPr>
                <w:b/>
                <w:bCs/>
                <w:i/>
                <w:iCs/>
                <w:sz w:val="18"/>
                <w:szCs w:val="18"/>
              </w:rPr>
            </w:pPr>
            <w:r w:rsidRPr="00EA6851">
              <w:rPr>
                <w:b/>
                <w:bCs/>
                <w:i/>
                <w:iCs/>
                <w:sz w:val="18"/>
                <w:szCs w:val="18"/>
              </w:rPr>
              <w:t>2026 г.</w:t>
            </w:r>
          </w:p>
        </w:tc>
      </w:tr>
      <w:tr w:rsidR="00DF2BD3" w:rsidRPr="00EA6851" w:rsidTr="00DF2BD3">
        <w:trPr>
          <w:trHeight w:val="534"/>
          <w:jc w:val="center"/>
        </w:trPr>
        <w:tc>
          <w:tcPr>
            <w:tcW w:w="3330" w:type="dxa"/>
            <w:tcBorders>
              <w:top w:val="single" w:sz="4" w:space="0" w:color="000000"/>
              <w:left w:val="nil"/>
              <w:bottom w:val="nil"/>
              <w:right w:val="nil"/>
            </w:tcBorders>
            <w:hideMark/>
          </w:tcPr>
          <w:p w:rsidR="00DF2BD3" w:rsidRPr="00EA6851" w:rsidRDefault="00DF2BD3" w:rsidP="00DF2BD3">
            <w:pPr>
              <w:spacing w:line="276" w:lineRule="auto"/>
              <w:jc w:val="left"/>
              <w:rPr>
                <w:bCs/>
                <w:iCs/>
                <w:sz w:val="18"/>
                <w:szCs w:val="18"/>
              </w:rPr>
            </w:pPr>
            <w:r w:rsidRPr="00EA6851">
              <w:rPr>
                <w:bCs/>
                <w:iCs/>
                <w:sz w:val="18"/>
                <w:szCs w:val="18"/>
              </w:rPr>
              <w:t xml:space="preserve">1. Смъртност при децата от 0-1 годишна възраст </w:t>
            </w:r>
          </w:p>
        </w:tc>
        <w:tc>
          <w:tcPr>
            <w:tcW w:w="990" w:type="dxa"/>
            <w:tcBorders>
              <w:top w:val="single" w:sz="4" w:space="0" w:color="000000"/>
              <w:left w:val="nil"/>
              <w:bottom w:val="nil"/>
              <w:right w:val="nil"/>
            </w:tcBorders>
            <w:shd w:val="clear" w:color="auto" w:fill="F2F2F2"/>
            <w:hideMark/>
          </w:tcPr>
          <w:p w:rsidR="00DF2BD3" w:rsidRPr="00EA6851" w:rsidRDefault="00DF2BD3" w:rsidP="00CE4003">
            <w:pPr>
              <w:spacing w:line="276" w:lineRule="auto"/>
              <w:jc w:val="center"/>
              <w:rPr>
                <w:bCs/>
                <w:iCs/>
                <w:sz w:val="18"/>
                <w:szCs w:val="18"/>
              </w:rPr>
            </w:pPr>
            <w:r w:rsidRPr="00EA6851">
              <w:rPr>
                <w:bCs/>
                <w:iCs/>
                <w:sz w:val="18"/>
                <w:szCs w:val="18"/>
              </w:rPr>
              <w:t>Бр./1000 (‰)</w:t>
            </w:r>
          </w:p>
        </w:tc>
        <w:tc>
          <w:tcPr>
            <w:tcW w:w="1134" w:type="dxa"/>
            <w:tcBorders>
              <w:top w:val="single" w:sz="4" w:space="0" w:color="000000"/>
              <w:left w:val="nil"/>
              <w:bottom w:val="nil"/>
              <w:right w:val="nil"/>
            </w:tcBorders>
          </w:tcPr>
          <w:p w:rsidR="00DF2BD3" w:rsidRPr="00EA6851" w:rsidRDefault="00DF2BD3" w:rsidP="00CE4003">
            <w:pPr>
              <w:spacing w:line="276" w:lineRule="auto"/>
              <w:jc w:val="center"/>
              <w:rPr>
                <w:bCs/>
                <w:iCs/>
                <w:sz w:val="18"/>
                <w:szCs w:val="18"/>
              </w:rPr>
            </w:pPr>
            <w:r w:rsidRPr="00EA6851">
              <w:rPr>
                <w:bCs/>
                <w:iCs/>
                <w:sz w:val="18"/>
                <w:szCs w:val="18"/>
              </w:rPr>
              <w:t>4,3</w:t>
            </w:r>
          </w:p>
        </w:tc>
        <w:tc>
          <w:tcPr>
            <w:tcW w:w="1303" w:type="dxa"/>
            <w:tcBorders>
              <w:top w:val="single" w:sz="4" w:space="0" w:color="000000"/>
              <w:left w:val="nil"/>
              <w:bottom w:val="nil"/>
              <w:right w:val="nil"/>
            </w:tcBorders>
            <w:hideMark/>
          </w:tcPr>
          <w:p w:rsidR="00DF2BD3" w:rsidRPr="00EA6851" w:rsidRDefault="00DF2BD3" w:rsidP="00CE4003">
            <w:pPr>
              <w:spacing w:line="276" w:lineRule="auto"/>
              <w:jc w:val="center"/>
              <w:rPr>
                <w:bCs/>
                <w:iCs/>
                <w:sz w:val="18"/>
                <w:szCs w:val="18"/>
              </w:rPr>
            </w:pPr>
            <w:r w:rsidRPr="00EA6851">
              <w:rPr>
                <w:bCs/>
                <w:iCs/>
                <w:sz w:val="18"/>
                <w:szCs w:val="18"/>
              </w:rPr>
              <w:t>4,2</w:t>
            </w:r>
          </w:p>
        </w:tc>
        <w:tc>
          <w:tcPr>
            <w:tcW w:w="1261" w:type="dxa"/>
            <w:tcBorders>
              <w:top w:val="single" w:sz="4" w:space="0" w:color="000000"/>
              <w:left w:val="nil"/>
              <w:bottom w:val="nil"/>
              <w:right w:val="nil"/>
            </w:tcBorders>
            <w:hideMark/>
          </w:tcPr>
          <w:p w:rsidR="00DF2BD3" w:rsidRPr="00EA6851" w:rsidRDefault="00DF2BD3" w:rsidP="00CE4003">
            <w:pPr>
              <w:spacing w:line="276" w:lineRule="auto"/>
              <w:jc w:val="center"/>
              <w:rPr>
                <w:bCs/>
                <w:iCs/>
                <w:sz w:val="18"/>
                <w:szCs w:val="18"/>
              </w:rPr>
            </w:pPr>
            <w:r w:rsidRPr="00EA6851">
              <w:rPr>
                <w:bCs/>
                <w:iCs/>
                <w:sz w:val="18"/>
                <w:szCs w:val="18"/>
              </w:rPr>
              <w:t>4,1</w:t>
            </w:r>
          </w:p>
        </w:tc>
        <w:tc>
          <w:tcPr>
            <w:tcW w:w="1261" w:type="dxa"/>
            <w:tcBorders>
              <w:top w:val="single" w:sz="4" w:space="0" w:color="000000"/>
              <w:left w:val="nil"/>
              <w:bottom w:val="nil"/>
              <w:right w:val="nil"/>
            </w:tcBorders>
            <w:hideMark/>
          </w:tcPr>
          <w:p w:rsidR="00DF2BD3" w:rsidRPr="00EA6851" w:rsidRDefault="00DF2BD3" w:rsidP="00CE4003">
            <w:pPr>
              <w:spacing w:line="276" w:lineRule="auto"/>
              <w:jc w:val="center"/>
              <w:rPr>
                <w:bCs/>
                <w:iCs/>
                <w:sz w:val="18"/>
                <w:szCs w:val="18"/>
              </w:rPr>
            </w:pPr>
            <w:r w:rsidRPr="00EA6851">
              <w:rPr>
                <w:bCs/>
                <w:iCs/>
                <w:sz w:val="18"/>
                <w:szCs w:val="18"/>
              </w:rPr>
              <w:t>4,1</w:t>
            </w:r>
          </w:p>
        </w:tc>
      </w:tr>
      <w:tr w:rsidR="00DF2BD3" w:rsidRPr="00EA6851" w:rsidTr="00DF2BD3">
        <w:trPr>
          <w:trHeight w:val="544"/>
          <w:jc w:val="center"/>
        </w:trPr>
        <w:tc>
          <w:tcPr>
            <w:tcW w:w="3330" w:type="dxa"/>
            <w:hideMark/>
          </w:tcPr>
          <w:p w:rsidR="00DF2BD3" w:rsidRPr="00EA6851" w:rsidRDefault="00DF2BD3" w:rsidP="00DF2BD3">
            <w:pPr>
              <w:spacing w:line="276" w:lineRule="auto"/>
              <w:jc w:val="left"/>
              <w:rPr>
                <w:bCs/>
                <w:iCs/>
                <w:sz w:val="18"/>
                <w:szCs w:val="18"/>
              </w:rPr>
            </w:pPr>
            <w:r w:rsidRPr="00EA6851">
              <w:rPr>
                <w:bCs/>
                <w:iCs/>
                <w:sz w:val="18"/>
                <w:szCs w:val="18"/>
              </w:rPr>
              <w:t xml:space="preserve">2. Смъртност при децата от 1-9 годишна възраст </w:t>
            </w:r>
          </w:p>
        </w:tc>
        <w:tc>
          <w:tcPr>
            <w:tcW w:w="990" w:type="dxa"/>
            <w:shd w:val="clear" w:color="auto" w:fill="F2F2F2"/>
            <w:hideMark/>
          </w:tcPr>
          <w:p w:rsidR="00DF2BD3" w:rsidRPr="00EA6851" w:rsidRDefault="00DF2BD3" w:rsidP="00CE4003">
            <w:pPr>
              <w:spacing w:line="276" w:lineRule="auto"/>
              <w:jc w:val="center"/>
              <w:rPr>
                <w:bCs/>
                <w:iCs/>
                <w:sz w:val="18"/>
                <w:szCs w:val="18"/>
              </w:rPr>
            </w:pPr>
            <w:r w:rsidRPr="00EA6851">
              <w:rPr>
                <w:bCs/>
                <w:iCs/>
                <w:sz w:val="18"/>
                <w:szCs w:val="18"/>
              </w:rPr>
              <w:t>Бр./1000 (‰)</w:t>
            </w:r>
          </w:p>
        </w:tc>
        <w:tc>
          <w:tcPr>
            <w:tcW w:w="1134" w:type="dxa"/>
          </w:tcPr>
          <w:p w:rsidR="00DF2BD3" w:rsidRPr="00EA6851" w:rsidRDefault="00DF2BD3" w:rsidP="00CE4003">
            <w:pPr>
              <w:spacing w:line="276" w:lineRule="auto"/>
              <w:jc w:val="center"/>
              <w:rPr>
                <w:bCs/>
                <w:iCs/>
                <w:sz w:val="18"/>
                <w:szCs w:val="18"/>
              </w:rPr>
            </w:pPr>
            <w:r w:rsidRPr="00EA6851">
              <w:rPr>
                <w:bCs/>
                <w:iCs/>
                <w:sz w:val="18"/>
                <w:szCs w:val="18"/>
              </w:rPr>
              <w:t>0,13</w:t>
            </w:r>
          </w:p>
        </w:tc>
        <w:tc>
          <w:tcPr>
            <w:tcW w:w="1303" w:type="dxa"/>
            <w:hideMark/>
          </w:tcPr>
          <w:p w:rsidR="00DF2BD3" w:rsidRPr="00EA6851" w:rsidRDefault="00DF2BD3" w:rsidP="00CE4003">
            <w:pPr>
              <w:spacing w:line="276" w:lineRule="auto"/>
              <w:jc w:val="center"/>
              <w:rPr>
                <w:bCs/>
                <w:iCs/>
                <w:sz w:val="18"/>
                <w:szCs w:val="18"/>
              </w:rPr>
            </w:pPr>
            <w:r w:rsidRPr="00EA6851">
              <w:rPr>
                <w:bCs/>
                <w:iCs/>
                <w:sz w:val="18"/>
                <w:szCs w:val="18"/>
              </w:rPr>
              <w:t>0,12</w:t>
            </w:r>
          </w:p>
        </w:tc>
        <w:tc>
          <w:tcPr>
            <w:tcW w:w="1261" w:type="dxa"/>
            <w:hideMark/>
          </w:tcPr>
          <w:p w:rsidR="00DF2BD3" w:rsidRPr="00EA6851" w:rsidRDefault="00DF2BD3" w:rsidP="00CE4003">
            <w:pPr>
              <w:spacing w:line="276" w:lineRule="auto"/>
              <w:jc w:val="center"/>
              <w:rPr>
                <w:bCs/>
                <w:iCs/>
                <w:sz w:val="18"/>
                <w:szCs w:val="18"/>
              </w:rPr>
            </w:pPr>
            <w:r w:rsidRPr="00EA6851">
              <w:rPr>
                <w:bCs/>
                <w:iCs/>
                <w:sz w:val="18"/>
                <w:szCs w:val="18"/>
              </w:rPr>
              <w:t>0,11</w:t>
            </w:r>
          </w:p>
        </w:tc>
        <w:tc>
          <w:tcPr>
            <w:tcW w:w="1261" w:type="dxa"/>
            <w:hideMark/>
          </w:tcPr>
          <w:p w:rsidR="00DF2BD3" w:rsidRPr="00EA6851" w:rsidRDefault="00DF2BD3" w:rsidP="00CE4003">
            <w:pPr>
              <w:spacing w:line="276" w:lineRule="auto"/>
              <w:jc w:val="center"/>
              <w:rPr>
                <w:bCs/>
                <w:iCs/>
                <w:sz w:val="18"/>
                <w:szCs w:val="18"/>
              </w:rPr>
            </w:pPr>
            <w:r w:rsidRPr="00EA6851">
              <w:rPr>
                <w:bCs/>
                <w:iCs/>
                <w:sz w:val="18"/>
                <w:szCs w:val="18"/>
              </w:rPr>
              <w:t>0,11</w:t>
            </w:r>
          </w:p>
        </w:tc>
      </w:tr>
      <w:tr w:rsidR="00DF2BD3" w:rsidRPr="00EA6851" w:rsidTr="00DF2BD3">
        <w:trPr>
          <w:trHeight w:val="816"/>
          <w:jc w:val="center"/>
        </w:trPr>
        <w:tc>
          <w:tcPr>
            <w:tcW w:w="3330" w:type="dxa"/>
            <w:hideMark/>
          </w:tcPr>
          <w:p w:rsidR="00DF2BD3" w:rsidRPr="00EA6851" w:rsidRDefault="00DF2BD3" w:rsidP="00DF2BD3">
            <w:pPr>
              <w:spacing w:line="276" w:lineRule="auto"/>
              <w:jc w:val="left"/>
              <w:rPr>
                <w:bCs/>
                <w:iCs/>
                <w:sz w:val="18"/>
                <w:szCs w:val="18"/>
              </w:rPr>
            </w:pPr>
            <w:r w:rsidRPr="00EA6851">
              <w:rPr>
                <w:bCs/>
                <w:iCs/>
                <w:sz w:val="18"/>
                <w:szCs w:val="18"/>
              </w:rPr>
              <w:t xml:space="preserve">3. Средна продължителност на предстоящия живот на хората след навършване на 65 годишна възраст </w:t>
            </w:r>
          </w:p>
        </w:tc>
        <w:tc>
          <w:tcPr>
            <w:tcW w:w="990" w:type="dxa"/>
            <w:shd w:val="clear" w:color="auto" w:fill="F2F2F2"/>
            <w:hideMark/>
          </w:tcPr>
          <w:p w:rsidR="00DF2BD3" w:rsidRPr="00EA6851" w:rsidRDefault="00DF2BD3" w:rsidP="00CE4003">
            <w:pPr>
              <w:spacing w:line="276" w:lineRule="auto"/>
              <w:jc w:val="center"/>
              <w:rPr>
                <w:bCs/>
                <w:iCs/>
                <w:sz w:val="18"/>
                <w:szCs w:val="18"/>
              </w:rPr>
            </w:pPr>
            <w:r w:rsidRPr="00EA6851">
              <w:rPr>
                <w:bCs/>
                <w:iCs/>
                <w:sz w:val="18"/>
                <w:szCs w:val="18"/>
              </w:rPr>
              <w:t>Бр. години</w:t>
            </w:r>
          </w:p>
        </w:tc>
        <w:tc>
          <w:tcPr>
            <w:tcW w:w="1134" w:type="dxa"/>
          </w:tcPr>
          <w:p w:rsidR="00DF2BD3" w:rsidRPr="00EA6851" w:rsidRDefault="00DF2BD3" w:rsidP="00CE4003">
            <w:pPr>
              <w:spacing w:line="276" w:lineRule="auto"/>
              <w:jc w:val="center"/>
              <w:rPr>
                <w:bCs/>
                <w:iCs/>
                <w:sz w:val="18"/>
                <w:szCs w:val="18"/>
              </w:rPr>
            </w:pPr>
            <w:r w:rsidRPr="00EA6851">
              <w:rPr>
                <w:bCs/>
                <w:iCs/>
                <w:sz w:val="18"/>
                <w:szCs w:val="18"/>
              </w:rPr>
              <w:t>17,2</w:t>
            </w:r>
          </w:p>
        </w:tc>
        <w:tc>
          <w:tcPr>
            <w:tcW w:w="1303" w:type="dxa"/>
            <w:hideMark/>
          </w:tcPr>
          <w:p w:rsidR="00DF2BD3" w:rsidRPr="00EA6851" w:rsidRDefault="00DF2BD3" w:rsidP="00CE4003">
            <w:pPr>
              <w:spacing w:line="276" w:lineRule="auto"/>
              <w:jc w:val="center"/>
              <w:rPr>
                <w:bCs/>
                <w:iCs/>
                <w:sz w:val="18"/>
                <w:szCs w:val="18"/>
              </w:rPr>
            </w:pPr>
            <w:r w:rsidRPr="00EA6851">
              <w:rPr>
                <w:bCs/>
                <w:iCs/>
                <w:sz w:val="18"/>
                <w:szCs w:val="18"/>
              </w:rPr>
              <w:t>17,3</w:t>
            </w:r>
          </w:p>
        </w:tc>
        <w:tc>
          <w:tcPr>
            <w:tcW w:w="1261" w:type="dxa"/>
            <w:hideMark/>
          </w:tcPr>
          <w:p w:rsidR="00DF2BD3" w:rsidRPr="00EA6851" w:rsidRDefault="00DF2BD3" w:rsidP="00CE4003">
            <w:pPr>
              <w:spacing w:line="276" w:lineRule="auto"/>
              <w:jc w:val="center"/>
              <w:rPr>
                <w:bCs/>
                <w:iCs/>
                <w:sz w:val="18"/>
                <w:szCs w:val="18"/>
              </w:rPr>
            </w:pPr>
            <w:r w:rsidRPr="00EA6851">
              <w:rPr>
                <w:bCs/>
                <w:iCs/>
                <w:sz w:val="18"/>
                <w:szCs w:val="18"/>
              </w:rPr>
              <w:t>17,4</w:t>
            </w:r>
          </w:p>
        </w:tc>
        <w:tc>
          <w:tcPr>
            <w:tcW w:w="1261" w:type="dxa"/>
            <w:hideMark/>
          </w:tcPr>
          <w:p w:rsidR="00DF2BD3" w:rsidRPr="00EA6851" w:rsidRDefault="00DF2BD3" w:rsidP="00CE4003">
            <w:pPr>
              <w:spacing w:line="276" w:lineRule="auto"/>
              <w:jc w:val="center"/>
              <w:rPr>
                <w:bCs/>
                <w:iCs/>
                <w:sz w:val="18"/>
                <w:szCs w:val="18"/>
              </w:rPr>
            </w:pPr>
            <w:r w:rsidRPr="00EA6851">
              <w:rPr>
                <w:bCs/>
                <w:iCs/>
                <w:sz w:val="18"/>
                <w:szCs w:val="18"/>
              </w:rPr>
              <w:t>17,5</w:t>
            </w:r>
          </w:p>
        </w:tc>
      </w:tr>
      <w:tr w:rsidR="00DF2BD3" w:rsidRPr="00EA6851" w:rsidTr="00DF2BD3">
        <w:trPr>
          <w:trHeight w:val="563"/>
          <w:jc w:val="center"/>
        </w:trPr>
        <w:tc>
          <w:tcPr>
            <w:tcW w:w="3330" w:type="dxa"/>
            <w:hideMark/>
          </w:tcPr>
          <w:p w:rsidR="00DF2BD3" w:rsidRPr="00EA6851" w:rsidRDefault="00DF2BD3" w:rsidP="00DF2BD3">
            <w:pPr>
              <w:spacing w:line="276" w:lineRule="auto"/>
              <w:jc w:val="left"/>
              <w:rPr>
                <w:bCs/>
                <w:iCs/>
                <w:sz w:val="18"/>
                <w:szCs w:val="18"/>
              </w:rPr>
            </w:pPr>
            <w:r w:rsidRPr="00EA6851">
              <w:rPr>
                <w:bCs/>
                <w:iCs/>
                <w:sz w:val="18"/>
                <w:szCs w:val="18"/>
              </w:rPr>
              <w:t xml:space="preserve">4. Смъртност </w:t>
            </w:r>
            <w:r w:rsidRPr="00EA6851">
              <w:rPr>
                <w:bCs/>
                <w:iCs/>
                <w:sz w:val="18"/>
                <w:szCs w:val="18"/>
              </w:rPr>
              <w:tab/>
              <w:t xml:space="preserve">от болести </w:t>
            </w:r>
            <w:r w:rsidRPr="00EA6851">
              <w:rPr>
                <w:bCs/>
                <w:iCs/>
                <w:sz w:val="18"/>
                <w:szCs w:val="18"/>
              </w:rPr>
              <w:tab/>
              <w:t xml:space="preserve">на органите на кръвообращението (I00 – I99) </w:t>
            </w:r>
          </w:p>
        </w:tc>
        <w:tc>
          <w:tcPr>
            <w:tcW w:w="990" w:type="dxa"/>
            <w:shd w:val="clear" w:color="auto" w:fill="F2F2F2"/>
            <w:hideMark/>
          </w:tcPr>
          <w:p w:rsidR="00DF2BD3" w:rsidRPr="00EA6851" w:rsidRDefault="00DF2BD3" w:rsidP="00CE4003">
            <w:pPr>
              <w:spacing w:line="276" w:lineRule="auto"/>
              <w:jc w:val="center"/>
              <w:rPr>
                <w:bCs/>
                <w:iCs/>
                <w:sz w:val="18"/>
                <w:szCs w:val="18"/>
              </w:rPr>
            </w:pPr>
            <w:r w:rsidRPr="00EA6851">
              <w:rPr>
                <w:bCs/>
                <w:iCs/>
                <w:sz w:val="18"/>
                <w:szCs w:val="18"/>
              </w:rPr>
              <w:t>Бр./100 000</w:t>
            </w:r>
          </w:p>
          <w:p w:rsidR="00DF2BD3" w:rsidRPr="00EA6851" w:rsidRDefault="00DF2BD3" w:rsidP="00CE4003">
            <w:pPr>
              <w:spacing w:line="276" w:lineRule="auto"/>
              <w:jc w:val="center"/>
              <w:rPr>
                <w:bCs/>
                <w:iCs/>
                <w:sz w:val="18"/>
                <w:szCs w:val="18"/>
              </w:rPr>
            </w:pPr>
            <w:r w:rsidRPr="00EA6851">
              <w:rPr>
                <w:bCs/>
                <w:iCs/>
                <w:sz w:val="18"/>
                <w:szCs w:val="18"/>
              </w:rPr>
              <w:t>(‰оо)</w:t>
            </w:r>
          </w:p>
        </w:tc>
        <w:tc>
          <w:tcPr>
            <w:tcW w:w="1134" w:type="dxa"/>
          </w:tcPr>
          <w:p w:rsidR="00DF2BD3" w:rsidRPr="00EA6851" w:rsidRDefault="00DF2BD3" w:rsidP="00CE4003">
            <w:pPr>
              <w:spacing w:line="276" w:lineRule="auto"/>
              <w:jc w:val="center"/>
              <w:rPr>
                <w:bCs/>
                <w:iCs/>
                <w:sz w:val="18"/>
                <w:szCs w:val="18"/>
              </w:rPr>
            </w:pPr>
            <w:r w:rsidRPr="00EA6851">
              <w:rPr>
                <w:bCs/>
                <w:iCs/>
                <w:sz w:val="18"/>
                <w:szCs w:val="18"/>
              </w:rPr>
              <w:t>1 007</w:t>
            </w:r>
          </w:p>
          <w:p w:rsidR="00DF2BD3" w:rsidRPr="00EA6851" w:rsidRDefault="00DF2BD3" w:rsidP="00CE4003">
            <w:pPr>
              <w:spacing w:line="276" w:lineRule="auto"/>
              <w:jc w:val="center"/>
              <w:rPr>
                <w:bCs/>
                <w:iCs/>
                <w:sz w:val="18"/>
                <w:szCs w:val="18"/>
              </w:rPr>
            </w:pPr>
          </w:p>
        </w:tc>
        <w:tc>
          <w:tcPr>
            <w:tcW w:w="1303" w:type="dxa"/>
            <w:hideMark/>
          </w:tcPr>
          <w:p w:rsidR="00DF2BD3" w:rsidRPr="00EA6851" w:rsidRDefault="00DF2BD3" w:rsidP="00CE4003">
            <w:pPr>
              <w:spacing w:line="276" w:lineRule="auto"/>
              <w:jc w:val="center"/>
              <w:rPr>
                <w:bCs/>
                <w:iCs/>
                <w:sz w:val="18"/>
                <w:szCs w:val="18"/>
              </w:rPr>
            </w:pPr>
            <w:r w:rsidRPr="00EA6851">
              <w:rPr>
                <w:bCs/>
                <w:iCs/>
                <w:sz w:val="18"/>
                <w:szCs w:val="18"/>
              </w:rPr>
              <w:t>1 005</w:t>
            </w:r>
          </w:p>
          <w:p w:rsidR="00DF2BD3" w:rsidRPr="00EA6851" w:rsidRDefault="00DF2BD3" w:rsidP="00CE4003">
            <w:pPr>
              <w:spacing w:line="276" w:lineRule="auto"/>
              <w:jc w:val="center"/>
              <w:rPr>
                <w:bCs/>
                <w:iCs/>
                <w:sz w:val="18"/>
                <w:szCs w:val="18"/>
              </w:rPr>
            </w:pPr>
          </w:p>
        </w:tc>
        <w:tc>
          <w:tcPr>
            <w:tcW w:w="1261" w:type="dxa"/>
            <w:hideMark/>
          </w:tcPr>
          <w:p w:rsidR="00DF2BD3" w:rsidRPr="00EA6851" w:rsidRDefault="00DF2BD3" w:rsidP="00CE4003">
            <w:pPr>
              <w:spacing w:line="276" w:lineRule="auto"/>
              <w:jc w:val="center"/>
              <w:rPr>
                <w:bCs/>
                <w:iCs/>
                <w:sz w:val="18"/>
                <w:szCs w:val="18"/>
              </w:rPr>
            </w:pPr>
            <w:r w:rsidRPr="00EA6851">
              <w:rPr>
                <w:bCs/>
                <w:iCs/>
                <w:sz w:val="18"/>
                <w:szCs w:val="18"/>
              </w:rPr>
              <w:t>1 003</w:t>
            </w:r>
          </w:p>
        </w:tc>
        <w:tc>
          <w:tcPr>
            <w:tcW w:w="1261" w:type="dxa"/>
            <w:hideMark/>
          </w:tcPr>
          <w:p w:rsidR="00DF2BD3" w:rsidRPr="00EA6851" w:rsidRDefault="00DF2BD3" w:rsidP="00CE4003">
            <w:pPr>
              <w:spacing w:line="276" w:lineRule="auto"/>
              <w:jc w:val="center"/>
              <w:rPr>
                <w:bCs/>
                <w:iCs/>
                <w:sz w:val="18"/>
                <w:szCs w:val="18"/>
              </w:rPr>
            </w:pPr>
            <w:r w:rsidRPr="00EA6851">
              <w:rPr>
                <w:bCs/>
                <w:iCs/>
                <w:sz w:val="18"/>
                <w:szCs w:val="18"/>
              </w:rPr>
              <w:t>1 001</w:t>
            </w:r>
          </w:p>
        </w:tc>
      </w:tr>
      <w:tr w:rsidR="00DF2BD3" w:rsidRPr="00EA6851" w:rsidTr="0003268C">
        <w:trPr>
          <w:trHeight w:val="576"/>
          <w:jc w:val="center"/>
        </w:trPr>
        <w:tc>
          <w:tcPr>
            <w:tcW w:w="3330" w:type="dxa"/>
            <w:hideMark/>
          </w:tcPr>
          <w:p w:rsidR="00DF2BD3" w:rsidRPr="00EA6851" w:rsidRDefault="00DF2BD3" w:rsidP="00DF2BD3">
            <w:pPr>
              <w:spacing w:line="276" w:lineRule="auto"/>
              <w:jc w:val="left"/>
              <w:rPr>
                <w:bCs/>
                <w:iCs/>
                <w:sz w:val="18"/>
                <w:szCs w:val="18"/>
              </w:rPr>
            </w:pPr>
            <w:r w:rsidRPr="00EA6851">
              <w:rPr>
                <w:bCs/>
                <w:iCs/>
                <w:sz w:val="18"/>
                <w:szCs w:val="18"/>
              </w:rPr>
              <w:t xml:space="preserve">5. Смъртност от злокачествени новообразувания (С00 – С97) </w:t>
            </w:r>
          </w:p>
        </w:tc>
        <w:tc>
          <w:tcPr>
            <w:tcW w:w="990" w:type="dxa"/>
            <w:shd w:val="clear" w:color="auto" w:fill="F2F2F2"/>
            <w:hideMark/>
          </w:tcPr>
          <w:p w:rsidR="00DF2BD3" w:rsidRPr="00EA6851" w:rsidRDefault="00DF2BD3" w:rsidP="00CE4003">
            <w:pPr>
              <w:spacing w:line="276" w:lineRule="auto"/>
              <w:jc w:val="center"/>
              <w:rPr>
                <w:bCs/>
                <w:iCs/>
                <w:sz w:val="18"/>
                <w:szCs w:val="18"/>
              </w:rPr>
            </w:pPr>
            <w:r w:rsidRPr="00EA6851">
              <w:rPr>
                <w:bCs/>
                <w:iCs/>
                <w:sz w:val="18"/>
                <w:szCs w:val="18"/>
              </w:rPr>
              <w:t>Бр./100 000</w:t>
            </w:r>
          </w:p>
          <w:p w:rsidR="00DF2BD3" w:rsidRPr="00EA6851" w:rsidRDefault="00DF2BD3" w:rsidP="00CE4003">
            <w:pPr>
              <w:spacing w:line="276" w:lineRule="auto"/>
              <w:jc w:val="center"/>
              <w:rPr>
                <w:bCs/>
                <w:iCs/>
                <w:sz w:val="18"/>
                <w:szCs w:val="18"/>
              </w:rPr>
            </w:pPr>
            <w:r w:rsidRPr="00EA6851">
              <w:rPr>
                <w:bCs/>
                <w:iCs/>
                <w:sz w:val="18"/>
                <w:szCs w:val="18"/>
              </w:rPr>
              <w:t>(‰оо)</w:t>
            </w:r>
          </w:p>
        </w:tc>
        <w:tc>
          <w:tcPr>
            <w:tcW w:w="1134" w:type="dxa"/>
          </w:tcPr>
          <w:p w:rsidR="00DF2BD3" w:rsidRPr="00EA6851" w:rsidRDefault="00DF2BD3" w:rsidP="00CE4003">
            <w:pPr>
              <w:spacing w:line="276" w:lineRule="auto"/>
              <w:jc w:val="center"/>
              <w:rPr>
                <w:bCs/>
                <w:iCs/>
                <w:sz w:val="18"/>
                <w:szCs w:val="18"/>
              </w:rPr>
            </w:pPr>
            <w:r w:rsidRPr="00EA6851">
              <w:rPr>
                <w:bCs/>
                <w:iCs/>
                <w:sz w:val="18"/>
                <w:szCs w:val="18"/>
              </w:rPr>
              <w:t>243,75</w:t>
            </w:r>
          </w:p>
          <w:p w:rsidR="00DF2BD3" w:rsidRPr="00EA6851" w:rsidRDefault="00DF2BD3" w:rsidP="00CE4003">
            <w:pPr>
              <w:spacing w:line="276" w:lineRule="auto"/>
              <w:jc w:val="center"/>
              <w:rPr>
                <w:bCs/>
                <w:iCs/>
                <w:sz w:val="18"/>
                <w:szCs w:val="18"/>
              </w:rPr>
            </w:pPr>
          </w:p>
        </w:tc>
        <w:tc>
          <w:tcPr>
            <w:tcW w:w="1303" w:type="dxa"/>
            <w:hideMark/>
          </w:tcPr>
          <w:p w:rsidR="00DF2BD3" w:rsidRPr="00EA6851" w:rsidRDefault="00DF2BD3" w:rsidP="00CE4003">
            <w:pPr>
              <w:spacing w:line="276" w:lineRule="auto"/>
              <w:jc w:val="center"/>
              <w:rPr>
                <w:bCs/>
                <w:iCs/>
                <w:sz w:val="18"/>
                <w:szCs w:val="18"/>
              </w:rPr>
            </w:pPr>
            <w:r w:rsidRPr="00EA6851">
              <w:rPr>
                <w:bCs/>
                <w:iCs/>
                <w:sz w:val="18"/>
                <w:szCs w:val="18"/>
              </w:rPr>
              <w:t>243,5</w:t>
            </w:r>
          </w:p>
          <w:p w:rsidR="00DF2BD3" w:rsidRPr="00EA6851" w:rsidRDefault="00DF2BD3" w:rsidP="00CE4003">
            <w:pPr>
              <w:spacing w:line="276" w:lineRule="auto"/>
              <w:jc w:val="center"/>
              <w:rPr>
                <w:bCs/>
                <w:iCs/>
                <w:sz w:val="18"/>
                <w:szCs w:val="18"/>
              </w:rPr>
            </w:pPr>
          </w:p>
        </w:tc>
        <w:tc>
          <w:tcPr>
            <w:tcW w:w="1261" w:type="dxa"/>
            <w:hideMark/>
          </w:tcPr>
          <w:p w:rsidR="00DF2BD3" w:rsidRPr="00EA6851" w:rsidRDefault="00DF2BD3" w:rsidP="00CE4003">
            <w:pPr>
              <w:spacing w:line="276" w:lineRule="auto"/>
              <w:jc w:val="center"/>
              <w:rPr>
                <w:bCs/>
                <w:iCs/>
                <w:sz w:val="18"/>
                <w:szCs w:val="18"/>
              </w:rPr>
            </w:pPr>
            <w:r w:rsidRPr="00EA6851">
              <w:rPr>
                <w:bCs/>
                <w:iCs/>
                <w:sz w:val="18"/>
                <w:szCs w:val="18"/>
              </w:rPr>
              <w:t>243,0</w:t>
            </w:r>
          </w:p>
          <w:p w:rsidR="00DF2BD3" w:rsidRPr="00EA6851" w:rsidRDefault="00DF2BD3" w:rsidP="00CE4003">
            <w:pPr>
              <w:spacing w:line="276" w:lineRule="auto"/>
              <w:jc w:val="center"/>
              <w:rPr>
                <w:bCs/>
                <w:iCs/>
                <w:sz w:val="18"/>
                <w:szCs w:val="18"/>
              </w:rPr>
            </w:pPr>
          </w:p>
        </w:tc>
        <w:tc>
          <w:tcPr>
            <w:tcW w:w="1261" w:type="dxa"/>
            <w:hideMark/>
          </w:tcPr>
          <w:p w:rsidR="00DF2BD3" w:rsidRPr="00EA6851" w:rsidRDefault="00DF2BD3" w:rsidP="00CE4003">
            <w:pPr>
              <w:spacing w:line="276" w:lineRule="auto"/>
              <w:jc w:val="center"/>
              <w:rPr>
                <w:bCs/>
                <w:iCs/>
                <w:sz w:val="18"/>
                <w:szCs w:val="18"/>
              </w:rPr>
            </w:pPr>
            <w:r w:rsidRPr="00EA6851">
              <w:rPr>
                <w:bCs/>
                <w:iCs/>
                <w:sz w:val="18"/>
                <w:szCs w:val="18"/>
              </w:rPr>
              <w:t>243,0</w:t>
            </w:r>
          </w:p>
          <w:p w:rsidR="00DF2BD3" w:rsidRPr="00EA6851" w:rsidRDefault="00DF2BD3" w:rsidP="00CE4003">
            <w:pPr>
              <w:spacing w:line="276" w:lineRule="auto"/>
              <w:jc w:val="center"/>
              <w:rPr>
                <w:bCs/>
                <w:iCs/>
                <w:sz w:val="18"/>
                <w:szCs w:val="18"/>
              </w:rPr>
            </w:pPr>
          </w:p>
        </w:tc>
      </w:tr>
      <w:tr w:rsidR="00DF2BD3" w:rsidRPr="00EA6851" w:rsidTr="00DF2BD3">
        <w:trPr>
          <w:trHeight w:val="298"/>
          <w:jc w:val="center"/>
        </w:trPr>
        <w:tc>
          <w:tcPr>
            <w:tcW w:w="3330" w:type="dxa"/>
            <w:tcBorders>
              <w:top w:val="nil"/>
              <w:left w:val="nil"/>
              <w:bottom w:val="single" w:sz="4" w:space="0" w:color="auto"/>
              <w:right w:val="nil"/>
            </w:tcBorders>
          </w:tcPr>
          <w:p w:rsidR="00DF2BD3" w:rsidRPr="00EA6851" w:rsidRDefault="00DF2BD3" w:rsidP="00DF2BD3">
            <w:pPr>
              <w:spacing w:line="276" w:lineRule="auto"/>
              <w:jc w:val="left"/>
              <w:rPr>
                <w:bCs/>
                <w:iCs/>
                <w:sz w:val="18"/>
                <w:szCs w:val="18"/>
              </w:rPr>
            </w:pPr>
            <w:r w:rsidRPr="00EA6851">
              <w:rPr>
                <w:bCs/>
                <w:iCs/>
                <w:sz w:val="18"/>
                <w:szCs w:val="18"/>
              </w:rPr>
              <w:t xml:space="preserve">6. Дял на разходите за извънболнична медицинска помощ спрямо общите здравноосигурителни плащания </w:t>
            </w:r>
          </w:p>
        </w:tc>
        <w:tc>
          <w:tcPr>
            <w:tcW w:w="990" w:type="dxa"/>
            <w:tcBorders>
              <w:top w:val="nil"/>
              <w:left w:val="nil"/>
              <w:bottom w:val="single" w:sz="4" w:space="0" w:color="auto"/>
            </w:tcBorders>
            <w:shd w:val="clear" w:color="auto" w:fill="F2F2F2"/>
          </w:tcPr>
          <w:p w:rsidR="00DF2BD3" w:rsidRPr="00EA6851" w:rsidRDefault="00DF2BD3" w:rsidP="00CE4003">
            <w:pPr>
              <w:spacing w:line="276" w:lineRule="auto"/>
              <w:jc w:val="center"/>
              <w:rPr>
                <w:bCs/>
                <w:iCs/>
                <w:sz w:val="18"/>
                <w:szCs w:val="18"/>
              </w:rPr>
            </w:pPr>
          </w:p>
          <w:p w:rsidR="00DF2BD3" w:rsidRPr="00EA6851" w:rsidRDefault="00DF2BD3" w:rsidP="00CE4003">
            <w:pPr>
              <w:spacing w:line="276" w:lineRule="auto"/>
              <w:jc w:val="center"/>
              <w:rPr>
                <w:bCs/>
                <w:iCs/>
                <w:sz w:val="18"/>
                <w:szCs w:val="18"/>
              </w:rPr>
            </w:pPr>
            <w:r w:rsidRPr="00EA6851">
              <w:rPr>
                <w:bCs/>
                <w:iCs/>
                <w:sz w:val="18"/>
                <w:szCs w:val="18"/>
              </w:rPr>
              <w:t>%</w:t>
            </w:r>
          </w:p>
        </w:tc>
        <w:tc>
          <w:tcPr>
            <w:tcW w:w="1134" w:type="dxa"/>
            <w:tcBorders>
              <w:bottom w:val="single" w:sz="4" w:space="0" w:color="auto"/>
            </w:tcBorders>
          </w:tcPr>
          <w:p w:rsidR="00DF2BD3" w:rsidRPr="00EA6851" w:rsidRDefault="00DF2BD3" w:rsidP="00CE4003">
            <w:pPr>
              <w:spacing w:line="276" w:lineRule="auto"/>
              <w:jc w:val="center"/>
              <w:rPr>
                <w:bCs/>
                <w:iCs/>
                <w:sz w:val="18"/>
                <w:szCs w:val="18"/>
              </w:rPr>
            </w:pPr>
            <w:r w:rsidRPr="00EA6851">
              <w:rPr>
                <w:bCs/>
                <w:iCs/>
                <w:sz w:val="18"/>
                <w:szCs w:val="18"/>
              </w:rPr>
              <w:t>17</w:t>
            </w:r>
          </w:p>
          <w:p w:rsidR="00DF2BD3" w:rsidRPr="00EA6851" w:rsidRDefault="00DF2BD3" w:rsidP="00CE4003">
            <w:pPr>
              <w:spacing w:line="276" w:lineRule="auto"/>
              <w:jc w:val="center"/>
              <w:rPr>
                <w:bCs/>
                <w:iCs/>
                <w:sz w:val="18"/>
                <w:szCs w:val="18"/>
              </w:rPr>
            </w:pPr>
          </w:p>
        </w:tc>
        <w:tc>
          <w:tcPr>
            <w:tcW w:w="1303" w:type="dxa"/>
            <w:tcBorders>
              <w:bottom w:val="single" w:sz="4" w:space="0" w:color="auto"/>
            </w:tcBorders>
          </w:tcPr>
          <w:p w:rsidR="00DF2BD3" w:rsidRPr="00EA6851" w:rsidRDefault="00DF2BD3" w:rsidP="00CE4003">
            <w:pPr>
              <w:spacing w:line="276" w:lineRule="auto"/>
              <w:jc w:val="center"/>
              <w:rPr>
                <w:bCs/>
                <w:iCs/>
                <w:sz w:val="18"/>
                <w:szCs w:val="18"/>
              </w:rPr>
            </w:pPr>
            <w:r w:rsidRPr="00EA6851">
              <w:rPr>
                <w:bCs/>
                <w:iCs/>
                <w:sz w:val="18"/>
                <w:szCs w:val="18"/>
              </w:rPr>
              <w:t>17,5</w:t>
            </w:r>
          </w:p>
        </w:tc>
        <w:tc>
          <w:tcPr>
            <w:tcW w:w="1261" w:type="dxa"/>
            <w:tcBorders>
              <w:bottom w:val="single" w:sz="4" w:space="0" w:color="auto"/>
            </w:tcBorders>
          </w:tcPr>
          <w:p w:rsidR="00DF2BD3" w:rsidRPr="00EA6851" w:rsidRDefault="00DF2BD3" w:rsidP="00CE4003">
            <w:pPr>
              <w:spacing w:line="276" w:lineRule="auto"/>
              <w:jc w:val="center"/>
              <w:rPr>
                <w:bCs/>
                <w:iCs/>
                <w:sz w:val="18"/>
                <w:szCs w:val="18"/>
              </w:rPr>
            </w:pPr>
            <w:r w:rsidRPr="00EA6851">
              <w:rPr>
                <w:bCs/>
                <w:iCs/>
                <w:sz w:val="18"/>
                <w:szCs w:val="18"/>
              </w:rPr>
              <w:t>18,0</w:t>
            </w:r>
          </w:p>
        </w:tc>
        <w:tc>
          <w:tcPr>
            <w:tcW w:w="1261" w:type="dxa"/>
            <w:tcBorders>
              <w:bottom w:val="single" w:sz="4" w:space="0" w:color="auto"/>
            </w:tcBorders>
          </w:tcPr>
          <w:p w:rsidR="00DF2BD3" w:rsidRPr="00EA6851" w:rsidRDefault="00DF2BD3" w:rsidP="00CE4003">
            <w:pPr>
              <w:spacing w:line="276" w:lineRule="auto"/>
              <w:jc w:val="center"/>
              <w:rPr>
                <w:bCs/>
                <w:iCs/>
                <w:sz w:val="18"/>
                <w:szCs w:val="18"/>
              </w:rPr>
            </w:pPr>
            <w:r w:rsidRPr="00EA6851">
              <w:rPr>
                <w:bCs/>
                <w:iCs/>
                <w:sz w:val="18"/>
                <w:szCs w:val="18"/>
              </w:rPr>
              <w:t>18,5</w:t>
            </w:r>
          </w:p>
          <w:p w:rsidR="00DF2BD3" w:rsidRPr="00EA6851" w:rsidRDefault="00DF2BD3" w:rsidP="00CE4003">
            <w:pPr>
              <w:spacing w:line="276" w:lineRule="auto"/>
              <w:jc w:val="center"/>
              <w:rPr>
                <w:bCs/>
                <w:iCs/>
                <w:sz w:val="18"/>
                <w:szCs w:val="18"/>
              </w:rPr>
            </w:pPr>
          </w:p>
        </w:tc>
      </w:tr>
    </w:tbl>
    <w:p w:rsidR="00DF2BD3" w:rsidRPr="00EA6851" w:rsidRDefault="00DF2BD3" w:rsidP="00065803">
      <w:pPr>
        <w:jc w:val="left"/>
        <w:rPr>
          <w:b/>
          <w:sz w:val="20"/>
          <w:szCs w:val="20"/>
          <w:highlight w:val="yellow"/>
        </w:rPr>
      </w:pPr>
    </w:p>
    <w:p w:rsidR="00065803" w:rsidRPr="00EA6851" w:rsidRDefault="00DF2BD3" w:rsidP="00065803">
      <w:pPr>
        <w:rPr>
          <w:highlight w:val="yellow"/>
        </w:rPr>
      </w:pPr>
      <w:r w:rsidRPr="00EA6851">
        <w:t>Изборът на тези индикатори е свързан с обстоятелството, че от една страна те са пряко свързани с качеството на живот и благополучие на населението, в т.ч. ползваната медицинска помощ, а от друга страна са обективни, измерими и съпоставими на национално и международно ниво.</w:t>
      </w:r>
    </w:p>
    <w:p w:rsidR="00065803" w:rsidRPr="00EA6851" w:rsidRDefault="00065803" w:rsidP="000E564D">
      <w:pPr>
        <w:pStyle w:val="Heading4"/>
      </w:pPr>
      <w:r w:rsidRPr="00EA6851">
        <w:t>Политика в областта на лекарствените продукти и медицинските изделия</w:t>
      </w:r>
    </w:p>
    <w:p w:rsidR="00DF2BD3" w:rsidRPr="00EA6851" w:rsidRDefault="00DF2BD3" w:rsidP="00065803">
      <w:pPr>
        <w:rPr>
          <w:highlight w:val="yellow"/>
        </w:rPr>
      </w:pPr>
      <w:r w:rsidRPr="00EA6851">
        <w:t>Основният обхват на политиката е осигуряване на лекарствени продукти, които отговарят на стандартите за качество, безопасност и ефикасност за задоволяване на потребностите на населението. Основен принос към реализацията на тази политика имат Министерството на здравеопазването, Националната здравноосигурителна каса, Изпълнителната агенция по лекарствата и Националният съвет по цени и реимбурсиране на лекарствените продукти.</w:t>
      </w:r>
    </w:p>
    <w:p w:rsidR="00065803" w:rsidRPr="00EA6851" w:rsidRDefault="00065803" w:rsidP="00065803">
      <w:pPr>
        <w:jc w:val="left"/>
        <w:rPr>
          <w:b/>
          <w:sz w:val="20"/>
          <w:szCs w:val="20"/>
        </w:rPr>
      </w:pPr>
      <w:r w:rsidRPr="00EA6851">
        <w:rPr>
          <w:b/>
          <w:sz w:val="20"/>
          <w:szCs w:val="20"/>
        </w:rPr>
        <w:t>КЛЮЧОВИ ИНДИКАТОРИ ЗА ИЗПЪЛНЕНИЕ И ЦЕЛЕВИ СТОЙНОСТИ</w:t>
      </w:r>
    </w:p>
    <w:tbl>
      <w:tblPr>
        <w:tblStyle w:val="TableGrid11"/>
        <w:tblW w:w="9637" w:type="dxa"/>
        <w:tblInd w:w="2" w:type="dxa"/>
        <w:tblCellMar>
          <w:top w:w="4" w:type="dxa"/>
          <w:right w:w="25" w:type="dxa"/>
        </w:tblCellMar>
        <w:tblLook w:val="04A0" w:firstRow="1" w:lastRow="0" w:firstColumn="1" w:lastColumn="0" w:noHBand="0" w:noVBand="1"/>
      </w:tblPr>
      <w:tblGrid>
        <w:gridCol w:w="3682"/>
        <w:gridCol w:w="1121"/>
        <w:gridCol w:w="1195"/>
        <w:gridCol w:w="1286"/>
        <w:gridCol w:w="1228"/>
        <w:gridCol w:w="1125"/>
      </w:tblGrid>
      <w:tr w:rsidR="00DF2BD3" w:rsidRPr="00EA6851" w:rsidTr="00CE4003">
        <w:trPr>
          <w:trHeight w:val="395"/>
          <w:tblHeader/>
        </w:trPr>
        <w:tc>
          <w:tcPr>
            <w:tcW w:w="3682" w:type="dxa"/>
            <w:vMerge w:val="restart"/>
            <w:tcBorders>
              <w:top w:val="single" w:sz="4" w:space="0" w:color="000000"/>
              <w:left w:val="nil"/>
              <w:bottom w:val="single" w:sz="4" w:space="0" w:color="000000"/>
              <w:right w:val="nil"/>
            </w:tcBorders>
            <w:hideMark/>
          </w:tcPr>
          <w:p w:rsidR="00DF2BD3" w:rsidRPr="00EA6851" w:rsidRDefault="00DF2BD3" w:rsidP="00CE4003">
            <w:pPr>
              <w:spacing w:line="276" w:lineRule="auto"/>
              <w:jc w:val="center"/>
              <w:rPr>
                <w:b/>
                <w:bCs/>
                <w:i/>
                <w:iCs/>
                <w:sz w:val="18"/>
                <w:szCs w:val="18"/>
              </w:rPr>
            </w:pPr>
            <w:r w:rsidRPr="00EA6851">
              <w:rPr>
                <w:b/>
                <w:bCs/>
                <w:i/>
                <w:iCs/>
                <w:sz w:val="18"/>
                <w:szCs w:val="18"/>
              </w:rPr>
              <w:t xml:space="preserve">Политика в областта на лекарствените продукти и медицинските изделия </w:t>
            </w:r>
          </w:p>
          <w:p w:rsidR="00DF2BD3" w:rsidRPr="00EA6851" w:rsidRDefault="00DF2BD3" w:rsidP="00CE4003">
            <w:pPr>
              <w:spacing w:line="276" w:lineRule="auto"/>
              <w:jc w:val="center"/>
              <w:rPr>
                <w:b/>
                <w:bCs/>
                <w:iCs/>
                <w:sz w:val="18"/>
                <w:szCs w:val="18"/>
              </w:rPr>
            </w:pPr>
            <w:r w:rsidRPr="00EA6851">
              <w:rPr>
                <w:b/>
                <w:bCs/>
                <w:iCs/>
                <w:sz w:val="18"/>
                <w:szCs w:val="18"/>
              </w:rPr>
              <w:t xml:space="preserve">Наименование на индикатора </w:t>
            </w:r>
          </w:p>
        </w:tc>
        <w:tc>
          <w:tcPr>
            <w:tcW w:w="1121" w:type="dxa"/>
            <w:vMerge w:val="restart"/>
            <w:tcBorders>
              <w:top w:val="single" w:sz="4" w:space="0" w:color="000000"/>
              <w:left w:val="nil"/>
              <w:bottom w:val="single" w:sz="4" w:space="0" w:color="000000"/>
              <w:right w:val="nil"/>
            </w:tcBorders>
            <w:shd w:val="clear" w:color="auto" w:fill="F2F2F2"/>
            <w:vAlign w:val="center"/>
            <w:hideMark/>
          </w:tcPr>
          <w:p w:rsidR="00DF2BD3" w:rsidRPr="00EA6851" w:rsidRDefault="00DF2BD3" w:rsidP="00CE4003">
            <w:pPr>
              <w:spacing w:line="276" w:lineRule="auto"/>
              <w:jc w:val="center"/>
              <w:rPr>
                <w:b/>
                <w:bCs/>
                <w:iCs/>
                <w:sz w:val="18"/>
                <w:szCs w:val="18"/>
              </w:rPr>
            </w:pPr>
            <w:r w:rsidRPr="00EA6851">
              <w:rPr>
                <w:b/>
                <w:bCs/>
                <w:iCs/>
                <w:sz w:val="18"/>
                <w:szCs w:val="18"/>
              </w:rPr>
              <w:t xml:space="preserve">Мерна единица </w:t>
            </w:r>
          </w:p>
        </w:tc>
        <w:tc>
          <w:tcPr>
            <w:tcW w:w="4834" w:type="dxa"/>
            <w:gridSpan w:val="4"/>
            <w:tcBorders>
              <w:top w:val="single" w:sz="4" w:space="0" w:color="000000"/>
              <w:left w:val="nil"/>
              <w:bottom w:val="single" w:sz="4" w:space="0" w:color="000000"/>
              <w:right w:val="nil"/>
            </w:tcBorders>
          </w:tcPr>
          <w:p w:rsidR="00DF2BD3" w:rsidRPr="00EA6851" w:rsidRDefault="00DF2BD3" w:rsidP="00CE4003">
            <w:pPr>
              <w:spacing w:line="276" w:lineRule="auto"/>
              <w:jc w:val="center"/>
              <w:rPr>
                <w:b/>
                <w:bCs/>
                <w:iCs/>
                <w:sz w:val="18"/>
                <w:szCs w:val="18"/>
              </w:rPr>
            </w:pPr>
            <w:r w:rsidRPr="00EA6851">
              <w:rPr>
                <w:b/>
                <w:bCs/>
                <w:iCs/>
                <w:sz w:val="18"/>
                <w:szCs w:val="18"/>
              </w:rPr>
              <w:t>Целева стойност</w:t>
            </w:r>
          </w:p>
        </w:tc>
      </w:tr>
      <w:tr w:rsidR="00DF2BD3" w:rsidRPr="00EA6851" w:rsidTr="00CE4003">
        <w:trPr>
          <w:trHeight w:val="69"/>
          <w:tblHeader/>
        </w:trPr>
        <w:tc>
          <w:tcPr>
            <w:tcW w:w="0" w:type="auto"/>
            <w:vMerge/>
            <w:tcBorders>
              <w:top w:val="single" w:sz="4" w:space="0" w:color="000000"/>
              <w:left w:val="nil"/>
              <w:bottom w:val="single" w:sz="4" w:space="0" w:color="000000"/>
              <w:right w:val="nil"/>
            </w:tcBorders>
            <w:vAlign w:val="center"/>
            <w:hideMark/>
          </w:tcPr>
          <w:p w:rsidR="00DF2BD3" w:rsidRPr="00EA6851" w:rsidRDefault="00DF2BD3" w:rsidP="00CE4003">
            <w:pPr>
              <w:spacing w:line="276" w:lineRule="auto"/>
              <w:jc w:val="center"/>
              <w:rPr>
                <w:b/>
                <w:bCs/>
                <w:i/>
                <w:iCs/>
                <w:sz w:val="18"/>
                <w:szCs w:val="18"/>
              </w:rPr>
            </w:pPr>
          </w:p>
        </w:tc>
        <w:tc>
          <w:tcPr>
            <w:tcW w:w="0" w:type="auto"/>
            <w:vMerge/>
            <w:tcBorders>
              <w:top w:val="single" w:sz="4" w:space="0" w:color="000000"/>
              <w:left w:val="nil"/>
              <w:bottom w:val="single" w:sz="4" w:space="0" w:color="000000"/>
              <w:right w:val="nil"/>
            </w:tcBorders>
            <w:vAlign w:val="center"/>
            <w:hideMark/>
          </w:tcPr>
          <w:p w:rsidR="00DF2BD3" w:rsidRPr="00EA6851" w:rsidRDefault="00DF2BD3" w:rsidP="00CE4003">
            <w:pPr>
              <w:spacing w:line="276" w:lineRule="auto"/>
              <w:jc w:val="center"/>
              <w:rPr>
                <w:b/>
                <w:bCs/>
                <w:i/>
                <w:iCs/>
                <w:sz w:val="18"/>
                <w:szCs w:val="18"/>
              </w:rPr>
            </w:pPr>
          </w:p>
        </w:tc>
        <w:tc>
          <w:tcPr>
            <w:tcW w:w="1195" w:type="dxa"/>
            <w:tcBorders>
              <w:top w:val="single" w:sz="4" w:space="0" w:color="000000"/>
              <w:left w:val="nil"/>
              <w:bottom w:val="single" w:sz="4" w:space="0" w:color="000000"/>
              <w:right w:val="nil"/>
            </w:tcBorders>
          </w:tcPr>
          <w:p w:rsidR="00DF2BD3" w:rsidRPr="00EA6851" w:rsidRDefault="00DF2BD3" w:rsidP="00CE4003">
            <w:pPr>
              <w:spacing w:line="276" w:lineRule="auto"/>
              <w:jc w:val="center"/>
              <w:rPr>
                <w:b/>
                <w:bCs/>
                <w:i/>
                <w:iCs/>
                <w:sz w:val="18"/>
                <w:szCs w:val="18"/>
              </w:rPr>
            </w:pPr>
            <w:r w:rsidRPr="00EA6851">
              <w:rPr>
                <w:b/>
                <w:bCs/>
                <w:i/>
                <w:iCs/>
                <w:sz w:val="18"/>
                <w:szCs w:val="18"/>
              </w:rPr>
              <w:t>Програма</w:t>
            </w:r>
          </w:p>
          <w:p w:rsidR="00DF2BD3" w:rsidRPr="00EA6851" w:rsidRDefault="00DF2BD3" w:rsidP="00CE4003">
            <w:pPr>
              <w:spacing w:line="276" w:lineRule="auto"/>
              <w:jc w:val="center"/>
              <w:rPr>
                <w:b/>
                <w:bCs/>
                <w:i/>
                <w:iCs/>
                <w:sz w:val="18"/>
                <w:szCs w:val="18"/>
              </w:rPr>
            </w:pPr>
            <w:r w:rsidRPr="00EA6851">
              <w:rPr>
                <w:b/>
                <w:bCs/>
                <w:i/>
                <w:iCs/>
                <w:sz w:val="18"/>
                <w:szCs w:val="18"/>
              </w:rPr>
              <w:t>2023 г.</w:t>
            </w:r>
          </w:p>
        </w:tc>
        <w:tc>
          <w:tcPr>
            <w:tcW w:w="1286" w:type="dxa"/>
            <w:tcBorders>
              <w:top w:val="single" w:sz="4" w:space="0" w:color="000000"/>
              <w:left w:val="nil"/>
              <w:bottom w:val="single" w:sz="4" w:space="0" w:color="000000"/>
              <w:right w:val="nil"/>
            </w:tcBorders>
            <w:vAlign w:val="center"/>
            <w:hideMark/>
          </w:tcPr>
          <w:p w:rsidR="00DF2BD3" w:rsidRPr="00EA6851" w:rsidRDefault="00DF2BD3" w:rsidP="00CE4003">
            <w:pPr>
              <w:spacing w:line="276" w:lineRule="auto"/>
              <w:jc w:val="center"/>
              <w:rPr>
                <w:b/>
                <w:bCs/>
                <w:i/>
                <w:iCs/>
                <w:sz w:val="18"/>
                <w:szCs w:val="18"/>
              </w:rPr>
            </w:pPr>
            <w:r w:rsidRPr="00EA6851">
              <w:rPr>
                <w:b/>
                <w:bCs/>
                <w:i/>
                <w:iCs/>
                <w:sz w:val="18"/>
                <w:szCs w:val="18"/>
              </w:rPr>
              <w:t xml:space="preserve">Проект </w:t>
            </w:r>
          </w:p>
          <w:p w:rsidR="00DF2BD3" w:rsidRPr="00EA6851" w:rsidRDefault="00DF2BD3" w:rsidP="00CE4003">
            <w:pPr>
              <w:spacing w:line="276" w:lineRule="auto"/>
              <w:jc w:val="center"/>
              <w:rPr>
                <w:b/>
                <w:bCs/>
                <w:i/>
                <w:iCs/>
                <w:sz w:val="18"/>
                <w:szCs w:val="18"/>
              </w:rPr>
            </w:pPr>
            <w:r w:rsidRPr="00EA6851">
              <w:rPr>
                <w:b/>
                <w:bCs/>
                <w:i/>
                <w:iCs/>
                <w:sz w:val="18"/>
                <w:szCs w:val="18"/>
              </w:rPr>
              <w:t>2024 г.</w:t>
            </w:r>
          </w:p>
        </w:tc>
        <w:tc>
          <w:tcPr>
            <w:tcW w:w="1228" w:type="dxa"/>
            <w:tcBorders>
              <w:top w:val="single" w:sz="4" w:space="0" w:color="000000"/>
              <w:left w:val="nil"/>
              <w:bottom w:val="single" w:sz="4" w:space="0" w:color="000000"/>
              <w:right w:val="nil"/>
            </w:tcBorders>
            <w:vAlign w:val="center"/>
            <w:hideMark/>
          </w:tcPr>
          <w:p w:rsidR="00DF2BD3" w:rsidRPr="00EA6851" w:rsidRDefault="00DF2BD3" w:rsidP="00CE4003">
            <w:pPr>
              <w:spacing w:line="276" w:lineRule="auto"/>
              <w:jc w:val="center"/>
              <w:rPr>
                <w:b/>
                <w:bCs/>
                <w:i/>
                <w:iCs/>
                <w:sz w:val="18"/>
                <w:szCs w:val="18"/>
              </w:rPr>
            </w:pPr>
            <w:r w:rsidRPr="00EA6851">
              <w:rPr>
                <w:b/>
                <w:bCs/>
                <w:i/>
                <w:iCs/>
                <w:sz w:val="18"/>
                <w:szCs w:val="18"/>
              </w:rPr>
              <w:t xml:space="preserve">Прогноза </w:t>
            </w:r>
          </w:p>
          <w:p w:rsidR="00DF2BD3" w:rsidRPr="00EA6851" w:rsidRDefault="00DF2BD3" w:rsidP="00CE4003">
            <w:pPr>
              <w:spacing w:line="276" w:lineRule="auto"/>
              <w:jc w:val="center"/>
              <w:rPr>
                <w:b/>
                <w:bCs/>
                <w:i/>
                <w:iCs/>
                <w:sz w:val="18"/>
                <w:szCs w:val="18"/>
              </w:rPr>
            </w:pPr>
            <w:r w:rsidRPr="00EA6851">
              <w:rPr>
                <w:b/>
                <w:bCs/>
                <w:i/>
                <w:iCs/>
                <w:sz w:val="18"/>
                <w:szCs w:val="18"/>
              </w:rPr>
              <w:t>2025 г.</w:t>
            </w:r>
          </w:p>
        </w:tc>
        <w:tc>
          <w:tcPr>
            <w:tcW w:w="1125" w:type="dxa"/>
            <w:tcBorders>
              <w:top w:val="single" w:sz="4" w:space="0" w:color="000000"/>
              <w:left w:val="nil"/>
              <w:bottom w:val="single" w:sz="4" w:space="0" w:color="000000"/>
              <w:right w:val="nil"/>
            </w:tcBorders>
            <w:vAlign w:val="center"/>
            <w:hideMark/>
          </w:tcPr>
          <w:p w:rsidR="00DF2BD3" w:rsidRPr="00EA6851" w:rsidRDefault="00DF2BD3" w:rsidP="00CE4003">
            <w:pPr>
              <w:spacing w:line="276" w:lineRule="auto"/>
              <w:jc w:val="center"/>
              <w:rPr>
                <w:b/>
                <w:bCs/>
                <w:i/>
                <w:iCs/>
                <w:sz w:val="18"/>
                <w:szCs w:val="18"/>
              </w:rPr>
            </w:pPr>
            <w:r w:rsidRPr="00EA6851">
              <w:rPr>
                <w:b/>
                <w:bCs/>
                <w:i/>
                <w:iCs/>
                <w:sz w:val="18"/>
                <w:szCs w:val="18"/>
              </w:rPr>
              <w:t xml:space="preserve">Прогноза </w:t>
            </w:r>
          </w:p>
          <w:p w:rsidR="00DF2BD3" w:rsidRPr="00EA6851" w:rsidRDefault="00DF2BD3" w:rsidP="00CE4003">
            <w:pPr>
              <w:spacing w:line="276" w:lineRule="auto"/>
              <w:jc w:val="center"/>
              <w:rPr>
                <w:b/>
                <w:bCs/>
                <w:i/>
                <w:iCs/>
                <w:sz w:val="18"/>
                <w:szCs w:val="18"/>
              </w:rPr>
            </w:pPr>
            <w:r w:rsidRPr="00EA6851">
              <w:rPr>
                <w:b/>
                <w:bCs/>
                <w:i/>
                <w:iCs/>
                <w:sz w:val="18"/>
                <w:szCs w:val="18"/>
              </w:rPr>
              <w:t>2026 г.</w:t>
            </w:r>
          </w:p>
        </w:tc>
      </w:tr>
      <w:tr w:rsidR="00DF2BD3" w:rsidRPr="00EA6851" w:rsidTr="001B4B89">
        <w:trPr>
          <w:trHeight w:val="1088"/>
        </w:trPr>
        <w:tc>
          <w:tcPr>
            <w:tcW w:w="3682" w:type="dxa"/>
            <w:tcBorders>
              <w:top w:val="single" w:sz="4" w:space="0" w:color="000000"/>
              <w:left w:val="nil"/>
              <w:bottom w:val="nil"/>
              <w:right w:val="nil"/>
            </w:tcBorders>
            <w:hideMark/>
          </w:tcPr>
          <w:p w:rsidR="00DF2BD3" w:rsidRPr="00EA6851" w:rsidRDefault="00DF2BD3" w:rsidP="00DF2BD3">
            <w:pPr>
              <w:spacing w:line="276" w:lineRule="auto"/>
              <w:jc w:val="left"/>
              <w:rPr>
                <w:bCs/>
                <w:iCs/>
                <w:sz w:val="18"/>
                <w:szCs w:val="18"/>
              </w:rPr>
            </w:pPr>
            <w:r w:rsidRPr="00EA6851">
              <w:rPr>
                <w:bCs/>
                <w:iCs/>
                <w:sz w:val="18"/>
                <w:szCs w:val="18"/>
              </w:rPr>
              <w:t xml:space="preserve">1. Дял на разходите за лекарствени продукти от общите разходи за здравеопазване </w:t>
            </w:r>
          </w:p>
        </w:tc>
        <w:tc>
          <w:tcPr>
            <w:tcW w:w="1121" w:type="dxa"/>
            <w:tcBorders>
              <w:top w:val="single" w:sz="4" w:space="0" w:color="000000"/>
              <w:left w:val="nil"/>
              <w:bottom w:val="nil"/>
              <w:right w:val="nil"/>
            </w:tcBorders>
            <w:shd w:val="clear" w:color="auto" w:fill="F2F2F2"/>
            <w:hideMark/>
          </w:tcPr>
          <w:p w:rsidR="00DF2BD3" w:rsidRPr="00EA6851" w:rsidRDefault="00DF2BD3" w:rsidP="00CE4003">
            <w:pPr>
              <w:spacing w:line="276" w:lineRule="auto"/>
              <w:jc w:val="center"/>
              <w:rPr>
                <w:bCs/>
                <w:iCs/>
                <w:sz w:val="18"/>
                <w:szCs w:val="18"/>
              </w:rPr>
            </w:pPr>
            <w:r w:rsidRPr="00EA6851">
              <w:rPr>
                <w:bCs/>
                <w:iCs/>
                <w:sz w:val="18"/>
                <w:szCs w:val="18"/>
              </w:rPr>
              <w:t xml:space="preserve">% </w:t>
            </w:r>
          </w:p>
        </w:tc>
        <w:tc>
          <w:tcPr>
            <w:tcW w:w="1195" w:type="dxa"/>
            <w:tcBorders>
              <w:top w:val="single" w:sz="4" w:space="0" w:color="000000"/>
              <w:left w:val="nil"/>
              <w:bottom w:val="nil"/>
              <w:right w:val="nil"/>
            </w:tcBorders>
          </w:tcPr>
          <w:p w:rsidR="00DF2BD3" w:rsidRPr="00EA6851" w:rsidRDefault="00DF2BD3" w:rsidP="00CE4003">
            <w:pPr>
              <w:spacing w:line="276" w:lineRule="auto"/>
              <w:jc w:val="center"/>
              <w:rPr>
                <w:bCs/>
                <w:iCs/>
                <w:sz w:val="18"/>
                <w:szCs w:val="18"/>
              </w:rPr>
            </w:pPr>
            <w:r w:rsidRPr="00EA6851">
              <w:rPr>
                <w:bCs/>
                <w:iCs/>
                <w:sz w:val="18"/>
                <w:szCs w:val="18"/>
              </w:rPr>
              <w:t>достигане</w:t>
            </w:r>
          </w:p>
          <w:p w:rsidR="00DF2BD3" w:rsidRPr="00EA6851" w:rsidRDefault="00DF2BD3" w:rsidP="00CE4003">
            <w:pPr>
              <w:spacing w:line="276" w:lineRule="auto"/>
              <w:jc w:val="center"/>
              <w:rPr>
                <w:bCs/>
                <w:iCs/>
                <w:sz w:val="18"/>
                <w:szCs w:val="18"/>
              </w:rPr>
            </w:pPr>
            <w:r w:rsidRPr="00EA6851">
              <w:rPr>
                <w:bCs/>
                <w:iCs/>
                <w:sz w:val="18"/>
                <w:szCs w:val="18"/>
              </w:rPr>
              <w:t>до</w:t>
            </w:r>
          </w:p>
          <w:p w:rsidR="00DF2BD3" w:rsidRPr="00EA6851" w:rsidRDefault="00DF2BD3" w:rsidP="00CE4003">
            <w:pPr>
              <w:spacing w:line="276" w:lineRule="auto"/>
              <w:jc w:val="center"/>
              <w:rPr>
                <w:bCs/>
                <w:iCs/>
                <w:sz w:val="18"/>
                <w:szCs w:val="18"/>
              </w:rPr>
            </w:pPr>
            <w:r w:rsidRPr="00EA6851">
              <w:rPr>
                <w:bCs/>
                <w:iCs/>
                <w:sz w:val="18"/>
                <w:szCs w:val="18"/>
              </w:rPr>
              <w:t>средната</w:t>
            </w:r>
          </w:p>
          <w:p w:rsidR="00DF2BD3" w:rsidRPr="00EA6851" w:rsidRDefault="00DF2BD3" w:rsidP="00CE4003">
            <w:pPr>
              <w:spacing w:line="276" w:lineRule="auto"/>
              <w:jc w:val="center"/>
              <w:rPr>
                <w:bCs/>
                <w:iCs/>
                <w:sz w:val="18"/>
                <w:szCs w:val="18"/>
              </w:rPr>
            </w:pPr>
            <w:r w:rsidRPr="00EA6851">
              <w:rPr>
                <w:bCs/>
                <w:iCs/>
                <w:sz w:val="18"/>
                <w:szCs w:val="18"/>
              </w:rPr>
              <w:t>стойност за ЕС</w:t>
            </w:r>
          </w:p>
        </w:tc>
        <w:tc>
          <w:tcPr>
            <w:tcW w:w="1286" w:type="dxa"/>
            <w:tcBorders>
              <w:top w:val="single" w:sz="4" w:space="0" w:color="000000"/>
              <w:left w:val="nil"/>
              <w:bottom w:val="nil"/>
              <w:right w:val="nil"/>
            </w:tcBorders>
            <w:hideMark/>
          </w:tcPr>
          <w:p w:rsidR="00DF2BD3" w:rsidRPr="00EA6851" w:rsidRDefault="00DF2BD3" w:rsidP="00CE4003">
            <w:pPr>
              <w:spacing w:line="276" w:lineRule="auto"/>
              <w:jc w:val="center"/>
              <w:rPr>
                <w:bCs/>
                <w:iCs/>
                <w:sz w:val="18"/>
                <w:szCs w:val="18"/>
              </w:rPr>
            </w:pPr>
            <w:r w:rsidRPr="00EA6851">
              <w:rPr>
                <w:bCs/>
                <w:iCs/>
                <w:sz w:val="18"/>
                <w:szCs w:val="18"/>
              </w:rPr>
              <w:t xml:space="preserve">достигане </w:t>
            </w:r>
          </w:p>
          <w:p w:rsidR="00DF2BD3" w:rsidRPr="00EA6851" w:rsidRDefault="00DF2BD3" w:rsidP="00CE4003">
            <w:pPr>
              <w:spacing w:line="276" w:lineRule="auto"/>
              <w:jc w:val="center"/>
              <w:rPr>
                <w:bCs/>
                <w:iCs/>
                <w:sz w:val="18"/>
                <w:szCs w:val="18"/>
              </w:rPr>
            </w:pPr>
            <w:r w:rsidRPr="00EA6851">
              <w:rPr>
                <w:bCs/>
                <w:iCs/>
                <w:sz w:val="18"/>
                <w:szCs w:val="18"/>
              </w:rPr>
              <w:t>до</w:t>
            </w:r>
          </w:p>
          <w:p w:rsidR="00DF2BD3" w:rsidRPr="00EA6851" w:rsidRDefault="00DF2BD3" w:rsidP="00CE4003">
            <w:pPr>
              <w:spacing w:line="276" w:lineRule="auto"/>
              <w:jc w:val="center"/>
              <w:rPr>
                <w:bCs/>
                <w:iCs/>
                <w:sz w:val="18"/>
                <w:szCs w:val="18"/>
              </w:rPr>
            </w:pPr>
            <w:r w:rsidRPr="00EA6851">
              <w:rPr>
                <w:bCs/>
                <w:iCs/>
                <w:sz w:val="18"/>
                <w:szCs w:val="18"/>
              </w:rPr>
              <w:t>средната</w:t>
            </w:r>
          </w:p>
          <w:p w:rsidR="00DF2BD3" w:rsidRPr="00EA6851" w:rsidRDefault="00DF2BD3" w:rsidP="00CE4003">
            <w:pPr>
              <w:spacing w:line="276" w:lineRule="auto"/>
              <w:jc w:val="center"/>
              <w:rPr>
                <w:bCs/>
                <w:iCs/>
                <w:sz w:val="18"/>
                <w:szCs w:val="18"/>
              </w:rPr>
            </w:pPr>
            <w:r w:rsidRPr="00EA6851">
              <w:rPr>
                <w:bCs/>
                <w:iCs/>
                <w:sz w:val="18"/>
                <w:szCs w:val="18"/>
              </w:rPr>
              <w:t>стойност за ЕС</w:t>
            </w:r>
          </w:p>
        </w:tc>
        <w:tc>
          <w:tcPr>
            <w:tcW w:w="1228" w:type="dxa"/>
            <w:tcBorders>
              <w:top w:val="single" w:sz="4" w:space="0" w:color="000000"/>
              <w:left w:val="nil"/>
              <w:bottom w:val="nil"/>
              <w:right w:val="nil"/>
            </w:tcBorders>
            <w:hideMark/>
          </w:tcPr>
          <w:p w:rsidR="00DF2BD3" w:rsidRPr="00EA6851" w:rsidRDefault="00DF2BD3" w:rsidP="00CE4003">
            <w:pPr>
              <w:spacing w:line="276" w:lineRule="auto"/>
              <w:jc w:val="center"/>
              <w:rPr>
                <w:bCs/>
                <w:iCs/>
                <w:sz w:val="18"/>
                <w:szCs w:val="18"/>
              </w:rPr>
            </w:pPr>
            <w:r w:rsidRPr="00EA6851">
              <w:rPr>
                <w:bCs/>
                <w:iCs/>
                <w:sz w:val="18"/>
                <w:szCs w:val="18"/>
              </w:rPr>
              <w:t xml:space="preserve">достигане </w:t>
            </w:r>
          </w:p>
          <w:p w:rsidR="00DF2BD3" w:rsidRPr="00EA6851" w:rsidRDefault="00DF2BD3" w:rsidP="00CE4003">
            <w:pPr>
              <w:spacing w:line="276" w:lineRule="auto"/>
              <w:jc w:val="center"/>
              <w:rPr>
                <w:bCs/>
                <w:iCs/>
                <w:sz w:val="18"/>
                <w:szCs w:val="18"/>
              </w:rPr>
            </w:pPr>
            <w:r w:rsidRPr="00EA6851">
              <w:rPr>
                <w:bCs/>
                <w:iCs/>
                <w:sz w:val="18"/>
                <w:szCs w:val="18"/>
              </w:rPr>
              <w:t>до</w:t>
            </w:r>
          </w:p>
          <w:p w:rsidR="00DF2BD3" w:rsidRPr="00EA6851" w:rsidRDefault="00DF2BD3" w:rsidP="00CE4003">
            <w:pPr>
              <w:spacing w:line="276" w:lineRule="auto"/>
              <w:jc w:val="center"/>
              <w:rPr>
                <w:bCs/>
                <w:iCs/>
                <w:sz w:val="18"/>
                <w:szCs w:val="18"/>
              </w:rPr>
            </w:pPr>
            <w:r w:rsidRPr="00EA6851">
              <w:rPr>
                <w:bCs/>
                <w:iCs/>
                <w:sz w:val="18"/>
                <w:szCs w:val="18"/>
              </w:rPr>
              <w:t>средната</w:t>
            </w:r>
          </w:p>
          <w:p w:rsidR="00DF2BD3" w:rsidRPr="00EA6851" w:rsidRDefault="00DF2BD3" w:rsidP="00CE4003">
            <w:pPr>
              <w:spacing w:line="276" w:lineRule="auto"/>
              <w:jc w:val="center"/>
              <w:rPr>
                <w:bCs/>
                <w:iCs/>
                <w:sz w:val="18"/>
                <w:szCs w:val="18"/>
              </w:rPr>
            </w:pPr>
            <w:r w:rsidRPr="00EA6851">
              <w:rPr>
                <w:bCs/>
                <w:iCs/>
                <w:sz w:val="18"/>
                <w:szCs w:val="18"/>
              </w:rPr>
              <w:t>стойност за ЕС</w:t>
            </w:r>
          </w:p>
        </w:tc>
        <w:tc>
          <w:tcPr>
            <w:tcW w:w="1125" w:type="dxa"/>
            <w:tcBorders>
              <w:top w:val="single" w:sz="4" w:space="0" w:color="000000"/>
              <w:left w:val="nil"/>
              <w:bottom w:val="nil"/>
              <w:right w:val="nil"/>
            </w:tcBorders>
            <w:hideMark/>
          </w:tcPr>
          <w:p w:rsidR="00DF2BD3" w:rsidRPr="00EA6851" w:rsidRDefault="00DF2BD3" w:rsidP="00CE4003">
            <w:pPr>
              <w:spacing w:line="276" w:lineRule="auto"/>
              <w:jc w:val="center"/>
              <w:rPr>
                <w:bCs/>
                <w:iCs/>
                <w:sz w:val="18"/>
                <w:szCs w:val="18"/>
              </w:rPr>
            </w:pPr>
            <w:r w:rsidRPr="00EA6851">
              <w:rPr>
                <w:bCs/>
                <w:iCs/>
                <w:sz w:val="18"/>
                <w:szCs w:val="18"/>
              </w:rPr>
              <w:t>достигане до</w:t>
            </w:r>
          </w:p>
          <w:p w:rsidR="00DF2BD3" w:rsidRPr="00EA6851" w:rsidRDefault="00DF2BD3" w:rsidP="00CE4003">
            <w:pPr>
              <w:spacing w:line="276" w:lineRule="auto"/>
              <w:jc w:val="center"/>
              <w:rPr>
                <w:bCs/>
                <w:iCs/>
                <w:sz w:val="18"/>
                <w:szCs w:val="18"/>
              </w:rPr>
            </w:pPr>
            <w:r w:rsidRPr="00EA6851">
              <w:rPr>
                <w:bCs/>
                <w:iCs/>
                <w:sz w:val="18"/>
                <w:szCs w:val="18"/>
              </w:rPr>
              <w:t>средната</w:t>
            </w:r>
          </w:p>
          <w:p w:rsidR="00DF2BD3" w:rsidRPr="00EA6851" w:rsidRDefault="00DF2BD3" w:rsidP="00CE4003">
            <w:pPr>
              <w:spacing w:line="276" w:lineRule="auto"/>
              <w:jc w:val="center"/>
              <w:rPr>
                <w:bCs/>
                <w:iCs/>
                <w:sz w:val="18"/>
                <w:szCs w:val="18"/>
              </w:rPr>
            </w:pPr>
            <w:r w:rsidRPr="00EA6851">
              <w:rPr>
                <w:bCs/>
                <w:iCs/>
                <w:sz w:val="18"/>
                <w:szCs w:val="18"/>
              </w:rPr>
              <w:t>стойност за ЕС</w:t>
            </w:r>
          </w:p>
        </w:tc>
      </w:tr>
      <w:tr w:rsidR="00DF2BD3" w:rsidRPr="00EA6851" w:rsidTr="001B4B89">
        <w:trPr>
          <w:trHeight w:val="810"/>
        </w:trPr>
        <w:tc>
          <w:tcPr>
            <w:tcW w:w="3682" w:type="dxa"/>
            <w:hideMark/>
          </w:tcPr>
          <w:p w:rsidR="00DF2BD3" w:rsidRPr="00EA6851" w:rsidRDefault="00DF2BD3" w:rsidP="00DF2BD3">
            <w:pPr>
              <w:spacing w:line="276" w:lineRule="auto"/>
              <w:jc w:val="left"/>
              <w:rPr>
                <w:bCs/>
                <w:iCs/>
                <w:sz w:val="18"/>
                <w:szCs w:val="18"/>
              </w:rPr>
            </w:pPr>
            <w:r w:rsidRPr="00EA6851">
              <w:rPr>
                <w:bCs/>
                <w:iCs/>
                <w:sz w:val="18"/>
                <w:szCs w:val="18"/>
              </w:rPr>
              <w:t xml:space="preserve">2. Генерични и биоподобни лекарствени продукти, включени в Позитивния лекарствен списък (ПЛС) </w:t>
            </w:r>
          </w:p>
        </w:tc>
        <w:tc>
          <w:tcPr>
            <w:tcW w:w="1121" w:type="dxa"/>
            <w:shd w:val="clear" w:color="auto" w:fill="F2F2F2"/>
            <w:hideMark/>
          </w:tcPr>
          <w:p w:rsidR="00DF2BD3" w:rsidRPr="00EA6851" w:rsidRDefault="00DF2BD3" w:rsidP="00CE4003">
            <w:pPr>
              <w:spacing w:line="276" w:lineRule="auto"/>
              <w:jc w:val="center"/>
              <w:rPr>
                <w:bCs/>
                <w:iCs/>
                <w:sz w:val="18"/>
                <w:szCs w:val="18"/>
              </w:rPr>
            </w:pPr>
            <w:r w:rsidRPr="00EA6851">
              <w:rPr>
                <w:bCs/>
                <w:iCs/>
                <w:sz w:val="18"/>
                <w:szCs w:val="18"/>
              </w:rPr>
              <w:t xml:space="preserve">% </w:t>
            </w:r>
          </w:p>
        </w:tc>
        <w:tc>
          <w:tcPr>
            <w:tcW w:w="1195" w:type="dxa"/>
          </w:tcPr>
          <w:p w:rsidR="00DF2BD3" w:rsidRPr="00EA6851" w:rsidRDefault="00DF2BD3" w:rsidP="00DF2BD3">
            <w:pPr>
              <w:spacing w:line="276" w:lineRule="auto"/>
              <w:ind w:left="-390"/>
              <w:jc w:val="center"/>
              <w:rPr>
                <w:bCs/>
                <w:iCs/>
                <w:sz w:val="18"/>
                <w:szCs w:val="18"/>
              </w:rPr>
            </w:pPr>
            <w:r w:rsidRPr="00EA6851">
              <w:rPr>
                <w:bCs/>
                <w:iCs/>
                <w:sz w:val="18"/>
                <w:szCs w:val="18"/>
              </w:rPr>
              <w:t xml:space="preserve">      70,00</w:t>
            </w:r>
          </w:p>
        </w:tc>
        <w:tc>
          <w:tcPr>
            <w:tcW w:w="1286" w:type="dxa"/>
            <w:hideMark/>
          </w:tcPr>
          <w:p w:rsidR="00DF2BD3" w:rsidRPr="00EA6851" w:rsidRDefault="00DF2BD3" w:rsidP="00CE4003">
            <w:pPr>
              <w:spacing w:line="276" w:lineRule="auto"/>
              <w:jc w:val="center"/>
              <w:rPr>
                <w:bCs/>
                <w:iCs/>
                <w:sz w:val="18"/>
                <w:szCs w:val="18"/>
              </w:rPr>
            </w:pPr>
            <w:r w:rsidRPr="00EA6851">
              <w:rPr>
                <w:bCs/>
                <w:iCs/>
                <w:sz w:val="18"/>
                <w:szCs w:val="18"/>
              </w:rPr>
              <w:t xml:space="preserve"> 70,00 </w:t>
            </w:r>
          </w:p>
        </w:tc>
        <w:tc>
          <w:tcPr>
            <w:tcW w:w="1228" w:type="dxa"/>
            <w:hideMark/>
          </w:tcPr>
          <w:p w:rsidR="00DF2BD3" w:rsidRPr="00EA6851" w:rsidRDefault="00DF2BD3" w:rsidP="00CE4003">
            <w:pPr>
              <w:spacing w:line="276" w:lineRule="auto"/>
              <w:jc w:val="center"/>
              <w:rPr>
                <w:bCs/>
                <w:iCs/>
                <w:sz w:val="18"/>
                <w:szCs w:val="18"/>
              </w:rPr>
            </w:pPr>
            <w:r w:rsidRPr="00EA6851">
              <w:rPr>
                <w:bCs/>
                <w:iCs/>
                <w:sz w:val="18"/>
                <w:szCs w:val="18"/>
              </w:rPr>
              <w:t xml:space="preserve"> 70,00 </w:t>
            </w:r>
          </w:p>
        </w:tc>
        <w:tc>
          <w:tcPr>
            <w:tcW w:w="1125" w:type="dxa"/>
            <w:hideMark/>
          </w:tcPr>
          <w:p w:rsidR="00DF2BD3" w:rsidRPr="00EA6851" w:rsidRDefault="00DF2BD3" w:rsidP="00CE4003">
            <w:pPr>
              <w:spacing w:line="276" w:lineRule="auto"/>
              <w:jc w:val="center"/>
              <w:rPr>
                <w:bCs/>
                <w:iCs/>
                <w:sz w:val="18"/>
                <w:szCs w:val="18"/>
              </w:rPr>
            </w:pPr>
            <w:r w:rsidRPr="00EA6851">
              <w:rPr>
                <w:bCs/>
                <w:iCs/>
                <w:sz w:val="18"/>
                <w:szCs w:val="18"/>
              </w:rPr>
              <w:t xml:space="preserve">  70,00 </w:t>
            </w:r>
          </w:p>
        </w:tc>
      </w:tr>
      <w:tr w:rsidR="00DF2BD3" w:rsidRPr="00EA6851" w:rsidTr="00CE4003">
        <w:trPr>
          <w:trHeight w:val="76"/>
        </w:trPr>
        <w:tc>
          <w:tcPr>
            <w:tcW w:w="3682" w:type="dxa"/>
            <w:tcBorders>
              <w:top w:val="nil"/>
              <w:left w:val="nil"/>
              <w:bottom w:val="single" w:sz="4" w:space="0" w:color="000000"/>
              <w:right w:val="nil"/>
            </w:tcBorders>
            <w:hideMark/>
          </w:tcPr>
          <w:p w:rsidR="00DF2BD3" w:rsidRPr="00EA6851" w:rsidRDefault="00DF2BD3" w:rsidP="00DF2BD3">
            <w:pPr>
              <w:spacing w:line="276" w:lineRule="auto"/>
              <w:jc w:val="left"/>
              <w:rPr>
                <w:bCs/>
                <w:iCs/>
                <w:sz w:val="18"/>
                <w:szCs w:val="18"/>
              </w:rPr>
            </w:pPr>
            <w:r w:rsidRPr="00EA6851">
              <w:rPr>
                <w:bCs/>
                <w:iCs/>
                <w:sz w:val="18"/>
                <w:szCs w:val="18"/>
              </w:rPr>
              <w:t xml:space="preserve">3. Относителен дял на стойността заплатена за лекарствени продукти за домашно лечение от общите плащания за извън болнична помощ </w:t>
            </w:r>
          </w:p>
        </w:tc>
        <w:tc>
          <w:tcPr>
            <w:tcW w:w="1121" w:type="dxa"/>
            <w:tcBorders>
              <w:top w:val="nil"/>
              <w:left w:val="nil"/>
              <w:bottom w:val="single" w:sz="4" w:space="0" w:color="000000"/>
              <w:right w:val="nil"/>
            </w:tcBorders>
            <w:shd w:val="clear" w:color="auto" w:fill="F2F2F2"/>
            <w:hideMark/>
          </w:tcPr>
          <w:p w:rsidR="00DF2BD3" w:rsidRPr="00EA6851" w:rsidRDefault="00DF2BD3" w:rsidP="00CE4003">
            <w:pPr>
              <w:spacing w:line="276" w:lineRule="auto"/>
              <w:jc w:val="center"/>
              <w:rPr>
                <w:bCs/>
                <w:iCs/>
                <w:sz w:val="18"/>
                <w:szCs w:val="18"/>
              </w:rPr>
            </w:pPr>
            <w:r w:rsidRPr="00EA6851">
              <w:rPr>
                <w:bCs/>
                <w:iCs/>
                <w:sz w:val="18"/>
                <w:szCs w:val="18"/>
              </w:rPr>
              <w:t xml:space="preserve">% </w:t>
            </w:r>
          </w:p>
        </w:tc>
        <w:tc>
          <w:tcPr>
            <w:tcW w:w="1195" w:type="dxa"/>
            <w:tcBorders>
              <w:top w:val="nil"/>
              <w:left w:val="nil"/>
              <w:bottom w:val="single" w:sz="4" w:space="0" w:color="000000"/>
              <w:right w:val="nil"/>
            </w:tcBorders>
          </w:tcPr>
          <w:p w:rsidR="00DF2BD3" w:rsidRPr="00EA6851" w:rsidRDefault="00DF2BD3" w:rsidP="00CE4003">
            <w:pPr>
              <w:tabs>
                <w:tab w:val="center" w:pos="498"/>
                <w:tab w:val="center" w:pos="1509"/>
                <w:tab w:val="center" w:pos="2529"/>
              </w:tabs>
              <w:spacing w:line="276" w:lineRule="auto"/>
              <w:jc w:val="center"/>
              <w:rPr>
                <w:bCs/>
                <w:iCs/>
                <w:sz w:val="18"/>
                <w:szCs w:val="18"/>
              </w:rPr>
            </w:pPr>
            <w:r w:rsidRPr="00EA6851">
              <w:rPr>
                <w:bCs/>
                <w:iCs/>
                <w:sz w:val="18"/>
                <w:szCs w:val="18"/>
              </w:rPr>
              <w:t>44,94</w:t>
            </w:r>
          </w:p>
        </w:tc>
        <w:tc>
          <w:tcPr>
            <w:tcW w:w="3639" w:type="dxa"/>
            <w:gridSpan w:val="3"/>
            <w:tcBorders>
              <w:top w:val="nil"/>
              <w:left w:val="nil"/>
              <w:bottom w:val="single" w:sz="4" w:space="0" w:color="000000"/>
              <w:right w:val="nil"/>
            </w:tcBorders>
            <w:hideMark/>
          </w:tcPr>
          <w:p w:rsidR="00DF2BD3" w:rsidRPr="00EA6851" w:rsidRDefault="00DF2BD3" w:rsidP="00CE4003">
            <w:pPr>
              <w:tabs>
                <w:tab w:val="center" w:pos="498"/>
                <w:tab w:val="center" w:pos="1509"/>
                <w:tab w:val="center" w:pos="2529"/>
              </w:tabs>
              <w:spacing w:line="276" w:lineRule="auto"/>
              <w:jc w:val="center"/>
              <w:rPr>
                <w:bCs/>
                <w:iCs/>
                <w:sz w:val="18"/>
                <w:szCs w:val="18"/>
              </w:rPr>
            </w:pPr>
            <w:r w:rsidRPr="00EA6851">
              <w:rPr>
                <w:bCs/>
                <w:iCs/>
                <w:sz w:val="18"/>
                <w:szCs w:val="18"/>
              </w:rPr>
              <w:t xml:space="preserve">    44,98                  44,98                  44,98</w:t>
            </w:r>
          </w:p>
        </w:tc>
      </w:tr>
    </w:tbl>
    <w:p w:rsidR="00DF2BD3" w:rsidRPr="00EA6851" w:rsidRDefault="00DF2BD3" w:rsidP="00065803">
      <w:pPr>
        <w:jc w:val="left"/>
        <w:rPr>
          <w:b/>
          <w:sz w:val="20"/>
          <w:szCs w:val="20"/>
          <w:highlight w:val="yellow"/>
        </w:rPr>
      </w:pPr>
    </w:p>
    <w:p w:rsidR="00065803" w:rsidRPr="00EA6851" w:rsidRDefault="00DF2BD3" w:rsidP="00DF2BD3">
      <w:r w:rsidRPr="00EA6851">
        <w:t>Основният разход за реализирането на тази политика е разчетен по бюджета на Националната здравноосигурителна каса.</w:t>
      </w:r>
    </w:p>
    <w:p w:rsidR="00E927FC" w:rsidRPr="00EA6851" w:rsidRDefault="00E927FC" w:rsidP="00E927FC">
      <w:pPr>
        <w:pStyle w:val="Heading3"/>
        <w:ind w:left="0"/>
      </w:pPr>
      <w:r w:rsidRPr="00EA6851">
        <w:t>Политика в областта на образованието и науката</w:t>
      </w:r>
    </w:p>
    <w:p w:rsidR="00775BAD" w:rsidRPr="00EA6851" w:rsidRDefault="00775BAD" w:rsidP="00775BAD">
      <w:pPr>
        <w:rPr>
          <w:rFonts w:eastAsia="Times New Roman" w:cs="Times New Roman"/>
          <w:szCs w:val="24"/>
        </w:rPr>
      </w:pPr>
      <w:r w:rsidRPr="00EA6851">
        <w:rPr>
          <w:rFonts w:eastAsia="Times New Roman" w:cs="Times New Roman"/>
          <w:szCs w:val="24"/>
        </w:rPr>
        <w:t>През периода 2024-2026 г. ще продължи реализирането на интегрирани политики с фокус към образование и личностно развитие на децата и учениците, насърчаване на иновациите, квалификация на педагогическите специалисти, модернизиране на образователните институции, повишаване качеството на висшето образование и развитие на научния потенциал.</w:t>
      </w:r>
    </w:p>
    <w:p w:rsidR="00775BAD" w:rsidRPr="00EA6851" w:rsidRDefault="00775BAD" w:rsidP="00775BAD">
      <w:pPr>
        <w:rPr>
          <w:rFonts w:eastAsia="Times New Roman" w:cs="Times New Roman"/>
          <w:szCs w:val="24"/>
        </w:rPr>
      </w:pPr>
      <w:r w:rsidRPr="00EA6851">
        <w:rPr>
          <w:rFonts w:eastAsia="Times New Roman" w:cs="Times New Roman"/>
          <w:szCs w:val="24"/>
        </w:rPr>
        <w:t xml:space="preserve">За </w:t>
      </w:r>
      <w:r w:rsidRPr="00EA6851">
        <w:rPr>
          <w:rFonts w:eastAsia="Times New Roman" w:cs="Times New Roman"/>
          <w:b/>
          <w:color w:val="852010" w:themeColor="accent3" w:themeShade="BF"/>
          <w:szCs w:val="24"/>
        </w:rPr>
        <w:t>предучилищното и училищното образование</w:t>
      </w:r>
      <w:r w:rsidRPr="00EA6851">
        <w:rPr>
          <w:rFonts w:eastAsia="Times New Roman" w:cs="Times New Roman"/>
          <w:szCs w:val="24"/>
        </w:rPr>
        <w:t xml:space="preserve"> за 2024 г. са осигурени</w:t>
      </w:r>
      <w:r w:rsidR="00000E19" w:rsidRPr="00EA6851">
        <w:rPr>
          <w:rFonts w:eastAsia="Times New Roman" w:cs="Times New Roman"/>
          <w:szCs w:val="24"/>
        </w:rPr>
        <w:t xml:space="preserve"> допълнителни</w:t>
      </w:r>
      <w:r w:rsidRPr="00EA6851">
        <w:rPr>
          <w:rFonts w:eastAsia="Times New Roman" w:cs="Times New Roman"/>
          <w:szCs w:val="24"/>
        </w:rPr>
        <w:t xml:space="preserve"> средства, както следва:</w:t>
      </w:r>
    </w:p>
    <w:p w:rsidR="00000E19" w:rsidRPr="00EA6851" w:rsidRDefault="00000E19" w:rsidP="00000E19">
      <w:pPr>
        <w:pStyle w:val="ListParagraph"/>
        <w:numPr>
          <w:ilvl w:val="0"/>
          <w:numId w:val="61"/>
        </w:numPr>
        <w:rPr>
          <w:rFonts w:eastAsia="Times New Roman" w:cs="Times New Roman"/>
          <w:szCs w:val="24"/>
          <w:lang w:eastAsia="zh-CN"/>
        </w:rPr>
      </w:pPr>
      <w:r w:rsidRPr="00EA6851">
        <w:rPr>
          <w:rFonts w:eastAsia="Times New Roman" w:cs="Times New Roman"/>
          <w:szCs w:val="24"/>
          <w:lang w:eastAsia="zh-CN"/>
        </w:rPr>
        <w:t xml:space="preserve">289,9 млн. лв. за предвиденото нарастване на средствата за делегираните дейности в образованието </w:t>
      </w:r>
      <w:r w:rsidR="00E95867">
        <w:rPr>
          <w:rFonts w:eastAsia="Times New Roman" w:cs="Times New Roman"/>
          <w:szCs w:val="24"/>
          <w:lang w:eastAsia="zh-CN"/>
        </w:rPr>
        <w:t xml:space="preserve">през 2024 г. </w:t>
      </w:r>
      <w:r w:rsidRPr="00EA6851">
        <w:rPr>
          <w:rFonts w:eastAsia="Times New Roman" w:cs="Times New Roman"/>
          <w:szCs w:val="24"/>
          <w:lang w:eastAsia="zh-CN"/>
        </w:rPr>
        <w:t xml:space="preserve">във връзка с продължаване на политиката за увеличение на заплатите на педагогическите специалисти за достигане на средна работна заплата не по-малко от 125 на сто от средната работна заплата за страната </w:t>
      </w:r>
      <w:r w:rsidR="00E95867">
        <w:rPr>
          <w:rFonts w:eastAsia="Times New Roman" w:cs="Times New Roman"/>
          <w:szCs w:val="24"/>
          <w:lang w:eastAsia="zh-CN"/>
        </w:rPr>
        <w:t>за 2023</w:t>
      </w:r>
      <w:r w:rsidRPr="00EA6851">
        <w:rPr>
          <w:rFonts w:eastAsia="Times New Roman" w:cs="Times New Roman"/>
          <w:szCs w:val="24"/>
          <w:lang w:eastAsia="zh-CN"/>
        </w:rPr>
        <w:t xml:space="preserve"> г.; </w:t>
      </w:r>
    </w:p>
    <w:p w:rsidR="00000E19" w:rsidRPr="00EA6851" w:rsidRDefault="00000E19" w:rsidP="00000E19">
      <w:pPr>
        <w:pStyle w:val="ListParagraph"/>
        <w:numPr>
          <w:ilvl w:val="0"/>
          <w:numId w:val="61"/>
        </w:numPr>
        <w:rPr>
          <w:rFonts w:eastAsia="Times New Roman" w:cs="Times New Roman"/>
          <w:szCs w:val="24"/>
          <w:lang w:eastAsia="zh-CN"/>
        </w:rPr>
      </w:pPr>
      <w:r w:rsidRPr="00EA6851">
        <w:rPr>
          <w:rFonts w:eastAsia="Times New Roman" w:cs="Times New Roman"/>
          <w:szCs w:val="24"/>
          <w:lang w:eastAsia="zh-CN"/>
        </w:rPr>
        <w:t xml:space="preserve">72,2 млн. лв. за осигуряване </w:t>
      </w:r>
      <w:r w:rsidR="00040DFE" w:rsidRPr="00EA6851">
        <w:rPr>
          <w:rFonts w:eastAsia="Times New Roman" w:cs="Times New Roman"/>
          <w:szCs w:val="24"/>
          <w:lang w:eastAsia="zh-CN"/>
        </w:rPr>
        <w:t xml:space="preserve">на </w:t>
      </w:r>
      <w:r w:rsidRPr="00EA6851">
        <w:rPr>
          <w:rFonts w:eastAsia="Times New Roman" w:cs="Times New Roman"/>
          <w:szCs w:val="24"/>
          <w:lang w:eastAsia="zh-CN"/>
        </w:rPr>
        <w:t>недостиг</w:t>
      </w:r>
      <w:r w:rsidR="00A3729C" w:rsidRPr="00EA6851">
        <w:rPr>
          <w:rFonts w:eastAsia="Times New Roman" w:cs="Times New Roman"/>
          <w:szCs w:val="24"/>
          <w:lang w:eastAsia="zh-CN"/>
        </w:rPr>
        <w:t>а</w:t>
      </w:r>
      <w:r w:rsidRPr="00EA6851">
        <w:rPr>
          <w:rFonts w:eastAsia="Times New Roman" w:cs="Times New Roman"/>
          <w:szCs w:val="24"/>
          <w:lang w:eastAsia="zh-CN"/>
        </w:rPr>
        <w:t xml:space="preserve"> от средства, в резултат на  промяна на натуралните показатели и ефект от увеличение на стандарти от 01.10.2023 г., в целогодишен размер;</w:t>
      </w:r>
    </w:p>
    <w:p w:rsidR="00000E19" w:rsidRPr="00EA6851" w:rsidRDefault="00000E19" w:rsidP="00000E19">
      <w:pPr>
        <w:pStyle w:val="ListParagraph"/>
        <w:numPr>
          <w:ilvl w:val="0"/>
          <w:numId w:val="61"/>
        </w:numPr>
        <w:rPr>
          <w:rFonts w:eastAsia="Times New Roman" w:cs="Times New Roman"/>
          <w:szCs w:val="24"/>
          <w:lang w:eastAsia="zh-CN"/>
        </w:rPr>
      </w:pPr>
      <w:r w:rsidRPr="00EA6851">
        <w:rPr>
          <w:rFonts w:eastAsia="Times New Roman" w:cs="Times New Roman"/>
          <w:szCs w:val="24"/>
          <w:lang w:eastAsia="zh-CN"/>
        </w:rPr>
        <w:t>93,3 млн. лв. за увеличение на разходите за храна и издръжка на децата и учениците в образователни институции;</w:t>
      </w:r>
    </w:p>
    <w:p w:rsidR="00000E19" w:rsidRPr="00EA6851" w:rsidRDefault="00000E19" w:rsidP="00000E19">
      <w:pPr>
        <w:pStyle w:val="ListParagraph"/>
        <w:numPr>
          <w:ilvl w:val="0"/>
          <w:numId w:val="61"/>
        </w:numPr>
        <w:rPr>
          <w:rFonts w:eastAsia="Times New Roman" w:cs="Times New Roman"/>
          <w:szCs w:val="24"/>
          <w:lang w:eastAsia="zh-CN"/>
        </w:rPr>
      </w:pPr>
      <w:r w:rsidRPr="00EA6851">
        <w:rPr>
          <w:rFonts w:eastAsia="Times New Roman" w:cs="Times New Roman"/>
          <w:szCs w:val="24"/>
        </w:rPr>
        <w:t>88,0 млн. лв. за нови учебници и учебни комплекти от I до VII клас и познавателни книжки за децата в детските градини и осигуряване на безплатни учебници до XII клас от учебната 2024/2025 г., в т.ч. 8,0 млн. лв. индексиране цените на учеб</w:t>
      </w:r>
      <w:r w:rsidR="004B53EA" w:rsidRPr="00EA6851">
        <w:rPr>
          <w:rFonts w:eastAsia="Times New Roman" w:cs="Times New Roman"/>
          <w:szCs w:val="24"/>
        </w:rPr>
        <w:t>н</w:t>
      </w:r>
      <w:r w:rsidRPr="00EA6851">
        <w:rPr>
          <w:rFonts w:eastAsia="Times New Roman" w:cs="Times New Roman"/>
          <w:szCs w:val="24"/>
        </w:rPr>
        <w:t>иците с отчетената средногодишна инфлация за предходната година, съгласно информация от НСИ;</w:t>
      </w:r>
    </w:p>
    <w:p w:rsidR="00000E19" w:rsidRDefault="00000E19" w:rsidP="00000E19">
      <w:pPr>
        <w:numPr>
          <w:ilvl w:val="0"/>
          <w:numId w:val="61"/>
        </w:numPr>
        <w:rPr>
          <w:rFonts w:eastAsia="Times New Roman" w:cs="Times New Roman"/>
          <w:szCs w:val="24"/>
        </w:rPr>
      </w:pPr>
      <w:r w:rsidRPr="00EA6851">
        <w:rPr>
          <w:rFonts w:eastAsia="Times New Roman" w:cs="Times New Roman"/>
          <w:szCs w:val="24"/>
        </w:rPr>
        <w:t>80,0 млн. лв. за Национална програма „Оптимизиране на вътрешната структура на персонала“ за покриване на недостига на средства за изплащане на обезщетения на персонала в системата на образованието;</w:t>
      </w:r>
    </w:p>
    <w:p w:rsidR="00CC26DD" w:rsidRPr="00CC26DD" w:rsidRDefault="00CC26DD" w:rsidP="00CC26DD">
      <w:pPr>
        <w:numPr>
          <w:ilvl w:val="0"/>
          <w:numId w:val="61"/>
        </w:numPr>
        <w:rPr>
          <w:rFonts w:eastAsia="Times New Roman" w:cs="Times New Roman"/>
          <w:szCs w:val="24"/>
        </w:rPr>
      </w:pPr>
      <w:r w:rsidRPr="00CC26DD">
        <w:rPr>
          <w:rFonts w:eastAsia="Times New Roman" w:cs="Times New Roman"/>
          <w:szCs w:val="24"/>
        </w:rPr>
        <w:t>86,8 млн. лв. индикативен бюджет за изграждане, пристрояване, надстрояване и реконструкция на детски ясли, детски градини и училища, в т.ч. 46,8 млн. лв. по одобрена програма за периода 2020-2024 г. и 40,0 млн. лв. за нова програма със същото наименование, като за периода 2024-2026 г. общият размер на средствата по новата програма е 240,0 млн. лв.;</w:t>
      </w:r>
    </w:p>
    <w:p w:rsidR="00CC26DD" w:rsidRPr="00CC26DD" w:rsidRDefault="00CC26DD" w:rsidP="00CC26DD">
      <w:pPr>
        <w:numPr>
          <w:ilvl w:val="0"/>
          <w:numId w:val="61"/>
        </w:numPr>
        <w:rPr>
          <w:rFonts w:eastAsia="Times New Roman" w:cs="Times New Roman"/>
          <w:szCs w:val="24"/>
        </w:rPr>
      </w:pPr>
      <w:r w:rsidRPr="00CC26DD">
        <w:rPr>
          <w:rFonts w:eastAsia="Times New Roman" w:cs="Times New Roman"/>
          <w:szCs w:val="24"/>
        </w:rPr>
        <w:t>50,0 млн. лв. индикативен бюджет за изграждане и основен ремонт на спортни площадки и физкултурни салони в държавните и общинските училища, като за периода 2024-2026 г. общият размер на средствата по програмата е 240,0 млн. лв.</w:t>
      </w:r>
    </w:p>
    <w:p w:rsidR="00A3729C" w:rsidRPr="00EA6851" w:rsidRDefault="00000E19" w:rsidP="000E564D">
      <w:pPr>
        <w:spacing w:before="120" w:after="120"/>
        <w:rPr>
          <w:rFonts w:eastAsia="Times New Roman" w:cs="Times New Roman"/>
        </w:rPr>
      </w:pPr>
      <w:r w:rsidRPr="00EA6851">
        <w:rPr>
          <w:rFonts w:eastAsia="Times New Roman" w:cs="Times New Roman"/>
        </w:rPr>
        <w:t xml:space="preserve">За реализиране на Национална програма </w:t>
      </w:r>
      <w:r w:rsidRPr="00EA6851">
        <w:rPr>
          <w:rFonts w:eastAsia="Times New Roman" w:cs="Times New Roman"/>
          <w:szCs w:val="24"/>
        </w:rPr>
        <w:t>за повишаване на интереса и увеличаване на извънкласните дейности, гарантирани за всеки ученик чрез допълнителна подкрепа за спорт, отдих и култура за осигуряване на широк достъп до тях и при изявени високи постижения</w:t>
      </w:r>
      <w:r w:rsidRPr="00EA6851">
        <w:rPr>
          <w:rFonts w:eastAsia="Times New Roman" w:cs="Times New Roman"/>
        </w:rPr>
        <w:t xml:space="preserve"> са предвидени разходи по централния бюджет в размер на 25,3 млн. лв.</w:t>
      </w:r>
    </w:p>
    <w:p w:rsidR="00947632" w:rsidRPr="00EA6851" w:rsidRDefault="00947632" w:rsidP="000E564D">
      <w:pPr>
        <w:spacing w:before="120" w:after="120"/>
        <w:rPr>
          <w:rFonts w:eastAsia="Times New Roman" w:cs="Times New Roman"/>
        </w:rPr>
      </w:pPr>
    </w:p>
    <w:p w:rsidR="00775BAD" w:rsidRPr="00EA6851" w:rsidRDefault="000E564D" w:rsidP="000E564D">
      <w:pPr>
        <w:spacing w:before="120" w:after="120"/>
        <w:rPr>
          <w:rFonts w:cs="Times New Roman"/>
          <w:b/>
          <w:bCs/>
          <w:sz w:val="20"/>
          <w:szCs w:val="20"/>
        </w:rPr>
      </w:pPr>
      <w:r w:rsidRPr="00EA6851">
        <w:rPr>
          <w:rFonts w:cs="Times New Roman"/>
          <w:b/>
          <w:bCs/>
          <w:sz w:val="20"/>
          <w:szCs w:val="20"/>
        </w:rPr>
        <w:t>КЛЮЧОВИ ИНДИКАТОРИ ЗА ИЗПЪЛНЕНИЕ И ЦЕЛЕВИ СТОЙНОСТИ*</w:t>
      </w:r>
    </w:p>
    <w:tbl>
      <w:tblPr>
        <w:tblW w:w="9035" w:type="dxa"/>
        <w:tblInd w:w="55" w:type="dxa"/>
        <w:tblBorders>
          <w:top w:val="single" w:sz="4" w:space="0" w:color="auto"/>
          <w:bottom w:val="single" w:sz="4" w:space="0" w:color="auto"/>
        </w:tblBorders>
        <w:tblLayout w:type="fixed"/>
        <w:tblCellMar>
          <w:left w:w="70" w:type="dxa"/>
          <w:right w:w="70" w:type="dxa"/>
        </w:tblCellMar>
        <w:tblLook w:val="0000" w:firstRow="0" w:lastRow="0" w:firstColumn="0" w:lastColumn="0" w:noHBand="0" w:noVBand="0"/>
      </w:tblPr>
      <w:tblGrid>
        <w:gridCol w:w="3670"/>
        <w:gridCol w:w="1045"/>
        <w:gridCol w:w="1186"/>
        <w:gridCol w:w="850"/>
        <w:gridCol w:w="1276"/>
        <w:gridCol w:w="1008"/>
      </w:tblGrid>
      <w:tr w:rsidR="00775BAD" w:rsidRPr="00EA6851" w:rsidTr="00D42874">
        <w:trPr>
          <w:trHeight w:val="857"/>
          <w:tblHeader/>
        </w:trPr>
        <w:tc>
          <w:tcPr>
            <w:tcW w:w="3670" w:type="dxa"/>
            <w:tcBorders>
              <w:top w:val="single" w:sz="4" w:space="0" w:color="auto"/>
              <w:bottom w:val="nil"/>
            </w:tcBorders>
            <w:shd w:val="clear" w:color="auto" w:fill="auto"/>
            <w:vAlign w:val="center"/>
          </w:tcPr>
          <w:p w:rsidR="00775BAD" w:rsidRPr="00EA6851" w:rsidRDefault="00775BAD" w:rsidP="00CE4003">
            <w:pPr>
              <w:spacing w:after="0" w:line="276" w:lineRule="auto"/>
              <w:jc w:val="center"/>
              <w:rPr>
                <w:rFonts w:eastAsia="Times New Roman" w:cs="Times New Roman"/>
                <w:b/>
                <w:bCs/>
                <w:i/>
                <w:iCs/>
                <w:sz w:val="18"/>
                <w:szCs w:val="18"/>
              </w:rPr>
            </w:pPr>
            <w:r w:rsidRPr="00EA6851">
              <w:rPr>
                <w:rFonts w:eastAsia="Times New Roman" w:cs="Times New Roman"/>
                <w:b/>
                <w:bCs/>
                <w:i/>
                <w:iCs/>
                <w:sz w:val="18"/>
                <w:szCs w:val="18"/>
              </w:rPr>
              <w:t>Политика в областта на всеобхватното, достъпно и качествено предучилищно и училищно образование. Учене през целия живот</w:t>
            </w:r>
          </w:p>
        </w:tc>
        <w:tc>
          <w:tcPr>
            <w:tcW w:w="1045" w:type="dxa"/>
            <w:vMerge w:val="restart"/>
            <w:tcBorders>
              <w:top w:val="single" w:sz="4" w:space="0" w:color="auto"/>
              <w:bottom w:val="nil"/>
            </w:tcBorders>
            <w:shd w:val="clear" w:color="auto" w:fill="F2F2F2" w:themeFill="background1" w:themeFillShade="F2"/>
          </w:tcPr>
          <w:p w:rsidR="00775BAD" w:rsidRPr="00EA6851" w:rsidRDefault="00775BAD" w:rsidP="00CE4003">
            <w:pPr>
              <w:spacing w:after="0" w:line="276" w:lineRule="auto"/>
              <w:rPr>
                <w:rFonts w:eastAsia="Times New Roman" w:cs="Times New Roman"/>
                <w:b/>
                <w:bCs/>
                <w:i/>
                <w:iCs/>
                <w:sz w:val="18"/>
                <w:szCs w:val="18"/>
              </w:rPr>
            </w:pPr>
            <w:r w:rsidRPr="00EA6851">
              <w:rPr>
                <w:rFonts w:eastAsia="Times New Roman" w:cs="Times New Roman"/>
                <w:b/>
                <w:bCs/>
                <w:i/>
                <w:iCs/>
                <w:sz w:val="18"/>
                <w:szCs w:val="18"/>
              </w:rPr>
              <w:t> </w:t>
            </w:r>
          </w:p>
          <w:p w:rsidR="00775BAD" w:rsidRPr="00EA6851" w:rsidRDefault="00775BAD" w:rsidP="00CE4003">
            <w:pPr>
              <w:spacing w:after="0" w:line="276" w:lineRule="auto"/>
              <w:rPr>
                <w:rFonts w:eastAsia="Times New Roman" w:cs="Times New Roman"/>
                <w:b/>
                <w:bCs/>
                <w:i/>
                <w:iCs/>
                <w:sz w:val="18"/>
                <w:szCs w:val="18"/>
              </w:rPr>
            </w:pPr>
          </w:p>
          <w:p w:rsidR="00775BAD" w:rsidRPr="00EA6851" w:rsidRDefault="00775BAD" w:rsidP="00CE4003">
            <w:pPr>
              <w:spacing w:after="0" w:line="276" w:lineRule="auto"/>
              <w:jc w:val="center"/>
              <w:rPr>
                <w:rFonts w:eastAsia="Times New Roman" w:cs="Times New Roman"/>
                <w:b/>
                <w:bCs/>
                <w:iCs/>
                <w:sz w:val="18"/>
                <w:szCs w:val="18"/>
              </w:rPr>
            </w:pPr>
          </w:p>
          <w:p w:rsidR="00775BAD" w:rsidRPr="00EA6851" w:rsidRDefault="00775BAD" w:rsidP="00CE4003">
            <w:pPr>
              <w:spacing w:after="0" w:line="276" w:lineRule="auto"/>
              <w:jc w:val="center"/>
              <w:rPr>
                <w:rFonts w:eastAsia="Times New Roman" w:cs="Times New Roman"/>
                <w:b/>
                <w:bCs/>
                <w:iCs/>
                <w:sz w:val="18"/>
                <w:szCs w:val="18"/>
              </w:rPr>
            </w:pPr>
            <w:r w:rsidRPr="00EA6851">
              <w:rPr>
                <w:rFonts w:eastAsia="Times New Roman" w:cs="Times New Roman"/>
                <w:b/>
                <w:bCs/>
                <w:iCs/>
                <w:sz w:val="18"/>
                <w:szCs w:val="18"/>
              </w:rPr>
              <w:t xml:space="preserve">Мерна </w:t>
            </w:r>
          </w:p>
          <w:p w:rsidR="00775BAD" w:rsidRPr="00EA6851" w:rsidRDefault="00775BAD" w:rsidP="00CE4003">
            <w:pPr>
              <w:spacing w:after="0" w:line="276" w:lineRule="auto"/>
              <w:jc w:val="center"/>
              <w:rPr>
                <w:rFonts w:eastAsia="Times New Roman" w:cs="Times New Roman"/>
                <w:b/>
                <w:bCs/>
                <w:i/>
                <w:iCs/>
                <w:sz w:val="18"/>
                <w:szCs w:val="18"/>
              </w:rPr>
            </w:pPr>
            <w:r w:rsidRPr="00EA6851">
              <w:rPr>
                <w:rFonts w:eastAsia="Times New Roman" w:cs="Times New Roman"/>
                <w:b/>
                <w:bCs/>
                <w:iCs/>
                <w:sz w:val="18"/>
                <w:szCs w:val="18"/>
              </w:rPr>
              <w:t>единица</w:t>
            </w:r>
          </w:p>
        </w:tc>
        <w:tc>
          <w:tcPr>
            <w:tcW w:w="1186" w:type="dxa"/>
            <w:tcBorders>
              <w:top w:val="single" w:sz="4" w:space="0" w:color="auto"/>
              <w:bottom w:val="single" w:sz="4" w:space="0" w:color="auto"/>
            </w:tcBorders>
            <w:shd w:val="clear" w:color="auto" w:fill="auto"/>
          </w:tcPr>
          <w:p w:rsidR="00775BAD" w:rsidRPr="00EA6851" w:rsidRDefault="00775BAD" w:rsidP="00CE4003">
            <w:pPr>
              <w:spacing w:after="0" w:line="276" w:lineRule="auto"/>
              <w:ind w:left="162" w:hanging="162"/>
              <w:jc w:val="center"/>
              <w:rPr>
                <w:rFonts w:eastAsia="Times New Roman" w:cs="Times New Roman"/>
                <w:b/>
                <w:bCs/>
                <w:i/>
                <w:iCs/>
                <w:sz w:val="18"/>
                <w:szCs w:val="18"/>
              </w:rPr>
            </w:pPr>
          </w:p>
        </w:tc>
        <w:tc>
          <w:tcPr>
            <w:tcW w:w="3134" w:type="dxa"/>
            <w:gridSpan w:val="3"/>
            <w:tcBorders>
              <w:top w:val="single" w:sz="4" w:space="0" w:color="auto"/>
              <w:bottom w:val="single" w:sz="4" w:space="0" w:color="auto"/>
            </w:tcBorders>
            <w:shd w:val="clear" w:color="auto" w:fill="auto"/>
            <w:vAlign w:val="center"/>
          </w:tcPr>
          <w:p w:rsidR="00775BAD" w:rsidRPr="00EA6851" w:rsidRDefault="00775BAD" w:rsidP="00775BAD">
            <w:pPr>
              <w:spacing w:after="0" w:line="276" w:lineRule="auto"/>
              <w:ind w:left="-630" w:firstLine="18"/>
              <w:jc w:val="center"/>
              <w:rPr>
                <w:rFonts w:eastAsia="Times New Roman" w:cs="Times New Roman"/>
                <w:b/>
                <w:bCs/>
                <w:iCs/>
                <w:sz w:val="18"/>
                <w:szCs w:val="18"/>
              </w:rPr>
            </w:pPr>
            <w:r w:rsidRPr="00EA6851">
              <w:rPr>
                <w:rFonts w:eastAsia="Times New Roman" w:cs="Times New Roman"/>
                <w:b/>
                <w:bCs/>
                <w:iCs/>
                <w:sz w:val="18"/>
                <w:szCs w:val="18"/>
              </w:rPr>
              <w:t>Целева стойност</w:t>
            </w:r>
          </w:p>
        </w:tc>
      </w:tr>
      <w:tr w:rsidR="00775BAD" w:rsidRPr="00EA6851" w:rsidTr="00D42874">
        <w:trPr>
          <w:trHeight w:val="450"/>
          <w:tblHeader/>
        </w:trPr>
        <w:tc>
          <w:tcPr>
            <w:tcW w:w="3670" w:type="dxa"/>
            <w:tcBorders>
              <w:top w:val="nil"/>
              <w:bottom w:val="single" w:sz="4" w:space="0" w:color="auto"/>
            </w:tcBorders>
            <w:shd w:val="clear" w:color="auto" w:fill="auto"/>
            <w:vAlign w:val="center"/>
          </w:tcPr>
          <w:p w:rsidR="00775BAD" w:rsidRPr="00EA6851" w:rsidRDefault="00775BAD" w:rsidP="00CE4003">
            <w:pPr>
              <w:spacing w:after="0" w:line="276" w:lineRule="auto"/>
              <w:jc w:val="center"/>
              <w:rPr>
                <w:rFonts w:eastAsia="Times New Roman" w:cs="Times New Roman"/>
                <w:b/>
                <w:bCs/>
                <w:iCs/>
                <w:sz w:val="18"/>
                <w:szCs w:val="18"/>
              </w:rPr>
            </w:pPr>
            <w:r w:rsidRPr="00EA6851">
              <w:rPr>
                <w:rFonts w:eastAsia="Times New Roman" w:cs="Times New Roman"/>
                <w:b/>
                <w:bCs/>
                <w:iCs/>
                <w:sz w:val="18"/>
                <w:szCs w:val="18"/>
              </w:rPr>
              <w:t>Наименование на индикатора</w:t>
            </w:r>
          </w:p>
        </w:tc>
        <w:tc>
          <w:tcPr>
            <w:tcW w:w="1045" w:type="dxa"/>
            <w:vMerge/>
            <w:tcBorders>
              <w:top w:val="nil"/>
              <w:bottom w:val="single" w:sz="4" w:space="0" w:color="auto"/>
            </w:tcBorders>
            <w:shd w:val="clear" w:color="auto" w:fill="F2F2F2" w:themeFill="background1" w:themeFillShade="F2"/>
            <w:vAlign w:val="center"/>
          </w:tcPr>
          <w:p w:rsidR="00775BAD" w:rsidRPr="00EA6851" w:rsidRDefault="00775BAD" w:rsidP="00CE4003">
            <w:pPr>
              <w:spacing w:after="0" w:line="276" w:lineRule="auto"/>
              <w:jc w:val="center"/>
              <w:rPr>
                <w:rFonts w:eastAsia="Times New Roman" w:cs="Times New Roman"/>
                <w:b/>
                <w:bCs/>
                <w:i/>
                <w:iCs/>
                <w:sz w:val="18"/>
                <w:szCs w:val="18"/>
              </w:rPr>
            </w:pPr>
          </w:p>
        </w:tc>
        <w:tc>
          <w:tcPr>
            <w:tcW w:w="1186" w:type="dxa"/>
            <w:tcBorders>
              <w:top w:val="single" w:sz="4" w:space="0" w:color="auto"/>
              <w:bottom w:val="single" w:sz="4" w:space="0" w:color="auto"/>
            </w:tcBorders>
            <w:shd w:val="clear" w:color="auto" w:fill="auto"/>
          </w:tcPr>
          <w:p w:rsidR="00775BAD" w:rsidRPr="00EA6851" w:rsidRDefault="00775BAD" w:rsidP="00CE4003">
            <w:pPr>
              <w:spacing w:after="0" w:line="276" w:lineRule="auto"/>
              <w:jc w:val="center"/>
              <w:rPr>
                <w:rFonts w:eastAsia="Times New Roman" w:cs="Times New Roman"/>
                <w:b/>
                <w:bCs/>
                <w:i/>
                <w:iCs/>
                <w:sz w:val="18"/>
                <w:szCs w:val="18"/>
              </w:rPr>
            </w:pPr>
            <w:r w:rsidRPr="00EA6851">
              <w:rPr>
                <w:rFonts w:eastAsia="Times New Roman" w:cs="Times New Roman"/>
                <w:b/>
                <w:bCs/>
                <w:i/>
                <w:iCs/>
                <w:sz w:val="18"/>
                <w:szCs w:val="18"/>
              </w:rPr>
              <w:t xml:space="preserve">Програма </w:t>
            </w:r>
            <w:r w:rsidRPr="00EA6851">
              <w:rPr>
                <w:rFonts w:eastAsia="Times New Roman" w:cs="Times New Roman"/>
                <w:b/>
                <w:bCs/>
                <w:i/>
                <w:iCs/>
                <w:sz w:val="18"/>
                <w:szCs w:val="18"/>
              </w:rPr>
              <w:br/>
              <w:t>2023 г.</w:t>
            </w:r>
          </w:p>
        </w:tc>
        <w:tc>
          <w:tcPr>
            <w:tcW w:w="850" w:type="dxa"/>
            <w:tcBorders>
              <w:top w:val="single" w:sz="4" w:space="0" w:color="auto"/>
              <w:bottom w:val="single" w:sz="4" w:space="0" w:color="auto"/>
            </w:tcBorders>
            <w:shd w:val="clear" w:color="auto" w:fill="auto"/>
            <w:vAlign w:val="center"/>
          </w:tcPr>
          <w:p w:rsidR="00775BAD" w:rsidRPr="00EA6851" w:rsidRDefault="00775BAD" w:rsidP="00CE4003">
            <w:pPr>
              <w:spacing w:after="0" w:line="276" w:lineRule="auto"/>
              <w:jc w:val="center"/>
              <w:rPr>
                <w:rFonts w:eastAsia="Times New Roman" w:cs="Times New Roman"/>
                <w:b/>
                <w:bCs/>
                <w:i/>
                <w:iCs/>
                <w:sz w:val="18"/>
                <w:szCs w:val="18"/>
              </w:rPr>
            </w:pPr>
            <w:r w:rsidRPr="00EA6851">
              <w:rPr>
                <w:rFonts w:eastAsia="Times New Roman" w:cs="Times New Roman"/>
                <w:b/>
                <w:bCs/>
                <w:i/>
                <w:iCs/>
                <w:sz w:val="18"/>
                <w:szCs w:val="18"/>
              </w:rPr>
              <w:t>Проект 2024 г.</w:t>
            </w:r>
          </w:p>
        </w:tc>
        <w:tc>
          <w:tcPr>
            <w:tcW w:w="1276" w:type="dxa"/>
            <w:tcBorders>
              <w:top w:val="single" w:sz="4" w:space="0" w:color="auto"/>
              <w:bottom w:val="single" w:sz="4" w:space="0" w:color="auto"/>
            </w:tcBorders>
            <w:shd w:val="clear" w:color="auto" w:fill="auto"/>
            <w:vAlign w:val="center"/>
          </w:tcPr>
          <w:p w:rsidR="00775BAD" w:rsidRPr="00EA6851" w:rsidRDefault="00775BAD" w:rsidP="00CE4003">
            <w:pPr>
              <w:spacing w:after="0" w:line="276" w:lineRule="auto"/>
              <w:jc w:val="center"/>
              <w:rPr>
                <w:rFonts w:eastAsia="Times New Roman" w:cs="Times New Roman"/>
                <w:b/>
                <w:bCs/>
                <w:i/>
                <w:iCs/>
                <w:sz w:val="18"/>
                <w:szCs w:val="18"/>
              </w:rPr>
            </w:pPr>
            <w:r w:rsidRPr="00EA6851">
              <w:rPr>
                <w:rFonts w:eastAsia="Times New Roman" w:cs="Times New Roman"/>
                <w:b/>
                <w:bCs/>
                <w:i/>
                <w:iCs/>
                <w:sz w:val="18"/>
                <w:szCs w:val="18"/>
              </w:rPr>
              <w:t>Прогноза 2025 г.</w:t>
            </w:r>
          </w:p>
        </w:tc>
        <w:tc>
          <w:tcPr>
            <w:tcW w:w="1008" w:type="dxa"/>
            <w:tcBorders>
              <w:top w:val="single" w:sz="4" w:space="0" w:color="auto"/>
              <w:bottom w:val="single" w:sz="4" w:space="0" w:color="auto"/>
            </w:tcBorders>
            <w:vAlign w:val="center"/>
          </w:tcPr>
          <w:p w:rsidR="00775BAD" w:rsidRPr="00EA6851" w:rsidRDefault="00775BAD" w:rsidP="00CE4003">
            <w:pPr>
              <w:spacing w:after="0" w:line="276" w:lineRule="auto"/>
              <w:jc w:val="center"/>
              <w:rPr>
                <w:rFonts w:eastAsia="Times New Roman" w:cs="Times New Roman"/>
                <w:b/>
                <w:bCs/>
                <w:i/>
                <w:iCs/>
                <w:sz w:val="18"/>
                <w:szCs w:val="18"/>
              </w:rPr>
            </w:pPr>
            <w:r w:rsidRPr="00EA6851">
              <w:rPr>
                <w:rFonts w:eastAsia="Times New Roman" w:cs="Times New Roman"/>
                <w:b/>
                <w:bCs/>
                <w:i/>
                <w:iCs/>
                <w:sz w:val="18"/>
                <w:szCs w:val="18"/>
              </w:rPr>
              <w:t>Прогноза</w:t>
            </w:r>
          </w:p>
          <w:p w:rsidR="00775BAD" w:rsidRPr="00EA6851" w:rsidRDefault="00775BAD" w:rsidP="00CE4003">
            <w:pPr>
              <w:spacing w:after="0" w:line="276" w:lineRule="auto"/>
              <w:jc w:val="center"/>
              <w:rPr>
                <w:rFonts w:eastAsia="Times New Roman" w:cs="Times New Roman"/>
                <w:b/>
                <w:bCs/>
                <w:i/>
                <w:iCs/>
                <w:sz w:val="18"/>
                <w:szCs w:val="18"/>
              </w:rPr>
            </w:pPr>
            <w:r w:rsidRPr="00EA6851">
              <w:rPr>
                <w:rFonts w:eastAsia="Times New Roman" w:cs="Times New Roman"/>
                <w:b/>
                <w:bCs/>
                <w:i/>
                <w:iCs/>
                <w:sz w:val="18"/>
                <w:szCs w:val="18"/>
              </w:rPr>
              <w:t>2026 г.</w:t>
            </w:r>
          </w:p>
        </w:tc>
      </w:tr>
      <w:tr w:rsidR="00775BAD" w:rsidRPr="00EA6851" w:rsidTr="00D42874">
        <w:trPr>
          <w:trHeight w:val="597"/>
        </w:trPr>
        <w:tc>
          <w:tcPr>
            <w:tcW w:w="3670" w:type="dxa"/>
            <w:tcBorders>
              <w:top w:val="single" w:sz="4" w:space="0" w:color="auto"/>
            </w:tcBorders>
            <w:shd w:val="clear" w:color="auto" w:fill="auto"/>
          </w:tcPr>
          <w:p w:rsidR="00775BAD" w:rsidRPr="00EA6851" w:rsidRDefault="00775BAD" w:rsidP="00775BAD">
            <w:pPr>
              <w:spacing w:after="0" w:line="276" w:lineRule="auto"/>
              <w:jc w:val="left"/>
              <w:rPr>
                <w:rFonts w:eastAsia="Times New Roman" w:cs="Times New Roman"/>
                <w:bCs/>
                <w:iCs/>
                <w:sz w:val="18"/>
                <w:szCs w:val="18"/>
              </w:rPr>
            </w:pPr>
            <w:r w:rsidRPr="00EA6851">
              <w:rPr>
                <w:rFonts w:eastAsia="Times New Roman" w:cs="Times New Roman"/>
                <w:bCs/>
                <w:iCs/>
                <w:sz w:val="18"/>
                <w:szCs w:val="18"/>
              </w:rPr>
              <w:t>1. Дял на преждевременно напусналите образование и обучение</w:t>
            </w:r>
          </w:p>
        </w:tc>
        <w:tc>
          <w:tcPr>
            <w:tcW w:w="1045" w:type="dxa"/>
            <w:tcBorders>
              <w:top w:val="single" w:sz="4" w:space="0" w:color="auto"/>
            </w:tcBorders>
            <w:shd w:val="clear" w:color="auto" w:fill="F2F2F2" w:themeFill="background1" w:themeFillShade="F2"/>
          </w:tcPr>
          <w:p w:rsidR="00775BAD" w:rsidRPr="00EA6851" w:rsidRDefault="00775BAD" w:rsidP="00CE4003">
            <w:pPr>
              <w:spacing w:after="0" w:line="276" w:lineRule="auto"/>
              <w:jc w:val="center"/>
              <w:rPr>
                <w:rFonts w:eastAsia="Times New Roman" w:cs="Times New Roman"/>
                <w:bCs/>
                <w:iCs/>
                <w:sz w:val="18"/>
                <w:szCs w:val="18"/>
              </w:rPr>
            </w:pPr>
          </w:p>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w:t>
            </w:r>
          </w:p>
        </w:tc>
        <w:tc>
          <w:tcPr>
            <w:tcW w:w="1186" w:type="dxa"/>
            <w:tcBorders>
              <w:top w:val="single" w:sz="4" w:space="0" w:color="auto"/>
            </w:tcBorders>
            <w:shd w:val="clear" w:color="auto" w:fill="auto"/>
          </w:tcPr>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под 10,2</w:t>
            </w:r>
          </w:p>
        </w:tc>
        <w:tc>
          <w:tcPr>
            <w:tcW w:w="850" w:type="dxa"/>
            <w:tcBorders>
              <w:top w:val="single" w:sz="4" w:space="0" w:color="auto"/>
            </w:tcBorders>
            <w:shd w:val="clear" w:color="auto" w:fill="auto"/>
          </w:tcPr>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под 10</w:t>
            </w:r>
          </w:p>
        </w:tc>
        <w:tc>
          <w:tcPr>
            <w:tcW w:w="1276" w:type="dxa"/>
            <w:tcBorders>
              <w:top w:val="single" w:sz="4" w:space="0" w:color="auto"/>
            </w:tcBorders>
            <w:shd w:val="clear" w:color="auto" w:fill="auto"/>
          </w:tcPr>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под 10</w:t>
            </w:r>
          </w:p>
        </w:tc>
        <w:tc>
          <w:tcPr>
            <w:tcW w:w="1008" w:type="dxa"/>
            <w:tcBorders>
              <w:top w:val="single" w:sz="4" w:space="0" w:color="auto"/>
            </w:tcBorders>
          </w:tcPr>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под 10</w:t>
            </w:r>
          </w:p>
        </w:tc>
      </w:tr>
      <w:tr w:rsidR="00775BAD" w:rsidRPr="00EA6851" w:rsidTr="00D42874">
        <w:trPr>
          <w:trHeight w:val="787"/>
        </w:trPr>
        <w:tc>
          <w:tcPr>
            <w:tcW w:w="3670" w:type="dxa"/>
            <w:shd w:val="clear" w:color="auto" w:fill="auto"/>
          </w:tcPr>
          <w:p w:rsidR="00775BAD" w:rsidRPr="00EA6851" w:rsidRDefault="00775BAD" w:rsidP="00775BAD">
            <w:pPr>
              <w:spacing w:after="0" w:line="276" w:lineRule="auto"/>
              <w:jc w:val="left"/>
              <w:rPr>
                <w:rFonts w:eastAsia="Times New Roman" w:cs="Times New Roman"/>
                <w:bCs/>
                <w:iCs/>
                <w:sz w:val="18"/>
                <w:szCs w:val="18"/>
              </w:rPr>
            </w:pPr>
            <w:r w:rsidRPr="00EA6851">
              <w:rPr>
                <w:rFonts w:eastAsia="Times New Roman" w:cs="Times New Roman"/>
                <w:bCs/>
                <w:iCs/>
                <w:sz w:val="18"/>
                <w:szCs w:val="18"/>
              </w:rPr>
              <w:t>2. Дял на обхванатите в предучилищното възпитание и подготовка деца на възраст от 4 г. до постъпване в първи клас</w:t>
            </w:r>
          </w:p>
        </w:tc>
        <w:tc>
          <w:tcPr>
            <w:tcW w:w="1045" w:type="dxa"/>
            <w:shd w:val="clear" w:color="auto" w:fill="F2F2F2" w:themeFill="background1" w:themeFillShade="F2"/>
          </w:tcPr>
          <w:p w:rsidR="00775BAD" w:rsidRPr="00EA6851" w:rsidRDefault="00775BAD" w:rsidP="00CE4003">
            <w:pPr>
              <w:spacing w:after="0" w:line="276" w:lineRule="auto"/>
              <w:jc w:val="center"/>
              <w:rPr>
                <w:rFonts w:eastAsia="Times New Roman" w:cs="Times New Roman"/>
                <w:bCs/>
                <w:iCs/>
                <w:sz w:val="18"/>
                <w:szCs w:val="18"/>
              </w:rPr>
            </w:pPr>
          </w:p>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w:t>
            </w:r>
          </w:p>
        </w:tc>
        <w:tc>
          <w:tcPr>
            <w:tcW w:w="1186" w:type="dxa"/>
            <w:shd w:val="clear" w:color="auto" w:fill="auto"/>
          </w:tcPr>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над 90,6</w:t>
            </w:r>
          </w:p>
        </w:tc>
        <w:tc>
          <w:tcPr>
            <w:tcW w:w="850" w:type="dxa"/>
            <w:shd w:val="clear" w:color="auto" w:fill="auto"/>
          </w:tcPr>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над 90,8</w:t>
            </w:r>
          </w:p>
        </w:tc>
        <w:tc>
          <w:tcPr>
            <w:tcW w:w="1276" w:type="dxa"/>
            <w:shd w:val="clear" w:color="auto" w:fill="auto"/>
          </w:tcPr>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над 90,8</w:t>
            </w:r>
          </w:p>
        </w:tc>
        <w:tc>
          <w:tcPr>
            <w:tcW w:w="1008" w:type="dxa"/>
          </w:tcPr>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над 90,8</w:t>
            </w:r>
          </w:p>
        </w:tc>
      </w:tr>
      <w:tr w:rsidR="00775BAD" w:rsidRPr="00EA6851" w:rsidTr="00D42874">
        <w:trPr>
          <w:trHeight w:val="255"/>
        </w:trPr>
        <w:tc>
          <w:tcPr>
            <w:tcW w:w="3670" w:type="dxa"/>
            <w:shd w:val="clear" w:color="auto" w:fill="auto"/>
          </w:tcPr>
          <w:p w:rsidR="00775BAD" w:rsidRPr="00EA6851" w:rsidRDefault="00775BAD" w:rsidP="00775BAD">
            <w:pPr>
              <w:spacing w:after="0" w:line="276" w:lineRule="auto"/>
              <w:jc w:val="left"/>
              <w:rPr>
                <w:rFonts w:eastAsia="Times New Roman" w:cs="Times New Roman"/>
                <w:bCs/>
                <w:iCs/>
                <w:sz w:val="18"/>
                <w:szCs w:val="18"/>
              </w:rPr>
            </w:pPr>
            <w:r w:rsidRPr="00EA6851">
              <w:rPr>
                <w:rFonts w:eastAsia="Times New Roman" w:cs="Times New Roman"/>
                <w:bCs/>
                <w:iCs/>
                <w:sz w:val="18"/>
                <w:szCs w:val="18"/>
              </w:rPr>
              <w:t>3. Дял на 15-годишните със слаби постижения по:</w:t>
            </w:r>
          </w:p>
        </w:tc>
        <w:tc>
          <w:tcPr>
            <w:tcW w:w="1045" w:type="dxa"/>
            <w:shd w:val="clear" w:color="auto" w:fill="F2F2F2" w:themeFill="background1" w:themeFillShade="F2"/>
          </w:tcPr>
          <w:p w:rsidR="00775BAD" w:rsidRPr="00EA6851" w:rsidRDefault="00775BAD" w:rsidP="00CE4003">
            <w:pPr>
              <w:spacing w:after="0" w:line="276" w:lineRule="auto"/>
              <w:jc w:val="center"/>
              <w:rPr>
                <w:rFonts w:eastAsia="Times New Roman" w:cs="Times New Roman"/>
                <w:bCs/>
                <w:iCs/>
                <w:sz w:val="18"/>
                <w:szCs w:val="18"/>
              </w:rPr>
            </w:pPr>
          </w:p>
        </w:tc>
        <w:tc>
          <w:tcPr>
            <w:tcW w:w="1186" w:type="dxa"/>
            <w:shd w:val="clear" w:color="auto" w:fill="auto"/>
          </w:tcPr>
          <w:p w:rsidR="00775BAD" w:rsidRPr="00EA6851" w:rsidRDefault="00775BAD" w:rsidP="00CE4003">
            <w:pPr>
              <w:autoSpaceDE w:val="0"/>
              <w:autoSpaceDN w:val="0"/>
              <w:adjustRightInd w:val="0"/>
              <w:spacing w:after="0" w:line="276" w:lineRule="auto"/>
              <w:jc w:val="center"/>
              <w:rPr>
                <w:rFonts w:eastAsia="Times New Roman" w:cs="Times New Roman"/>
                <w:bCs/>
                <w:iCs/>
                <w:sz w:val="18"/>
                <w:szCs w:val="18"/>
              </w:rPr>
            </w:pPr>
          </w:p>
        </w:tc>
        <w:tc>
          <w:tcPr>
            <w:tcW w:w="850" w:type="dxa"/>
            <w:shd w:val="clear" w:color="auto" w:fill="auto"/>
          </w:tcPr>
          <w:p w:rsidR="00775BAD" w:rsidRPr="00EA6851" w:rsidRDefault="00775BAD" w:rsidP="00CE4003">
            <w:pPr>
              <w:autoSpaceDE w:val="0"/>
              <w:autoSpaceDN w:val="0"/>
              <w:adjustRightInd w:val="0"/>
              <w:spacing w:after="0" w:line="276" w:lineRule="auto"/>
              <w:jc w:val="center"/>
              <w:rPr>
                <w:rFonts w:eastAsia="Times New Roman" w:cs="Times New Roman"/>
                <w:bCs/>
                <w:iCs/>
                <w:sz w:val="18"/>
                <w:szCs w:val="18"/>
              </w:rPr>
            </w:pPr>
          </w:p>
        </w:tc>
        <w:tc>
          <w:tcPr>
            <w:tcW w:w="1276" w:type="dxa"/>
            <w:shd w:val="clear" w:color="auto" w:fill="auto"/>
          </w:tcPr>
          <w:p w:rsidR="00775BAD" w:rsidRPr="00EA6851" w:rsidRDefault="00775BAD" w:rsidP="00CE4003">
            <w:pPr>
              <w:autoSpaceDE w:val="0"/>
              <w:autoSpaceDN w:val="0"/>
              <w:adjustRightInd w:val="0"/>
              <w:spacing w:after="0" w:line="276" w:lineRule="auto"/>
              <w:jc w:val="center"/>
              <w:rPr>
                <w:rFonts w:eastAsia="Times New Roman" w:cs="Times New Roman"/>
                <w:bCs/>
                <w:iCs/>
                <w:sz w:val="18"/>
                <w:szCs w:val="18"/>
              </w:rPr>
            </w:pPr>
          </w:p>
        </w:tc>
        <w:tc>
          <w:tcPr>
            <w:tcW w:w="1008" w:type="dxa"/>
          </w:tcPr>
          <w:p w:rsidR="00775BAD" w:rsidRPr="00EA6851" w:rsidRDefault="00775BAD" w:rsidP="00CE4003">
            <w:pPr>
              <w:autoSpaceDE w:val="0"/>
              <w:autoSpaceDN w:val="0"/>
              <w:adjustRightInd w:val="0"/>
              <w:spacing w:after="0" w:line="276" w:lineRule="auto"/>
              <w:jc w:val="center"/>
              <w:rPr>
                <w:rFonts w:eastAsia="Times New Roman" w:cs="Times New Roman"/>
                <w:bCs/>
                <w:iCs/>
                <w:sz w:val="18"/>
                <w:szCs w:val="18"/>
              </w:rPr>
            </w:pPr>
          </w:p>
        </w:tc>
      </w:tr>
      <w:tr w:rsidR="00775BAD" w:rsidRPr="00EA6851" w:rsidTr="00D42874">
        <w:trPr>
          <w:trHeight w:val="255"/>
        </w:trPr>
        <w:tc>
          <w:tcPr>
            <w:tcW w:w="3670" w:type="dxa"/>
            <w:shd w:val="clear" w:color="auto" w:fill="auto"/>
          </w:tcPr>
          <w:p w:rsidR="00775BAD" w:rsidRPr="00EA6851" w:rsidRDefault="00775BAD" w:rsidP="00775BAD">
            <w:pPr>
              <w:spacing w:after="0" w:line="276" w:lineRule="auto"/>
              <w:jc w:val="left"/>
              <w:rPr>
                <w:rFonts w:eastAsia="Times New Roman" w:cs="Times New Roman"/>
                <w:bCs/>
                <w:iCs/>
                <w:sz w:val="18"/>
                <w:szCs w:val="18"/>
              </w:rPr>
            </w:pPr>
            <w:r w:rsidRPr="00EA6851">
              <w:rPr>
                <w:rFonts w:eastAsia="Times New Roman" w:cs="Times New Roman"/>
                <w:bCs/>
                <w:iCs/>
                <w:sz w:val="18"/>
                <w:szCs w:val="18"/>
              </w:rPr>
              <w:t xml:space="preserve"> 3.1. четене </w:t>
            </w:r>
          </w:p>
        </w:tc>
        <w:tc>
          <w:tcPr>
            <w:tcW w:w="1045" w:type="dxa"/>
            <w:shd w:val="clear" w:color="auto" w:fill="F2F2F2" w:themeFill="background1" w:themeFillShade="F2"/>
          </w:tcPr>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w:t>
            </w:r>
          </w:p>
        </w:tc>
        <w:tc>
          <w:tcPr>
            <w:tcW w:w="1186" w:type="dxa"/>
            <w:shd w:val="clear" w:color="auto" w:fill="auto"/>
          </w:tcPr>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под 27,6</w:t>
            </w:r>
          </w:p>
        </w:tc>
        <w:tc>
          <w:tcPr>
            <w:tcW w:w="850" w:type="dxa"/>
            <w:shd w:val="clear" w:color="auto" w:fill="auto"/>
          </w:tcPr>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27,0</w:t>
            </w:r>
          </w:p>
        </w:tc>
        <w:tc>
          <w:tcPr>
            <w:tcW w:w="1276" w:type="dxa"/>
            <w:shd w:val="clear" w:color="auto" w:fill="auto"/>
          </w:tcPr>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27,0</w:t>
            </w:r>
          </w:p>
        </w:tc>
        <w:tc>
          <w:tcPr>
            <w:tcW w:w="1008" w:type="dxa"/>
          </w:tcPr>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27,0</w:t>
            </w:r>
          </w:p>
        </w:tc>
      </w:tr>
      <w:tr w:rsidR="00775BAD" w:rsidRPr="00EA6851" w:rsidTr="00D42874">
        <w:trPr>
          <w:trHeight w:val="255"/>
        </w:trPr>
        <w:tc>
          <w:tcPr>
            <w:tcW w:w="3670" w:type="dxa"/>
            <w:shd w:val="clear" w:color="auto" w:fill="auto"/>
          </w:tcPr>
          <w:p w:rsidR="00775BAD" w:rsidRPr="00EA6851" w:rsidRDefault="00775BAD" w:rsidP="00775BAD">
            <w:pPr>
              <w:spacing w:after="0" w:line="276" w:lineRule="auto"/>
              <w:jc w:val="left"/>
              <w:rPr>
                <w:rFonts w:eastAsia="Times New Roman" w:cs="Times New Roman"/>
                <w:bCs/>
                <w:iCs/>
                <w:sz w:val="18"/>
                <w:szCs w:val="18"/>
              </w:rPr>
            </w:pPr>
            <w:r w:rsidRPr="00EA6851">
              <w:rPr>
                <w:rFonts w:eastAsia="Times New Roman" w:cs="Times New Roman"/>
                <w:bCs/>
                <w:iCs/>
                <w:sz w:val="18"/>
                <w:szCs w:val="18"/>
              </w:rPr>
              <w:t xml:space="preserve"> 3.2. математика</w:t>
            </w:r>
            <w:r w:rsidRPr="00EA6851">
              <w:rPr>
                <w:rFonts w:cs="Times New Roman"/>
                <w:bCs/>
                <w:iCs/>
                <w:sz w:val="18"/>
                <w:szCs w:val="18"/>
              </w:rPr>
              <w:t xml:space="preserve"> </w:t>
            </w:r>
          </w:p>
        </w:tc>
        <w:tc>
          <w:tcPr>
            <w:tcW w:w="1045" w:type="dxa"/>
            <w:shd w:val="clear" w:color="auto" w:fill="F2F2F2" w:themeFill="background1" w:themeFillShade="F2"/>
          </w:tcPr>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w:t>
            </w:r>
          </w:p>
        </w:tc>
        <w:tc>
          <w:tcPr>
            <w:tcW w:w="1186" w:type="dxa"/>
            <w:shd w:val="clear" w:color="auto" w:fill="auto"/>
          </w:tcPr>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под З4,4</w:t>
            </w:r>
          </w:p>
        </w:tc>
        <w:tc>
          <w:tcPr>
            <w:tcW w:w="850" w:type="dxa"/>
            <w:shd w:val="clear" w:color="auto" w:fill="auto"/>
          </w:tcPr>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З4,0</w:t>
            </w:r>
          </w:p>
        </w:tc>
        <w:tc>
          <w:tcPr>
            <w:tcW w:w="1276" w:type="dxa"/>
            <w:shd w:val="clear" w:color="auto" w:fill="auto"/>
          </w:tcPr>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34,0</w:t>
            </w:r>
          </w:p>
        </w:tc>
        <w:tc>
          <w:tcPr>
            <w:tcW w:w="1008" w:type="dxa"/>
          </w:tcPr>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34,0</w:t>
            </w:r>
          </w:p>
        </w:tc>
      </w:tr>
      <w:tr w:rsidR="00775BAD" w:rsidRPr="00EA6851" w:rsidTr="00D42874">
        <w:trPr>
          <w:trHeight w:val="337"/>
        </w:trPr>
        <w:tc>
          <w:tcPr>
            <w:tcW w:w="3670" w:type="dxa"/>
            <w:shd w:val="clear" w:color="auto" w:fill="auto"/>
          </w:tcPr>
          <w:p w:rsidR="00775BAD" w:rsidRPr="00EA6851" w:rsidRDefault="00775BAD" w:rsidP="00775BAD">
            <w:pPr>
              <w:spacing w:after="0" w:line="276" w:lineRule="auto"/>
              <w:jc w:val="left"/>
              <w:rPr>
                <w:rFonts w:eastAsia="Times New Roman" w:cs="Times New Roman"/>
                <w:bCs/>
                <w:iCs/>
                <w:sz w:val="18"/>
                <w:szCs w:val="18"/>
              </w:rPr>
            </w:pPr>
            <w:r w:rsidRPr="00EA6851">
              <w:rPr>
                <w:rFonts w:eastAsia="Times New Roman" w:cs="Times New Roman"/>
                <w:bCs/>
                <w:iCs/>
                <w:sz w:val="18"/>
                <w:szCs w:val="18"/>
              </w:rPr>
              <w:t>3.3.  природни науки</w:t>
            </w:r>
            <w:r w:rsidRPr="00EA6851">
              <w:rPr>
                <w:rFonts w:cs="Times New Roman"/>
                <w:bCs/>
                <w:iCs/>
                <w:sz w:val="18"/>
                <w:szCs w:val="18"/>
              </w:rPr>
              <w:t xml:space="preserve"> </w:t>
            </w:r>
          </w:p>
        </w:tc>
        <w:tc>
          <w:tcPr>
            <w:tcW w:w="1045" w:type="dxa"/>
            <w:shd w:val="clear" w:color="auto" w:fill="F2F2F2" w:themeFill="background1" w:themeFillShade="F2"/>
          </w:tcPr>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w:t>
            </w:r>
          </w:p>
        </w:tc>
        <w:tc>
          <w:tcPr>
            <w:tcW w:w="1186" w:type="dxa"/>
            <w:shd w:val="clear" w:color="auto" w:fill="auto"/>
          </w:tcPr>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под 27,6</w:t>
            </w:r>
          </w:p>
        </w:tc>
        <w:tc>
          <w:tcPr>
            <w:tcW w:w="850" w:type="dxa"/>
            <w:shd w:val="clear" w:color="auto" w:fill="auto"/>
          </w:tcPr>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27,0</w:t>
            </w:r>
          </w:p>
        </w:tc>
        <w:tc>
          <w:tcPr>
            <w:tcW w:w="1276" w:type="dxa"/>
            <w:shd w:val="clear" w:color="auto" w:fill="auto"/>
          </w:tcPr>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27,0</w:t>
            </w:r>
          </w:p>
        </w:tc>
        <w:tc>
          <w:tcPr>
            <w:tcW w:w="1008" w:type="dxa"/>
          </w:tcPr>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27,0</w:t>
            </w:r>
          </w:p>
        </w:tc>
      </w:tr>
      <w:tr w:rsidR="00775BAD" w:rsidRPr="00EA6851" w:rsidTr="00D42874">
        <w:trPr>
          <w:trHeight w:val="255"/>
        </w:trPr>
        <w:tc>
          <w:tcPr>
            <w:tcW w:w="3670" w:type="dxa"/>
            <w:shd w:val="clear" w:color="auto" w:fill="auto"/>
          </w:tcPr>
          <w:p w:rsidR="00775BAD" w:rsidRPr="00EA6851" w:rsidRDefault="00775BAD" w:rsidP="00775BAD">
            <w:pPr>
              <w:spacing w:after="0" w:line="276" w:lineRule="auto"/>
              <w:jc w:val="left"/>
              <w:rPr>
                <w:rFonts w:eastAsia="Times New Roman" w:cs="Times New Roman"/>
                <w:bCs/>
                <w:iCs/>
                <w:sz w:val="18"/>
                <w:szCs w:val="18"/>
              </w:rPr>
            </w:pPr>
            <w:r w:rsidRPr="00EA6851">
              <w:rPr>
                <w:rFonts w:eastAsia="Times New Roman" w:cs="Times New Roman"/>
                <w:bCs/>
                <w:iCs/>
                <w:sz w:val="18"/>
                <w:szCs w:val="18"/>
              </w:rPr>
              <w:t>4. Население (25-64 г.), участващо в образование и обучение</w:t>
            </w:r>
          </w:p>
        </w:tc>
        <w:tc>
          <w:tcPr>
            <w:tcW w:w="1045" w:type="dxa"/>
            <w:shd w:val="clear" w:color="auto" w:fill="F2F2F2" w:themeFill="background1" w:themeFillShade="F2"/>
          </w:tcPr>
          <w:p w:rsidR="00775BAD" w:rsidRPr="00EA6851" w:rsidRDefault="00775BAD" w:rsidP="00CE4003">
            <w:pPr>
              <w:spacing w:after="0" w:line="276" w:lineRule="auto"/>
              <w:jc w:val="center"/>
              <w:rPr>
                <w:rFonts w:eastAsia="Times New Roman" w:cs="Times New Roman"/>
                <w:bCs/>
                <w:iCs/>
                <w:sz w:val="18"/>
                <w:szCs w:val="18"/>
              </w:rPr>
            </w:pPr>
          </w:p>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w:t>
            </w:r>
          </w:p>
        </w:tc>
        <w:tc>
          <w:tcPr>
            <w:tcW w:w="1186" w:type="dxa"/>
            <w:shd w:val="clear" w:color="auto" w:fill="auto"/>
          </w:tcPr>
          <w:p w:rsidR="00775BAD" w:rsidRPr="00EA6851" w:rsidRDefault="00775BAD" w:rsidP="00CE4003">
            <w:pPr>
              <w:spacing w:after="0" w:line="276" w:lineRule="auto"/>
              <w:jc w:val="center"/>
              <w:rPr>
                <w:rFonts w:eastAsia="Times New Roman" w:cs="Times New Roman"/>
                <w:bCs/>
                <w:iCs/>
                <w:sz w:val="18"/>
                <w:szCs w:val="18"/>
              </w:rPr>
            </w:pPr>
          </w:p>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над 5,4</w:t>
            </w:r>
          </w:p>
          <w:p w:rsidR="00775BAD" w:rsidRPr="00EA6851" w:rsidRDefault="00775BAD" w:rsidP="00CE4003">
            <w:pPr>
              <w:spacing w:after="0" w:line="276" w:lineRule="auto"/>
              <w:jc w:val="center"/>
              <w:rPr>
                <w:rFonts w:eastAsia="Times New Roman" w:cs="Times New Roman"/>
                <w:bCs/>
                <w:iCs/>
                <w:sz w:val="18"/>
                <w:szCs w:val="18"/>
              </w:rPr>
            </w:pPr>
          </w:p>
        </w:tc>
        <w:tc>
          <w:tcPr>
            <w:tcW w:w="850" w:type="dxa"/>
            <w:shd w:val="clear" w:color="auto" w:fill="auto"/>
          </w:tcPr>
          <w:p w:rsidR="00775BAD" w:rsidRPr="00EA6851" w:rsidRDefault="00775BAD" w:rsidP="00CE4003">
            <w:pPr>
              <w:spacing w:after="0" w:line="276" w:lineRule="auto"/>
              <w:jc w:val="center"/>
              <w:rPr>
                <w:rFonts w:eastAsia="Times New Roman" w:cs="Times New Roman"/>
                <w:bCs/>
                <w:iCs/>
                <w:sz w:val="18"/>
                <w:szCs w:val="18"/>
              </w:rPr>
            </w:pPr>
          </w:p>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над 5,4</w:t>
            </w:r>
          </w:p>
          <w:p w:rsidR="00775BAD" w:rsidRPr="00EA6851" w:rsidRDefault="00775BAD" w:rsidP="00CE4003">
            <w:pPr>
              <w:spacing w:after="0" w:line="276" w:lineRule="auto"/>
              <w:jc w:val="center"/>
              <w:rPr>
                <w:rFonts w:eastAsia="Times New Roman" w:cs="Times New Roman"/>
                <w:bCs/>
                <w:iCs/>
                <w:sz w:val="18"/>
                <w:szCs w:val="18"/>
              </w:rPr>
            </w:pPr>
          </w:p>
        </w:tc>
        <w:tc>
          <w:tcPr>
            <w:tcW w:w="1276" w:type="dxa"/>
            <w:shd w:val="clear" w:color="auto" w:fill="auto"/>
          </w:tcPr>
          <w:p w:rsidR="00775BAD" w:rsidRPr="00EA6851" w:rsidRDefault="00775BAD" w:rsidP="00CE4003">
            <w:pPr>
              <w:spacing w:after="0" w:line="276" w:lineRule="auto"/>
              <w:jc w:val="center"/>
              <w:rPr>
                <w:rFonts w:eastAsia="Times New Roman" w:cs="Times New Roman"/>
                <w:bCs/>
                <w:iCs/>
                <w:sz w:val="18"/>
                <w:szCs w:val="18"/>
              </w:rPr>
            </w:pPr>
          </w:p>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над 5,4</w:t>
            </w:r>
          </w:p>
        </w:tc>
        <w:tc>
          <w:tcPr>
            <w:tcW w:w="1008" w:type="dxa"/>
          </w:tcPr>
          <w:p w:rsidR="00775BAD" w:rsidRPr="00EA6851" w:rsidRDefault="00775BAD" w:rsidP="00CE4003">
            <w:pPr>
              <w:spacing w:after="0" w:line="276" w:lineRule="auto"/>
              <w:jc w:val="center"/>
              <w:rPr>
                <w:rFonts w:eastAsia="Times New Roman" w:cs="Times New Roman"/>
                <w:bCs/>
                <w:iCs/>
                <w:sz w:val="18"/>
                <w:szCs w:val="18"/>
              </w:rPr>
            </w:pPr>
          </w:p>
          <w:p w:rsidR="00775BAD" w:rsidRPr="00EA6851" w:rsidRDefault="00775BAD" w:rsidP="00CE4003">
            <w:pPr>
              <w:spacing w:after="0" w:line="276" w:lineRule="auto"/>
              <w:jc w:val="center"/>
              <w:rPr>
                <w:rFonts w:eastAsia="Times New Roman" w:cs="Times New Roman"/>
                <w:bCs/>
                <w:iCs/>
                <w:sz w:val="18"/>
                <w:szCs w:val="18"/>
              </w:rPr>
            </w:pPr>
            <w:r w:rsidRPr="00EA6851">
              <w:rPr>
                <w:rFonts w:eastAsia="Times New Roman" w:cs="Times New Roman"/>
                <w:bCs/>
                <w:iCs/>
                <w:sz w:val="18"/>
                <w:szCs w:val="18"/>
              </w:rPr>
              <w:t>над 5,4</w:t>
            </w:r>
          </w:p>
        </w:tc>
      </w:tr>
    </w:tbl>
    <w:p w:rsidR="00775BAD" w:rsidRPr="00EA6851" w:rsidRDefault="00775BAD" w:rsidP="00775BAD">
      <w:pPr>
        <w:spacing w:after="120"/>
        <w:rPr>
          <w:rFonts w:eastAsia="Times New Roman" w:cs="Times New Roman"/>
          <w:i/>
          <w:sz w:val="18"/>
          <w:szCs w:val="18"/>
        </w:rPr>
      </w:pPr>
      <w:r w:rsidRPr="00EA6851">
        <w:rPr>
          <w:rFonts w:eastAsia="Times New Roman" w:cs="Times New Roman"/>
          <w:i/>
          <w:sz w:val="18"/>
          <w:szCs w:val="18"/>
        </w:rPr>
        <w:t>*Целевите стойности са съобразени с РМС № 459/2023 г. и с НПР България 2030.</w:t>
      </w:r>
    </w:p>
    <w:p w:rsidR="00A3729C" w:rsidRPr="00EA6851" w:rsidRDefault="00A3729C" w:rsidP="00775BAD">
      <w:pPr>
        <w:rPr>
          <w:rFonts w:eastAsia="Times New Roman" w:cs="Times New Roman"/>
          <w:szCs w:val="24"/>
        </w:rPr>
      </w:pPr>
    </w:p>
    <w:p w:rsidR="00775BAD" w:rsidRPr="00EA6851" w:rsidRDefault="00775BAD" w:rsidP="00775BAD">
      <w:pPr>
        <w:rPr>
          <w:rFonts w:eastAsia="Times New Roman" w:cs="Times New Roman"/>
          <w:szCs w:val="24"/>
        </w:rPr>
      </w:pPr>
      <w:r w:rsidRPr="00EA6851">
        <w:rPr>
          <w:rFonts w:eastAsia="Times New Roman" w:cs="Times New Roman"/>
          <w:szCs w:val="24"/>
        </w:rPr>
        <w:t>Предоставянето на средства за безплатен транспорт на деца и ученици е свързано с изпълнението на държавната политика за осигуряване на равен достъп до предучилищна подготовка и училищно образование и се извършва на основание чл. 283, ал. 2 от Закона за предучилищното и училищното образование.</w:t>
      </w:r>
    </w:p>
    <w:p w:rsidR="00775BAD" w:rsidRPr="00EA6851" w:rsidRDefault="00775BAD" w:rsidP="00775BAD">
      <w:pPr>
        <w:rPr>
          <w:rFonts w:eastAsia="Times New Roman" w:cs="Times New Roman"/>
          <w:szCs w:val="24"/>
        </w:rPr>
      </w:pPr>
      <w:r w:rsidRPr="00EA6851">
        <w:rPr>
          <w:rFonts w:eastAsia="Times New Roman" w:cs="Times New Roman"/>
          <w:szCs w:val="24"/>
        </w:rPr>
        <w:t xml:space="preserve">Във връзка с очакваното нарастване на броя на безплатните превози на децата в задължителна предучилищна възраст и за учениците от населени места, в които няма детска градина или училище, до най-близката детска градина или училище и обратно, вследствие на оптимизиране на училищната мрежа и свързаното с това закриване на училища и детски градини в слабонаселени райони, се предвижда увеличение на размера на средствата за транспорт на деца и ученици спрямо </w:t>
      </w:r>
      <w:r w:rsidR="00000E19" w:rsidRPr="00EA6851">
        <w:rPr>
          <w:rFonts w:eastAsia="Times New Roman" w:cs="Times New Roman"/>
          <w:szCs w:val="24"/>
        </w:rPr>
        <w:t xml:space="preserve">2023 г. на 69,3 млн. лв. </w:t>
      </w:r>
      <w:r w:rsidR="00A3729C" w:rsidRPr="00EA6851">
        <w:rPr>
          <w:rFonts w:eastAsia="Times New Roman" w:cs="Times New Roman"/>
          <w:szCs w:val="24"/>
        </w:rPr>
        <w:t xml:space="preserve">годишно </w:t>
      </w:r>
      <w:r w:rsidR="00000E19" w:rsidRPr="00EA6851">
        <w:rPr>
          <w:rFonts w:eastAsia="Times New Roman" w:cs="Times New Roman"/>
          <w:szCs w:val="24"/>
        </w:rPr>
        <w:t xml:space="preserve">за </w:t>
      </w:r>
      <w:r w:rsidR="00A3729C" w:rsidRPr="00EA6851">
        <w:rPr>
          <w:rFonts w:eastAsia="Times New Roman" w:cs="Times New Roman"/>
          <w:szCs w:val="24"/>
        </w:rPr>
        <w:t>периода 2024-2026 г.</w:t>
      </w:r>
    </w:p>
    <w:p w:rsidR="00000E19" w:rsidRPr="00EA6851" w:rsidRDefault="00000E19" w:rsidP="00000E19">
      <w:pPr>
        <w:rPr>
          <w:rFonts w:eastAsia="Times New Roman" w:cs="Times New Roman"/>
          <w:bCs/>
          <w:szCs w:val="24"/>
        </w:rPr>
      </w:pPr>
      <w:r w:rsidRPr="00EA6851">
        <w:rPr>
          <w:rFonts w:eastAsia="Times New Roman" w:cs="Times New Roman"/>
          <w:bCs/>
          <w:szCs w:val="24"/>
        </w:rPr>
        <w:t xml:space="preserve">В областта на предучилищното и училищното образование за 2024 г. по </w:t>
      </w:r>
      <w:r w:rsidRPr="000E1211">
        <w:rPr>
          <w:rFonts w:eastAsia="Times New Roman" w:cs="Times New Roman"/>
          <w:bCs/>
          <w:szCs w:val="24"/>
        </w:rPr>
        <w:t>общинските бюджети</w:t>
      </w:r>
      <w:r w:rsidRPr="00EA6851">
        <w:rPr>
          <w:rFonts w:eastAsia="Times New Roman" w:cs="Times New Roman"/>
          <w:bCs/>
          <w:szCs w:val="24"/>
        </w:rPr>
        <w:t xml:space="preserve"> </w:t>
      </w:r>
      <w:r w:rsidRPr="000E1211">
        <w:rPr>
          <w:rFonts w:eastAsia="Times New Roman" w:cs="Times New Roman"/>
          <w:bCs/>
          <w:szCs w:val="24"/>
        </w:rPr>
        <w:t xml:space="preserve">за </w:t>
      </w:r>
      <w:r w:rsidRPr="00EA6851">
        <w:rPr>
          <w:rFonts w:eastAsia="Times New Roman" w:cs="Times New Roman"/>
          <w:bCs/>
          <w:i/>
          <w:szCs w:val="24"/>
        </w:rPr>
        <w:t>делегираните от държавата дейности</w:t>
      </w:r>
      <w:r w:rsidRPr="00EA6851">
        <w:rPr>
          <w:rFonts w:eastAsia="Times New Roman" w:cs="Times New Roman"/>
          <w:bCs/>
          <w:szCs w:val="24"/>
        </w:rPr>
        <w:t xml:space="preserve"> са разчетени допълнителни средства в размер на 512,8 млн. лв. във връзка с осигуряване на провежданите политики, в т.ч. увеличението на размера на минималната работна заплата от 1 януари 2024 г. от 780 лв. на 933 лв. и за 2025 </w:t>
      </w:r>
      <w:r w:rsidR="002B1C4C" w:rsidRPr="00EA6851">
        <w:rPr>
          <w:rFonts w:eastAsia="Times New Roman" w:cs="Times New Roman"/>
          <w:bCs/>
          <w:szCs w:val="24"/>
        </w:rPr>
        <w:t xml:space="preserve">г. </w:t>
      </w:r>
      <w:r w:rsidRPr="00EA6851">
        <w:rPr>
          <w:rFonts w:eastAsia="Times New Roman" w:cs="Times New Roman"/>
          <w:bCs/>
          <w:szCs w:val="24"/>
        </w:rPr>
        <w:t>и 2026 г. разчетена индикативно, в съответствие с чл. 244 от Кодекса на труда, както и средства за увеличение на разходите за храна и издръжка на децата и учениците в образователни институции. Разчетени са средства за осигуряване на недостига от промяна на натуралните показатели и ефекта от увеличението на стандарти за финансиране от 01.10.2023 г., в целогодишен размер. Осигурени са също допълнителни средства за увеличение на възнагражденията на педагогическите специалисти в общинските институции за достигане на средна работна заплата не по-малко от 125 на сто от средната работна заплата за страната и свързания с това ръст на осигурителните вноски за сметка на работодателя.</w:t>
      </w:r>
    </w:p>
    <w:p w:rsidR="000E1211" w:rsidRDefault="000E1211" w:rsidP="00A3729C">
      <w:pPr>
        <w:rPr>
          <w:rFonts w:eastAsia="Times New Roman" w:cs="Times New Roman"/>
          <w:szCs w:val="24"/>
        </w:rPr>
      </w:pPr>
      <w:r w:rsidRPr="003E754F">
        <w:rPr>
          <w:rFonts w:eastAsia="Times New Roman" w:cs="Times New Roman"/>
          <w:szCs w:val="24"/>
        </w:rPr>
        <w:t xml:space="preserve">За осигуряване на политиките за устойчиво развитие и разширяване на достъпа до </w:t>
      </w:r>
      <w:r w:rsidRPr="00EB28A6">
        <w:rPr>
          <w:rFonts w:eastAsia="Times New Roman" w:cs="Times New Roman"/>
          <w:b/>
          <w:color w:val="852010" w:themeColor="accent3" w:themeShade="BF"/>
          <w:szCs w:val="24"/>
        </w:rPr>
        <w:t>висше образование и развитие на науката</w:t>
      </w:r>
      <w:r w:rsidRPr="00EB28A6">
        <w:rPr>
          <w:rFonts w:eastAsia="Times New Roman" w:cs="Times New Roman"/>
          <w:szCs w:val="24"/>
        </w:rPr>
        <w:t xml:space="preserve"> </w:t>
      </w:r>
      <w:r w:rsidRPr="00CC26DD">
        <w:rPr>
          <w:rFonts w:eastAsia="Times New Roman" w:cs="Times New Roman"/>
          <w:szCs w:val="24"/>
        </w:rPr>
        <w:t>за 2024</w:t>
      </w:r>
      <w:r w:rsidRPr="003E754F">
        <w:rPr>
          <w:rFonts w:eastAsia="Times New Roman" w:cs="Times New Roman"/>
          <w:szCs w:val="24"/>
        </w:rPr>
        <w:t xml:space="preserve"> г. са осигурени допълнителни средства, разпределени както следва:</w:t>
      </w:r>
    </w:p>
    <w:p w:rsidR="00A3729C" w:rsidRPr="00EA6851" w:rsidRDefault="00A3729C" w:rsidP="00A3729C">
      <w:pPr>
        <w:numPr>
          <w:ilvl w:val="0"/>
          <w:numId w:val="16"/>
        </w:numPr>
        <w:rPr>
          <w:rFonts w:eastAsia="Times New Roman" w:cs="Times New Roman"/>
          <w:szCs w:val="24"/>
        </w:rPr>
      </w:pPr>
      <w:r w:rsidRPr="00EA6851">
        <w:rPr>
          <w:rFonts w:eastAsia="Times New Roman" w:cs="Times New Roman"/>
          <w:szCs w:val="24"/>
        </w:rPr>
        <w:t xml:space="preserve">38,4 млн. лв. за осигуряване увеличението на възнагражденията на академичния състав от 2023 г. в целогодишен размер; </w:t>
      </w:r>
    </w:p>
    <w:p w:rsidR="00A3729C" w:rsidRPr="00EA6851" w:rsidRDefault="00A3729C" w:rsidP="00A3729C">
      <w:pPr>
        <w:numPr>
          <w:ilvl w:val="0"/>
          <w:numId w:val="15"/>
        </w:numPr>
        <w:rPr>
          <w:rFonts w:eastAsia="Times New Roman" w:cs="Times New Roman"/>
          <w:b/>
          <w:szCs w:val="24"/>
        </w:rPr>
      </w:pPr>
      <w:r w:rsidRPr="00EA6851">
        <w:rPr>
          <w:rFonts w:eastAsia="Times New Roman" w:cs="Times New Roman"/>
          <w:szCs w:val="24"/>
        </w:rPr>
        <w:t>6,0 млн. лв. за осигуряване на актуализирания размер на стипендиите на студентите от 1 юли 2023 г.;</w:t>
      </w:r>
    </w:p>
    <w:p w:rsidR="00A3729C" w:rsidRPr="00CC26DD" w:rsidRDefault="00A3729C" w:rsidP="00A3729C">
      <w:pPr>
        <w:numPr>
          <w:ilvl w:val="0"/>
          <w:numId w:val="15"/>
        </w:numPr>
        <w:rPr>
          <w:rFonts w:eastAsia="Times New Roman" w:cs="Times New Roman"/>
          <w:szCs w:val="24"/>
        </w:rPr>
      </w:pPr>
      <w:r w:rsidRPr="00EA6851">
        <w:rPr>
          <w:rFonts w:eastAsia="Times New Roman" w:cs="Times New Roman"/>
          <w:szCs w:val="24"/>
        </w:rPr>
        <w:t>4,5 млн. лв. за увеличение на размер</w:t>
      </w:r>
      <w:r w:rsidR="0013764E" w:rsidRPr="00EA6851">
        <w:rPr>
          <w:rFonts w:eastAsia="Times New Roman" w:cs="Times New Roman"/>
          <w:szCs w:val="24"/>
        </w:rPr>
        <w:t>а</w:t>
      </w:r>
      <w:r w:rsidRPr="00EA6851">
        <w:rPr>
          <w:rFonts w:eastAsia="Times New Roman" w:cs="Times New Roman"/>
          <w:szCs w:val="24"/>
        </w:rPr>
        <w:t xml:space="preserve"> на средствата за храноден и леглоден за „Студентски столове и общежития“ АД и за студентските столове и общежития към държавните висши училища;</w:t>
      </w:r>
    </w:p>
    <w:p w:rsidR="00CC26DD" w:rsidRPr="00CC26DD" w:rsidRDefault="00CC26DD" w:rsidP="00CC26DD">
      <w:pPr>
        <w:numPr>
          <w:ilvl w:val="0"/>
          <w:numId w:val="15"/>
        </w:numPr>
        <w:rPr>
          <w:rFonts w:eastAsia="Times New Roman" w:cs="Times New Roman"/>
          <w:szCs w:val="24"/>
        </w:rPr>
      </w:pPr>
      <w:r w:rsidRPr="00CC26DD">
        <w:rPr>
          <w:rFonts w:eastAsia="Times New Roman" w:cs="Times New Roman"/>
          <w:szCs w:val="24"/>
        </w:rPr>
        <w:t>50,0 млн. лв. индикативен бюджет за саниране, ремонт и обзавеждане на студентски общежития, като за периода 2024-2026 г. общият размер на средствата по програмата е 100,0 млн. лв.;</w:t>
      </w:r>
    </w:p>
    <w:p w:rsidR="00CC26DD" w:rsidRPr="00CC26DD" w:rsidRDefault="00CC26DD" w:rsidP="00CC26DD">
      <w:pPr>
        <w:numPr>
          <w:ilvl w:val="0"/>
          <w:numId w:val="15"/>
        </w:numPr>
        <w:rPr>
          <w:rFonts w:eastAsia="Times New Roman" w:cs="Times New Roman"/>
          <w:szCs w:val="24"/>
        </w:rPr>
      </w:pPr>
      <w:r w:rsidRPr="00CC26DD">
        <w:rPr>
          <w:rFonts w:eastAsia="Times New Roman" w:cs="Times New Roman"/>
          <w:szCs w:val="24"/>
        </w:rPr>
        <w:t xml:space="preserve">100,0 млн. лв. индикативен бюджет за финансиране изграждането на изчислителен </w:t>
      </w:r>
      <w:r w:rsidR="00B74368">
        <w:rPr>
          <w:rFonts w:eastAsia="Times New Roman" w:cs="Times New Roman"/>
          <w:szCs w:val="24"/>
          <w:lang w:eastAsia="zh-CN"/>
        </w:rPr>
        <w:t>център за изкуствен интелект</w:t>
      </w:r>
      <w:r w:rsidRPr="00CC26DD">
        <w:rPr>
          <w:rFonts w:eastAsia="Times New Roman" w:cs="Times New Roman"/>
          <w:szCs w:val="24"/>
        </w:rPr>
        <w:t xml:space="preserve"> от Института за научни изследвания в областта на компютърните науки към Софийски университет „Св. Климент Охридски“ (INSAIT), </w:t>
      </w:r>
      <w:r w:rsidR="00365D40">
        <w:rPr>
          <w:rFonts w:eastAsia="Times New Roman" w:cs="Times New Roman"/>
          <w:szCs w:val="24"/>
        </w:rPr>
        <w:t xml:space="preserve">като </w:t>
      </w:r>
      <w:r w:rsidRPr="00CC26DD">
        <w:rPr>
          <w:rFonts w:eastAsia="Times New Roman" w:cs="Times New Roman"/>
          <w:szCs w:val="24"/>
        </w:rPr>
        <w:t>средства в същия размер са предвидени и за 2025 г. и 2026 г.</w:t>
      </w:r>
    </w:p>
    <w:p w:rsidR="00A3729C" w:rsidRPr="00EA6851" w:rsidRDefault="00724E76" w:rsidP="00030753">
      <w:pPr>
        <w:rPr>
          <w:rFonts w:eastAsia="Times New Roman" w:cs="Times New Roman"/>
          <w:szCs w:val="24"/>
        </w:rPr>
      </w:pPr>
      <w:r w:rsidRPr="00724E76">
        <w:rPr>
          <w:rFonts w:eastAsia="Times New Roman" w:cs="Times New Roman"/>
          <w:szCs w:val="24"/>
        </w:rPr>
        <w:t>За увеличаване на възнагражденията на академичния състав са предвидени 39,0 млн. лв. за държавните висши училища, 8,0 млн. лв. за Българската академия на науките и 3,0 млн. лв. за Селскостопанската академия в рамките на предвидения общи ресурс за преодоляване на диспропорции във възнагражденията на персонала в бюджетните организации, включително и за увеличаване на възнагражденията на персонала за 2024 г. по чл. 1, ал. 5 от законопроекта.</w:t>
      </w:r>
    </w:p>
    <w:p w:rsidR="00775BAD" w:rsidRPr="00EA6851" w:rsidRDefault="000E564D" w:rsidP="00030753">
      <w:pPr>
        <w:rPr>
          <w:rFonts w:cs="Times New Roman"/>
          <w:b/>
          <w:sz w:val="20"/>
          <w:szCs w:val="20"/>
        </w:rPr>
      </w:pPr>
      <w:r w:rsidRPr="00EA6851">
        <w:rPr>
          <w:rFonts w:cs="Times New Roman"/>
          <w:b/>
          <w:sz w:val="20"/>
          <w:szCs w:val="20"/>
        </w:rPr>
        <w:t>КЛЮЧОВИ ИНДИКАТОРИ ЗА ИЗПЪЛНЕНИЕ И ЦЕЛЕВИ СТОЙНОСТИ</w:t>
      </w:r>
    </w:p>
    <w:tbl>
      <w:tblPr>
        <w:tblW w:w="9214" w:type="dxa"/>
        <w:jc w:val="center"/>
        <w:tblBorders>
          <w:top w:val="single" w:sz="4" w:space="0" w:color="auto"/>
          <w:bottom w:val="single" w:sz="4" w:space="0" w:color="auto"/>
        </w:tblBorders>
        <w:shd w:val="clear" w:color="auto" w:fill="FFFFFF" w:themeFill="background1"/>
        <w:tblCellMar>
          <w:left w:w="70" w:type="dxa"/>
          <w:right w:w="70" w:type="dxa"/>
        </w:tblCellMar>
        <w:tblLook w:val="0000" w:firstRow="0" w:lastRow="0" w:firstColumn="0" w:lastColumn="0" w:noHBand="0" w:noVBand="0"/>
      </w:tblPr>
      <w:tblGrid>
        <w:gridCol w:w="3429"/>
        <w:gridCol w:w="968"/>
        <w:gridCol w:w="158"/>
        <w:gridCol w:w="1295"/>
        <w:gridCol w:w="1124"/>
        <w:gridCol w:w="1216"/>
        <w:gridCol w:w="1024"/>
      </w:tblGrid>
      <w:tr w:rsidR="00A3729C" w:rsidRPr="00EA6851" w:rsidTr="00EF6DA1">
        <w:trPr>
          <w:trHeight w:val="255"/>
          <w:tblHeader/>
          <w:jc w:val="center"/>
        </w:trPr>
        <w:tc>
          <w:tcPr>
            <w:tcW w:w="3429" w:type="dxa"/>
            <w:tcBorders>
              <w:top w:val="single" w:sz="4" w:space="0" w:color="auto"/>
              <w:bottom w:val="nil"/>
            </w:tcBorders>
            <w:shd w:val="clear" w:color="auto" w:fill="FFFFFF" w:themeFill="background1"/>
            <w:vAlign w:val="center"/>
          </w:tcPr>
          <w:p w:rsidR="00A3729C" w:rsidRPr="00EA6851" w:rsidRDefault="00A3729C" w:rsidP="00EF6DA1">
            <w:pPr>
              <w:spacing w:after="120"/>
              <w:jc w:val="center"/>
              <w:rPr>
                <w:rFonts w:eastAsia="Times New Roman" w:cs="Times New Roman"/>
                <w:b/>
                <w:i/>
                <w:iCs/>
                <w:sz w:val="18"/>
                <w:szCs w:val="18"/>
              </w:rPr>
            </w:pPr>
            <w:r w:rsidRPr="00EA6851">
              <w:rPr>
                <w:rFonts w:eastAsia="Times New Roman" w:cs="Times New Roman"/>
                <w:b/>
                <w:i/>
                <w:sz w:val="18"/>
                <w:szCs w:val="18"/>
              </w:rPr>
              <w:t>Политика в областта на равен достъп до качествено висше образование и развитие на научния потенциал</w:t>
            </w:r>
          </w:p>
        </w:tc>
        <w:tc>
          <w:tcPr>
            <w:tcW w:w="968" w:type="dxa"/>
            <w:vMerge w:val="restart"/>
            <w:tcBorders>
              <w:top w:val="single" w:sz="4" w:space="0" w:color="auto"/>
              <w:bottom w:val="nil"/>
            </w:tcBorders>
            <w:shd w:val="clear" w:color="auto" w:fill="F2F2F2" w:themeFill="background1" w:themeFillShade="F2"/>
          </w:tcPr>
          <w:p w:rsidR="00A3729C" w:rsidRPr="00EA6851" w:rsidRDefault="00A3729C" w:rsidP="00EF6DA1">
            <w:pPr>
              <w:spacing w:after="120"/>
              <w:rPr>
                <w:rFonts w:eastAsia="Times New Roman" w:cs="Times New Roman"/>
                <w:sz w:val="18"/>
                <w:szCs w:val="18"/>
              </w:rPr>
            </w:pPr>
            <w:r w:rsidRPr="00EA6851">
              <w:rPr>
                <w:rFonts w:eastAsia="Times New Roman" w:cs="Times New Roman"/>
                <w:sz w:val="18"/>
                <w:szCs w:val="18"/>
              </w:rPr>
              <w:t> </w:t>
            </w:r>
          </w:p>
          <w:p w:rsidR="00A3729C" w:rsidRPr="00EA6851" w:rsidRDefault="00A3729C" w:rsidP="00EF6DA1">
            <w:pPr>
              <w:spacing w:after="120"/>
              <w:rPr>
                <w:rFonts w:eastAsia="Times New Roman" w:cs="Times New Roman"/>
                <w:sz w:val="18"/>
                <w:szCs w:val="18"/>
              </w:rPr>
            </w:pPr>
          </w:p>
          <w:p w:rsidR="00A3729C" w:rsidRPr="00EA6851" w:rsidRDefault="00A3729C" w:rsidP="00EF6DA1">
            <w:pPr>
              <w:spacing w:after="120"/>
              <w:jc w:val="center"/>
              <w:rPr>
                <w:rFonts w:eastAsia="Times New Roman" w:cs="Times New Roman"/>
                <w:sz w:val="18"/>
                <w:szCs w:val="18"/>
              </w:rPr>
            </w:pPr>
            <w:r w:rsidRPr="00EA6851">
              <w:rPr>
                <w:rFonts w:eastAsia="Times New Roman" w:cs="Times New Roman"/>
                <w:b/>
                <w:bCs/>
                <w:sz w:val="18"/>
                <w:szCs w:val="18"/>
              </w:rPr>
              <w:t>Мерна единица</w:t>
            </w:r>
          </w:p>
        </w:tc>
        <w:tc>
          <w:tcPr>
            <w:tcW w:w="158" w:type="dxa"/>
            <w:tcBorders>
              <w:top w:val="single" w:sz="4" w:space="0" w:color="auto"/>
              <w:bottom w:val="single" w:sz="4" w:space="0" w:color="auto"/>
            </w:tcBorders>
            <w:shd w:val="clear" w:color="auto" w:fill="FFFFFF" w:themeFill="background1"/>
          </w:tcPr>
          <w:p w:rsidR="00A3729C" w:rsidRPr="00EA6851" w:rsidRDefault="00A3729C" w:rsidP="00EF6DA1">
            <w:pPr>
              <w:spacing w:after="120"/>
              <w:ind w:left="162" w:hanging="162"/>
              <w:jc w:val="center"/>
              <w:rPr>
                <w:rFonts w:eastAsia="Times New Roman" w:cs="Times New Roman"/>
                <w:b/>
                <w:bCs/>
                <w:sz w:val="18"/>
                <w:szCs w:val="18"/>
              </w:rPr>
            </w:pPr>
          </w:p>
        </w:tc>
        <w:tc>
          <w:tcPr>
            <w:tcW w:w="3635" w:type="dxa"/>
            <w:gridSpan w:val="3"/>
            <w:tcBorders>
              <w:top w:val="single" w:sz="4" w:space="0" w:color="auto"/>
              <w:bottom w:val="single" w:sz="4" w:space="0" w:color="auto"/>
            </w:tcBorders>
            <w:shd w:val="clear" w:color="auto" w:fill="FFFFFF" w:themeFill="background1"/>
            <w:vAlign w:val="center"/>
          </w:tcPr>
          <w:p w:rsidR="00A3729C" w:rsidRPr="00EA6851" w:rsidRDefault="00A3729C" w:rsidP="00EF6DA1">
            <w:pPr>
              <w:spacing w:after="120"/>
              <w:ind w:left="162" w:hanging="162"/>
              <w:jc w:val="center"/>
              <w:rPr>
                <w:rFonts w:eastAsia="Times New Roman" w:cs="Times New Roman"/>
                <w:b/>
                <w:bCs/>
                <w:sz w:val="18"/>
                <w:szCs w:val="18"/>
              </w:rPr>
            </w:pPr>
            <w:r w:rsidRPr="00EA6851">
              <w:rPr>
                <w:rFonts w:eastAsia="Times New Roman" w:cs="Times New Roman"/>
                <w:b/>
                <w:bCs/>
                <w:sz w:val="18"/>
                <w:szCs w:val="18"/>
              </w:rPr>
              <w:t>Целева стойност</w:t>
            </w:r>
          </w:p>
        </w:tc>
        <w:tc>
          <w:tcPr>
            <w:tcW w:w="1024" w:type="dxa"/>
            <w:tcBorders>
              <w:top w:val="single" w:sz="4" w:space="0" w:color="auto"/>
              <w:bottom w:val="single" w:sz="4" w:space="0" w:color="auto"/>
            </w:tcBorders>
            <w:shd w:val="clear" w:color="auto" w:fill="FFFFFF" w:themeFill="background1"/>
          </w:tcPr>
          <w:p w:rsidR="00A3729C" w:rsidRPr="00EA6851" w:rsidRDefault="00A3729C" w:rsidP="00EF6DA1">
            <w:pPr>
              <w:spacing w:after="120"/>
              <w:ind w:left="162" w:hanging="162"/>
              <w:jc w:val="center"/>
              <w:rPr>
                <w:rFonts w:eastAsia="Times New Roman" w:cs="Times New Roman"/>
                <w:b/>
                <w:bCs/>
                <w:sz w:val="18"/>
                <w:szCs w:val="18"/>
              </w:rPr>
            </w:pPr>
          </w:p>
        </w:tc>
      </w:tr>
      <w:tr w:rsidR="00A3729C" w:rsidRPr="00EA6851" w:rsidTr="00EF6DA1">
        <w:trPr>
          <w:trHeight w:val="450"/>
          <w:tblHeader/>
          <w:jc w:val="center"/>
        </w:trPr>
        <w:tc>
          <w:tcPr>
            <w:tcW w:w="3429" w:type="dxa"/>
            <w:tcBorders>
              <w:top w:val="nil"/>
              <w:bottom w:val="single" w:sz="4" w:space="0" w:color="auto"/>
            </w:tcBorders>
            <w:shd w:val="clear" w:color="auto" w:fill="FFFFFF" w:themeFill="background1"/>
            <w:vAlign w:val="center"/>
          </w:tcPr>
          <w:p w:rsidR="00A3729C" w:rsidRPr="00EA6851" w:rsidRDefault="00A3729C" w:rsidP="00EF6DA1">
            <w:pPr>
              <w:spacing w:after="120"/>
              <w:jc w:val="center"/>
              <w:rPr>
                <w:rFonts w:eastAsia="Times New Roman" w:cs="Times New Roman"/>
                <w:b/>
                <w:bCs/>
                <w:sz w:val="18"/>
                <w:szCs w:val="18"/>
              </w:rPr>
            </w:pPr>
            <w:r w:rsidRPr="00EA6851">
              <w:rPr>
                <w:rFonts w:eastAsia="Times New Roman" w:cs="Times New Roman"/>
                <w:b/>
                <w:bCs/>
                <w:sz w:val="18"/>
                <w:szCs w:val="18"/>
              </w:rPr>
              <w:t>Наименование на индикатора</w:t>
            </w:r>
          </w:p>
        </w:tc>
        <w:tc>
          <w:tcPr>
            <w:tcW w:w="968" w:type="dxa"/>
            <w:vMerge/>
            <w:tcBorders>
              <w:top w:val="nil"/>
              <w:bottom w:val="single" w:sz="4" w:space="0" w:color="auto"/>
            </w:tcBorders>
            <w:shd w:val="clear" w:color="auto" w:fill="F2F2F2" w:themeFill="background1" w:themeFillShade="F2"/>
            <w:vAlign w:val="center"/>
          </w:tcPr>
          <w:p w:rsidR="00A3729C" w:rsidRPr="00EA6851" w:rsidRDefault="00A3729C" w:rsidP="00EF6DA1">
            <w:pPr>
              <w:spacing w:after="120"/>
              <w:jc w:val="center"/>
              <w:rPr>
                <w:rFonts w:eastAsia="Times New Roman" w:cs="Times New Roman"/>
                <w:b/>
                <w:bCs/>
                <w:sz w:val="18"/>
                <w:szCs w:val="18"/>
              </w:rPr>
            </w:pPr>
          </w:p>
        </w:tc>
        <w:tc>
          <w:tcPr>
            <w:tcW w:w="158" w:type="dxa"/>
            <w:tcBorders>
              <w:top w:val="single" w:sz="4" w:space="0" w:color="auto"/>
              <w:bottom w:val="single" w:sz="4" w:space="0" w:color="auto"/>
            </w:tcBorders>
            <w:shd w:val="clear" w:color="auto" w:fill="FFFFFF" w:themeFill="background1"/>
          </w:tcPr>
          <w:p w:rsidR="00A3729C" w:rsidRPr="00EA6851" w:rsidRDefault="00A3729C" w:rsidP="00EF6DA1">
            <w:pPr>
              <w:spacing w:after="120"/>
              <w:jc w:val="center"/>
              <w:rPr>
                <w:rFonts w:eastAsia="Times New Roman" w:cs="Times New Roman"/>
                <w:b/>
                <w:bCs/>
                <w:i/>
                <w:iCs/>
                <w:sz w:val="18"/>
                <w:szCs w:val="18"/>
              </w:rPr>
            </w:pPr>
          </w:p>
        </w:tc>
        <w:tc>
          <w:tcPr>
            <w:tcW w:w="1295" w:type="dxa"/>
            <w:tcBorders>
              <w:top w:val="single" w:sz="4" w:space="0" w:color="auto"/>
              <w:bottom w:val="single" w:sz="4" w:space="0" w:color="auto"/>
            </w:tcBorders>
            <w:shd w:val="clear" w:color="auto" w:fill="FFFFFF" w:themeFill="background1"/>
            <w:vAlign w:val="center"/>
          </w:tcPr>
          <w:p w:rsidR="00A3729C" w:rsidRPr="00EA6851" w:rsidRDefault="00A3729C" w:rsidP="00EF6DA1">
            <w:pPr>
              <w:spacing w:after="120"/>
              <w:jc w:val="center"/>
              <w:rPr>
                <w:rFonts w:eastAsia="Times New Roman" w:cs="Times New Roman"/>
                <w:b/>
                <w:bCs/>
                <w:i/>
                <w:iCs/>
                <w:sz w:val="18"/>
                <w:szCs w:val="18"/>
              </w:rPr>
            </w:pPr>
            <w:r w:rsidRPr="00EA6851">
              <w:rPr>
                <w:rFonts w:eastAsia="Times New Roman" w:cs="Times New Roman"/>
                <w:b/>
                <w:bCs/>
                <w:i/>
                <w:iCs/>
                <w:sz w:val="18"/>
                <w:szCs w:val="18"/>
              </w:rPr>
              <w:t>Програма</w:t>
            </w:r>
            <w:r w:rsidRPr="00EA6851">
              <w:rPr>
                <w:rFonts w:eastAsia="Times New Roman" w:cs="Times New Roman"/>
                <w:b/>
                <w:bCs/>
                <w:i/>
                <w:iCs/>
                <w:sz w:val="18"/>
                <w:szCs w:val="18"/>
              </w:rPr>
              <w:br/>
              <w:t>2023 г.</w:t>
            </w:r>
          </w:p>
        </w:tc>
        <w:tc>
          <w:tcPr>
            <w:tcW w:w="1124" w:type="dxa"/>
            <w:tcBorders>
              <w:top w:val="single" w:sz="4" w:space="0" w:color="auto"/>
              <w:bottom w:val="single" w:sz="4" w:space="0" w:color="auto"/>
            </w:tcBorders>
            <w:shd w:val="clear" w:color="auto" w:fill="FFFFFF" w:themeFill="background1"/>
            <w:vAlign w:val="center"/>
          </w:tcPr>
          <w:p w:rsidR="00A3729C" w:rsidRPr="00EA6851" w:rsidRDefault="00A3729C" w:rsidP="00EF6DA1">
            <w:pPr>
              <w:spacing w:after="120"/>
              <w:jc w:val="center"/>
              <w:rPr>
                <w:rFonts w:eastAsia="Times New Roman" w:cs="Times New Roman"/>
                <w:b/>
                <w:bCs/>
                <w:i/>
                <w:iCs/>
                <w:sz w:val="18"/>
                <w:szCs w:val="18"/>
              </w:rPr>
            </w:pPr>
            <w:r w:rsidRPr="00EA6851">
              <w:rPr>
                <w:rFonts w:eastAsia="Times New Roman" w:cs="Times New Roman"/>
                <w:b/>
                <w:bCs/>
                <w:i/>
                <w:iCs/>
                <w:sz w:val="18"/>
                <w:szCs w:val="18"/>
              </w:rPr>
              <w:t>Проект 2024 г.</w:t>
            </w:r>
          </w:p>
        </w:tc>
        <w:tc>
          <w:tcPr>
            <w:tcW w:w="1216" w:type="dxa"/>
            <w:tcBorders>
              <w:top w:val="single" w:sz="4" w:space="0" w:color="auto"/>
              <w:bottom w:val="single" w:sz="4" w:space="0" w:color="auto"/>
            </w:tcBorders>
            <w:shd w:val="clear" w:color="auto" w:fill="FFFFFF" w:themeFill="background1"/>
            <w:vAlign w:val="center"/>
          </w:tcPr>
          <w:p w:rsidR="00A3729C" w:rsidRPr="00EA6851" w:rsidRDefault="00A3729C" w:rsidP="00EF6DA1">
            <w:pPr>
              <w:spacing w:after="120"/>
              <w:jc w:val="center"/>
              <w:rPr>
                <w:rFonts w:eastAsia="Times New Roman" w:cs="Times New Roman"/>
                <w:b/>
                <w:bCs/>
                <w:i/>
                <w:iCs/>
                <w:sz w:val="18"/>
                <w:szCs w:val="18"/>
              </w:rPr>
            </w:pPr>
            <w:r w:rsidRPr="00EA6851">
              <w:rPr>
                <w:rFonts w:eastAsia="Times New Roman" w:cs="Times New Roman"/>
                <w:b/>
                <w:bCs/>
                <w:i/>
                <w:iCs/>
                <w:sz w:val="18"/>
                <w:szCs w:val="18"/>
              </w:rPr>
              <w:t xml:space="preserve">Прогноза </w:t>
            </w:r>
            <w:r w:rsidRPr="00EA6851">
              <w:rPr>
                <w:rFonts w:eastAsia="Times New Roman" w:cs="Times New Roman"/>
                <w:b/>
                <w:bCs/>
                <w:i/>
                <w:iCs/>
                <w:sz w:val="18"/>
                <w:szCs w:val="18"/>
              </w:rPr>
              <w:br/>
              <w:t>2025 г.</w:t>
            </w:r>
          </w:p>
        </w:tc>
        <w:tc>
          <w:tcPr>
            <w:tcW w:w="1024" w:type="dxa"/>
            <w:tcBorders>
              <w:top w:val="single" w:sz="4" w:space="0" w:color="auto"/>
              <w:bottom w:val="single" w:sz="4" w:space="0" w:color="auto"/>
            </w:tcBorders>
            <w:shd w:val="clear" w:color="auto" w:fill="FFFFFF" w:themeFill="background1"/>
          </w:tcPr>
          <w:p w:rsidR="00A3729C" w:rsidRPr="00EA6851" w:rsidRDefault="00A3729C" w:rsidP="00EF6DA1">
            <w:pPr>
              <w:spacing w:after="120"/>
              <w:jc w:val="center"/>
              <w:rPr>
                <w:rFonts w:eastAsia="Times New Roman" w:cs="Times New Roman"/>
                <w:b/>
                <w:bCs/>
                <w:i/>
                <w:iCs/>
                <w:sz w:val="18"/>
                <w:szCs w:val="18"/>
              </w:rPr>
            </w:pPr>
            <w:r w:rsidRPr="00EA6851">
              <w:rPr>
                <w:rFonts w:eastAsia="Times New Roman" w:cs="Times New Roman"/>
                <w:b/>
                <w:bCs/>
                <w:i/>
                <w:iCs/>
                <w:sz w:val="18"/>
                <w:szCs w:val="18"/>
              </w:rPr>
              <w:t xml:space="preserve">Прогноза </w:t>
            </w:r>
            <w:r w:rsidRPr="00EA6851">
              <w:rPr>
                <w:rFonts w:eastAsia="Times New Roman" w:cs="Times New Roman"/>
                <w:b/>
                <w:bCs/>
                <w:i/>
                <w:iCs/>
                <w:sz w:val="18"/>
                <w:szCs w:val="18"/>
              </w:rPr>
              <w:br/>
              <w:t>2026 г.</w:t>
            </w:r>
          </w:p>
        </w:tc>
      </w:tr>
      <w:tr w:rsidR="00A3729C" w:rsidRPr="00EA6851" w:rsidTr="00EF6DA1">
        <w:trPr>
          <w:trHeight w:val="255"/>
          <w:jc w:val="center"/>
        </w:trPr>
        <w:tc>
          <w:tcPr>
            <w:tcW w:w="3429" w:type="dxa"/>
            <w:tcBorders>
              <w:top w:val="single" w:sz="4" w:space="0" w:color="auto"/>
              <w:bottom w:val="nil"/>
            </w:tcBorders>
            <w:shd w:val="clear" w:color="auto" w:fill="FFFFFF" w:themeFill="background1"/>
          </w:tcPr>
          <w:p w:rsidR="00A3729C" w:rsidRPr="00EA6851" w:rsidRDefault="00A3729C" w:rsidP="00EF6DA1">
            <w:pPr>
              <w:spacing w:after="120"/>
              <w:rPr>
                <w:rFonts w:asciiTheme="minorHAnsi" w:eastAsia="Times New Roman" w:hAnsiTheme="minorHAnsi" w:cstheme="minorHAnsi"/>
                <w:bCs/>
                <w:iCs/>
                <w:color w:val="000000"/>
                <w:sz w:val="18"/>
                <w:szCs w:val="18"/>
              </w:rPr>
            </w:pPr>
            <w:r w:rsidRPr="00EA6851">
              <w:rPr>
                <w:rFonts w:asciiTheme="minorHAnsi" w:eastAsia="Times New Roman" w:hAnsiTheme="minorHAnsi" w:cstheme="minorHAnsi"/>
                <w:bCs/>
                <w:iCs/>
                <w:color w:val="000000"/>
                <w:sz w:val="18"/>
                <w:szCs w:val="18"/>
              </w:rPr>
              <w:t xml:space="preserve">1. Дял на 30-34 годишните със завършено висше образование </w:t>
            </w:r>
          </w:p>
        </w:tc>
        <w:tc>
          <w:tcPr>
            <w:tcW w:w="968" w:type="dxa"/>
            <w:tcBorders>
              <w:top w:val="single" w:sz="4" w:space="0" w:color="auto"/>
              <w:bottom w:val="nil"/>
            </w:tcBorders>
            <w:shd w:val="clear" w:color="auto" w:fill="F2F2F2" w:themeFill="background1" w:themeFillShade="F2"/>
            <w:vAlign w:val="center"/>
          </w:tcPr>
          <w:p w:rsidR="00A3729C" w:rsidRPr="00EA6851" w:rsidRDefault="00A3729C" w:rsidP="00EF6DA1">
            <w:pPr>
              <w:spacing w:after="120"/>
              <w:jc w:val="center"/>
              <w:rPr>
                <w:rFonts w:asciiTheme="minorHAnsi" w:eastAsia="Times New Roman" w:hAnsiTheme="minorHAnsi" w:cstheme="minorHAnsi"/>
                <w:bCs/>
                <w:iCs/>
                <w:color w:val="000000"/>
                <w:sz w:val="18"/>
                <w:szCs w:val="18"/>
              </w:rPr>
            </w:pPr>
            <w:r w:rsidRPr="00EA6851">
              <w:rPr>
                <w:rFonts w:asciiTheme="minorHAnsi" w:eastAsia="Times New Roman" w:hAnsiTheme="minorHAnsi" w:cstheme="minorHAnsi"/>
                <w:bCs/>
                <w:iCs/>
                <w:color w:val="000000"/>
                <w:sz w:val="18"/>
                <w:szCs w:val="18"/>
              </w:rPr>
              <w:t>%</w:t>
            </w:r>
          </w:p>
        </w:tc>
        <w:tc>
          <w:tcPr>
            <w:tcW w:w="158" w:type="dxa"/>
            <w:tcBorders>
              <w:top w:val="single" w:sz="4" w:space="0" w:color="auto"/>
              <w:bottom w:val="nil"/>
            </w:tcBorders>
            <w:shd w:val="clear" w:color="auto" w:fill="FFFFFF" w:themeFill="background1"/>
            <w:vAlign w:val="center"/>
          </w:tcPr>
          <w:p w:rsidR="00A3729C" w:rsidRPr="00EA6851" w:rsidRDefault="00A3729C" w:rsidP="00EF6DA1">
            <w:pPr>
              <w:autoSpaceDE w:val="0"/>
              <w:autoSpaceDN w:val="0"/>
              <w:adjustRightInd w:val="0"/>
              <w:spacing w:after="120" w:line="276" w:lineRule="auto"/>
              <w:jc w:val="center"/>
              <w:rPr>
                <w:rFonts w:asciiTheme="minorHAnsi" w:eastAsia="Times New Roman" w:hAnsiTheme="minorHAnsi" w:cstheme="minorHAnsi"/>
                <w:bCs/>
                <w:iCs/>
                <w:color w:val="000000"/>
                <w:sz w:val="18"/>
                <w:szCs w:val="18"/>
                <w:lang w:eastAsia="en-US"/>
              </w:rPr>
            </w:pPr>
          </w:p>
        </w:tc>
        <w:tc>
          <w:tcPr>
            <w:tcW w:w="1295" w:type="dxa"/>
            <w:tcBorders>
              <w:top w:val="single" w:sz="4" w:space="0" w:color="auto"/>
              <w:bottom w:val="nil"/>
            </w:tcBorders>
            <w:shd w:val="clear" w:color="auto" w:fill="FFFFFF" w:themeFill="background1"/>
            <w:vAlign w:val="center"/>
          </w:tcPr>
          <w:p w:rsidR="00A3729C" w:rsidRPr="00EA6851" w:rsidRDefault="00A3729C" w:rsidP="00EF6DA1">
            <w:pPr>
              <w:spacing w:after="120"/>
              <w:jc w:val="center"/>
            </w:pPr>
            <w:r w:rsidRPr="00EA6851">
              <w:rPr>
                <w:rFonts w:eastAsia="Times New Roman" w:cstheme="minorHAnsi"/>
                <w:bCs/>
                <w:iCs/>
                <w:sz w:val="18"/>
                <w:szCs w:val="18"/>
              </w:rPr>
              <w:t>над 36,6</w:t>
            </w:r>
          </w:p>
        </w:tc>
        <w:tc>
          <w:tcPr>
            <w:tcW w:w="1124" w:type="dxa"/>
            <w:tcBorders>
              <w:top w:val="single" w:sz="4" w:space="0" w:color="auto"/>
              <w:bottom w:val="nil"/>
            </w:tcBorders>
            <w:shd w:val="clear" w:color="auto" w:fill="FFFFFF" w:themeFill="background1"/>
            <w:vAlign w:val="center"/>
          </w:tcPr>
          <w:p w:rsidR="00A3729C" w:rsidRPr="00EA6851" w:rsidRDefault="00A3729C" w:rsidP="00EF6DA1">
            <w:pPr>
              <w:spacing w:after="120"/>
              <w:jc w:val="center"/>
            </w:pPr>
            <w:r w:rsidRPr="00EA6851">
              <w:rPr>
                <w:rFonts w:eastAsia="Times New Roman" w:cstheme="minorHAnsi"/>
                <w:bCs/>
                <w:iCs/>
                <w:sz w:val="18"/>
                <w:szCs w:val="18"/>
              </w:rPr>
              <w:t>над 36,7</w:t>
            </w:r>
          </w:p>
        </w:tc>
        <w:tc>
          <w:tcPr>
            <w:tcW w:w="1216" w:type="dxa"/>
            <w:tcBorders>
              <w:top w:val="single" w:sz="4" w:space="0" w:color="auto"/>
              <w:bottom w:val="nil"/>
            </w:tcBorders>
            <w:shd w:val="clear" w:color="auto" w:fill="FFFFFF" w:themeFill="background1"/>
            <w:vAlign w:val="center"/>
          </w:tcPr>
          <w:p w:rsidR="00A3729C" w:rsidRPr="00EA6851" w:rsidRDefault="00A3729C" w:rsidP="00EF6DA1">
            <w:pPr>
              <w:autoSpaceDE w:val="0"/>
              <w:autoSpaceDN w:val="0"/>
              <w:adjustRightInd w:val="0"/>
              <w:spacing w:after="120" w:line="276" w:lineRule="auto"/>
              <w:jc w:val="center"/>
              <w:rPr>
                <w:rFonts w:asciiTheme="minorHAnsi" w:eastAsia="Times New Roman" w:hAnsiTheme="minorHAnsi" w:cstheme="minorHAnsi"/>
                <w:bCs/>
                <w:iCs/>
                <w:color w:val="000000"/>
                <w:sz w:val="18"/>
                <w:szCs w:val="18"/>
                <w:lang w:eastAsia="en-US"/>
              </w:rPr>
            </w:pPr>
            <w:r w:rsidRPr="00EA6851">
              <w:rPr>
                <w:rFonts w:asciiTheme="minorHAnsi" w:eastAsia="Times New Roman" w:hAnsiTheme="minorHAnsi" w:cstheme="minorHAnsi"/>
                <w:bCs/>
                <w:iCs/>
                <w:color w:val="000000"/>
                <w:sz w:val="18"/>
                <w:szCs w:val="18"/>
                <w:lang w:eastAsia="en-US"/>
              </w:rPr>
              <w:t>над 36,7</w:t>
            </w:r>
          </w:p>
        </w:tc>
        <w:tc>
          <w:tcPr>
            <w:tcW w:w="1024" w:type="dxa"/>
            <w:tcBorders>
              <w:top w:val="single" w:sz="4" w:space="0" w:color="auto"/>
              <w:bottom w:val="nil"/>
            </w:tcBorders>
            <w:shd w:val="clear" w:color="auto" w:fill="FFFFFF" w:themeFill="background1"/>
            <w:vAlign w:val="center"/>
          </w:tcPr>
          <w:p w:rsidR="00A3729C" w:rsidRPr="00EA6851" w:rsidRDefault="00A3729C" w:rsidP="00EF6DA1">
            <w:pPr>
              <w:autoSpaceDE w:val="0"/>
              <w:autoSpaceDN w:val="0"/>
              <w:adjustRightInd w:val="0"/>
              <w:spacing w:after="120" w:line="276" w:lineRule="auto"/>
              <w:rPr>
                <w:rFonts w:asciiTheme="minorHAnsi" w:eastAsia="Times New Roman" w:hAnsiTheme="minorHAnsi" w:cstheme="minorHAnsi"/>
                <w:bCs/>
                <w:iCs/>
                <w:color w:val="000000"/>
                <w:sz w:val="18"/>
                <w:szCs w:val="18"/>
                <w:lang w:eastAsia="en-US"/>
              </w:rPr>
            </w:pPr>
            <w:r w:rsidRPr="00EA6851">
              <w:rPr>
                <w:rFonts w:asciiTheme="minorHAnsi" w:eastAsia="Times New Roman" w:hAnsiTheme="minorHAnsi" w:cstheme="minorHAnsi"/>
                <w:bCs/>
                <w:iCs/>
                <w:color w:val="000000"/>
                <w:sz w:val="18"/>
                <w:szCs w:val="18"/>
                <w:lang w:eastAsia="en-US"/>
              </w:rPr>
              <w:t>над 36,7</w:t>
            </w:r>
          </w:p>
        </w:tc>
      </w:tr>
      <w:tr w:rsidR="00A3729C" w:rsidRPr="00EA6851" w:rsidTr="00EF6DA1">
        <w:trPr>
          <w:trHeight w:val="255"/>
          <w:jc w:val="center"/>
        </w:trPr>
        <w:tc>
          <w:tcPr>
            <w:tcW w:w="3429" w:type="dxa"/>
            <w:tcBorders>
              <w:top w:val="nil"/>
              <w:bottom w:val="single" w:sz="4" w:space="0" w:color="auto"/>
            </w:tcBorders>
            <w:shd w:val="clear" w:color="auto" w:fill="FFFFFF" w:themeFill="background1"/>
          </w:tcPr>
          <w:p w:rsidR="00A3729C" w:rsidRPr="00EA6851" w:rsidRDefault="00A3729C" w:rsidP="00EF6DA1">
            <w:pPr>
              <w:spacing w:after="120"/>
              <w:rPr>
                <w:rFonts w:asciiTheme="minorHAnsi" w:eastAsia="Times New Roman" w:hAnsiTheme="minorHAnsi" w:cstheme="minorHAnsi"/>
                <w:bCs/>
                <w:iCs/>
                <w:color w:val="000000"/>
                <w:sz w:val="18"/>
                <w:szCs w:val="18"/>
              </w:rPr>
            </w:pPr>
            <w:r w:rsidRPr="00EA6851">
              <w:rPr>
                <w:rFonts w:asciiTheme="minorHAnsi" w:eastAsia="Times New Roman" w:hAnsiTheme="minorHAnsi" w:cstheme="minorHAnsi"/>
                <w:bCs/>
                <w:iCs/>
                <w:color w:val="000000"/>
                <w:sz w:val="18"/>
                <w:szCs w:val="18"/>
              </w:rPr>
              <w:t xml:space="preserve">2. Инвестиции в научноизследователската и развойна дейност (НИРД) в размер от БВП </w:t>
            </w:r>
          </w:p>
        </w:tc>
        <w:tc>
          <w:tcPr>
            <w:tcW w:w="968" w:type="dxa"/>
            <w:tcBorders>
              <w:top w:val="nil"/>
              <w:bottom w:val="single" w:sz="4" w:space="0" w:color="auto"/>
            </w:tcBorders>
            <w:shd w:val="clear" w:color="auto" w:fill="F2F2F2" w:themeFill="background1" w:themeFillShade="F2"/>
          </w:tcPr>
          <w:p w:rsidR="00A3729C" w:rsidRPr="00EA6851" w:rsidRDefault="00A3729C" w:rsidP="00EF6DA1">
            <w:pPr>
              <w:spacing w:after="120"/>
              <w:jc w:val="center"/>
              <w:rPr>
                <w:rFonts w:asciiTheme="minorHAnsi" w:eastAsia="Times New Roman" w:hAnsiTheme="minorHAnsi" w:cstheme="minorHAnsi"/>
                <w:bCs/>
                <w:iCs/>
                <w:color w:val="000000"/>
                <w:sz w:val="18"/>
                <w:szCs w:val="18"/>
              </w:rPr>
            </w:pPr>
          </w:p>
          <w:p w:rsidR="00A3729C" w:rsidRPr="00EA6851" w:rsidRDefault="00A3729C" w:rsidP="00EF6DA1">
            <w:pPr>
              <w:spacing w:after="120"/>
              <w:jc w:val="center"/>
              <w:rPr>
                <w:rFonts w:asciiTheme="minorHAnsi" w:eastAsia="Times New Roman" w:hAnsiTheme="minorHAnsi" w:cstheme="minorHAnsi"/>
                <w:bCs/>
                <w:iCs/>
                <w:color w:val="000000"/>
                <w:sz w:val="18"/>
                <w:szCs w:val="18"/>
              </w:rPr>
            </w:pPr>
            <w:r w:rsidRPr="00EA6851">
              <w:rPr>
                <w:rFonts w:asciiTheme="minorHAnsi" w:eastAsia="Times New Roman" w:hAnsiTheme="minorHAnsi" w:cstheme="minorHAnsi"/>
                <w:bCs/>
                <w:iCs/>
                <w:color w:val="000000"/>
                <w:sz w:val="18"/>
                <w:szCs w:val="18"/>
              </w:rPr>
              <w:t>%</w:t>
            </w:r>
          </w:p>
        </w:tc>
        <w:tc>
          <w:tcPr>
            <w:tcW w:w="158" w:type="dxa"/>
            <w:tcBorders>
              <w:top w:val="nil"/>
              <w:bottom w:val="single" w:sz="4" w:space="0" w:color="auto"/>
            </w:tcBorders>
            <w:shd w:val="clear" w:color="auto" w:fill="FFFFFF" w:themeFill="background1"/>
          </w:tcPr>
          <w:p w:rsidR="00A3729C" w:rsidRPr="00EA6851" w:rsidRDefault="00A3729C" w:rsidP="00EF6DA1">
            <w:pPr>
              <w:autoSpaceDE w:val="0"/>
              <w:autoSpaceDN w:val="0"/>
              <w:adjustRightInd w:val="0"/>
              <w:spacing w:after="120" w:line="276" w:lineRule="auto"/>
              <w:jc w:val="center"/>
              <w:rPr>
                <w:rFonts w:asciiTheme="minorHAnsi" w:eastAsia="Times New Roman" w:hAnsiTheme="minorHAnsi" w:cstheme="minorHAnsi"/>
                <w:bCs/>
                <w:iCs/>
                <w:color w:val="000000"/>
                <w:sz w:val="18"/>
                <w:szCs w:val="18"/>
                <w:lang w:eastAsia="en-US"/>
              </w:rPr>
            </w:pPr>
          </w:p>
        </w:tc>
        <w:tc>
          <w:tcPr>
            <w:tcW w:w="1295" w:type="dxa"/>
            <w:tcBorders>
              <w:top w:val="nil"/>
              <w:bottom w:val="single" w:sz="4" w:space="0" w:color="auto"/>
            </w:tcBorders>
            <w:shd w:val="clear" w:color="auto" w:fill="FFFFFF" w:themeFill="background1"/>
            <w:vAlign w:val="center"/>
          </w:tcPr>
          <w:p w:rsidR="00A3729C" w:rsidRPr="00EA6851" w:rsidRDefault="00A3729C" w:rsidP="00EF6DA1">
            <w:pPr>
              <w:autoSpaceDE w:val="0"/>
              <w:autoSpaceDN w:val="0"/>
              <w:adjustRightInd w:val="0"/>
              <w:spacing w:after="120" w:line="276" w:lineRule="auto"/>
              <w:jc w:val="center"/>
              <w:rPr>
                <w:rFonts w:asciiTheme="minorHAnsi" w:eastAsia="Times New Roman" w:hAnsiTheme="minorHAnsi" w:cstheme="minorHAnsi"/>
                <w:bCs/>
                <w:iCs/>
                <w:color w:val="000000"/>
                <w:sz w:val="18"/>
                <w:szCs w:val="18"/>
                <w:lang w:eastAsia="en-US"/>
              </w:rPr>
            </w:pPr>
          </w:p>
          <w:p w:rsidR="00A3729C" w:rsidRPr="00EA6851" w:rsidRDefault="00A3729C" w:rsidP="00EF6DA1">
            <w:pPr>
              <w:autoSpaceDE w:val="0"/>
              <w:autoSpaceDN w:val="0"/>
              <w:adjustRightInd w:val="0"/>
              <w:spacing w:after="120" w:line="276" w:lineRule="auto"/>
              <w:jc w:val="center"/>
              <w:rPr>
                <w:rFonts w:asciiTheme="minorHAnsi" w:eastAsia="Times New Roman" w:hAnsiTheme="minorHAnsi" w:cstheme="minorHAnsi"/>
                <w:bCs/>
                <w:iCs/>
                <w:color w:val="000000"/>
                <w:sz w:val="18"/>
                <w:szCs w:val="18"/>
                <w:lang w:eastAsia="en-US"/>
              </w:rPr>
            </w:pPr>
            <w:r w:rsidRPr="00EA6851">
              <w:rPr>
                <w:rFonts w:asciiTheme="minorHAnsi" w:eastAsia="Times New Roman" w:hAnsiTheme="minorHAnsi" w:cstheme="minorHAnsi"/>
                <w:bCs/>
                <w:iCs/>
                <w:color w:val="000000"/>
                <w:sz w:val="18"/>
                <w:szCs w:val="18"/>
                <w:lang w:eastAsia="en-US"/>
              </w:rPr>
              <w:t>над 1,7</w:t>
            </w:r>
          </w:p>
        </w:tc>
        <w:tc>
          <w:tcPr>
            <w:tcW w:w="1124" w:type="dxa"/>
            <w:tcBorders>
              <w:top w:val="nil"/>
              <w:bottom w:val="single" w:sz="4" w:space="0" w:color="auto"/>
            </w:tcBorders>
            <w:shd w:val="clear" w:color="auto" w:fill="FFFFFF" w:themeFill="background1"/>
            <w:vAlign w:val="center"/>
          </w:tcPr>
          <w:p w:rsidR="00A3729C" w:rsidRPr="00EA6851" w:rsidRDefault="00A3729C" w:rsidP="00EF6DA1">
            <w:pPr>
              <w:autoSpaceDE w:val="0"/>
              <w:autoSpaceDN w:val="0"/>
              <w:adjustRightInd w:val="0"/>
              <w:spacing w:after="120" w:line="276" w:lineRule="auto"/>
              <w:jc w:val="center"/>
              <w:rPr>
                <w:rFonts w:asciiTheme="minorHAnsi" w:eastAsia="Times New Roman" w:hAnsiTheme="minorHAnsi" w:cstheme="minorHAnsi"/>
                <w:bCs/>
                <w:iCs/>
                <w:color w:val="000000"/>
                <w:sz w:val="18"/>
                <w:szCs w:val="18"/>
                <w:lang w:eastAsia="en-US"/>
              </w:rPr>
            </w:pPr>
          </w:p>
          <w:p w:rsidR="00A3729C" w:rsidRPr="00EA6851" w:rsidRDefault="00A3729C" w:rsidP="00EF6DA1">
            <w:pPr>
              <w:autoSpaceDE w:val="0"/>
              <w:autoSpaceDN w:val="0"/>
              <w:adjustRightInd w:val="0"/>
              <w:spacing w:after="120" w:line="276" w:lineRule="auto"/>
              <w:jc w:val="center"/>
              <w:rPr>
                <w:rFonts w:asciiTheme="minorHAnsi" w:eastAsia="Times New Roman" w:hAnsiTheme="minorHAnsi" w:cstheme="minorHAnsi"/>
                <w:bCs/>
                <w:iCs/>
                <w:color w:val="000000"/>
                <w:sz w:val="18"/>
                <w:szCs w:val="18"/>
                <w:lang w:eastAsia="en-US"/>
              </w:rPr>
            </w:pPr>
            <w:r w:rsidRPr="00EA6851">
              <w:rPr>
                <w:rFonts w:asciiTheme="minorHAnsi" w:eastAsia="Times New Roman" w:hAnsiTheme="minorHAnsi" w:cstheme="minorHAnsi"/>
                <w:bCs/>
                <w:iCs/>
                <w:color w:val="000000"/>
                <w:sz w:val="18"/>
                <w:szCs w:val="18"/>
                <w:lang w:eastAsia="en-US"/>
              </w:rPr>
              <w:t>над 1,8</w:t>
            </w:r>
          </w:p>
        </w:tc>
        <w:tc>
          <w:tcPr>
            <w:tcW w:w="1216" w:type="dxa"/>
            <w:tcBorders>
              <w:top w:val="nil"/>
              <w:bottom w:val="single" w:sz="4" w:space="0" w:color="auto"/>
            </w:tcBorders>
            <w:shd w:val="clear" w:color="auto" w:fill="FFFFFF" w:themeFill="background1"/>
            <w:vAlign w:val="center"/>
          </w:tcPr>
          <w:p w:rsidR="00A3729C" w:rsidRPr="00EA6851" w:rsidRDefault="00A3729C" w:rsidP="00EF6DA1">
            <w:pPr>
              <w:autoSpaceDE w:val="0"/>
              <w:autoSpaceDN w:val="0"/>
              <w:adjustRightInd w:val="0"/>
              <w:spacing w:after="120" w:line="276" w:lineRule="auto"/>
              <w:jc w:val="center"/>
              <w:rPr>
                <w:rFonts w:asciiTheme="minorHAnsi" w:eastAsia="Times New Roman" w:hAnsiTheme="minorHAnsi" w:cstheme="minorHAnsi"/>
                <w:bCs/>
                <w:iCs/>
                <w:color w:val="000000"/>
                <w:sz w:val="18"/>
                <w:szCs w:val="18"/>
                <w:lang w:eastAsia="en-US"/>
              </w:rPr>
            </w:pPr>
          </w:p>
          <w:p w:rsidR="00A3729C" w:rsidRPr="00EA6851" w:rsidRDefault="00A3729C" w:rsidP="00EF6DA1">
            <w:pPr>
              <w:autoSpaceDE w:val="0"/>
              <w:autoSpaceDN w:val="0"/>
              <w:adjustRightInd w:val="0"/>
              <w:spacing w:after="120" w:line="276" w:lineRule="auto"/>
              <w:jc w:val="center"/>
              <w:rPr>
                <w:rFonts w:asciiTheme="minorHAnsi" w:eastAsia="Times New Roman" w:hAnsiTheme="minorHAnsi" w:cstheme="minorHAnsi"/>
                <w:bCs/>
                <w:iCs/>
                <w:color w:val="000000"/>
                <w:sz w:val="18"/>
                <w:szCs w:val="18"/>
                <w:lang w:eastAsia="en-US"/>
              </w:rPr>
            </w:pPr>
            <w:r w:rsidRPr="00EA6851">
              <w:rPr>
                <w:rFonts w:asciiTheme="minorHAnsi" w:eastAsia="Times New Roman" w:hAnsiTheme="minorHAnsi" w:cstheme="minorHAnsi"/>
                <w:bCs/>
                <w:iCs/>
                <w:color w:val="000000"/>
                <w:sz w:val="18"/>
                <w:szCs w:val="18"/>
                <w:lang w:eastAsia="en-US"/>
              </w:rPr>
              <w:t>над 1,8</w:t>
            </w:r>
          </w:p>
        </w:tc>
        <w:tc>
          <w:tcPr>
            <w:tcW w:w="1024" w:type="dxa"/>
            <w:tcBorders>
              <w:top w:val="nil"/>
              <w:bottom w:val="single" w:sz="4" w:space="0" w:color="auto"/>
            </w:tcBorders>
            <w:shd w:val="clear" w:color="auto" w:fill="FFFFFF" w:themeFill="background1"/>
            <w:vAlign w:val="center"/>
          </w:tcPr>
          <w:p w:rsidR="00A3729C" w:rsidRPr="00EA6851" w:rsidRDefault="00A3729C" w:rsidP="00EF6DA1">
            <w:pPr>
              <w:autoSpaceDE w:val="0"/>
              <w:autoSpaceDN w:val="0"/>
              <w:adjustRightInd w:val="0"/>
              <w:spacing w:after="120" w:line="276" w:lineRule="auto"/>
              <w:jc w:val="center"/>
              <w:rPr>
                <w:rFonts w:asciiTheme="minorHAnsi" w:eastAsia="Times New Roman" w:hAnsiTheme="minorHAnsi" w:cstheme="minorHAnsi"/>
                <w:bCs/>
                <w:iCs/>
                <w:color w:val="000000"/>
                <w:sz w:val="18"/>
                <w:szCs w:val="18"/>
                <w:lang w:eastAsia="en-US"/>
              </w:rPr>
            </w:pPr>
          </w:p>
          <w:p w:rsidR="00A3729C" w:rsidRPr="00EA6851" w:rsidRDefault="00A3729C" w:rsidP="00EF6DA1">
            <w:pPr>
              <w:spacing w:after="120"/>
              <w:rPr>
                <w:rFonts w:asciiTheme="minorHAnsi" w:eastAsia="Times New Roman" w:hAnsiTheme="minorHAnsi" w:cstheme="minorHAnsi"/>
                <w:sz w:val="18"/>
                <w:szCs w:val="18"/>
                <w:lang w:eastAsia="en-US"/>
              </w:rPr>
            </w:pPr>
            <w:r w:rsidRPr="00EA6851">
              <w:rPr>
                <w:rFonts w:asciiTheme="minorHAnsi" w:eastAsia="Times New Roman" w:hAnsiTheme="minorHAnsi" w:cstheme="minorHAnsi"/>
                <w:bCs/>
                <w:iCs/>
                <w:color w:val="000000"/>
                <w:sz w:val="18"/>
                <w:szCs w:val="18"/>
                <w:lang w:eastAsia="en-US"/>
              </w:rPr>
              <w:t>над 1,8</w:t>
            </w:r>
          </w:p>
        </w:tc>
      </w:tr>
    </w:tbl>
    <w:p w:rsidR="00775BAD" w:rsidRPr="00EA6851" w:rsidRDefault="00775BAD" w:rsidP="00A3729C">
      <w:pPr>
        <w:spacing w:before="120" w:after="0"/>
        <w:rPr>
          <w:rFonts w:cs="Times New Roman"/>
          <w:bCs/>
          <w:i/>
          <w:sz w:val="18"/>
          <w:szCs w:val="18"/>
        </w:rPr>
      </w:pPr>
      <w:r w:rsidRPr="00EA6851">
        <w:rPr>
          <w:rFonts w:cs="Times New Roman"/>
          <w:bCs/>
          <w:i/>
          <w:sz w:val="18"/>
          <w:szCs w:val="18"/>
        </w:rPr>
        <w:t>*Целевите стойности са съобразени с РМС № 459/2023 г. и с НПР България 2030.</w:t>
      </w:r>
    </w:p>
    <w:p w:rsidR="00E927FC" w:rsidRPr="00EA6851" w:rsidRDefault="00E927FC" w:rsidP="00E927FC">
      <w:pPr>
        <w:pStyle w:val="Heading3"/>
        <w:ind w:left="0"/>
      </w:pPr>
      <w:r w:rsidRPr="00EA6851">
        <w:t xml:space="preserve">Политика в областта на отбраната </w:t>
      </w:r>
    </w:p>
    <w:p w:rsidR="00CE4003" w:rsidRPr="00EA6851" w:rsidRDefault="00CE4003" w:rsidP="00CE4003">
      <w:pPr>
        <w:rPr>
          <w:rFonts w:eastAsia="Times New Roman" w:cs="Times New Roman"/>
          <w:szCs w:val="24"/>
        </w:rPr>
      </w:pPr>
      <w:r w:rsidRPr="00EA6851">
        <w:rPr>
          <w:rFonts w:eastAsia="Times New Roman" w:cs="Times New Roman"/>
          <w:szCs w:val="24"/>
        </w:rPr>
        <w:t>Политиката в областта на отбраната е свързана с поддържането на оперативно съвместими модерни въоръжени сили (ВС). За нейното реализиране ще се поддържа и развива ефективно и ефикасно планиране на отбраната, базирано на способности, в съответствие с процеса на отбранително планиране на НАТО, Координирания годишен преглед на отбраната в ЕС и в контекста на Постоянното структурирано сътрудничество в отбраната на ЕС. Целта е изграждане, поддържане и използване на необходимите способности на ВС за изпълнение на задачите по отбрана на страната в рамките на колективната отбрана на НАТО, принос към колективната отбрана на Алианса, участие в ръководени от НАТО и ЕС операции и мисии, а също така и принос към националната сигурност в мирно време.</w:t>
      </w:r>
    </w:p>
    <w:p w:rsidR="00CE4003" w:rsidRPr="00EA6851" w:rsidRDefault="00CE4003" w:rsidP="00CE4003">
      <w:pPr>
        <w:rPr>
          <w:rFonts w:eastAsia="Times New Roman" w:cs="Times New Roman"/>
          <w:szCs w:val="24"/>
        </w:rPr>
      </w:pPr>
      <w:r w:rsidRPr="00EA6851">
        <w:rPr>
          <w:rFonts w:eastAsia="Times New Roman" w:cs="Times New Roman"/>
          <w:szCs w:val="24"/>
        </w:rPr>
        <w:t>През прогнозния период ще се провежда активна отбранителна политика на Република България в НАТО, Европейския съюз и други международни и регионални формати и ефективно участие в системата на колективната отбрана на НАТО, Общата политика за сигурност и отбрана на Европейския съюз (ОПСО на ЕС) и в рамките на други международни и регионални инициативи в подкрепа на мира и стабилността в света. Република България ще продължи участието си в процеса на вземане на решения, както и в процеса на изграждане на отбранителни способности на НАТО и ЕС. Освен това, Република България ще продължи съвместната работа и сътрудничество със страните от ЕС в рамките на Постоянното структурирано сътрудничество в областта на отбраната на ЕС (PESCO) и Европейската агенция за отбрана (EDA), както и Европейския фонд за отбрана (EDF) и Европейската програма за индустриално развитие в областта на отбраната (EDIDP).</w:t>
      </w:r>
    </w:p>
    <w:p w:rsidR="00CC26DD" w:rsidRPr="00CC26DD" w:rsidRDefault="00CC26DD" w:rsidP="00CC26DD">
      <w:pPr>
        <w:rPr>
          <w:rFonts w:eastAsia="Times New Roman" w:cs="Times New Roman"/>
          <w:bCs/>
          <w:szCs w:val="24"/>
        </w:rPr>
      </w:pPr>
      <w:r w:rsidRPr="00CC26DD">
        <w:rPr>
          <w:rFonts w:eastAsia="Times New Roman" w:cs="Times New Roman"/>
          <w:szCs w:val="24"/>
        </w:rPr>
        <w:t xml:space="preserve">Разходите за отбрана за 2024 г. са съобразени с референтните разходи </w:t>
      </w:r>
      <w:r w:rsidRPr="00CC26DD">
        <w:rPr>
          <w:rFonts w:eastAsia="Times New Roman" w:cs="Times New Roman"/>
          <w:bCs/>
          <w:iCs/>
          <w:szCs w:val="24"/>
        </w:rPr>
        <w:t xml:space="preserve">по </w:t>
      </w:r>
      <w:r w:rsidRPr="00CC26DD">
        <w:rPr>
          <w:rFonts w:eastAsia="Times New Roman" w:cs="Times New Roman"/>
          <w:szCs w:val="24"/>
        </w:rPr>
        <w:t>Националния план за повишаване на разходите за отбрана на 2 на сто от БВП на Република България до 2024 г., одобрен с РМС № 3/2018 г</w:t>
      </w:r>
      <w:r w:rsidRPr="00CC26DD">
        <w:rPr>
          <w:rFonts w:eastAsia="Times New Roman" w:cs="Times New Roman"/>
          <w:bCs/>
          <w:iCs/>
          <w:szCs w:val="24"/>
        </w:rPr>
        <w:t xml:space="preserve">. </w:t>
      </w:r>
      <w:r w:rsidRPr="00CC26DD">
        <w:rPr>
          <w:rFonts w:eastAsia="Times New Roman" w:cs="Times New Roman"/>
          <w:szCs w:val="24"/>
        </w:rPr>
        <w:t xml:space="preserve">Осигурени са средства за поддържане и развитие на националните отбранителни способности и способностите, свързани с колективната отбрана, в т.ч. средства за изпълнение на инвестиционните проекти за модернизация на Българската армия, а именно: за придобиването на многофункционален модулен патрулен кораб за ВМС, на нов тип боен самолет - II-ри етап, включително и за съпътстващи разходи по придобиването на нов тип боен самолет - </w:t>
      </w:r>
      <w:r w:rsidRPr="00CC26DD">
        <w:rPr>
          <w:rFonts w:eastAsia="Times New Roman" w:cs="Times New Roman"/>
          <w:szCs w:val="24"/>
          <w:lang w:val="en-US"/>
        </w:rPr>
        <w:t>I-</w:t>
      </w:r>
      <w:r w:rsidRPr="00CC26DD">
        <w:rPr>
          <w:rFonts w:eastAsia="Times New Roman" w:cs="Times New Roman"/>
          <w:szCs w:val="24"/>
        </w:rPr>
        <w:t xml:space="preserve">ви и </w:t>
      </w:r>
      <w:r w:rsidRPr="00CC26DD">
        <w:rPr>
          <w:rFonts w:eastAsia="Times New Roman" w:cs="Times New Roman"/>
          <w:szCs w:val="24"/>
          <w:lang w:val="en-US"/>
        </w:rPr>
        <w:t>II</w:t>
      </w:r>
      <w:r w:rsidRPr="00CC26DD">
        <w:rPr>
          <w:rFonts w:eastAsia="Times New Roman" w:cs="Times New Roman"/>
          <w:szCs w:val="24"/>
        </w:rPr>
        <w:t>-ри етап, на основна бойна техника за изграждане на батальонни бойни групи от състава на механизирана бригада, на ракетна система Javelin за бойните машини и на 3D радари. Допълнително са предвидени ср</w:t>
      </w:r>
      <w:r w:rsidRPr="00CC26DD">
        <w:rPr>
          <w:rFonts w:eastAsia="Times New Roman" w:cs="Times New Roman"/>
          <w:bCs/>
          <w:szCs w:val="24"/>
        </w:rPr>
        <w:t xml:space="preserve">едства </w:t>
      </w:r>
      <w:r w:rsidRPr="00CC26DD">
        <w:rPr>
          <w:rFonts w:eastAsia="Times New Roman" w:cs="Times New Roman"/>
          <w:szCs w:val="24"/>
        </w:rPr>
        <w:t>за придобиване на боеприпаси и горива за бойна подготовка,</w:t>
      </w:r>
      <w:r w:rsidRPr="00CC26DD">
        <w:rPr>
          <w:rFonts w:eastAsia="Times New Roman" w:cs="Times New Roman"/>
          <w:bCs/>
          <w:szCs w:val="24"/>
        </w:rPr>
        <w:t xml:space="preserve"> за придобиване, модернизация, поддръжка и ремонт на въоръжение, ракети, торпеда и техника, и за ремонт и изграждане на инфраструктура, както и за изпълнението на други политики.</w:t>
      </w:r>
    </w:p>
    <w:p w:rsidR="001B2BEC" w:rsidRPr="00EA6851" w:rsidRDefault="00CE4003">
      <w:pPr>
        <w:rPr>
          <w:rFonts w:eastAsia="Times New Roman" w:cs="Times New Roman"/>
          <w:szCs w:val="24"/>
        </w:rPr>
      </w:pPr>
      <w:r w:rsidRPr="00EA6851">
        <w:rPr>
          <w:rFonts w:eastAsia="Times New Roman" w:cs="Times New Roman"/>
          <w:szCs w:val="24"/>
        </w:rPr>
        <w:t xml:space="preserve">В разходите за отбрана, съгласно класификацията на НАТО, са включени и разходите за пенсии за пенсионираните военнослужещи, намалени с отчисленията за военнослужещите към пенсионните фондове, разходите на военните съдилища и военни прокуратури, разходите за издръжка на Постоянната делегация на Република България в НАТО, вноската на Република България към гражданския бюджет на НАТО и към Европейския механизъм за подкрепа на мира, изплащани от бюджета на Министерството на външните работи (МВнР) и вноската на Република България към фонда на НАТО за иновации, изплащана от бюджета на Министерството на иновациите и растежа (МИР). По този начин планирани, </w:t>
      </w:r>
      <w:r w:rsidRPr="00EA6851">
        <w:rPr>
          <w:rFonts w:eastAsia="Times New Roman" w:cs="Times New Roman"/>
          <w:b/>
          <w:szCs w:val="24"/>
        </w:rPr>
        <w:t>разходите за отбрана в общ размер възлизат на 2,05 на сто от БВП за 2024 г., като изискването за достигане на разходите за отбрана до определения процент от БВП,</w:t>
      </w:r>
      <w:r w:rsidRPr="00EA6851">
        <w:rPr>
          <w:rFonts w:eastAsia="Times New Roman" w:cs="Times New Roman"/>
          <w:szCs w:val="24"/>
        </w:rPr>
        <w:t xml:space="preserve"> в съответствие с Националния план за повишаване на разходите за отбрана на 2 на сто от БВП на Република България до 2024 г., одобрен с РМС № 3/2018 г., </w:t>
      </w:r>
      <w:r w:rsidRPr="00EA6851">
        <w:rPr>
          <w:rFonts w:eastAsia="Times New Roman" w:cs="Times New Roman"/>
          <w:b/>
          <w:bCs/>
          <w:iCs/>
          <w:szCs w:val="24"/>
        </w:rPr>
        <w:t>за 2024 г.</w:t>
      </w:r>
      <w:r w:rsidRPr="00EA6851">
        <w:rPr>
          <w:rFonts w:eastAsia="Times New Roman" w:cs="Times New Roman"/>
          <w:bCs/>
          <w:iCs/>
          <w:szCs w:val="24"/>
        </w:rPr>
        <w:t xml:space="preserve">  </w:t>
      </w:r>
      <w:r w:rsidRPr="00EA6851">
        <w:rPr>
          <w:rFonts w:eastAsia="Times New Roman" w:cs="Times New Roman"/>
          <w:b/>
          <w:szCs w:val="24"/>
        </w:rPr>
        <w:t>надвишава определения процент (2 на сто от БВП)</w:t>
      </w:r>
      <w:r w:rsidR="0080730F" w:rsidRPr="00EA6851">
        <w:rPr>
          <w:rFonts w:eastAsia="Times New Roman" w:cs="Times New Roman"/>
          <w:szCs w:val="24"/>
        </w:rPr>
        <w:t>.</w:t>
      </w:r>
    </w:p>
    <w:p w:rsidR="00A73BF9" w:rsidRDefault="000E564D" w:rsidP="004E6F53">
      <w:pPr>
        <w:pStyle w:val="Caption"/>
        <w:spacing w:after="0"/>
      </w:pPr>
      <w:bookmarkStart w:id="325" w:name="_Toc150443425"/>
      <w:r w:rsidRPr="00EA6851">
        <w:t xml:space="preserve">Табл. </w:t>
      </w:r>
      <w:fldSimple w:instr=" STYLEREF 1 \s ">
        <w:r w:rsidR="005A69ED">
          <w:rPr>
            <w:noProof/>
          </w:rPr>
          <w:t>III</w:t>
        </w:r>
      </w:fldSimple>
      <w:r w:rsidRPr="00EA6851">
        <w:noBreakHyphen/>
      </w:r>
      <w:fldSimple w:instr=" SEQ Табл. \* ARABIC \s 1 ">
        <w:r w:rsidR="005A69ED">
          <w:rPr>
            <w:noProof/>
          </w:rPr>
          <w:t>2</w:t>
        </w:r>
      </w:fldSimple>
      <w:r w:rsidRPr="00EA6851">
        <w:t>:</w:t>
      </w:r>
      <w:r w:rsidRPr="00EA6851">
        <w:tab/>
        <w:t>Разходи за отбрана за периода 202</w:t>
      </w:r>
      <w:r w:rsidR="00706743" w:rsidRPr="00EA6851">
        <w:t>3</w:t>
      </w:r>
      <w:r w:rsidR="00CE4003" w:rsidRPr="00EA6851">
        <w:t>-2026</w:t>
      </w:r>
      <w:r w:rsidRPr="00EA6851">
        <w:t xml:space="preserve"> г.</w:t>
      </w:r>
      <w:bookmarkEnd w:id="325"/>
      <w:r w:rsidRPr="00EA6851">
        <w:t xml:space="preserve"> </w:t>
      </w:r>
    </w:p>
    <w:tbl>
      <w:tblPr>
        <w:tblW w:w="9356" w:type="dxa"/>
        <w:tblLayout w:type="fixed"/>
        <w:tblCellMar>
          <w:left w:w="70" w:type="dxa"/>
          <w:right w:w="70" w:type="dxa"/>
        </w:tblCellMar>
        <w:tblLook w:val="04A0" w:firstRow="1" w:lastRow="0" w:firstColumn="1" w:lastColumn="0" w:noHBand="0" w:noVBand="1"/>
      </w:tblPr>
      <w:tblGrid>
        <w:gridCol w:w="5387"/>
        <w:gridCol w:w="1007"/>
        <w:gridCol w:w="977"/>
        <w:gridCol w:w="993"/>
        <w:gridCol w:w="992"/>
      </w:tblGrid>
      <w:tr w:rsidR="00A73BF9" w:rsidRPr="00EA6851" w:rsidTr="00206BD2">
        <w:trPr>
          <w:trHeight w:val="315"/>
        </w:trPr>
        <w:tc>
          <w:tcPr>
            <w:tcW w:w="5387" w:type="dxa"/>
            <w:tcBorders>
              <w:top w:val="nil"/>
              <w:left w:val="nil"/>
              <w:bottom w:val="single" w:sz="4" w:space="0" w:color="auto"/>
              <w:right w:val="nil"/>
            </w:tcBorders>
            <w:shd w:val="clear" w:color="auto" w:fill="auto"/>
            <w:noWrap/>
            <w:vAlign w:val="bottom"/>
            <w:hideMark/>
          </w:tcPr>
          <w:p w:rsidR="00A73BF9" w:rsidRPr="00EA6851" w:rsidRDefault="00A73BF9" w:rsidP="00206BD2">
            <w:pPr>
              <w:spacing w:after="0"/>
              <w:jc w:val="left"/>
              <w:rPr>
                <w:rFonts w:eastAsia="Times New Roman" w:cs="Times New Roman"/>
                <w:sz w:val="20"/>
                <w:szCs w:val="20"/>
              </w:rPr>
            </w:pPr>
            <w:r w:rsidRPr="00EA6851">
              <w:rPr>
                <w:rFonts w:eastAsia="Times New Roman" w:cs="Times New Roman"/>
                <w:sz w:val="20"/>
                <w:szCs w:val="20"/>
              </w:rPr>
              <w:t> </w:t>
            </w:r>
          </w:p>
        </w:tc>
        <w:tc>
          <w:tcPr>
            <w:tcW w:w="1007" w:type="dxa"/>
            <w:tcBorders>
              <w:top w:val="nil"/>
              <w:left w:val="nil"/>
              <w:bottom w:val="single" w:sz="4" w:space="0" w:color="auto"/>
              <w:right w:val="nil"/>
            </w:tcBorders>
            <w:shd w:val="clear" w:color="auto" w:fill="auto"/>
            <w:noWrap/>
            <w:vAlign w:val="bottom"/>
            <w:hideMark/>
          </w:tcPr>
          <w:p w:rsidR="00A73BF9" w:rsidRPr="00EA6851" w:rsidRDefault="00A73BF9" w:rsidP="00206BD2">
            <w:pPr>
              <w:spacing w:after="0"/>
              <w:jc w:val="left"/>
              <w:rPr>
                <w:rFonts w:eastAsia="Times New Roman" w:cs="Times New Roman"/>
                <w:sz w:val="20"/>
                <w:szCs w:val="20"/>
              </w:rPr>
            </w:pPr>
            <w:r w:rsidRPr="00EA6851">
              <w:rPr>
                <w:rFonts w:eastAsia="Times New Roman" w:cs="Times New Roman"/>
                <w:sz w:val="20"/>
                <w:szCs w:val="20"/>
              </w:rPr>
              <w:t> </w:t>
            </w:r>
          </w:p>
        </w:tc>
        <w:tc>
          <w:tcPr>
            <w:tcW w:w="977" w:type="dxa"/>
            <w:tcBorders>
              <w:top w:val="nil"/>
              <w:left w:val="nil"/>
              <w:bottom w:val="single" w:sz="4" w:space="0" w:color="auto"/>
              <w:right w:val="nil"/>
            </w:tcBorders>
            <w:shd w:val="clear" w:color="auto" w:fill="auto"/>
            <w:noWrap/>
            <w:vAlign w:val="bottom"/>
            <w:hideMark/>
          </w:tcPr>
          <w:p w:rsidR="00A73BF9" w:rsidRPr="00EA6851" w:rsidRDefault="00A73BF9" w:rsidP="00206BD2">
            <w:pPr>
              <w:spacing w:after="0"/>
              <w:jc w:val="left"/>
              <w:rPr>
                <w:rFonts w:eastAsia="Times New Roman" w:cs="Times New Roman"/>
                <w:sz w:val="20"/>
                <w:szCs w:val="20"/>
              </w:rPr>
            </w:pPr>
            <w:r w:rsidRPr="00EA6851">
              <w:rPr>
                <w:rFonts w:eastAsia="Times New Roman" w:cs="Times New Roman"/>
                <w:sz w:val="20"/>
                <w:szCs w:val="20"/>
              </w:rPr>
              <w:t> </w:t>
            </w:r>
          </w:p>
        </w:tc>
        <w:tc>
          <w:tcPr>
            <w:tcW w:w="993" w:type="dxa"/>
            <w:tcBorders>
              <w:top w:val="nil"/>
              <w:left w:val="nil"/>
              <w:bottom w:val="single" w:sz="4" w:space="0" w:color="auto"/>
              <w:right w:val="nil"/>
            </w:tcBorders>
            <w:shd w:val="clear" w:color="auto" w:fill="auto"/>
            <w:noWrap/>
            <w:vAlign w:val="bottom"/>
            <w:hideMark/>
          </w:tcPr>
          <w:p w:rsidR="00A73BF9" w:rsidRPr="00EA6851" w:rsidRDefault="00A73BF9" w:rsidP="00206BD2">
            <w:pPr>
              <w:spacing w:after="0"/>
              <w:jc w:val="center"/>
              <w:rPr>
                <w:rFonts w:eastAsia="Times New Roman" w:cs="Times New Roman"/>
                <w:b/>
                <w:bCs/>
                <w:sz w:val="20"/>
                <w:szCs w:val="20"/>
              </w:rPr>
            </w:pPr>
            <w:r w:rsidRPr="00EA6851">
              <w:rPr>
                <w:rFonts w:eastAsia="Times New Roman" w:cs="Times New Roman"/>
                <w:b/>
                <w:bCs/>
                <w:sz w:val="20"/>
                <w:szCs w:val="20"/>
              </w:rPr>
              <w:t> </w:t>
            </w:r>
          </w:p>
        </w:tc>
        <w:tc>
          <w:tcPr>
            <w:tcW w:w="992" w:type="dxa"/>
            <w:tcBorders>
              <w:top w:val="nil"/>
              <w:left w:val="nil"/>
              <w:bottom w:val="single" w:sz="4" w:space="0" w:color="auto"/>
              <w:right w:val="nil"/>
            </w:tcBorders>
            <w:shd w:val="clear" w:color="auto" w:fill="auto"/>
            <w:noWrap/>
            <w:vAlign w:val="bottom"/>
            <w:hideMark/>
          </w:tcPr>
          <w:p w:rsidR="00A73BF9" w:rsidRPr="00EA6851" w:rsidRDefault="00A73BF9" w:rsidP="00206BD2">
            <w:pPr>
              <w:spacing w:after="0"/>
              <w:jc w:val="center"/>
              <w:rPr>
                <w:rFonts w:eastAsia="Times New Roman" w:cs="Times New Roman"/>
                <w:b/>
                <w:bCs/>
                <w:sz w:val="20"/>
                <w:szCs w:val="20"/>
              </w:rPr>
            </w:pPr>
            <w:r w:rsidRPr="00EA6851">
              <w:rPr>
                <w:rFonts w:eastAsia="Times New Roman" w:cs="Times New Roman"/>
                <w:b/>
                <w:bCs/>
                <w:sz w:val="20"/>
                <w:szCs w:val="20"/>
              </w:rPr>
              <w:t>/млн. лв./</w:t>
            </w:r>
          </w:p>
        </w:tc>
      </w:tr>
      <w:tr w:rsidR="00A73BF9" w:rsidRPr="00EA6851" w:rsidTr="00206BD2">
        <w:trPr>
          <w:trHeight w:val="630"/>
        </w:trPr>
        <w:tc>
          <w:tcPr>
            <w:tcW w:w="5387" w:type="dxa"/>
            <w:tcBorders>
              <w:top w:val="nil"/>
              <w:left w:val="nil"/>
              <w:bottom w:val="single" w:sz="4" w:space="0" w:color="auto"/>
              <w:right w:val="nil"/>
            </w:tcBorders>
            <w:shd w:val="clear" w:color="auto" w:fill="auto"/>
            <w:noWrap/>
            <w:vAlign w:val="center"/>
            <w:hideMark/>
          </w:tcPr>
          <w:p w:rsidR="00A73BF9" w:rsidRPr="00EA6851" w:rsidRDefault="00A73BF9" w:rsidP="00206BD2">
            <w:pPr>
              <w:spacing w:after="0"/>
              <w:jc w:val="center"/>
              <w:rPr>
                <w:rFonts w:eastAsia="Times New Roman" w:cs="Times New Roman"/>
                <w:b/>
                <w:bCs/>
                <w:sz w:val="20"/>
                <w:szCs w:val="20"/>
              </w:rPr>
            </w:pPr>
            <w:r w:rsidRPr="00EA6851">
              <w:rPr>
                <w:rFonts w:eastAsia="Times New Roman" w:cs="Times New Roman"/>
                <w:b/>
                <w:bCs/>
                <w:sz w:val="20"/>
                <w:szCs w:val="20"/>
              </w:rPr>
              <w:t>Показатели/години</w:t>
            </w:r>
          </w:p>
        </w:tc>
        <w:tc>
          <w:tcPr>
            <w:tcW w:w="1007" w:type="dxa"/>
            <w:tcBorders>
              <w:top w:val="nil"/>
              <w:left w:val="nil"/>
              <w:bottom w:val="single" w:sz="4" w:space="0" w:color="auto"/>
              <w:right w:val="nil"/>
            </w:tcBorders>
            <w:shd w:val="clear" w:color="auto" w:fill="auto"/>
            <w:vAlign w:val="center"/>
            <w:hideMark/>
          </w:tcPr>
          <w:p w:rsidR="00A73BF9" w:rsidRPr="00EA6851" w:rsidRDefault="00A73BF9" w:rsidP="00206BD2">
            <w:pPr>
              <w:spacing w:after="0"/>
              <w:jc w:val="center"/>
              <w:rPr>
                <w:rFonts w:eastAsia="Times New Roman" w:cs="Times New Roman"/>
                <w:b/>
                <w:bCs/>
                <w:i/>
                <w:iCs/>
                <w:sz w:val="20"/>
                <w:szCs w:val="20"/>
              </w:rPr>
            </w:pPr>
            <w:r w:rsidRPr="00EA6851">
              <w:rPr>
                <w:rFonts w:eastAsia="Times New Roman" w:cs="Times New Roman"/>
                <w:b/>
                <w:bCs/>
                <w:i/>
                <w:iCs/>
                <w:sz w:val="20"/>
                <w:szCs w:val="20"/>
              </w:rPr>
              <w:t>Програма                     2023 г.</w:t>
            </w:r>
          </w:p>
        </w:tc>
        <w:tc>
          <w:tcPr>
            <w:tcW w:w="977" w:type="dxa"/>
            <w:tcBorders>
              <w:top w:val="nil"/>
              <w:left w:val="nil"/>
              <w:bottom w:val="single" w:sz="4" w:space="0" w:color="auto"/>
              <w:right w:val="nil"/>
            </w:tcBorders>
            <w:shd w:val="clear" w:color="auto" w:fill="auto"/>
            <w:vAlign w:val="center"/>
            <w:hideMark/>
          </w:tcPr>
          <w:p w:rsidR="00A73BF9" w:rsidRPr="00EA6851" w:rsidRDefault="00A73BF9" w:rsidP="00206BD2">
            <w:pPr>
              <w:spacing w:after="0"/>
              <w:jc w:val="center"/>
              <w:rPr>
                <w:rFonts w:eastAsia="Times New Roman" w:cs="Times New Roman"/>
                <w:b/>
                <w:bCs/>
                <w:sz w:val="20"/>
                <w:szCs w:val="20"/>
              </w:rPr>
            </w:pPr>
            <w:r w:rsidRPr="00EA6851">
              <w:rPr>
                <w:rFonts w:eastAsia="Times New Roman" w:cs="Times New Roman"/>
                <w:b/>
                <w:bCs/>
                <w:sz w:val="20"/>
                <w:szCs w:val="20"/>
              </w:rPr>
              <w:t xml:space="preserve">Проект </w:t>
            </w:r>
            <w:r w:rsidRPr="00EA6851">
              <w:rPr>
                <w:rFonts w:eastAsia="Times New Roman" w:cs="Times New Roman"/>
                <w:b/>
                <w:bCs/>
                <w:sz w:val="20"/>
                <w:szCs w:val="20"/>
              </w:rPr>
              <w:br/>
              <w:t xml:space="preserve">2024 г. </w:t>
            </w:r>
          </w:p>
        </w:tc>
        <w:tc>
          <w:tcPr>
            <w:tcW w:w="993" w:type="dxa"/>
            <w:tcBorders>
              <w:top w:val="nil"/>
              <w:left w:val="nil"/>
              <w:bottom w:val="single" w:sz="4" w:space="0" w:color="auto"/>
              <w:right w:val="nil"/>
            </w:tcBorders>
            <w:shd w:val="clear" w:color="auto" w:fill="auto"/>
            <w:vAlign w:val="center"/>
            <w:hideMark/>
          </w:tcPr>
          <w:p w:rsidR="00A73BF9" w:rsidRPr="00EA6851" w:rsidRDefault="00A73BF9" w:rsidP="00206BD2">
            <w:pPr>
              <w:spacing w:after="0"/>
              <w:jc w:val="center"/>
              <w:rPr>
                <w:rFonts w:eastAsia="Times New Roman" w:cs="Times New Roman"/>
                <w:b/>
                <w:bCs/>
                <w:i/>
                <w:iCs/>
                <w:sz w:val="20"/>
                <w:szCs w:val="20"/>
              </w:rPr>
            </w:pPr>
            <w:r w:rsidRPr="00EA6851">
              <w:rPr>
                <w:rFonts w:eastAsia="Times New Roman" w:cs="Times New Roman"/>
                <w:b/>
                <w:bCs/>
                <w:i/>
                <w:iCs/>
                <w:sz w:val="20"/>
                <w:szCs w:val="20"/>
              </w:rPr>
              <w:t xml:space="preserve">Прогноза </w:t>
            </w:r>
            <w:r w:rsidRPr="00EA6851">
              <w:rPr>
                <w:rFonts w:eastAsia="Times New Roman" w:cs="Times New Roman"/>
                <w:b/>
                <w:bCs/>
                <w:i/>
                <w:iCs/>
                <w:sz w:val="20"/>
                <w:szCs w:val="20"/>
              </w:rPr>
              <w:br/>
              <w:t xml:space="preserve">2025 г. </w:t>
            </w:r>
          </w:p>
        </w:tc>
        <w:tc>
          <w:tcPr>
            <w:tcW w:w="992" w:type="dxa"/>
            <w:tcBorders>
              <w:top w:val="nil"/>
              <w:left w:val="nil"/>
              <w:bottom w:val="single" w:sz="4" w:space="0" w:color="auto"/>
              <w:right w:val="nil"/>
            </w:tcBorders>
            <w:shd w:val="clear" w:color="auto" w:fill="auto"/>
            <w:vAlign w:val="center"/>
            <w:hideMark/>
          </w:tcPr>
          <w:p w:rsidR="00A73BF9" w:rsidRPr="00EA6851" w:rsidRDefault="00A73BF9" w:rsidP="00206BD2">
            <w:pPr>
              <w:spacing w:after="0"/>
              <w:jc w:val="center"/>
              <w:rPr>
                <w:rFonts w:eastAsia="Times New Roman" w:cs="Times New Roman"/>
                <w:b/>
                <w:bCs/>
                <w:i/>
                <w:iCs/>
                <w:sz w:val="20"/>
                <w:szCs w:val="20"/>
              </w:rPr>
            </w:pPr>
            <w:r w:rsidRPr="00EA6851">
              <w:rPr>
                <w:rFonts w:eastAsia="Times New Roman" w:cs="Times New Roman"/>
                <w:b/>
                <w:bCs/>
                <w:i/>
                <w:iCs/>
                <w:sz w:val="20"/>
                <w:szCs w:val="20"/>
              </w:rPr>
              <w:t xml:space="preserve">Прогноза </w:t>
            </w:r>
            <w:r w:rsidRPr="00EA6851">
              <w:rPr>
                <w:rFonts w:eastAsia="Times New Roman" w:cs="Times New Roman"/>
                <w:b/>
                <w:bCs/>
                <w:i/>
                <w:iCs/>
                <w:sz w:val="20"/>
                <w:szCs w:val="20"/>
              </w:rPr>
              <w:br/>
              <w:t xml:space="preserve">2026 г. </w:t>
            </w:r>
          </w:p>
        </w:tc>
      </w:tr>
      <w:tr w:rsidR="00A73BF9" w:rsidRPr="00EA6851" w:rsidTr="00206BD2">
        <w:trPr>
          <w:trHeight w:val="315"/>
        </w:trPr>
        <w:tc>
          <w:tcPr>
            <w:tcW w:w="5387" w:type="dxa"/>
            <w:tcBorders>
              <w:top w:val="nil"/>
              <w:left w:val="nil"/>
              <w:bottom w:val="nil"/>
              <w:right w:val="nil"/>
            </w:tcBorders>
            <w:shd w:val="clear" w:color="000000" w:fill="F2F2F2"/>
            <w:noWrap/>
            <w:vAlign w:val="bottom"/>
            <w:hideMark/>
          </w:tcPr>
          <w:p w:rsidR="00A73BF9" w:rsidRPr="00EA6851" w:rsidRDefault="00A73BF9" w:rsidP="00206BD2">
            <w:pPr>
              <w:spacing w:after="0"/>
              <w:jc w:val="left"/>
              <w:rPr>
                <w:rFonts w:eastAsia="Times New Roman" w:cs="Times New Roman"/>
                <w:b/>
                <w:bCs/>
                <w:sz w:val="20"/>
                <w:szCs w:val="20"/>
              </w:rPr>
            </w:pPr>
            <w:r w:rsidRPr="00EA6851">
              <w:rPr>
                <w:rFonts w:eastAsia="Times New Roman" w:cs="Times New Roman"/>
                <w:b/>
                <w:bCs/>
                <w:sz w:val="20"/>
                <w:szCs w:val="20"/>
              </w:rPr>
              <w:t xml:space="preserve">Разходи за отбрана, съгласно класификацията на НАТО </w:t>
            </w:r>
          </w:p>
        </w:tc>
        <w:tc>
          <w:tcPr>
            <w:tcW w:w="1007" w:type="dxa"/>
            <w:tcBorders>
              <w:top w:val="nil"/>
              <w:left w:val="nil"/>
              <w:bottom w:val="nil"/>
              <w:right w:val="nil"/>
            </w:tcBorders>
            <w:shd w:val="clear" w:color="000000" w:fill="F2F2F2"/>
            <w:noWrap/>
            <w:vAlign w:val="bottom"/>
            <w:hideMark/>
          </w:tcPr>
          <w:p w:rsidR="00A73BF9" w:rsidRPr="00EA6851" w:rsidRDefault="00A73BF9" w:rsidP="00206BD2">
            <w:pPr>
              <w:spacing w:after="0"/>
              <w:jc w:val="right"/>
              <w:rPr>
                <w:rFonts w:eastAsia="Times New Roman" w:cs="Times New Roman"/>
                <w:b/>
                <w:bCs/>
                <w:sz w:val="20"/>
                <w:szCs w:val="20"/>
              </w:rPr>
            </w:pPr>
            <w:r w:rsidRPr="00EA6851">
              <w:rPr>
                <w:rFonts w:eastAsia="Times New Roman" w:cs="Times New Roman"/>
                <w:b/>
                <w:bCs/>
                <w:sz w:val="20"/>
                <w:szCs w:val="20"/>
              </w:rPr>
              <w:t>3 473,0</w:t>
            </w:r>
          </w:p>
        </w:tc>
        <w:tc>
          <w:tcPr>
            <w:tcW w:w="977" w:type="dxa"/>
            <w:tcBorders>
              <w:top w:val="nil"/>
              <w:left w:val="nil"/>
              <w:bottom w:val="nil"/>
              <w:right w:val="nil"/>
            </w:tcBorders>
            <w:shd w:val="clear" w:color="000000" w:fill="F2F2F2"/>
            <w:noWrap/>
            <w:vAlign w:val="bottom"/>
            <w:hideMark/>
          </w:tcPr>
          <w:p w:rsidR="00A73BF9" w:rsidRPr="00EA6851" w:rsidRDefault="00A73BF9" w:rsidP="00206BD2">
            <w:pPr>
              <w:spacing w:after="0"/>
              <w:jc w:val="right"/>
              <w:rPr>
                <w:rFonts w:eastAsia="Times New Roman" w:cs="Times New Roman"/>
                <w:b/>
                <w:bCs/>
                <w:sz w:val="20"/>
                <w:szCs w:val="20"/>
              </w:rPr>
            </w:pPr>
            <w:r w:rsidRPr="00EA6851">
              <w:rPr>
                <w:rFonts w:eastAsia="Times New Roman" w:cs="Times New Roman"/>
                <w:b/>
                <w:bCs/>
                <w:sz w:val="20"/>
                <w:szCs w:val="20"/>
              </w:rPr>
              <w:t>4 217,0</w:t>
            </w:r>
          </w:p>
        </w:tc>
        <w:tc>
          <w:tcPr>
            <w:tcW w:w="993" w:type="dxa"/>
            <w:tcBorders>
              <w:top w:val="nil"/>
              <w:left w:val="nil"/>
              <w:bottom w:val="nil"/>
              <w:right w:val="nil"/>
            </w:tcBorders>
            <w:shd w:val="clear" w:color="000000" w:fill="F2F2F2"/>
            <w:noWrap/>
            <w:vAlign w:val="bottom"/>
            <w:hideMark/>
          </w:tcPr>
          <w:p w:rsidR="00A73BF9" w:rsidRPr="00EA6851" w:rsidRDefault="00A73BF9" w:rsidP="00206BD2">
            <w:pPr>
              <w:spacing w:after="0"/>
              <w:jc w:val="right"/>
              <w:rPr>
                <w:rFonts w:eastAsia="Times New Roman" w:cs="Times New Roman"/>
                <w:b/>
                <w:bCs/>
                <w:sz w:val="20"/>
                <w:szCs w:val="20"/>
              </w:rPr>
            </w:pPr>
            <w:r w:rsidRPr="00EA6851">
              <w:rPr>
                <w:rFonts w:eastAsia="Times New Roman" w:cs="Times New Roman"/>
                <w:b/>
                <w:bCs/>
                <w:sz w:val="20"/>
                <w:szCs w:val="20"/>
              </w:rPr>
              <w:t>4 354,6</w:t>
            </w:r>
          </w:p>
        </w:tc>
        <w:tc>
          <w:tcPr>
            <w:tcW w:w="992" w:type="dxa"/>
            <w:tcBorders>
              <w:top w:val="nil"/>
              <w:left w:val="nil"/>
              <w:bottom w:val="nil"/>
              <w:right w:val="nil"/>
            </w:tcBorders>
            <w:shd w:val="clear" w:color="000000" w:fill="F2F2F2"/>
            <w:noWrap/>
            <w:vAlign w:val="bottom"/>
            <w:hideMark/>
          </w:tcPr>
          <w:p w:rsidR="00A73BF9" w:rsidRPr="00EA6851" w:rsidRDefault="00A73BF9" w:rsidP="00206BD2">
            <w:pPr>
              <w:spacing w:after="0"/>
              <w:jc w:val="right"/>
              <w:rPr>
                <w:rFonts w:eastAsia="Times New Roman" w:cs="Times New Roman"/>
                <w:b/>
                <w:bCs/>
                <w:sz w:val="20"/>
                <w:szCs w:val="20"/>
              </w:rPr>
            </w:pPr>
            <w:r w:rsidRPr="00EA6851">
              <w:rPr>
                <w:rFonts w:eastAsia="Times New Roman" w:cs="Times New Roman"/>
                <w:b/>
                <w:bCs/>
                <w:sz w:val="20"/>
                <w:szCs w:val="20"/>
              </w:rPr>
              <w:t>5 151,1</w:t>
            </w:r>
          </w:p>
        </w:tc>
      </w:tr>
      <w:tr w:rsidR="00A73BF9" w:rsidRPr="00EA6851" w:rsidTr="00206BD2">
        <w:trPr>
          <w:trHeight w:val="315"/>
        </w:trPr>
        <w:tc>
          <w:tcPr>
            <w:tcW w:w="5387" w:type="dxa"/>
            <w:tcBorders>
              <w:top w:val="nil"/>
              <w:left w:val="nil"/>
              <w:bottom w:val="nil"/>
              <w:right w:val="nil"/>
            </w:tcBorders>
            <w:shd w:val="clear" w:color="auto" w:fill="auto"/>
            <w:vAlign w:val="bottom"/>
            <w:hideMark/>
          </w:tcPr>
          <w:p w:rsidR="00A73BF9" w:rsidRPr="00EA6851" w:rsidRDefault="00A73BF9" w:rsidP="00206BD2">
            <w:pPr>
              <w:spacing w:after="0"/>
              <w:jc w:val="left"/>
              <w:rPr>
                <w:rFonts w:eastAsia="Times New Roman" w:cs="Times New Roman"/>
                <w:sz w:val="20"/>
                <w:szCs w:val="20"/>
              </w:rPr>
            </w:pPr>
            <w:r w:rsidRPr="00EA6851">
              <w:rPr>
                <w:rFonts w:eastAsia="Times New Roman" w:cs="Times New Roman"/>
                <w:sz w:val="20"/>
                <w:szCs w:val="20"/>
              </w:rPr>
              <w:t>в т.ч.:</w:t>
            </w:r>
          </w:p>
        </w:tc>
        <w:tc>
          <w:tcPr>
            <w:tcW w:w="1007" w:type="dxa"/>
            <w:tcBorders>
              <w:top w:val="nil"/>
              <w:left w:val="nil"/>
              <w:bottom w:val="nil"/>
              <w:right w:val="nil"/>
            </w:tcBorders>
            <w:shd w:val="clear" w:color="auto" w:fill="auto"/>
            <w:noWrap/>
            <w:vAlign w:val="bottom"/>
            <w:hideMark/>
          </w:tcPr>
          <w:p w:rsidR="00A73BF9" w:rsidRPr="00EA6851" w:rsidRDefault="00A73BF9" w:rsidP="00206BD2">
            <w:pPr>
              <w:spacing w:after="0"/>
              <w:jc w:val="left"/>
              <w:rPr>
                <w:rFonts w:eastAsia="Times New Roman" w:cs="Times New Roman"/>
                <w:sz w:val="20"/>
                <w:szCs w:val="20"/>
              </w:rPr>
            </w:pPr>
          </w:p>
        </w:tc>
        <w:tc>
          <w:tcPr>
            <w:tcW w:w="977" w:type="dxa"/>
            <w:tcBorders>
              <w:top w:val="nil"/>
              <w:left w:val="nil"/>
              <w:bottom w:val="nil"/>
              <w:right w:val="nil"/>
            </w:tcBorders>
            <w:shd w:val="clear" w:color="auto" w:fill="auto"/>
            <w:noWrap/>
            <w:vAlign w:val="bottom"/>
            <w:hideMark/>
          </w:tcPr>
          <w:p w:rsidR="00A73BF9" w:rsidRPr="00EA6851" w:rsidRDefault="00A73BF9" w:rsidP="00206BD2">
            <w:pPr>
              <w:spacing w:after="0"/>
              <w:jc w:val="left"/>
              <w:rPr>
                <w:rFonts w:eastAsia="Times New Roman" w:cs="Times New Roman"/>
                <w:sz w:val="20"/>
                <w:szCs w:val="20"/>
              </w:rPr>
            </w:pPr>
          </w:p>
        </w:tc>
        <w:tc>
          <w:tcPr>
            <w:tcW w:w="993" w:type="dxa"/>
            <w:tcBorders>
              <w:top w:val="nil"/>
              <w:left w:val="nil"/>
              <w:bottom w:val="nil"/>
              <w:right w:val="nil"/>
            </w:tcBorders>
            <w:shd w:val="clear" w:color="auto" w:fill="auto"/>
            <w:noWrap/>
            <w:vAlign w:val="bottom"/>
            <w:hideMark/>
          </w:tcPr>
          <w:p w:rsidR="00A73BF9" w:rsidRPr="00EA6851" w:rsidRDefault="00A73BF9" w:rsidP="00206BD2">
            <w:pPr>
              <w:spacing w:after="0"/>
              <w:jc w:val="left"/>
              <w:rPr>
                <w:rFonts w:eastAsia="Times New Roman" w:cs="Times New Roman"/>
                <w:sz w:val="20"/>
                <w:szCs w:val="20"/>
              </w:rPr>
            </w:pPr>
          </w:p>
        </w:tc>
        <w:tc>
          <w:tcPr>
            <w:tcW w:w="992" w:type="dxa"/>
            <w:tcBorders>
              <w:top w:val="nil"/>
              <w:left w:val="nil"/>
              <w:bottom w:val="nil"/>
              <w:right w:val="nil"/>
            </w:tcBorders>
            <w:shd w:val="clear" w:color="auto" w:fill="auto"/>
            <w:noWrap/>
            <w:vAlign w:val="bottom"/>
            <w:hideMark/>
          </w:tcPr>
          <w:p w:rsidR="00A73BF9" w:rsidRPr="00EA6851" w:rsidRDefault="00A73BF9" w:rsidP="00206BD2">
            <w:pPr>
              <w:spacing w:after="0"/>
              <w:jc w:val="left"/>
              <w:rPr>
                <w:rFonts w:eastAsia="Times New Roman" w:cs="Times New Roman"/>
                <w:sz w:val="20"/>
                <w:szCs w:val="20"/>
              </w:rPr>
            </w:pPr>
          </w:p>
        </w:tc>
      </w:tr>
      <w:tr w:rsidR="00A73BF9" w:rsidRPr="00EA6851" w:rsidTr="00206BD2">
        <w:trPr>
          <w:trHeight w:val="315"/>
        </w:trPr>
        <w:tc>
          <w:tcPr>
            <w:tcW w:w="5387" w:type="dxa"/>
            <w:tcBorders>
              <w:top w:val="nil"/>
              <w:left w:val="nil"/>
              <w:bottom w:val="nil"/>
              <w:right w:val="nil"/>
            </w:tcBorders>
            <w:shd w:val="clear" w:color="auto" w:fill="auto"/>
            <w:vAlign w:val="bottom"/>
            <w:hideMark/>
          </w:tcPr>
          <w:p w:rsidR="00A73BF9" w:rsidRPr="00EA6851" w:rsidRDefault="00A73BF9" w:rsidP="00206BD2">
            <w:pPr>
              <w:spacing w:after="0"/>
              <w:jc w:val="left"/>
              <w:rPr>
                <w:rFonts w:eastAsia="Times New Roman" w:cs="Times New Roman"/>
                <w:sz w:val="20"/>
                <w:szCs w:val="20"/>
              </w:rPr>
            </w:pPr>
            <w:r w:rsidRPr="00EA6851">
              <w:rPr>
                <w:rFonts w:eastAsia="Times New Roman" w:cs="Times New Roman"/>
                <w:sz w:val="20"/>
                <w:szCs w:val="20"/>
              </w:rPr>
              <w:t>Общо разходи по бюджета на МО</w:t>
            </w:r>
          </w:p>
        </w:tc>
        <w:tc>
          <w:tcPr>
            <w:tcW w:w="1007"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sidRPr="00EA6851">
              <w:rPr>
                <w:rFonts w:eastAsia="Times New Roman" w:cs="Times New Roman"/>
                <w:sz w:val="20"/>
                <w:szCs w:val="20"/>
              </w:rPr>
              <w:t>2 382,2</w:t>
            </w:r>
          </w:p>
        </w:tc>
        <w:tc>
          <w:tcPr>
            <w:tcW w:w="977"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Pr>
                <w:rFonts w:eastAsia="Times New Roman" w:cs="Times New Roman"/>
                <w:sz w:val="20"/>
                <w:szCs w:val="20"/>
              </w:rPr>
              <w:t>2 12</w:t>
            </w:r>
            <w:r w:rsidR="00313BCB">
              <w:rPr>
                <w:rFonts w:eastAsia="Times New Roman" w:cs="Times New Roman"/>
                <w:sz w:val="20"/>
                <w:szCs w:val="20"/>
              </w:rPr>
              <w:t>9</w:t>
            </w:r>
            <w:r>
              <w:rPr>
                <w:rFonts w:eastAsia="Times New Roman" w:cs="Times New Roman"/>
                <w:sz w:val="20"/>
                <w:szCs w:val="20"/>
              </w:rPr>
              <w:t>,2</w:t>
            </w:r>
          </w:p>
        </w:tc>
        <w:tc>
          <w:tcPr>
            <w:tcW w:w="993"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Pr>
                <w:rFonts w:eastAsia="Times New Roman" w:cs="Times New Roman"/>
                <w:sz w:val="20"/>
                <w:szCs w:val="20"/>
              </w:rPr>
              <w:t>2 141,5</w:t>
            </w:r>
          </w:p>
        </w:tc>
        <w:tc>
          <w:tcPr>
            <w:tcW w:w="992"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Pr>
                <w:rFonts w:eastAsia="Times New Roman" w:cs="Times New Roman"/>
                <w:sz w:val="20"/>
                <w:szCs w:val="20"/>
              </w:rPr>
              <w:t>2 156,0</w:t>
            </w:r>
          </w:p>
        </w:tc>
      </w:tr>
      <w:tr w:rsidR="00A73BF9" w:rsidRPr="00EA6851" w:rsidTr="00206BD2">
        <w:trPr>
          <w:trHeight w:val="315"/>
        </w:trPr>
        <w:tc>
          <w:tcPr>
            <w:tcW w:w="5387" w:type="dxa"/>
            <w:tcBorders>
              <w:top w:val="nil"/>
              <w:left w:val="nil"/>
              <w:bottom w:val="nil"/>
              <w:right w:val="nil"/>
            </w:tcBorders>
            <w:shd w:val="clear" w:color="auto" w:fill="auto"/>
            <w:vAlign w:val="bottom"/>
            <w:hideMark/>
          </w:tcPr>
          <w:p w:rsidR="00A73BF9" w:rsidRPr="00EA6851" w:rsidRDefault="00A73BF9" w:rsidP="00206BD2">
            <w:pPr>
              <w:spacing w:after="0"/>
              <w:jc w:val="left"/>
              <w:rPr>
                <w:rFonts w:eastAsia="Times New Roman" w:cs="Times New Roman"/>
                <w:sz w:val="20"/>
                <w:szCs w:val="20"/>
              </w:rPr>
            </w:pPr>
            <w:r w:rsidRPr="00EA6851">
              <w:rPr>
                <w:rFonts w:eastAsia="Times New Roman" w:cs="Times New Roman"/>
                <w:sz w:val="20"/>
                <w:szCs w:val="20"/>
              </w:rPr>
              <w:t>Общо трансфери по бюджетите на ДВВУ</w:t>
            </w:r>
          </w:p>
        </w:tc>
        <w:tc>
          <w:tcPr>
            <w:tcW w:w="1007"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sidRPr="00EA6851">
              <w:rPr>
                <w:rFonts w:eastAsia="Times New Roman" w:cs="Times New Roman"/>
                <w:sz w:val="20"/>
                <w:szCs w:val="20"/>
              </w:rPr>
              <w:t>50,8</w:t>
            </w:r>
          </w:p>
        </w:tc>
        <w:tc>
          <w:tcPr>
            <w:tcW w:w="977"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sidRPr="00EA6851">
              <w:rPr>
                <w:rFonts w:eastAsia="Times New Roman" w:cs="Times New Roman"/>
                <w:sz w:val="20"/>
                <w:szCs w:val="20"/>
              </w:rPr>
              <w:t>59,0</w:t>
            </w:r>
          </w:p>
        </w:tc>
        <w:tc>
          <w:tcPr>
            <w:tcW w:w="993"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sidRPr="00EA6851">
              <w:rPr>
                <w:rFonts w:eastAsia="Times New Roman" w:cs="Times New Roman"/>
                <w:sz w:val="20"/>
                <w:szCs w:val="20"/>
              </w:rPr>
              <w:t>61,3</w:t>
            </w:r>
          </w:p>
        </w:tc>
        <w:tc>
          <w:tcPr>
            <w:tcW w:w="992"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sidRPr="00EA6851">
              <w:rPr>
                <w:rFonts w:eastAsia="Times New Roman" w:cs="Times New Roman"/>
                <w:sz w:val="20"/>
                <w:szCs w:val="20"/>
              </w:rPr>
              <w:t>63,6</w:t>
            </w:r>
          </w:p>
        </w:tc>
      </w:tr>
      <w:tr w:rsidR="00A73BF9" w:rsidRPr="00EA6851" w:rsidTr="00206BD2">
        <w:trPr>
          <w:trHeight w:val="315"/>
        </w:trPr>
        <w:tc>
          <w:tcPr>
            <w:tcW w:w="5387" w:type="dxa"/>
            <w:tcBorders>
              <w:top w:val="nil"/>
              <w:left w:val="nil"/>
              <w:bottom w:val="nil"/>
              <w:right w:val="nil"/>
            </w:tcBorders>
            <w:shd w:val="clear" w:color="auto" w:fill="auto"/>
            <w:vAlign w:val="bottom"/>
            <w:hideMark/>
          </w:tcPr>
          <w:p w:rsidR="00A73BF9" w:rsidRPr="00EA6851" w:rsidRDefault="00A73BF9" w:rsidP="00206BD2">
            <w:pPr>
              <w:spacing w:after="0"/>
              <w:jc w:val="left"/>
              <w:rPr>
                <w:rFonts w:eastAsia="Times New Roman" w:cs="Times New Roman"/>
                <w:sz w:val="20"/>
                <w:szCs w:val="20"/>
              </w:rPr>
            </w:pPr>
            <w:r w:rsidRPr="00EA6851">
              <w:rPr>
                <w:rFonts w:eastAsia="Times New Roman" w:cs="Times New Roman"/>
                <w:sz w:val="20"/>
                <w:szCs w:val="20"/>
              </w:rPr>
              <w:t>Общо разходи по ЦБ</w:t>
            </w:r>
          </w:p>
        </w:tc>
        <w:tc>
          <w:tcPr>
            <w:tcW w:w="1007"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sidRPr="00EA6851">
              <w:rPr>
                <w:rFonts w:eastAsia="Times New Roman" w:cs="Times New Roman"/>
                <w:sz w:val="20"/>
                <w:szCs w:val="20"/>
              </w:rPr>
              <w:t>776,4</w:t>
            </w:r>
          </w:p>
        </w:tc>
        <w:tc>
          <w:tcPr>
            <w:tcW w:w="977"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Pr>
                <w:rFonts w:eastAsia="Times New Roman" w:cs="Times New Roman"/>
                <w:sz w:val="20"/>
                <w:szCs w:val="20"/>
              </w:rPr>
              <w:t>1 761,9</w:t>
            </w:r>
          </w:p>
        </w:tc>
        <w:tc>
          <w:tcPr>
            <w:tcW w:w="993"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Pr>
                <w:rFonts w:eastAsia="Times New Roman" w:cs="Times New Roman"/>
                <w:sz w:val="20"/>
                <w:szCs w:val="20"/>
              </w:rPr>
              <w:t>1 824,1</w:t>
            </w:r>
          </w:p>
        </w:tc>
        <w:tc>
          <w:tcPr>
            <w:tcW w:w="992"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Pr>
                <w:rFonts w:eastAsia="Times New Roman" w:cs="Times New Roman"/>
                <w:sz w:val="20"/>
                <w:szCs w:val="20"/>
              </w:rPr>
              <w:t>2 561,9</w:t>
            </w:r>
          </w:p>
        </w:tc>
      </w:tr>
      <w:tr w:rsidR="00A73BF9" w:rsidRPr="00EA6851" w:rsidTr="00206BD2">
        <w:trPr>
          <w:trHeight w:val="315"/>
        </w:trPr>
        <w:tc>
          <w:tcPr>
            <w:tcW w:w="5387" w:type="dxa"/>
            <w:tcBorders>
              <w:top w:val="nil"/>
              <w:left w:val="nil"/>
              <w:bottom w:val="nil"/>
              <w:right w:val="nil"/>
            </w:tcBorders>
            <w:shd w:val="clear" w:color="auto" w:fill="auto"/>
            <w:vAlign w:val="bottom"/>
            <w:hideMark/>
          </w:tcPr>
          <w:p w:rsidR="00A73BF9" w:rsidRPr="00EA6851" w:rsidRDefault="00A73BF9" w:rsidP="00206BD2">
            <w:pPr>
              <w:spacing w:after="0"/>
              <w:jc w:val="left"/>
              <w:rPr>
                <w:rFonts w:eastAsia="Times New Roman" w:cs="Times New Roman"/>
                <w:sz w:val="20"/>
                <w:szCs w:val="20"/>
              </w:rPr>
            </w:pPr>
            <w:r w:rsidRPr="00EA6851">
              <w:rPr>
                <w:rFonts w:eastAsia="Times New Roman" w:cs="Times New Roman"/>
                <w:sz w:val="20"/>
                <w:szCs w:val="20"/>
              </w:rPr>
              <w:t>Разходи за отбрана по бюджетите на други ПРБ, от тях:</w:t>
            </w:r>
          </w:p>
        </w:tc>
        <w:tc>
          <w:tcPr>
            <w:tcW w:w="1007"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sidRPr="00EA6851">
              <w:rPr>
                <w:rFonts w:eastAsia="Times New Roman" w:cs="Times New Roman"/>
                <w:sz w:val="20"/>
                <w:szCs w:val="20"/>
              </w:rPr>
              <w:t>263,6</w:t>
            </w:r>
          </w:p>
        </w:tc>
        <w:tc>
          <w:tcPr>
            <w:tcW w:w="977"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sidRPr="00EA6851">
              <w:rPr>
                <w:rFonts w:eastAsia="Times New Roman" w:cs="Times New Roman"/>
                <w:sz w:val="20"/>
                <w:szCs w:val="20"/>
              </w:rPr>
              <w:t>266,8</w:t>
            </w:r>
          </w:p>
        </w:tc>
        <w:tc>
          <w:tcPr>
            <w:tcW w:w="993"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sidRPr="00EA6851">
              <w:rPr>
                <w:rFonts w:eastAsia="Times New Roman" w:cs="Times New Roman"/>
                <w:sz w:val="20"/>
                <w:szCs w:val="20"/>
              </w:rPr>
              <w:t>327,7</w:t>
            </w:r>
          </w:p>
        </w:tc>
        <w:tc>
          <w:tcPr>
            <w:tcW w:w="992"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sidRPr="00EA6851">
              <w:rPr>
                <w:rFonts w:eastAsia="Times New Roman" w:cs="Times New Roman"/>
                <w:sz w:val="20"/>
                <w:szCs w:val="20"/>
              </w:rPr>
              <w:t>369,5</w:t>
            </w:r>
          </w:p>
        </w:tc>
      </w:tr>
      <w:tr w:rsidR="00A73BF9" w:rsidRPr="00EA6851" w:rsidTr="00206BD2">
        <w:trPr>
          <w:trHeight w:val="778"/>
        </w:trPr>
        <w:tc>
          <w:tcPr>
            <w:tcW w:w="5387" w:type="dxa"/>
            <w:tcBorders>
              <w:top w:val="nil"/>
              <w:left w:val="nil"/>
              <w:bottom w:val="nil"/>
              <w:right w:val="nil"/>
            </w:tcBorders>
            <w:shd w:val="clear" w:color="auto" w:fill="auto"/>
            <w:vAlign w:val="bottom"/>
            <w:hideMark/>
          </w:tcPr>
          <w:p w:rsidR="00A73BF9" w:rsidRPr="00EA6851" w:rsidRDefault="00A73BF9" w:rsidP="00206BD2">
            <w:pPr>
              <w:spacing w:after="0"/>
              <w:jc w:val="left"/>
              <w:rPr>
                <w:rFonts w:eastAsia="Times New Roman" w:cs="Times New Roman"/>
                <w:sz w:val="20"/>
                <w:szCs w:val="20"/>
              </w:rPr>
            </w:pPr>
            <w:r w:rsidRPr="00EA6851">
              <w:rPr>
                <w:rFonts w:eastAsia="Times New Roman" w:cs="Times New Roman"/>
                <w:sz w:val="20"/>
                <w:szCs w:val="20"/>
              </w:rPr>
              <w:t>- Разходи за пенсии на военнослужещите (по данни на НОИ), намалени с отчисленията за военнослужещи към пенсионните фондове (по данни на МО)</w:t>
            </w:r>
          </w:p>
        </w:tc>
        <w:tc>
          <w:tcPr>
            <w:tcW w:w="1007"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sidRPr="00EA6851">
              <w:rPr>
                <w:rFonts w:eastAsia="Times New Roman" w:cs="Times New Roman"/>
                <w:sz w:val="20"/>
                <w:szCs w:val="20"/>
              </w:rPr>
              <w:t>233,6</w:t>
            </w:r>
          </w:p>
        </w:tc>
        <w:tc>
          <w:tcPr>
            <w:tcW w:w="977"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sidRPr="00EA6851">
              <w:rPr>
                <w:rFonts w:eastAsia="Times New Roman" w:cs="Times New Roman"/>
                <w:sz w:val="20"/>
                <w:szCs w:val="20"/>
              </w:rPr>
              <w:t>231,7</w:t>
            </w:r>
          </w:p>
        </w:tc>
        <w:tc>
          <w:tcPr>
            <w:tcW w:w="993"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sidRPr="00EA6851">
              <w:rPr>
                <w:rFonts w:eastAsia="Times New Roman" w:cs="Times New Roman"/>
                <w:sz w:val="20"/>
                <w:szCs w:val="20"/>
              </w:rPr>
              <w:t>292,2</w:t>
            </w:r>
          </w:p>
        </w:tc>
        <w:tc>
          <w:tcPr>
            <w:tcW w:w="992"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sidRPr="00EA6851">
              <w:rPr>
                <w:rFonts w:eastAsia="Times New Roman" w:cs="Times New Roman"/>
                <w:sz w:val="20"/>
                <w:szCs w:val="20"/>
              </w:rPr>
              <w:t>333,2</w:t>
            </w:r>
          </w:p>
        </w:tc>
      </w:tr>
      <w:tr w:rsidR="00A73BF9" w:rsidRPr="00EA6851" w:rsidTr="00206BD2">
        <w:trPr>
          <w:trHeight w:val="563"/>
        </w:trPr>
        <w:tc>
          <w:tcPr>
            <w:tcW w:w="5387" w:type="dxa"/>
            <w:tcBorders>
              <w:top w:val="nil"/>
              <w:left w:val="nil"/>
              <w:bottom w:val="nil"/>
              <w:right w:val="nil"/>
            </w:tcBorders>
            <w:shd w:val="clear" w:color="auto" w:fill="auto"/>
            <w:vAlign w:val="bottom"/>
            <w:hideMark/>
          </w:tcPr>
          <w:p w:rsidR="00A73BF9" w:rsidRPr="00EA6851" w:rsidRDefault="00A73BF9" w:rsidP="00206BD2">
            <w:pPr>
              <w:spacing w:after="0"/>
              <w:jc w:val="left"/>
              <w:rPr>
                <w:rFonts w:eastAsia="Times New Roman" w:cs="Times New Roman"/>
                <w:sz w:val="20"/>
                <w:szCs w:val="20"/>
              </w:rPr>
            </w:pPr>
            <w:r w:rsidRPr="00EA6851">
              <w:rPr>
                <w:rFonts w:eastAsia="Times New Roman" w:cs="Times New Roman"/>
                <w:sz w:val="20"/>
                <w:szCs w:val="20"/>
              </w:rPr>
              <w:t xml:space="preserve">- Разходи за военни съдилища и военни прокуратури (по данни на ВСС) </w:t>
            </w:r>
          </w:p>
        </w:tc>
        <w:tc>
          <w:tcPr>
            <w:tcW w:w="1007"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sidRPr="00EA6851">
              <w:rPr>
                <w:rFonts w:eastAsia="Times New Roman" w:cs="Times New Roman"/>
                <w:sz w:val="20"/>
                <w:szCs w:val="20"/>
              </w:rPr>
              <w:t>16,2</w:t>
            </w:r>
          </w:p>
        </w:tc>
        <w:tc>
          <w:tcPr>
            <w:tcW w:w="977"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sidRPr="00EA6851">
              <w:rPr>
                <w:rFonts w:eastAsia="Times New Roman" w:cs="Times New Roman"/>
                <w:sz w:val="20"/>
                <w:szCs w:val="20"/>
              </w:rPr>
              <w:t>18,9</w:t>
            </w:r>
          </w:p>
        </w:tc>
        <w:tc>
          <w:tcPr>
            <w:tcW w:w="993"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sidRPr="00EA6851">
              <w:rPr>
                <w:rFonts w:eastAsia="Times New Roman" w:cs="Times New Roman"/>
                <w:sz w:val="20"/>
                <w:szCs w:val="20"/>
              </w:rPr>
              <w:t>19,3</w:t>
            </w:r>
          </w:p>
        </w:tc>
        <w:tc>
          <w:tcPr>
            <w:tcW w:w="992"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sidRPr="00EA6851">
              <w:rPr>
                <w:rFonts w:eastAsia="Times New Roman" w:cs="Times New Roman"/>
                <w:sz w:val="20"/>
                <w:szCs w:val="20"/>
              </w:rPr>
              <w:t>20,1</w:t>
            </w:r>
          </w:p>
        </w:tc>
      </w:tr>
      <w:tr w:rsidR="00A73BF9" w:rsidRPr="00EA6851" w:rsidTr="00206BD2">
        <w:trPr>
          <w:trHeight w:val="1260"/>
        </w:trPr>
        <w:tc>
          <w:tcPr>
            <w:tcW w:w="5387" w:type="dxa"/>
            <w:tcBorders>
              <w:top w:val="nil"/>
              <w:left w:val="nil"/>
              <w:bottom w:val="nil"/>
              <w:right w:val="nil"/>
            </w:tcBorders>
            <w:shd w:val="clear" w:color="auto" w:fill="auto"/>
            <w:vAlign w:val="bottom"/>
            <w:hideMark/>
          </w:tcPr>
          <w:p w:rsidR="00A73BF9" w:rsidRPr="00EA6851" w:rsidRDefault="00A73BF9" w:rsidP="00206BD2">
            <w:pPr>
              <w:spacing w:after="0"/>
              <w:jc w:val="left"/>
              <w:rPr>
                <w:rFonts w:eastAsia="Times New Roman" w:cs="Times New Roman"/>
                <w:sz w:val="20"/>
                <w:szCs w:val="20"/>
              </w:rPr>
            </w:pPr>
            <w:r w:rsidRPr="00EA6851">
              <w:rPr>
                <w:rFonts w:eastAsia="Times New Roman" w:cs="Times New Roman"/>
                <w:sz w:val="20"/>
                <w:szCs w:val="20"/>
              </w:rPr>
              <w:t>- Разходите за издръжка на Постоянната делегация на Република България в НАТО и вноската на Република България към гражданския бюджет на НАТО и към Европейския механизъм за подкрепа на мира, изплащани от бюджета на МВнР</w:t>
            </w:r>
          </w:p>
        </w:tc>
        <w:tc>
          <w:tcPr>
            <w:tcW w:w="1007"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sidRPr="00EA6851">
              <w:rPr>
                <w:rFonts w:eastAsia="Times New Roman" w:cs="Times New Roman"/>
                <w:sz w:val="20"/>
                <w:szCs w:val="20"/>
              </w:rPr>
              <w:t>9,9</w:t>
            </w:r>
          </w:p>
        </w:tc>
        <w:tc>
          <w:tcPr>
            <w:tcW w:w="977"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sidRPr="00EA6851">
              <w:rPr>
                <w:rFonts w:eastAsia="Times New Roman" w:cs="Times New Roman"/>
                <w:sz w:val="20"/>
                <w:szCs w:val="20"/>
              </w:rPr>
              <w:t>10,7</w:t>
            </w:r>
          </w:p>
        </w:tc>
        <w:tc>
          <w:tcPr>
            <w:tcW w:w="993"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sidRPr="00EA6851">
              <w:rPr>
                <w:rFonts w:eastAsia="Times New Roman" w:cs="Times New Roman"/>
                <w:sz w:val="20"/>
                <w:szCs w:val="20"/>
              </w:rPr>
              <w:t>10,7</w:t>
            </w:r>
          </w:p>
        </w:tc>
        <w:tc>
          <w:tcPr>
            <w:tcW w:w="992"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sidRPr="00EA6851">
              <w:rPr>
                <w:rFonts w:eastAsia="Times New Roman" w:cs="Times New Roman"/>
                <w:sz w:val="20"/>
                <w:szCs w:val="20"/>
              </w:rPr>
              <w:t>10,7</w:t>
            </w:r>
          </w:p>
        </w:tc>
      </w:tr>
      <w:tr w:rsidR="00A73BF9" w:rsidRPr="00EA6851" w:rsidTr="00206BD2">
        <w:trPr>
          <w:trHeight w:val="630"/>
        </w:trPr>
        <w:tc>
          <w:tcPr>
            <w:tcW w:w="5387" w:type="dxa"/>
            <w:tcBorders>
              <w:top w:val="nil"/>
              <w:left w:val="nil"/>
              <w:bottom w:val="nil"/>
              <w:right w:val="nil"/>
            </w:tcBorders>
            <w:shd w:val="clear" w:color="auto" w:fill="auto"/>
            <w:vAlign w:val="bottom"/>
            <w:hideMark/>
          </w:tcPr>
          <w:p w:rsidR="00A73BF9" w:rsidRPr="00EA6851" w:rsidRDefault="00A73BF9" w:rsidP="00206BD2">
            <w:pPr>
              <w:spacing w:after="0"/>
              <w:jc w:val="left"/>
              <w:rPr>
                <w:rFonts w:eastAsia="Times New Roman" w:cs="Times New Roman"/>
                <w:sz w:val="20"/>
                <w:szCs w:val="20"/>
              </w:rPr>
            </w:pPr>
            <w:r w:rsidRPr="00EA6851">
              <w:rPr>
                <w:rFonts w:eastAsia="Times New Roman" w:cs="Times New Roman"/>
                <w:sz w:val="20"/>
                <w:szCs w:val="20"/>
              </w:rPr>
              <w:t>- Вноска на Република България към фонда на НАТО за иновации, изплащана от бюджета на МИР</w:t>
            </w:r>
          </w:p>
        </w:tc>
        <w:tc>
          <w:tcPr>
            <w:tcW w:w="1007"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sidRPr="00EA6851">
              <w:rPr>
                <w:rFonts w:eastAsia="Times New Roman" w:cs="Times New Roman"/>
                <w:sz w:val="20"/>
                <w:szCs w:val="20"/>
              </w:rPr>
              <w:t>3,8</w:t>
            </w:r>
          </w:p>
        </w:tc>
        <w:tc>
          <w:tcPr>
            <w:tcW w:w="977"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sidRPr="00EA6851">
              <w:rPr>
                <w:rFonts w:eastAsia="Times New Roman" w:cs="Times New Roman"/>
                <w:sz w:val="20"/>
                <w:szCs w:val="20"/>
              </w:rPr>
              <w:t>5,5</w:t>
            </w:r>
          </w:p>
        </w:tc>
        <w:tc>
          <w:tcPr>
            <w:tcW w:w="993"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sidRPr="00EA6851">
              <w:rPr>
                <w:rFonts w:eastAsia="Times New Roman" w:cs="Times New Roman"/>
                <w:sz w:val="20"/>
                <w:szCs w:val="20"/>
              </w:rPr>
              <w:t>5,5</w:t>
            </w:r>
          </w:p>
        </w:tc>
        <w:tc>
          <w:tcPr>
            <w:tcW w:w="992" w:type="dxa"/>
            <w:tcBorders>
              <w:top w:val="nil"/>
              <w:left w:val="nil"/>
              <w:bottom w:val="nil"/>
              <w:right w:val="nil"/>
            </w:tcBorders>
            <w:shd w:val="clear" w:color="auto" w:fill="auto"/>
            <w:noWrap/>
            <w:vAlign w:val="bottom"/>
            <w:hideMark/>
          </w:tcPr>
          <w:p w:rsidR="00A73BF9" w:rsidRPr="00EA6851" w:rsidRDefault="00A73BF9" w:rsidP="00206BD2">
            <w:pPr>
              <w:spacing w:after="0"/>
              <w:jc w:val="right"/>
              <w:rPr>
                <w:rFonts w:eastAsia="Times New Roman" w:cs="Times New Roman"/>
                <w:sz w:val="20"/>
                <w:szCs w:val="20"/>
              </w:rPr>
            </w:pPr>
            <w:r w:rsidRPr="00EA6851">
              <w:rPr>
                <w:rFonts w:eastAsia="Times New Roman" w:cs="Times New Roman"/>
                <w:sz w:val="20"/>
                <w:szCs w:val="20"/>
              </w:rPr>
              <w:t>5,5</w:t>
            </w:r>
          </w:p>
        </w:tc>
      </w:tr>
      <w:tr w:rsidR="00A73BF9" w:rsidRPr="00EA6851" w:rsidTr="00206BD2">
        <w:trPr>
          <w:trHeight w:val="562"/>
        </w:trPr>
        <w:tc>
          <w:tcPr>
            <w:tcW w:w="5387" w:type="dxa"/>
            <w:tcBorders>
              <w:top w:val="nil"/>
              <w:left w:val="nil"/>
              <w:bottom w:val="nil"/>
              <w:right w:val="nil"/>
            </w:tcBorders>
            <w:shd w:val="clear" w:color="000000" w:fill="F2F2F2"/>
            <w:vAlign w:val="bottom"/>
            <w:hideMark/>
          </w:tcPr>
          <w:p w:rsidR="00A73BF9" w:rsidRPr="00EA6851" w:rsidRDefault="00A73BF9" w:rsidP="00206BD2">
            <w:pPr>
              <w:spacing w:after="0"/>
              <w:jc w:val="left"/>
              <w:rPr>
                <w:rFonts w:eastAsia="Times New Roman" w:cs="Times New Roman"/>
                <w:b/>
                <w:bCs/>
                <w:sz w:val="20"/>
                <w:szCs w:val="20"/>
              </w:rPr>
            </w:pPr>
            <w:r w:rsidRPr="00EA6851">
              <w:rPr>
                <w:rFonts w:eastAsia="Times New Roman" w:cs="Times New Roman"/>
                <w:b/>
                <w:bCs/>
                <w:sz w:val="20"/>
                <w:szCs w:val="20"/>
              </w:rPr>
              <w:t>Разходи за отбрана, съгласно класификацията на НАТО като % от БВП</w:t>
            </w:r>
          </w:p>
        </w:tc>
        <w:tc>
          <w:tcPr>
            <w:tcW w:w="1007" w:type="dxa"/>
            <w:tcBorders>
              <w:top w:val="nil"/>
              <w:left w:val="nil"/>
              <w:bottom w:val="nil"/>
              <w:right w:val="nil"/>
            </w:tcBorders>
            <w:shd w:val="clear" w:color="000000" w:fill="F2F2F2"/>
            <w:noWrap/>
            <w:vAlign w:val="bottom"/>
            <w:hideMark/>
          </w:tcPr>
          <w:p w:rsidR="00A73BF9" w:rsidRPr="00EA6851" w:rsidRDefault="00A73BF9" w:rsidP="00206BD2">
            <w:pPr>
              <w:spacing w:after="0"/>
              <w:jc w:val="right"/>
              <w:rPr>
                <w:rFonts w:eastAsia="Times New Roman" w:cs="Times New Roman"/>
                <w:b/>
                <w:bCs/>
                <w:sz w:val="20"/>
                <w:szCs w:val="20"/>
              </w:rPr>
            </w:pPr>
            <w:r w:rsidRPr="00EA6851">
              <w:rPr>
                <w:rFonts w:eastAsia="Times New Roman" w:cs="Times New Roman"/>
                <w:b/>
                <w:bCs/>
                <w:sz w:val="20"/>
                <w:szCs w:val="20"/>
              </w:rPr>
              <w:t>1,88%</w:t>
            </w:r>
          </w:p>
        </w:tc>
        <w:tc>
          <w:tcPr>
            <w:tcW w:w="977" w:type="dxa"/>
            <w:tcBorders>
              <w:top w:val="nil"/>
              <w:left w:val="nil"/>
              <w:bottom w:val="nil"/>
              <w:right w:val="nil"/>
            </w:tcBorders>
            <w:shd w:val="clear" w:color="000000" w:fill="F2F2F2"/>
            <w:noWrap/>
            <w:vAlign w:val="bottom"/>
            <w:hideMark/>
          </w:tcPr>
          <w:p w:rsidR="00A73BF9" w:rsidRPr="00EA6851" w:rsidRDefault="00A73BF9" w:rsidP="00206BD2">
            <w:pPr>
              <w:spacing w:after="0"/>
              <w:jc w:val="right"/>
              <w:rPr>
                <w:rFonts w:eastAsia="Times New Roman" w:cs="Times New Roman"/>
                <w:b/>
                <w:bCs/>
                <w:sz w:val="20"/>
                <w:szCs w:val="20"/>
              </w:rPr>
            </w:pPr>
            <w:r w:rsidRPr="00EA6851">
              <w:rPr>
                <w:rFonts w:eastAsia="Times New Roman" w:cs="Times New Roman"/>
                <w:b/>
                <w:bCs/>
                <w:sz w:val="20"/>
                <w:szCs w:val="20"/>
              </w:rPr>
              <w:t>2,05%</w:t>
            </w:r>
          </w:p>
        </w:tc>
        <w:tc>
          <w:tcPr>
            <w:tcW w:w="993" w:type="dxa"/>
            <w:tcBorders>
              <w:top w:val="nil"/>
              <w:left w:val="nil"/>
              <w:bottom w:val="nil"/>
              <w:right w:val="nil"/>
            </w:tcBorders>
            <w:shd w:val="clear" w:color="000000" w:fill="F2F2F2"/>
            <w:noWrap/>
            <w:vAlign w:val="bottom"/>
            <w:hideMark/>
          </w:tcPr>
          <w:p w:rsidR="00A73BF9" w:rsidRPr="00EA6851" w:rsidRDefault="00A73BF9" w:rsidP="00206BD2">
            <w:pPr>
              <w:spacing w:after="0"/>
              <w:jc w:val="right"/>
              <w:rPr>
                <w:rFonts w:eastAsia="Times New Roman" w:cs="Times New Roman"/>
                <w:b/>
                <w:bCs/>
                <w:sz w:val="20"/>
                <w:szCs w:val="20"/>
              </w:rPr>
            </w:pPr>
            <w:r w:rsidRPr="00EA6851">
              <w:rPr>
                <w:rFonts w:eastAsia="Times New Roman" w:cs="Times New Roman"/>
                <w:b/>
                <w:bCs/>
                <w:sz w:val="20"/>
                <w:szCs w:val="20"/>
              </w:rPr>
              <w:t>2,00%</w:t>
            </w:r>
          </w:p>
        </w:tc>
        <w:tc>
          <w:tcPr>
            <w:tcW w:w="992" w:type="dxa"/>
            <w:tcBorders>
              <w:top w:val="nil"/>
              <w:left w:val="nil"/>
              <w:bottom w:val="nil"/>
              <w:right w:val="nil"/>
            </w:tcBorders>
            <w:shd w:val="clear" w:color="000000" w:fill="F2F2F2"/>
            <w:noWrap/>
            <w:vAlign w:val="bottom"/>
            <w:hideMark/>
          </w:tcPr>
          <w:p w:rsidR="00A73BF9" w:rsidRPr="00EA6851" w:rsidRDefault="00A73BF9" w:rsidP="00206BD2">
            <w:pPr>
              <w:spacing w:after="0"/>
              <w:jc w:val="right"/>
              <w:rPr>
                <w:rFonts w:eastAsia="Times New Roman" w:cs="Times New Roman"/>
                <w:b/>
                <w:bCs/>
                <w:sz w:val="20"/>
                <w:szCs w:val="20"/>
              </w:rPr>
            </w:pPr>
            <w:r w:rsidRPr="00EA6851">
              <w:rPr>
                <w:rFonts w:eastAsia="Times New Roman" w:cs="Times New Roman"/>
                <w:b/>
                <w:bCs/>
                <w:sz w:val="20"/>
                <w:szCs w:val="20"/>
              </w:rPr>
              <w:t>2,23%</w:t>
            </w:r>
          </w:p>
        </w:tc>
      </w:tr>
      <w:tr w:rsidR="00A73BF9" w:rsidRPr="00EA6851" w:rsidTr="00206BD2">
        <w:trPr>
          <w:trHeight w:val="570"/>
        </w:trPr>
        <w:tc>
          <w:tcPr>
            <w:tcW w:w="5387" w:type="dxa"/>
            <w:tcBorders>
              <w:top w:val="nil"/>
              <w:left w:val="nil"/>
              <w:bottom w:val="single" w:sz="4" w:space="0" w:color="auto"/>
              <w:right w:val="nil"/>
            </w:tcBorders>
            <w:shd w:val="clear" w:color="auto" w:fill="auto"/>
            <w:hideMark/>
          </w:tcPr>
          <w:p w:rsidR="00A73BF9" w:rsidRPr="00EA6851" w:rsidRDefault="00A73BF9" w:rsidP="00206BD2">
            <w:pPr>
              <w:spacing w:after="0"/>
              <w:jc w:val="left"/>
              <w:rPr>
                <w:rFonts w:eastAsia="Times New Roman" w:cs="Times New Roman"/>
                <w:b/>
                <w:bCs/>
                <w:i/>
                <w:iCs/>
                <w:sz w:val="20"/>
                <w:szCs w:val="20"/>
              </w:rPr>
            </w:pPr>
            <w:r w:rsidRPr="00EA6851">
              <w:rPr>
                <w:rFonts w:eastAsia="Times New Roman" w:cs="Times New Roman"/>
                <w:b/>
                <w:bCs/>
                <w:i/>
                <w:iCs/>
                <w:sz w:val="20"/>
                <w:szCs w:val="20"/>
              </w:rPr>
              <w:t>Разходи за отбрана по Националния план, приет с РМС № 3/04.01.2018 г., като % от БВП</w:t>
            </w:r>
          </w:p>
        </w:tc>
        <w:tc>
          <w:tcPr>
            <w:tcW w:w="1007" w:type="dxa"/>
            <w:tcBorders>
              <w:top w:val="nil"/>
              <w:left w:val="nil"/>
              <w:bottom w:val="single" w:sz="4" w:space="0" w:color="auto"/>
              <w:right w:val="nil"/>
            </w:tcBorders>
            <w:shd w:val="clear" w:color="auto" w:fill="auto"/>
            <w:noWrap/>
            <w:vAlign w:val="bottom"/>
            <w:hideMark/>
          </w:tcPr>
          <w:p w:rsidR="00A73BF9" w:rsidRPr="00EA6851" w:rsidRDefault="00A73BF9" w:rsidP="00206BD2">
            <w:pPr>
              <w:spacing w:after="0"/>
              <w:jc w:val="right"/>
              <w:rPr>
                <w:rFonts w:eastAsia="Times New Roman" w:cs="Times New Roman"/>
                <w:b/>
                <w:bCs/>
                <w:i/>
                <w:iCs/>
                <w:sz w:val="20"/>
                <w:szCs w:val="20"/>
              </w:rPr>
            </w:pPr>
            <w:r w:rsidRPr="00EA6851">
              <w:rPr>
                <w:rFonts w:eastAsia="Times New Roman" w:cs="Times New Roman"/>
                <w:b/>
                <w:bCs/>
                <w:i/>
                <w:iCs/>
                <w:sz w:val="20"/>
                <w:szCs w:val="20"/>
              </w:rPr>
              <w:t>1,85%</w:t>
            </w:r>
          </w:p>
        </w:tc>
        <w:tc>
          <w:tcPr>
            <w:tcW w:w="977" w:type="dxa"/>
            <w:tcBorders>
              <w:top w:val="nil"/>
              <w:left w:val="nil"/>
              <w:bottom w:val="single" w:sz="4" w:space="0" w:color="auto"/>
              <w:right w:val="nil"/>
            </w:tcBorders>
            <w:shd w:val="clear" w:color="auto" w:fill="auto"/>
            <w:noWrap/>
            <w:vAlign w:val="bottom"/>
            <w:hideMark/>
          </w:tcPr>
          <w:p w:rsidR="00A73BF9" w:rsidRPr="00EA6851" w:rsidRDefault="00A73BF9" w:rsidP="00206BD2">
            <w:pPr>
              <w:spacing w:after="0"/>
              <w:jc w:val="right"/>
              <w:rPr>
                <w:rFonts w:eastAsia="Times New Roman" w:cs="Times New Roman"/>
                <w:b/>
                <w:bCs/>
                <w:i/>
                <w:iCs/>
                <w:sz w:val="20"/>
                <w:szCs w:val="20"/>
              </w:rPr>
            </w:pPr>
            <w:r w:rsidRPr="00EA6851">
              <w:rPr>
                <w:rFonts w:eastAsia="Times New Roman" w:cs="Times New Roman"/>
                <w:b/>
                <w:bCs/>
                <w:i/>
                <w:iCs/>
                <w:sz w:val="20"/>
                <w:szCs w:val="20"/>
              </w:rPr>
              <w:t>2,00%</w:t>
            </w:r>
          </w:p>
        </w:tc>
        <w:tc>
          <w:tcPr>
            <w:tcW w:w="993" w:type="dxa"/>
            <w:tcBorders>
              <w:top w:val="nil"/>
              <w:left w:val="nil"/>
              <w:bottom w:val="single" w:sz="4" w:space="0" w:color="auto"/>
              <w:right w:val="nil"/>
            </w:tcBorders>
            <w:shd w:val="clear" w:color="auto" w:fill="auto"/>
            <w:noWrap/>
            <w:vAlign w:val="bottom"/>
            <w:hideMark/>
          </w:tcPr>
          <w:p w:rsidR="00A73BF9" w:rsidRPr="00EA6851" w:rsidRDefault="00A73BF9" w:rsidP="00206BD2">
            <w:pPr>
              <w:spacing w:after="0"/>
              <w:jc w:val="right"/>
              <w:rPr>
                <w:rFonts w:eastAsia="Times New Roman" w:cs="Times New Roman"/>
                <w:b/>
                <w:bCs/>
                <w:i/>
                <w:iCs/>
                <w:sz w:val="20"/>
                <w:szCs w:val="20"/>
              </w:rPr>
            </w:pPr>
            <w:r w:rsidRPr="00EA6851">
              <w:rPr>
                <w:rFonts w:eastAsia="Times New Roman" w:cs="Times New Roman"/>
                <w:b/>
                <w:bCs/>
                <w:i/>
                <w:iCs/>
                <w:sz w:val="20"/>
                <w:szCs w:val="20"/>
              </w:rPr>
              <w:t>2,00%</w:t>
            </w:r>
          </w:p>
        </w:tc>
        <w:tc>
          <w:tcPr>
            <w:tcW w:w="992" w:type="dxa"/>
            <w:tcBorders>
              <w:top w:val="nil"/>
              <w:left w:val="nil"/>
              <w:bottom w:val="single" w:sz="4" w:space="0" w:color="auto"/>
              <w:right w:val="nil"/>
            </w:tcBorders>
            <w:shd w:val="clear" w:color="auto" w:fill="auto"/>
            <w:noWrap/>
            <w:vAlign w:val="bottom"/>
            <w:hideMark/>
          </w:tcPr>
          <w:p w:rsidR="00A73BF9" w:rsidRPr="00EA6851" w:rsidRDefault="00A73BF9" w:rsidP="00206BD2">
            <w:pPr>
              <w:spacing w:after="0"/>
              <w:jc w:val="right"/>
              <w:rPr>
                <w:rFonts w:eastAsia="Times New Roman" w:cs="Times New Roman"/>
                <w:b/>
                <w:bCs/>
                <w:i/>
                <w:iCs/>
                <w:sz w:val="20"/>
                <w:szCs w:val="20"/>
              </w:rPr>
            </w:pPr>
            <w:r w:rsidRPr="00EA6851">
              <w:rPr>
                <w:rFonts w:eastAsia="Times New Roman" w:cs="Times New Roman"/>
                <w:b/>
                <w:bCs/>
                <w:i/>
                <w:iCs/>
                <w:sz w:val="20"/>
                <w:szCs w:val="20"/>
              </w:rPr>
              <w:t>2,00%</w:t>
            </w:r>
          </w:p>
        </w:tc>
      </w:tr>
    </w:tbl>
    <w:p w:rsidR="00A73BF9" w:rsidRPr="00313BCB" w:rsidRDefault="00313BCB" w:rsidP="00313BCB">
      <w:pPr>
        <w:spacing w:before="120"/>
        <w:rPr>
          <w:rFonts w:cs="Times New Roman"/>
          <w:sz w:val="20"/>
          <w:szCs w:val="20"/>
        </w:rPr>
      </w:pPr>
      <w:r w:rsidRPr="00D308E5">
        <w:rPr>
          <w:rFonts w:cs="Times New Roman"/>
          <w:sz w:val="20"/>
          <w:szCs w:val="20"/>
        </w:rPr>
        <w:t>*</w:t>
      </w:r>
      <w:r>
        <w:rPr>
          <w:rFonts w:cs="Times New Roman"/>
          <w:sz w:val="20"/>
          <w:szCs w:val="20"/>
        </w:rPr>
        <w:t xml:space="preserve"> </w:t>
      </w:r>
      <w:r w:rsidRPr="00313BCB">
        <w:rPr>
          <w:rFonts w:cs="Times New Roman"/>
          <w:b/>
          <w:sz w:val="20"/>
          <w:szCs w:val="20"/>
        </w:rPr>
        <w:t>Забележка:</w:t>
      </w:r>
      <w:r w:rsidRPr="00843B3B">
        <w:rPr>
          <w:rFonts w:cs="Times New Roman"/>
          <w:sz w:val="20"/>
          <w:szCs w:val="20"/>
        </w:rPr>
        <w:t xml:space="preserve"> Средствата за капиталови разходи са планирани в рамките на </w:t>
      </w:r>
      <w:r>
        <w:rPr>
          <w:rFonts w:cs="Times New Roman"/>
          <w:sz w:val="20"/>
          <w:szCs w:val="20"/>
        </w:rPr>
        <w:t>обособения ресурс за капиталови разходи по ценралния бюджет за 2024 г.</w:t>
      </w:r>
    </w:p>
    <w:p w:rsidR="00CB00A2" w:rsidRPr="00EA6851" w:rsidRDefault="000E564D" w:rsidP="00F7698E">
      <w:pPr>
        <w:spacing w:before="120"/>
        <w:jc w:val="right"/>
        <w:rPr>
          <w:sz w:val="18"/>
          <w:szCs w:val="18"/>
        </w:rPr>
      </w:pPr>
      <w:r w:rsidRPr="00EA6851">
        <w:rPr>
          <w:sz w:val="18"/>
          <w:szCs w:val="18"/>
        </w:rPr>
        <w:t>Източник: МФ</w:t>
      </w:r>
    </w:p>
    <w:p w:rsidR="000E564D" w:rsidRPr="00EA6851" w:rsidRDefault="000E564D" w:rsidP="000E564D">
      <w:pPr>
        <w:rPr>
          <w:rFonts w:eastAsia="Times New Roman" w:cs="Times New Roman"/>
          <w:b/>
          <w:szCs w:val="24"/>
        </w:rPr>
      </w:pPr>
      <w:r w:rsidRPr="00EA6851">
        <w:rPr>
          <w:b/>
        </w:rPr>
        <w:t xml:space="preserve">Граф. </w:t>
      </w:r>
      <w:r w:rsidRPr="00EA6851">
        <w:rPr>
          <w:b/>
        </w:rPr>
        <w:fldChar w:fldCharType="begin"/>
      </w:r>
      <w:r w:rsidRPr="00EA6851">
        <w:rPr>
          <w:b/>
        </w:rPr>
        <w:instrText xml:space="preserve"> STYLEREF 1 \s </w:instrText>
      </w:r>
      <w:r w:rsidRPr="00EA6851">
        <w:rPr>
          <w:b/>
        </w:rPr>
        <w:fldChar w:fldCharType="separate"/>
      </w:r>
      <w:r w:rsidR="005A69ED">
        <w:rPr>
          <w:b/>
          <w:noProof/>
        </w:rPr>
        <w:t>III</w:t>
      </w:r>
      <w:r w:rsidRPr="00EA6851">
        <w:rPr>
          <w:b/>
          <w:noProof/>
        </w:rPr>
        <w:fldChar w:fldCharType="end"/>
      </w:r>
      <w:r w:rsidRPr="00EA6851">
        <w:rPr>
          <w:b/>
        </w:rPr>
        <w:noBreakHyphen/>
      </w:r>
      <w:r w:rsidRPr="00EA6851">
        <w:rPr>
          <w:b/>
        </w:rPr>
        <w:fldChar w:fldCharType="begin"/>
      </w:r>
      <w:r w:rsidRPr="00EA6851">
        <w:rPr>
          <w:b/>
        </w:rPr>
        <w:instrText xml:space="preserve"> SEQ Граф. \* ARABIC \s 1 </w:instrText>
      </w:r>
      <w:r w:rsidRPr="00EA6851">
        <w:rPr>
          <w:b/>
        </w:rPr>
        <w:fldChar w:fldCharType="separate"/>
      </w:r>
      <w:r w:rsidR="005A69ED">
        <w:rPr>
          <w:b/>
          <w:noProof/>
        </w:rPr>
        <w:t>2</w:t>
      </w:r>
      <w:r w:rsidRPr="00EA6851">
        <w:rPr>
          <w:b/>
          <w:noProof/>
        </w:rPr>
        <w:fldChar w:fldCharType="end"/>
      </w:r>
      <w:r w:rsidRPr="00EA6851">
        <w:t>:</w:t>
      </w:r>
      <w:r w:rsidR="00CE4003" w:rsidRPr="00EA6851">
        <w:rPr>
          <w:rFonts w:eastAsia="Times New Roman" w:cs="Times New Roman"/>
          <w:b/>
          <w:szCs w:val="24"/>
        </w:rPr>
        <w:t xml:space="preserve"> Разходи за отбрана за 2024</w:t>
      </w:r>
      <w:r w:rsidRPr="00EA6851">
        <w:rPr>
          <w:rFonts w:eastAsia="Times New Roman" w:cs="Times New Roman"/>
          <w:b/>
          <w:szCs w:val="24"/>
        </w:rPr>
        <w:t xml:space="preserve"> г. като процент от БВП и разходи за инвестиции като процент от общите разходи за отбрана </w:t>
      </w:r>
    </w:p>
    <w:p w:rsidR="000E564D" w:rsidRPr="00EA6851" w:rsidRDefault="00CE4003" w:rsidP="000E564D">
      <w:pPr>
        <w:rPr>
          <w:noProof/>
        </w:rPr>
      </w:pPr>
      <w:r w:rsidRPr="00EA6851">
        <w:rPr>
          <w:noProof/>
        </w:rPr>
        <w:drawing>
          <wp:inline distT="0" distB="0" distL="0" distR="0" wp14:anchorId="0BA1C664" wp14:editId="5844AD2A">
            <wp:extent cx="5553075" cy="332422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53075" cy="3324225"/>
                    </a:xfrm>
                    <a:prstGeom prst="rect">
                      <a:avLst/>
                    </a:prstGeom>
                    <a:noFill/>
                    <a:ln>
                      <a:noFill/>
                    </a:ln>
                  </pic:spPr>
                </pic:pic>
              </a:graphicData>
            </a:graphic>
          </wp:inline>
        </w:drawing>
      </w:r>
    </w:p>
    <w:p w:rsidR="000E564D" w:rsidRPr="00EA6851" w:rsidRDefault="000E564D" w:rsidP="000E564D">
      <w:pPr>
        <w:jc w:val="right"/>
        <w:rPr>
          <w:sz w:val="18"/>
          <w:szCs w:val="18"/>
        </w:rPr>
      </w:pPr>
      <w:r w:rsidRPr="00EA6851">
        <w:rPr>
          <w:sz w:val="18"/>
          <w:szCs w:val="18"/>
        </w:rPr>
        <w:t>Източник: МФ</w:t>
      </w:r>
    </w:p>
    <w:p w:rsidR="00CE4003" w:rsidRPr="00EA6851" w:rsidRDefault="00CE4003" w:rsidP="00EF61E5">
      <w:pPr>
        <w:rPr>
          <w:highlight w:val="yellow"/>
        </w:rPr>
      </w:pPr>
      <w:r w:rsidRPr="00EA6851">
        <w:t>Относителният дял на капиталовите разходи към общите разходи за отбрана е над 20-процентния критерий на НАТО.</w:t>
      </w:r>
    </w:p>
    <w:p w:rsidR="0033580A" w:rsidRPr="00EA6851" w:rsidRDefault="0033580A" w:rsidP="0033580A">
      <w:pPr>
        <w:pStyle w:val="Heading3"/>
        <w:ind w:left="0"/>
      </w:pPr>
      <w:r w:rsidRPr="00EA6851">
        <w:t>Политика в областта на вътрешния ред и сигурността</w:t>
      </w:r>
    </w:p>
    <w:p w:rsidR="00CE4003" w:rsidRPr="00EA6851" w:rsidRDefault="00CE4003" w:rsidP="00CE4003">
      <w:r w:rsidRPr="00EA6851">
        <w:t>Политиката в областта на вътрешния ред и сигурността</w:t>
      </w:r>
      <w:r w:rsidRPr="00EA6851">
        <w:rPr>
          <w:b/>
        </w:rPr>
        <w:t xml:space="preserve"> </w:t>
      </w:r>
      <w:r w:rsidRPr="00EA6851">
        <w:t xml:space="preserve">се изпълнява от Министерството на вътрешните работи, Държавната агенция „Разузнаване“, Националната служба за охрана, Държавната агенция „Национална сигурност”, Държавната агенция „Технически операции” и Националното бюро за контрол на специалните разузнавателни средства. Дейността в тази област се реализира в следните основни направления: </w:t>
      </w:r>
    </w:p>
    <w:p w:rsidR="00CE4003" w:rsidRPr="00EA6851" w:rsidRDefault="00CE4003" w:rsidP="00B30642">
      <w:pPr>
        <w:numPr>
          <w:ilvl w:val="0"/>
          <w:numId w:val="25"/>
        </w:numPr>
      </w:pPr>
      <w:r w:rsidRPr="00EA6851">
        <w:t xml:space="preserve">Опазване на обществения ред и защита на националната сигурност, противодействие на тежките престъпления срещу личността и собствеността на гражданите; </w:t>
      </w:r>
    </w:p>
    <w:p w:rsidR="00CE4003" w:rsidRPr="00EA6851" w:rsidRDefault="00CE4003" w:rsidP="00B30642">
      <w:pPr>
        <w:numPr>
          <w:ilvl w:val="0"/>
          <w:numId w:val="25"/>
        </w:numPr>
      </w:pPr>
      <w:r w:rsidRPr="00EA6851">
        <w:t xml:space="preserve">Противодействие на местни и транснационални престъпни структури и на физически и юридически лица, чиито действия са насочени срещу митническия режим, паричната, данъчната, осигурителната и други системи; </w:t>
      </w:r>
    </w:p>
    <w:p w:rsidR="00CE4003" w:rsidRPr="00EA6851" w:rsidRDefault="00CE4003" w:rsidP="00B30642">
      <w:pPr>
        <w:numPr>
          <w:ilvl w:val="0"/>
          <w:numId w:val="25"/>
        </w:numPr>
      </w:pPr>
      <w:r w:rsidRPr="00EA6851">
        <w:t>Недопускане извършването на терористични действия на територията на страната;</w:t>
      </w:r>
    </w:p>
    <w:p w:rsidR="00CE4003" w:rsidRPr="00EA6851" w:rsidRDefault="00CE4003" w:rsidP="00B30642">
      <w:pPr>
        <w:numPr>
          <w:ilvl w:val="0"/>
          <w:numId w:val="25"/>
        </w:numPr>
      </w:pPr>
      <w:r w:rsidRPr="00EA6851">
        <w:t xml:space="preserve">Граничен контрол и охрана на държавната граница, противодействие на незаконната миграция на територията на Република България и засилване контрола върху установяване на незаконно пребиваващи граждани на територията на страната; </w:t>
      </w:r>
    </w:p>
    <w:p w:rsidR="00CE4003" w:rsidRPr="00EA6851" w:rsidRDefault="00CE4003" w:rsidP="00B30642">
      <w:pPr>
        <w:numPr>
          <w:ilvl w:val="0"/>
          <w:numId w:val="25"/>
        </w:numPr>
      </w:pPr>
      <w:r w:rsidRPr="00EA6851">
        <w:t xml:space="preserve">Превантивна дейност и контрол на движението по пътищата и внедряване на технически системи за наблюдение и контрол с цел намаляване броя на убитите и ранените при пътно-транспортни произшествия; </w:t>
      </w:r>
    </w:p>
    <w:p w:rsidR="00CE4003" w:rsidRPr="00EA6851" w:rsidRDefault="00CE4003" w:rsidP="00B30642">
      <w:pPr>
        <w:numPr>
          <w:ilvl w:val="0"/>
          <w:numId w:val="25"/>
        </w:numPr>
      </w:pPr>
      <w:r w:rsidRPr="00EA6851">
        <w:t xml:space="preserve">Осигуряване на пожарна безопасност и защита на населението при пожари, бедствия и други извънредни ситуации; </w:t>
      </w:r>
    </w:p>
    <w:p w:rsidR="00CE4003" w:rsidRPr="00EA6851" w:rsidRDefault="00CE4003" w:rsidP="00B30642">
      <w:pPr>
        <w:numPr>
          <w:ilvl w:val="0"/>
          <w:numId w:val="25"/>
        </w:numPr>
      </w:pPr>
      <w:r w:rsidRPr="00EA6851">
        <w:t xml:space="preserve">Осигуряване, разработване и прилагане на специални разузнавателни средства (СРС) и на специфични методи за охрана на живота, здравето и имуществото на гражданите, защита на правата и свободите на гражданите срещу незаконосъобразното използване на СРС и намирането на баланс между нуждата от използване на СРС, гражданските права и финансовите възможности на държавата; </w:t>
      </w:r>
    </w:p>
    <w:p w:rsidR="00CE4003" w:rsidRPr="00EA6851" w:rsidRDefault="00CE4003" w:rsidP="00B30642">
      <w:pPr>
        <w:numPr>
          <w:ilvl w:val="0"/>
          <w:numId w:val="25"/>
        </w:numPr>
      </w:pPr>
      <w:r w:rsidRPr="00EA6851">
        <w:t xml:space="preserve">Извършване на оперативно-техническа дейност за разкриване и документиране извършването на престъпления, включително и за изготвяне на веществени доказателствени средства; </w:t>
      </w:r>
    </w:p>
    <w:p w:rsidR="00CE4003" w:rsidRPr="00EA6851" w:rsidRDefault="00CE4003" w:rsidP="00B30642">
      <w:pPr>
        <w:numPr>
          <w:ilvl w:val="0"/>
          <w:numId w:val="25"/>
        </w:numPr>
      </w:pPr>
      <w:r w:rsidRPr="00EA6851">
        <w:t>Осигуряване на лична постова и техническа охрана, специализиран транспорт и пропускателен режим по месторабота, местоживеене, пребиваване в страната и в чужбина на категориите охранявани и обслужвани лица съгласно Закона за Националната служба за охрана;</w:t>
      </w:r>
    </w:p>
    <w:p w:rsidR="00CE4003" w:rsidRPr="00EA6851" w:rsidRDefault="00CE4003" w:rsidP="00B30642">
      <w:pPr>
        <w:numPr>
          <w:ilvl w:val="0"/>
          <w:numId w:val="25"/>
        </w:numPr>
      </w:pPr>
      <w:r w:rsidRPr="00EA6851">
        <w:t xml:space="preserve">Обезпечаване на оперативната и разузнавателна дейност зад граница и физическа охрана на задграничните дипломатически представителства на Република България; </w:t>
      </w:r>
    </w:p>
    <w:p w:rsidR="00CE4003" w:rsidRPr="00EA6851" w:rsidRDefault="00CE4003" w:rsidP="00B30642">
      <w:pPr>
        <w:numPr>
          <w:ilvl w:val="0"/>
          <w:numId w:val="25"/>
        </w:numPr>
      </w:pPr>
      <w:r w:rsidRPr="00EA6851">
        <w:t>Разработване и актуализиране на правила за съхраняването на искания, разрешения и разпореждания по използването и прилагането на СРС, издаване на указания във връзка с подобряване режима на използване и прилагане на СРС, както и за съхраняване и унищожаване на придобитата чрез тях информация; сезиране на органите и уведомяване служебно на гражданите при наличие на данни за неправомерно използване и прилагане на СРС.</w:t>
      </w:r>
    </w:p>
    <w:p w:rsidR="000E564D" w:rsidRPr="00EA6851" w:rsidRDefault="000E564D" w:rsidP="000E564D">
      <w:pPr>
        <w:pStyle w:val="Heading4"/>
      </w:pPr>
      <w:r w:rsidRPr="00EA6851">
        <w:t xml:space="preserve">Политика в областта на противодействието на престъпността и опазването на обществения ред </w:t>
      </w:r>
    </w:p>
    <w:p w:rsidR="007977EB" w:rsidRPr="00EA6851" w:rsidRDefault="007977EB" w:rsidP="007977EB">
      <w:pPr>
        <w:rPr>
          <w:szCs w:val="24"/>
        </w:rPr>
      </w:pPr>
      <w:r w:rsidRPr="00EA6851">
        <w:rPr>
          <w:szCs w:val="24"/>
        </w:rPr>
        <w:t>Тази област на политика е насочена към противодействие на организираните и конвенционалните форми на престъпност против икономиката и финансовата система и на престъпленията против личността и собствеността на гражданите; ефективно противодействие на тероризма и киберпрестъпността; опазване на обществения ред; намаляване на пътнотранспортния травматизъм и подобряване на пътната безопасност.</w:t>
      </w:r>
    </w:p>
    <w:p w:rsidR="007977EB" w:rsidRPr="00EA6851" w:rsidRDefault="007977EB" w:rsidP="000E564D">
      <w:pPr>
        <w:rPr>
          <w:szCs w:val="24"/>
          <w:highlight w:val="yellow"/>
        </w:rPr>
      </w:pPr>
      <w:r w:rsidRPr="00EA6851">
        <w:rPr>
          <w:szCs w:val="24"/>
        </w:rPr>
        <w:t>Дейностите по тази политика се изпълняват от структури на Министерството на вътрешните работи.</w:t>
      </w:r>
    </w:p>
    <w:p w:rsidR="000E564D" w:rsidRPr="00EA6851" w:rsidRDefault="000E564D" w:rsidP="000E564D">
      <w:pPr>
        <w:widowControl w:val="0"/>
        <w:autoSpaceDE w:val="0"/>
        <w:autoSpaceDN w:val="0"/>
        <w:adjustRightInd w:val="0"/>
        <w:ind w:right="-8"/>
        <w:contextualSpacing/>
        <w:rPr>
          <w:b/>
          <w:bCs/>
          <w:sz w:val="20"/>
          <w:szCs w:val="20"/>
        </w:rPr>
      </w:pPr>
      <w:r w:rsidRPr="00EA6851">
        <w:rPr>
          <w:b/>
          <w:bCs/>
          <w:sz w:val="20"/>
          <w:szCs w:val="20"/>
        </w:rPr>
        <w:t>КЛЮЧОВИ ИНДИКАТОРИ ЗА ИЗПЪЛНЕНИЕ И ЦЕЛЕВИ СТОЙНОСТИ</w:t>
      </w:r>
    </w:p>
    <w:p w:rsidR="007977EB" w:rsidRPr="00EA6851" w:rsidRDefault="007977EB" w:rsidP="000E564D">
      <w:pPr>
        <w:widowControl w:val="0"/>
        <w:autoSpaceDE w:val="0"/>
        <w:autoSpaceDN w:val="0"/>
        <w:adjustRightInd w:val="0"/>
        <w:ind w:right="-8"/>
        <w:contextualSpacing/>
        <w:rPr>
          <w:b/>
          <w:bCs/>
          <w:sz w:val="20"/>
          <w:szCs w:val="20"/>
        </w:rPr>
      </w:pPr>
    </w:p>
    <w:tbl>
      <w:tblPr>
        <w:tblStyle w:val="TableGrid261"/>
        <w:tblW w:w="4961" w:type="pct"/>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38"/>
        <w:gridCol w:w="905"/>
        <w:gridCol w:w="1011"/>
        <w:gridCol w:w="997"/>
        <w:gridCol w:w="1010"/>
        <w:gridCol w:w="1238"/>
      </w:tblGrid>
      <w:tr w:rsidR="007977EB" w:rsidRPr="00EA6851" w:rsidTr="00306D54">
        <w:trPr>
          <w:trHeight w:val="70"/>
          <w:tblHeader/>
          <w:jc w:val="center"/>
        </w:trPr>
        <w:tc>
          <w:tcPr>
            <w:tcW w:w="2132" w:type="pct"/>
            <w:tcBorders>
              <w:top w:val="single" w:sz="4" w:space="0" w:color="auto"/>
              <w:left w:val="nil"/>
              <w:bottom w:val="nil"/>
              <w:right w:val="nil"/>
            </w:tcBorders>
            <w:vAlign w:val="center"/>
            <w:hideMark/>
          </w:tcPr>
          <w:p w:rsidR="007977EB" w:rsidRPr="00EA6851" w:rsidRDefault="007977EB" w:rsidP="00094DD5">
            <w:pPr>
              <w:spacing w:after="120"/>
              <w:jc w:val="center"/>
              <w:rPr>
                <w:b/>
                <w:bCs/>
                <w:i/>
                <w:iCs/>
                <w:color w:val="000000"/>
                <w:sz w:val="18"/>
                <w:szCs w:val="18"/>
              </w:rPr>
            </w:pPr>
            <w:r w:rsidRPr="00EA6851">
              <w:rPr>
                <w:b/>
                <w:bCs/>
                <w:i/>
                <w:iCs/>
                <w:color w:val="000000"/>
                <w:sz w:val="18"/>
                <w:szCs w:val="18"/>
              </w:rPr>
              <w:t>Политика в областта на противодействието на престъпността и опазването на обществения ред</w:t>
            </w:r>
          </w:p>
        </w:tc>
        <w:tc>
          <w:tcPr>
            <w:tcW w:w="503" w:type="pct"/>
            <w:vMerge w:val="restart"/>
            <w:tcBorders>
              <w:top w:val="single" w:sz="4" w:space="0" w:color="auto"/>
              <w:left w:val="nil"/>
              <w:bottom w:val="single" w:sz="4" w:space="0" w:color="auto"/>
              <w:right w:val="nil"/>
            </w:tcBorders>
            <w:shd w:val="clear" w:color="auto" w:fill="F2F2F2"/>
            <w:vAlign w:val="center"/>
            <w:hideMark/>
          </w:tcPr>
          <w:p w:rsidR="007977EB" w:rsidRPr="00EA6851" w:rsidRDefault="007977EB" w:rsidP="00094DD5">
            <w:pPr>
              <w:spacing w:after="120"/>
              <w:jc w:val="center"/>
              <w:rPr>
                <w:b/>
                <w:bCs/>
                <w:iCs/>
                <w:color w:val="000000"/>
                <w:sz w:val="18"/>
                <w:szCs w:val="18"/>
              </w:rPr>
            </w:pPr>
            <w:r w:rsidRPr="00EA6851">
              <w:rPr>
                <w:b/>
                <w:bCs/>
                <w:iCs/>
                <w:color w:val="000000"/>
                <w:sz w:val="18"/>
                <w:szCs w:val="18"/>
              </w:rPr>
              <w:t>Мерна единица</w:t>
            </w:r>
          </w:p>
        </w:tc>
        <w:tc>
          <w:tcPr>
            <w:tcW w:w="2366" w:type="pct"/>
            <w:gridSpan w:val="4"/>
            <w:tcBorders>
              <w:top w:val="single" w:sz="4" w:space="0" w:color="auto"/>
              <w:left w:val="nil"/>
              <w:bottom w:val="single" w:sz="4" w:space="0" w:color="auto"/>
              <w:right w:val="nil"/>
            </w:tcBorders>
            <w:vAlign w:val="center"/>
            <w:hideMark/>
          </w:tcPr>
          <w:p w:rsidR="007977EB" w:rsidRPr="00EA6851" w:rsidRDefault="007977EB" w:rsidP="00094DD5">
            <w:pPr>
              <w:spacing w:after="120"/>
              <w:jc w:val="center"/>
              <w:rPr>
                <w:b/>
                <w:bCs/>
                <w:iCs/>
                <w:color w:val="000000"/>
                <w:sz w:val="18"/>
                <w:szCs w:val="18"/>
              </w:rPr>
            </w:pPr>
            <w:r w:rsidRPr="00EA6851">
              <w:rPr>
                <w:b/>
                <w:bCs/>
                <w:iCs/>
                <w:color w:val="000000"/>
                <w:sz w:val="18"/>
                <w:szCs w:val="18"/>
              </w:rPr>
              <w:t>Целева стойност</w:t>
            </w:r>
          </w:p>
        </w:tc>
      </w:tr>
      <w:tr w:rsidR="007977EB" w:rsidRPr="00EA6851" w:rsidTr="00306D54">
        <w:trPr>
          <w:trHeight w:val="215"/>
          <w:tblHeader/>
          <w:jc w:val="center"/>
        </w:trPr>
        <w:tc>
          <w:tcPr>
            <w:tcW w:w="2132" w:type="pct"/>
            <w:tcBorders>
              <w:top w:val="nil"/>
              <w:left w:val="nil"/>
              <w:bottom w:val="single" w:sz="4" w:space="0" w:color="auto"/>
              <w:right w:val="nil"/>
            </w:tcBorders>
            <w:vAlign w:val="center"/>
            <w:hideMark/>
          </w:tcPr>
          <w:p w:rsidR="007977EB" w:rsidRPr="00EA6851" w:rsidRDefault="007977EB" w:rsidP="00094DD5">
            <w:pPr>
              <w:spacing w:after="120"/>
              <w:jc w:val="center"/>
              <w:rPr>
                <w:b/>
                <w:bCs/>
                <w:iCs/>
                <w:color w:val="000000"/>
                <w:sz w:val="18"/>
                <w:szCs w:val="18"/>
              </w:rPr>
            </w:pPr>
            <w:r w:rsidRPr="00EA6851">
              <w:rPr>
                <w:b/>
                <w:bCs/>
                <w:iCs/>
                <w:color w:val="000000"/>
                <w:sz w:val="18"/>
                <w:szCs w:val="18"/>
              </w:rPr>
              <w:t>Наименование на индикатора</w:t>
            </w:r>
          </w:p>
        </w:tc>
        <w:tc>
          <w:tcPr>
            <w:tcW w:w="0" w:type="auto"/>
            <w:vMerge/>
            <w:tcBorders>
              <w:top w:val="single" w:sz="4" w:space="0" w:color="auto"/>
              <w:left w:val="nil"/>
              <w:bottom w:val="single" w:sz="4" w:space="0" w:color="auto"/>
              <w:right w:val="nil"/>
            </w:tcBorders>
            <w:vAlign w:val="center"/>
            <w:hideMark/>
          </w:tcPr>
          <w:p w:rsidR="007977EB" w:rsidRPr="00EA6851" w:rsidRDefault="007977EB" w:rsidP="00094DD5">
            <w:pPr>
              <w:spacing w:after="120"/>
              <w:jc w:val="left"/>
              <w:rPr>
                <w:b/>
                <w:bCs/>
                <w:iCs/>
                <w:color w:val="000000"/>
                <w:sz w:val="18"/>
                <w:szCs w:val="18"/>
              </w:rPr>
            </w:pPr>
          </w:p>
        </w:tc>
        <w:tc>
          <w:tcPr>
            <w:tcW w:w="562" w:type="pct"/>
            <w:tcBorders>
              <w:top w:val="single" w:sz="4" w:space="0" w:color="auto"/>
              <w:left w:val="nil"/>
              <w:bottom w:val="single" w:sz="4" w:space="0" w:color="auto"/>
              <w:right w:val="nil"/>
            </w:tcBorders>
            <w:vAlign w:val="center"/>
            <w:hideMark/>
          </w:tcPr>
          <w:p w:rsidR="007977EB" w:rsidRPr="00EA6851" w:rsidRDefault="007977EB" w:rsidP="00094DD5">
            <w:pPr>
              <w:spacing w:after="120"/>
              <w:jc w:val="center"/>
              <w:rPr>
                <w:b/>
                <w:bCs/>
                <w:i/>
                <w:iCs/>
                <w:color w:val="000000"/>
                <w:sz w:val="18"/>
                <w:szCs w:val="18"/>
              </w:rPr>
            </w:pPr>
            <w:r w:rsidRPr="00EA6851">
              <w:rPr>
                <w:b/>
                <w:bCs/>
                <w:i/>
                <w:iCs/>
                <w:color w:val="000000"/>
                <w:sz w:val="18"/>
                <w:szCs w:val="18"/>
              </w:rPr>
              <w:t>Програма 2023 г.</w:t>
            </w:r>
          </w:p>
        </w:tc>
        <w:tc>
          <w:tcPr>
            <w:tcW w:w="554" w:type="pct"/>
            <w:tcBorders>
              <w:top w:val="single" w:sz="4" w:space="0" w:color="auto"/>
              <w:left w:val="nil"/>
              <w:bottom w:val="single" w:sz="4" w:space="0" w:color="auto"/>
              <w:right w:val="nil"/>
            </w:tcBorders>
            <w:vAlign w:val="center"/>
            <w:hideMark/>
          </w:tcPr>
          <w:p w:rsidR="007977EB" w:rsidRPr="00EA6851" w:rsidRDefault="007977EB" w:rsidP="00094DD5">
            <w:pPr>
              <w:spacing w:after="120"/>
              <w:jc w:val="center"/>
              <w:rPr>
                <w:b/>
                <w:bCs/>
                <w:i/>
                <w:iCs/>
                <w:color w:val="000000"/>
                <w:sz w:val="18"/>
                <w:szCs w:val="18"/>
              </w:rPr>
            </w:pPr>
            <w:r w:rsidRPr="00EA6851">
              <w:rPr>
                <w:b/>
                <w:bCs/>
                <w:i/>
                <w:iCs/>
                <w:color w:val="000000"/>
                <w:sz w:val="18"/>
                <w:szCs w:val="18"/>
              </w:rPr>
              <w:t>Проект 2024 г.</w:t>
            </w:r>
          </w:p>
        </w:tc>
        <w:tc>
          <w:tcPr>
            <w:tcW w:w="561" w:type="pct"/>
            <w:tcBorders>
              <w:top w:val="single" w:sz="4" w:space="0" w:color="auto"/>
              <w:left w:val="nil"/>
              <w:bottom w:val="single" w:sz="4" w:space="0" w:color="auto"/>
              <w:right w:val="nil"/>
            </w:tcBorders>
            <w:vAlign w:val="center"/>
            <w:hideMark/>
          </w:tcPr>
          <w:p w:rsidR="007977EB" w:rsidRPr="00EA6851" w:rsidRDefault="007977EB" w:rsidP="00094DD5">
            <w:pPr>
              <w:spacing w:after="120"/>
              <w:jc w:val="center"/>
              <w:rPr>
                <w:b/>
                <w:bCs/>
                <w:i/>
                <w:iCs/>
                <w:color w:val="000000"/>
                <w:sz w:val="18"/>
                <w:szCs w:val="18"/>
              </w:rPr>
            </w:pPr>
            <w:r w:rsidRPr="00EA6851">
              <w:rPr>
                <w:b/>
                <w:bCs/>
                <w:i/>
                <w:iCs/>
                <w:color w:val="000000"/>
                <w:sz w:val="18"/>
                <w:szCs w:val="18"/>
              </w:rPr>
              <w:t>Прогноза 2025 г.</w:t>
            </w:r>
          </w:p>
        </w:tc>
        <w:tc>
          <w:tcPr>
            <w:tcW w:w="688" w:type="pct"/>
            <w:tcBorders>
              <w:top w:val="single" w:sz="4" w:space="0" w:color="auto"/>
              <w:left w:val="nil"/>
              <w:bottom w:val="single" w:sz="4" w:space="0" w:color="auto"/>
              <w:right w:val="nil"/>
            </w:tcBorders>
            <w:hideMark/>
          </w:tcPr>
          <w:p w:rsidR="007977EB" w:rsidRPr="00EA6851" w:rsidRDefault="007977EB" w:rsidP="00094DD5">
            <w:pPr>
              <w:spacing w:after="120"/>
              <w:jc w:val="center"/>
              <w:rPr>
                <w:b/>
                <w:bCs/>
                <w:i/>
                <w:iCs/>
                <w:color w:val="000000"/>
                <w:sz w:val="18"/>
                <w:szCs w:val="18"/>
              </w:rPr>
            </w:pPr>
            <w:r w:rsidRPr="00EA6851">
              <w:rPr>
                <w:b/>
                <w:bCs/>
                <w:i/>
                <w:iCs/>
                <w:color w:val="000000"/>
                <w:sz w:val="18"/>
                <w:szCs w:val="18"/>
              </w:rPr>
              <w:t>Прогноза  2026 г.</w:t>
            </w:r>
          </w:p>
        </w:tc>
      </w:tr>
      <w:tr w:rsidR="007977EB" w:rsidRPr="00EA6851" w:rsidTr="00306D54">
        <w:trPr>
          <w:trHeight w:val="552"/>
          <w:jc w:val="center"/>
        </w:trPr>
        <w:tc>
          <w:tcPr>
            <w:tcW w:w="2132" w:type="pct"/>
            <w:tcBorders>
              <w:top w:val="single" w:sz="4" w:space="0" w:color="auto"/>
              <w:left w:val="nil"/>
              <w:bottom w:val="nil"/>
              <w:right w:val="nil"/>
            </w:tcBorders>
            <w:hideMark/>
          </w:tcPr>
          <w:p w:rsidR="007977EB" w:rsidRPr="00EA6851" w:rsidRDefault="007977EB" w:rsidP="00094DD5">
            <w:pPr>
              <w:spacing w:after="120"/>
              <w:rPr>
                <w:bCs/>
                <w:iCs/>
                <w:color w:val="000000"/>
                <w:sz w:val="18"/>
                <w:szCs w:val="18"/>
              </w:rPr>
            </w:pPr>
            <w:r w:rsidRPr="00EA6851">
              <w:rPr>
                <w:bCs/>
                <w:iCs/>
                <w:color w:val="000000"/>
                <w:sz w:val="18"/>
                <w:szCs w:val="18"/>
              </w:rPr>
              <w:t>1. Намаляване на регистрираните престъпления</w:t>
            </w:r>
          </w:p>
        </w:tc>
        <w:tc>
          <w:tcPr>
            <w:tcW w:w="503" w:type="pct"/>
            <w:tcBorders>
              <w:top w:val="single" w:sz="4" w:space="0" w:color="auto"/>
              <w:left w:val="nil"/>
              <w:bottom w:val="nil"/>
              <w:right w:val="nil"/>
            </w:tcBorders>
            <w:shd w:val="clear" w:color="auto" w:fill="F2F2F2"/>
            <w:hideMark/>
          </w:tcPr>
          <w:p w:rsidR="007977EB" w:rsidRPr="00EA6851" w:rsidRDefault="007977EB" w:rsidP="00094DD5">
            <w:pPr>
              <w:spacing w:after="120"/>
              <w:jc w:val="center"/>
              <w:rPr>
                <w:bCs/>
                <w:iCs/>
                <w:color w:val="000000"/>
                <w:sz w:val="18"/>
                <w:szCs w:val="18"/>
              </w:rPr>
            </w:pPr>
            <w:r w:rsidRPr="00EA6851">
              <w:rPr>
                <w:bCs/>
                <w:iCs/>
                <w:color w:val="000000"/>
                <w:sz w:val="18"/>
                <w:szCs w:val="18"/>
              </w:rPr>
              <w:t>%</w:t>
            </w:r>
          </w:p>
        </w:tc>
        <w:tc>
          <w:tcPr>
            <w:tcW w:w="562" w:type="pct"/>
            <w:tcBorders>
              <w:top w:val="single" w:sz="4" w:space="0" w:color="auto"/>
              <w:left w:val="nil"/>
              <w:bottom w:val="nil"/>
              <w:right w:val="nil"/>
            </w:tcBorders>
            <w:hideMark/>
          </w:tcPr>
          <w:p w:rsidR="007977EB" w:rsidRPr="00EA6851" w:rsidRDefault="007977EB" w:rsidP="00094DD5">
            <w:pPr>
              <w:spacing w:after="120"/>
              <w:jc w:val="center"/>
              <w:rPr>
                <w:bCs/>
                <w:iCs/>
                <w:color w:val="000000"/>
                <w:sz w:val="18"/>
                <w:szCs w:val="18"/>
              </w:rPr>
            </w:pPr>
            <w:r w:rsidRPr="00EA6851">
              <w:rPr>
                <w:bCs/>
                <w:iCs/>
                <w:color w:val="000000"/>
                <w:sz w:val="18"/>
                <w:szCs w:val="18"/>
              </w:rPr>
              <w:t>1</w:t>
            </w:r>
          </w:p>
        </w:tc>
        <w:tc>
          <w:tcPr>
            <w:tcW w:w="554" w:type="pct"/>
            <w:tcBorders>
              <w:top w:val="single" w:sz="4" w:space="0" w:color="auto"/>
              <w:left w:val="nil"/>
              <w:bottom w:val="nil"/>
              <w:right w:val="nil"/>
            </w:tcBorders>
            <w:hideMark/>
          </w:tcPr>
          <w:p w:rsidR="007977EB" w:rsidRPr="00EA6851" w:rsidRDefault="007977EB" w:rsidP="00094DD5">
            <w:pPr>
              <w:spacing w:after="120"/>
              <w:jc w:val="center"/>
              <w:rPr>
                <w:bCs/>
                <w:iCs/>
                <w:color w:val="000000"/>
                <w:sz w:val="18"/>
                <w:szCs w:val="18"/>
              </w:rPr>
            </w:pPr>
            <w:r w:rsidRPr="00EA6851">
              <w:rPr>
                <w:bCs/>
                <w:iCs/>
                <w:color w:val="000000"/>
                <w:sz w:val="18"/>
                <w:szCs w:val="18"/>
              </w:rPr>
              <w:t>1</w:t>
            </w:r>
          </w:p>
        </w:tc>
        <w:tc>
          <w:tcPr>
            <w:tcW w:w="561" w:type="pct"/>
            <w:tcBorders>
              <w:top w:val="single" w:sz="4" w:space="0" w:color="auto"/>
              <w:left w:val="nil"/>
              <w:bottom w:val="nil"/>
              <w:right w:val="nil"/>
            </w:tcBorders>
            <w:hideMark/>
          </w:tcPr>
          <w:p w:rsidR="007977EB" w:rsidRPr="00EA6851" w:rsidRDefault="007977EB" w:rsidP="00094DD5">
            <w:pPr>
              <w:spacing w:after="120"/>
              <w:jc w:val="center"/>
              <w:rPr>
                <w:bCs/>
                <w:iCs/>
                <w:color w:val="000000"/>
                <w:sz w:val="18"/>
                <w:szCs w:val="18"/>
              </w:rPr>
            </w:pPr>
            <w:r w:rsidRPr="00EA6851">
              <w:rPr>
                <w:bCs/>
                <w:iCs/>
                <w:color w:val="000000"/>
                <w:sz w:val="18"/>
                <w:szCs w:val="18"/>
              </w:rPr>
              <w:t>1</w:t>
            </w:r>
          </w:p>
        </w:tc>
        <w:tc>
          <w:tcPr>
            <w:tcW w:w="688" w:type="pct"/>
            <w:tcBorders>
              <w:top w:val="single" w:sz="4" w:space="0" w:color="auto"/>
              <w:left w:val="nil"/>
              <w:bottom w:val="nil"/>
              <w:right w:val="nil"/>
            </w:tcBorders>
            <w:hideMark/>
          </w:tcPr>
          <w:p w:rsidR="007977EB" w:rsidRPr="00EA6851" w:rsidRDefault="007977EB" w:rsidP="00094DD5">
            <w:pPr>
              <w:spacing w:after="120"/>
              <w:jc w:val="center"/>
              <w:rPr>
                <w:bCs/>
                <w:iCs/>
                <w:color w:val="000000"/>
                <w:sz w:val="18"/>
                <w:szCs w:val="18"/>
              </w:rPr>
            </w:pPr>
            <w:r w:rsidRPr="00EA6851">
              <w:rPr>
                <w:bCs/>
                <w:iCs/>
                <w:color w:val="000000"/>
                <w:sz w:val="18"/>
                <w:szCs w:val="18"/>
              </w:rPr>
              <w:t>1</w:t>
            </w:r>
          </w:p>
        </w:tc>
      </w:tr>
      <w:tr w:rsidR="007977EB" w:rsidRPr="00EA6851" w:rsidTr="00306D54">
        <w:trPr>
          <w:trHeight w:val="544"/>
          <w:jc w:val="center"/>
        </w:trPr>
        <w:tc>
          <w:tcPr>
            <w:tcW w:w="2132" w:type="pct"/>
            <w:tcBorders>
              <w:top w:val="nil"/>
              <w:left w:val="nil"/>
              <w:bottom w:val="nil"/>
              <w:right w:val="nil"/>
            </w:tcBorders>
            <w:hideMark/>
          </w:tcPr>
          <w:p w:rsidR="007977EB" w:rsidRPr="00EA6851" w:rsidRDefault="007977EB" w:rsidP="00094DD5">
            <w:pPr>
              <w:spacing w:after="120"/>
              <w:rPr>
                <w:bCs/>
                <w:iCs/>
                <w:color w:val="000000"/>
                <w:sz w:val="18"/>
                <w:szCs w:val="18"/>
              </w:rPr>
            </w:pPr>
            <w:r w:rsidRPr="00EA6851">
              <w:rPr>
                <w:bCs/>
                <w:iCs/>
                <w:color w:val="000000"/>
                <w:sz w:val="18"/>
                <w:szCs w:val="18"/>
              </w:rPr>
              <w:t>2. Дял на върнатите досъдебни производства за периода</w:t>
            </w:r>
            <w:r w:rsidRPr="00EA6851">
              <w:t xml:space="preserve"> </w:t>
            </w:r>
          </w:p>
        </w:tc>
        <w:tc>
          <w:tcPr>
            <w:tcW w:w="503" w:type="pct"/>
            <w:tcBorders>
              <w:top w:val="nil"/>
              <w:left w:val="nil"/>
              <w:bottom w:val="nil"/>
              <w:right w:val="nil"/>
            </w:tcBorders>
            <w:shd w:val="clear" w:color="auto" w:fill="F2F2F2"/>
            <w:hideMark/>
          </w:tcPr>
          <w:p w:rsidR="007977EB" w:rsidRPr="00EA6851" w:rsidRDefault="007977EB" w:rsidP="00094DD5">
            <w:pPr>
              <w:spacing w:after="120"/>
              <w:jc w:val="center"/>
              <w:rPr>
                <w:bCs/>
                <w:iCs/>
                <w:color w:val="000000"/>
                <w:sz w:val="18"/>
                <w:szCs w:val="18"/>
              </w:rPr>
            </w:pPr>
            <w:r w:rsidRPr="00EA6851">
              <w:rPr>
                <w:bCs/>
                <w:iCs/>
                <w:color w:val="000000"/>
                <w:sz w:val="18"/>
                <w:szCs w:val="18"/>
              </w:rPr>
              <w:t>%</w:t>
            </w:r>
          </w:p>
        </w:tc>
        <w:tc>
          <w:tcPr>
            <w:tcW w:w="562" w:type="pct"/>
            <w:tcBorders>
              <w:top w:val="nil"/>
              <w:left w:val="nil"/>
              <w:bottom w:val="nil"/>
              <w:right w:val="nil"/>
            </w:tcBorders>
            <w:hideMark/>
          </w:tcPr>
          <w:p w:rsidR="007977EB" w:rsidRPr="00EA6851" w:rsidRDefault="007977EB" w:rsidP="00094DD5">
            <w:pPr>
              <w:spacing w:after="120"/>
              <w:jc w:val="center"/>
              <w:rPr>
                <w:bCs/>
                <w:iCs/>
                <w:color w:val="000000"/>
                <w:sz w:val="18"/>
                <w:szCs w:val="18"/>
              </w:rPr>
            </w:pPr>
            <w:r w:rsidRPr="00EA6851">
              <w:rPr>
                <w:bCs/>
                <w:iCs/>
                <w:color w:val="000000"/>
                <w:sz w:val="18"/>
                <w:szCs w:val="18"/>
              </w:rPr>
              <w:t>4</w:t>
            </w:r>
          </w:p>
        </w:tc>
        <w:tc>
          <w:tcPr>
            <w:tcW w:w="554" w:type="pct"/>
            <w:tcBorders>
              <w:top w:val="nil"/>
              <w:left w:val="nil"/>
              <w:bottom w:val="nil"/>
              <w:right w:val="nil"/>
            </w:tcBorders>
            <w:hideMark/>
          </w:tcPr>
          <w:p w:rsidR="007977EB" w:rsidRPr="00EA6851" w:rsidRDefault="007977EB" w:rsidP="00094DD5">
            <w:pPr>
              <w:spacing w:after="120"/>
              <w:jc w:val="center"/>
              <w:rPr>
                <w:bCs/>
                <w:iCs/>
                <w:color w:val="000000"/>
                <w:sz w:val="18"/>
                <w:szCs w:val="18"/>
              </w:rPr>
            </w:pPr>
            <w:r w:rsidRPr="00EA6851">
              <w:rPr>
                <w:bCs/>
                <w:iCs/>
                <w:color w:val="000000"/>
                <w:sz w:val="18"/>
                <w:szCs w:val="18"/>
              </w:rPr>
              <w:t>4</w:t>
            </w:r>
          </w:p>
        </w:tc>
        <w:tc>
          <w:tcPr>
            <w:tcW w:w="561" w:type="pct"/>
            <w:tcBorders>
              <w:top w:val="nil"/>
              <w:left w:val="nil"/>
              <w:bottom w:val="nil"/>
              <w:right w:val="nil"/>
            </w:tcBorders>
            <w:hideMark/>
          </w:tcPr>
          <w:p w:rsidR="007977EB" w:rsidRPr="00EA6851" w:rsidRDefault="007977EB" w:rsidP="00094DD5">
            <w:pPr>
              <w:spacing w:after="120"/>
              <w:jc w:val="center"/>
              <w:rPr>
                <w:bCs/>
                <w:iCs/>
                <w:color w:val="000000"/>
                <w:sz w:val="18"/>
                <w:szCs w:val="18"/>
              </w:rPr>
            </w:pPr>
            <w:r w:rsidRPr="00EA6851">
              <w:rPr>
                <w:bCs/>
                <w:iCs/>
                <w:color w:val="000000"/>
                <w:sz w:val="18"/>
                <w:szCs w:val="18"/>
              </w:rPr>
              <w:t>4</w:t>
            </w:r>
          </w:p>
        </w:tc>
        <w:tc>
          <w:tcPr>
            <w:tcW w:w="688" w:type="pct"/>
            <w:tcBorders>
              <w:top w:val="nil"/>
              <w:left w:val="nil"/>
              <w:bottom w:val="nil"/>
              <w:right w:val="nil"/>
            </w:tcBorders>
            <w:hideMark/>
          </w:tcPr>
          <w:p w:rsidR="007977EB" w:rsidRPr="00EA6851" w:rsidRDefault="007977EB" w:rsidP="00094DD5">
            <w:pPr>
              <w:spacing w:after="120"/>
              <w:jc w:val="center"/>
              <w:rPr>
                <w:bCs/>
                <w:iCs/>
                <w:color w:val="000000"/>
                <w:sz w:val="18"/>
                <w:szCs w:val="18"/>
              </w:rPr>
            </w:pPr>
            <w:r w:rsidRPr="00EA6851">
              <w:rPr>
                <w:bCs/>
                <w:iCs/>
                <w:color w:val="000000"/>
                <w:sz w:val="18"/>
                <w:szCs w:val="18"/>
              </w:rPr>
              <w:t>4</w:t>
            </w:r>
          </w:p>
        </w:tc>
      </w:tr>
      <w:tr w:rsidR="007977EB" w:rsidRPr="00EA6851" w:rsidTr="00306D54">
        <w:trPr>
          <w:trHeight w:val="544"/>
          <w:jc w:val="center"/>
        </w:trPr>
        <w:tc>
          <w:tcPr>
            <w:tcW w:w="2132" w:type="pct"/>
            <w:tcBorders>
              <w:top w:val="nil"/>
              <w:left w:val="nil"/>
              <w:bottom w:val="nil"/>
              <w:right w:val="nil"/>
            </w:tcBorders>
            <w:hideMark/>
          </w:tcPr>
          <w:p w:rsidR="007977EB" w:rsidRPr="00EA6851" w:rsidRDefault="007977EB" w:rsidP="00094DD5">
            <w:pPr>
              <w:spacing w:after="120"/>
              <w:rPr>
                <w:bCs/>
                <w:iCs/>
                <w:color w:val="000000"/>
                <w:sz w:val="18"/>
                <w:szCs w:val="18"/>
              </w:rPr>
            </w:pPr>
            <w:r w:rsidRPr="00EA6851">
              <w:rPr>
                <w:bCs/>
                <w:iCs/>
                <w:color w:val="000000"/>
                <w:sz w:val="18"/>
                <w:szCs w:val="18"/>
              </w:rPr>
              <w:t>3. Увеличаване на контролната дейност с автоматизирани технически средства (АТС)</w:t>
            </w:r>
          </w:p>
        </w:tc>
        <w:tc>
          <w:tcPr>
            <w:tcW w:w="503" w:type="pct"/>
            <w:tcBorders>
              <w:top w:val="nil"/>
              <w:left w:val="nil"/>
              <w:bottom w:val="nil"/>
              <w:right w:val="nil"/>
            </w:tcBorders>
            <w:shd w:val="clear" w:color="auto" w:fill="F2F2F2"/>
            <w:hideMark/>
          </w:tcPr>
          <w:p w:rsidR="007977EB" w:rsidRPr="00EA6851" w:rsidRDefault="007977EB" w:rsidP="00094DD5">
            <w:pPr>
              <w:spacing w:after="120"/>
              <w:jc w:val="center"/>
              <w:rPr>
                <w:bCs/>
                <w:iCs/>
                <w:color w:val="000000"/>
                <w:sz w:val="18"/>
                <w:szCs w:val="18"/>
              </w:rPr>
            </w:pPr>
            <w:r w:rsidRPr="00EA6851">
              <w:rPr>
                <w:bCs/>
                <w:iCs/>
                <w:color w:val="000000"/>
                <w:sz w:val="18"/>
                <w:szCs w:val="18"/>
              </w:rPr>
              <w:t>%</w:t>
            </w:r>
          </w:p>
        </w:tc>
        <w:tc>
          <w:tcPr>
            <w:tcW w:w="562" w:type="pct"/>
            <w:tcBorders>
              <w:top w:val="nil"/>
              <w:left w:val="nil"/>
              <w:bottom w:val="nil"/>
              <w:right w:val="nil"/>
            </w:tcBorders>
            <w:hideMark/>
          </w:tcPr>
          <w:p w:rsidR="007977EB" w:rsidRPr="00EA6851" w:rsidRDefault="007977EB" w:rsidP="00094DD5">
            <w:pPr>
              <w:spacing w:after="120"/>
              <w:jc w:val="center"/>
              <w:rPr>
                <w:bCs/>
                <w:iCs/>
                <w:color w:val="000000"/>
                <w:sz w:val="18"/>
                <w:szCs w:val="18"/>
              </w:rPr>
            </w:pPr>
            <w:r w:rsidRPr="00EA6851">
              <w:rPr>
                <w:bCs/>
                <w:iCs/>
                <w:color w:val="000000"/>
                <w:sz w:val="18"/>
                <w:szCs w:val="18"/>
              </w:rPr>
              <w:t>10</w:t>
            </w:r>
          </w:p>
        </w:tc>
        <w:tc>
          <w:tcPr>
            <w:tcW w:w="554" w:type="pct"/>
            <w:tcBorders>
              <w:top w:val="nil"/>
              <w:left w:val="nil"/>
              <w:bottom w:val="nil"/>
              <w:right w:val="nil"/>
            </w:tcBorders>
            <w:hideMark/>
          </w:tcPr>
          <w:p w:rsidR="007977EB" w:rsidRPr="00EA6851" w:rsidRDefault="007977EB" w:rsidP="00094DD5">
            <w:pPr>
              <w:spacing w:after="120"/>
              <w:jc w:val="center"/>
              <w:rPr>
                <w:bCs/>
                <w:iCs/>
                <w:color w:val="000000"/>
                <w:sz w:val="18"/>
                <w:szCs w:val="18"/>
              </w:rPr>
            </w:pPr>
            <w:r w:rsidRPr="00EA6851">
              <w:rPr>
                <w:bCs/>
                <w:iCs/>
                <w:color w:val="000000"/>
                <w:sz w:val="18"/>
                <w:szCs w:val="18"/>
              </w:rPr>
              <w:t>10</w:t>
            </w:r>
          </w:p>
        </w:tc>
        <w:tc>
          <w:tcPr>
            <w:tcW w:w="561" w:type="pct"/>
            <w:tcBorders>
              <w:top w:val="nil"/>
              <w:left w:val="nil"/>
              <w:bottom w:val="nil"/>
              <w:right w:val="nil"/>
            </w:tcBorders>
            <w:hideMark/>
          </w:tcPr>
          <w:p w:rsidR="007977EB" w:rsidRPr="00EA6851" w:rsidRDefault="007977EB" w:rsidP="00094DD5">
            <w:pPr>
              <w:spacing w:after="120"/>
              <w:jc w:val="center"/>
              <w:rPr>
                <w:bCs/>
                <w:iCs/>
                <w:color w:val="000000"/>
                <w:sz w:val="18"/>
                <w:szCs w:val="18"/>
              </w:rPr>
            </w:pPr>
            <w:r w:rsidRPr="00EA6851">
              <w:rPr>
                <w:bCs/>
                <w:iCs/>
                <w:color w:val="000000"/>
                <w:sz w:val="18"/>
                <w:szCs w:val="18"/>
              </w:rPr>
              <w:t>10</w:t>
            </w:r>
          </w:p>
        </w:tc>
        <w:tc>
          <w:tcPr>
            <w:tcW w:w="688" w:type="pct"/>
            <w:tcBorders>
              <w:top w:val="nil"/>
              <w:left w:val="nil"/>
              <w:bottom w:val="nil"/>
              <w:right w:val="nil"/>
            </w:tcBorders>
            <w:hideMark/>
          </w:tcPr>
          <w:p w:rsidR="007977EB" w:rsidRPr="00EA6851" w:rsidRDefault="007977EB" w:rsidP="00094DD5">
            <w:pPr>
              <w:spacing w:after="120"/>
              <w:jc w:val="center"/>
              <w:rPr>
                <w:bCs/>
                <w:iCs/>
                <w:color w:val="000000"/>
                <w:sz w:val="18"/>
                <w:szCs w:val="18"/>
              </w:rPr>
            </w:pPr>
            <w:r w:rsidRPr="00EA6851">
              <w:rPr>
                <w:bCs/>
                <w:iCs/>
                <w:color w:val="000000"/>
                <w:sz w:val="18"/>
                <w:szCs w:val="18"/>
              </w:rPr>
              <w:t>5</w:t>
            </w:r>
          </w:p>
        </w:tc>
      </w:tr>
      <w:tr w:rsidR="007977EB" w:rsidRPr="00EA6851" w:rsidTr="00306D54">
        <w:trPr>
          <w:trHeight w:val="2452"/>
          <w:jc w:val="center"/>
        </w:trPr>
        <w:tc>
          <w:tcPr>
            <w:tcW w:w="2132" w:type="pct"/>
            <w:tcBorders>
              <w:top w:val="nil"/>
              <w:left w:val="nil"/>
              <w:bottom w:val="nil"/>
              <w:right w:val="nil"/>
            </w:tcBorders>
            <w:hideMark/>
          </w:tcPr>
          <w:p w:rsidR="007977EB" w:rsidRPr="00EA6851" w:rsidRDefault="007977EB" w:rsidP="00094DD5">
            <w:pPr>
              <w:spacing w:after="120"/>
              <w:rPr>
                <w:bCs/>
                <w:iCs/>
                <w:color w:val="000000"/>
                <w:sz w:val="18"/>
                <w:szCs w:val="18"/>
              </w:rPr>
            </w:pPr>
            <w:r w:rsidRPr="00EA6851">
              <w:rPr>
                <w:bCs/>
                <w:iCs/>
                <w:color w:val="000000"/>
                <w:sz w:val="18"/>
                <w:szCs w:val="18"/>
              </w:rPr>
              <w:t>4. Повишаване на ефективността по противодействие на организираната престъпност с цел реализиране на национални политики за гарантиране на сигурността чрез провеждане на качествени действия по разследването на база брой привлечени към наказателна отговорност лица за участието им в организирана престъпна дейност, в т. ч. и повдигнатите обвинения на отделни лица, уличени в изпиране на пари, корупция в органите на държавната власт и компютърните престъпления*</w:t>
            </w:r>
          </w:p>
        </w:tc>
        <w:tc>
          <w:tcPr>
            <w:tcW w:w="503" w:type="pct"/>
            <w:tcBorders>
              <w:top w:val="nil"/>
              <w:left w:val="nil"/>
              <w:bottom w:val="nil"/>
              <w:right w:val="nil"/>
            </w:tcBorders>
            <w:shd w:val="clear" w:color="auto" w:fill="F2F2F2"/>
            <w:hideMark/>
          </w:tcPr>
          <w:p w:rsidR="007977EB" w:rsidRPr="00EA6851" w:rsidRDefault="007977EB" w:rsidP="00094DD5">
            <w:pPr>
              <w:spacing w:after="120"/>
              <w:jc w:val="center"/>
              <w:rPr>
                <w:bCs/>
                <w:iCs/>
                <w:color w:val="000000"/>
                <w:sz w:val="18"/>
                <w:szCs w:val="18"/>
              </w:rPr>
            </w:pPr>
            <w:r w:rsidRPr="00EA6851">
              <w:rPr>
                <w:bCs/>
                <w:iCs/>
                <w:color w:val="000000"/>
                <w:sz w:val="18"/>
                <w:szCs w:val="18"/>
              </w:rPr>
              <w:t>%</w:t>
            </w:r>
          </w:p>
        </w:tc>
        <w:tc>
          <w:tcPr>
            <w:tcW w:w="562" w:type="pct"/>
            <w:tcBorders>
              <w:top w:val="nil"/>
              <w:left w:val="nil"/>
              <w:bottom w:val="nil"/>
              <w:right w:val="nil"/>
            </w:tcBorders>
            <w:hideMark/>
          </w:tcPr>
          <w:p w:rsidR="007977EB" w:rsidRPr="00EA6851" w:rsidRDefault="007977EB" w:rsidP="00094DD5">
            <w:pPr>
              <w:spacing w:after="120"/>
              <w:jc w:val="center"/>
              <w:rPr>
                <w:bCs/>
                <w:iCs/>
                <w:color w:val="000000"/>
                <w:sz w:val="18"/>
                <w:szCs w:val="18"/>
              </w:rPr>
            </w:pPr>
            <w:r w:rsidRPr="00EA6851">
              <w:rPr>
                <w:bCs/>
                <w:iCs/>
                <w:color w:val="000000"/>
                <w:sz w:val="18"/>
                <w:szCs w:val="18"/>
              </w:rPr>
              <w:t>-</w:t>
            </w:r>
          </w:p>
        </w:tc>
        <w:tc>
          <w:tcPr>
            <w:tcW w:w="554" w:type="pct"/>
            <w:tcBorders>
              <w:top w:val="nil"/>
              <w:left w:val="nil"/>
              <w:bottom w:val="nil"/>
              <w:right w:val="nil"/>
            </w:tcBorders>
            <w:hideMark/>
          </w:tcPr>
          <w:p w:rsidR="007977EB" w:rsidRPr="00EA6851" w:rsidRDefault="007977EB" w:rsidP="00094DD5">
            <w:pPr>
              <w:spacing w:after="120"/>
              <w:jc w:val="center"/>
              <w:rPr>
                <w:bCs/>
                <w:iCs/>
                <w:color w:val="000000"/>
                <w:sz w:val="18"/>
                <w:szCs w:val="18"/>
              </w:rPr>
            </w:pPr>
            <w:r w:rsidRPr="00EA6851">
              <w:rPr>
                <w:bCs/>
                <w:iCs/>
                <w:color w:val="000000"/>
                <w:sz w:val="18"/>
                <w:szCs w:val="18"/>
              </w:rPr>
              <w:t>200</w:t>
            </w:r>
          </w:p>
        </w:tc>
        <w:tc>
          <w:tcPr>
            <w:tcW w:w="561" w:type="pct"/>
            <w:tcBorders>
              <w:top w:val="nil"/>
              <w:left w:val="nil"/>
              <w:bottom w:val="nil"/>
              <w:right w:val="nil"/>
            </w:tcBorders>
            <w:hideMark/>
          </w:tcPr>
          <w:p w:rsidR="007977EB" w:rsidRPr="00EA6851" w:rsidRDefault="007977EB" w:rsidP="00094DD5">
            <w:pPr>
              <w:spacing w:after="120"/>
              <w:jc w:val="center"/>
              <w:rPr>
                <w:bCs/>
                <w:iCs/>
                <w:color w:val="000000"/>
                <w:sz w:val="18"/>
                <w:szCs w:val="18"/>
              </w:rPr>
            </w:pPr>
            <w:r w:rsidRPr="00EA6851">
              <w:rPr>
                <w:bCs/>
                <w:iCs/>
                <w:color w:val="000000"/>
                <w:sz w:val="18"/>
                <w:szCs w:val="18"/>
              </w:rPr>
              <w:t>220</w:t>
            </w:r>
          </w:p>
        </w:tc>
        <w:tc>
          <w:tcPr>
            <w:tcW w:w="688" w:type="pct"/>
            <w:tcBorders>
              <w:top w:val="nil"/>
              <w:left w:val="nil"/>
              <w:bottom w:val="nil"/>
              <w:right w:val="nil"/>
            </w:tcBorders>
            <w:hideMark/>
          </w:tcPr>
          <w:p w:rsidR="007977EB" w:rsidRPr="00EA6851" w:rsidRDefault="007977EB" w:rsidP="00094DD5">
            <w:pPr>
              <w:spacing w:after="120"/>
              <w:jc w:val="center"/>
              <w:rPr>
                <w:bCs/>
                <w:iCs/>
                <w:color w:val="000000"/>
                <w:sz w:val="18"/>
                <w:szCs w:val="18"/>
              </w:rPr>
            </w:pPr>
            <w:r w:rsidRPr="00EA6851">
              <w:rPr>
                <w:bCs/>
                <w:iCs/>
                <w:color w:val="000000"/>
                <w:sz w:val="18"/>
                <w:szCs w:val="18"/>
              </w:rPr>
              <w:t>240</w:t>
            </w:r>
          </w:p>
        </w:tc>
      </w:tr>
      <w:tr w:rsidR="007977EB" w:rsidRPr="00EA6851" w:rsidTr="00306D54">
        <w:trPr>
          <w:trHeight w:val="769"/>
          <w:jc w:val="center"/>
        </w:trPr>
        <w:tc>
          <w:tcPr>
            <w:tcW w:w="2132" w:type="pct"/>
            <w:tcBorders>
              <w:top w:val="nil"/>
              <w:left w:val="nil"/>
              <w:bottom w:val="single" w:sz="4" w:space="0" w:color="auto"/>
              <w:right w:val="nil"/>
            </w:tcBorders>
            <w:hideMark/>
          </w:tcPr>
          <w:p w:rsidR="007977EB" w:rsidRPr="00EA6851" w:rsidRDefault="007977EB" w:rsidP="00094DD5">
            <w:pPr>
              <w:spacing w:after="120"/>
              <w:rPr>
                <w:bCs/>
                <w:iCs/>
                <w:color w:val="000000"/>
                <w:sz w:val="18"/>
                <w:szCs w:val="18"/>
              </w:rPr>
            </w:pPr>
            <w:r w:rsidRPr="00EA6851">
              <w:rPr>
                <w:bCs/>
                <w:iCs/>
                <w:color w:val="000000"/>
                <w:sz w:val="18"/>
                <w:szCs w:val="18"/>
              </w:rPr>
              <w:t>5. Обменени съобщения по каналите на ЕВРОПОЛ, ИНТЕРПОЛ, СИРЕНЕ* и по двустранно и регионално сътрудничество</w:t>
            </w:r>
          </w:p>
        </w:tc>
        <w:tc>
          <w:tcPr>
            <w:tcW w:w="503" w:type="pct"/>
            <w:tcBorders>
              <w:top w:val="nil"/>
              <w:left w:val="nil"/>
              <w:bottom w:val="single" w:sz="4" w:space="0" w:color="auto"/>
              <w:right w:val="nil"/>
            </w:tcBorders>
            <w:shd w:val="clear" w:color="auto" w:fill="F2F2F2"/>
            <w:hideMark/>
          </w:tcPr>
          <w:p w:rsidR="007977EB" w:rsidRPr="00EA6851" w:rsidRDefault="007977EB" w:rsidP="00094DD5">
            <w:pPr>
              <w:spacing w:after="120"/>
              <w:jc w:val="center"/>
              <w:rPr>
                <w:bCs/>
                <w:iCs/>
                <w:color w:val="000000"/>
                <w:sz w:val="18"/>
                <w:szCs w:val="18"/>
              </w:rPr>
            </w:pPr>
            <w:r w:rsidRPr="00EA6851">
              <w:rPr>
                <w:bCs/>
                <w:iCs/>
                <w:color w:val="000000"/>
                <w:sz w:val="18"/>
                <w:szCs w:val="18"/>
              </w:rPr>
              <w:t>Брой</w:t>
            </w:r>
          </w:p>
        </w:tc>
        <w:tc>
          <w:tcPr>
            <w:tcW w:w="562" w:type="pct"/>
            <w:tcBorders>
              <w:top w:val="nil"/>
              <w:left w:val="nil"/>
              <w:bottom w:val="single" w:sz="4" w:space="0" w:color="auto"/>
              <w:right w:val="nil"/>
            </w:tcBorders>
            <w:hideMark/>
          </w:tcPr>
          <w:p w:rsidR="007977EB" w:rsidRPr="00EA6851" w:rsidRDefault="007977EB" w:rsidP="00094DD5">
            <w:pPr>
              <w:spacing w:after="120"/>
              <w:jc w:val="center"/>
              <w:rPr>
                <w:bCs/>
                <w:iCs/>
                <w:color w:val="000000"/>
                <w:sz w:val="18"/>
                <w:szCs w:val="18"/>
              </w:rPr>
            </w:pPr>
            <w:r w:rsidRPr="00EA6851">
              <w:rPr>
                <w:bCs/>
                <w:iCs/>
                <w:color w:val="000000"/>
                <w:sz w:val="18"/>
                <w:szCs w:val="18"/>
              </w:rPr>
              <w:t>201 000</w:t>
            </w:r>
          </w:p>
        </w:tc>
        <w:tc>
          <w:tcPr>
            <w:tcW w:w="554" w:type="pct"/>
            <w:tcBorders>
              <w:top w:val="nil"/>
              <w:left w:val="nil"/>
              <w:bottom w:val="single" w:sz="4" w:space="0" w:color="auto"/>
              <w:right w:val="nil"/>
            </w:tcBorders>
            <w:hideMark/>
          </w:tcPr>
          <w:p w:rsidR="007977EB" w:rsidRPr="00EA6851" w:rsidRDefault="007977EB" w:rsidP="00094DD5">
            <w:pPr>
              <w:spacing w:after="120"/>
              <w:jc w:val="center"/>
              <w:rPr>
                <w:bCs/>
                <w:iCs/>
                <w:color w:val="000000"/>
                <w:sz w:val="18"/>
                <w:szCs w:val="18"/>
              </w:rPr>
            </w:pPr>
            <w:r w:rsidRPr="00EA6851">
              <w:rPr>
                <w:bCs/>
                <w:iCs/>
                <w:color w:val="000000"/>
                <w:sz w:val="18"/>
                <w:szCs w:val="18"/>
              </w:rPr>
              <w:t>205 000</w:t>
            </w:r>
          </w:p>
        </w:tc>
        <w:tc>
          <w:tcPr>
            <w:tcW w:w="561" w:type="pct"/>
            <w:tcBorders>
              <w:top w:val="nil"/>
              <w:left w:val="nil"/>
              <w:bottom w:val="single" w:sz="4" w:space="0" w:color="auto"/>
              <w:right w:val="nil"/>
            </w:tcBorders>
            <w:hideMark/>
          </w:tcPr>
          <w:p w:rsidR="007977EB" w:rsidRPr="00EA6851" w:rsidRDefault="007977EB" w:rsidP="00094DD5">
            <w:pPr>
              <w:spacing w:after="120"/>
              <w:jc w:val="center"/>
              <w:rPr>
                <w:bCs/>
                <w:iCs/>
                <w:color w:val="000000"/>
                <w:sz w:val="18"/>
                <w:szCs w:val="18"/>
              </w:rPr>
            </w:pPr>
            <w:r w:rsidRPr="00EA6851">
              <w:rPr>
                <w:bCs/>
                <w:iCs/>
                <w:color w:val="000000"/>
                <w:sz w:val="18"/>
                <w:szCs w:val="18"/>
              </w:rPr>
              <w:t>205 000</w:t>
            </w:r>
          </w:p>
        </w:tc>
        <w:tc>
          <w:tcPr>
            <w:tcW w:w="688" w:type="pct"/>
            <w:tcBorders>
              <w:top w:val="nil"/>
              <w:left w:val="nil"/>
              <w:bottom w:val="single" w:sz="4" w:space="0" w:color="auto"/>
              <w:right w:val="nil"/>
            </w:tcBorders>
            <w:hideMark/>
          </w:tcPr>
          <w:p w:rsidR="007977EB" w:rsidRPr="00EA6851" w:rsidRDefault="007977EB" w:rsidP="00094DD5">
            <w:pPr>
              <w:spacing w:after="120"/>
              <w:jc w:val="center"/>
              <w:rPr>
                <w:bCs/>
                <w:iCs/>
                <w:color w:val="000000"/>
                <w:sz w:val="18"/>
                <w:szCs w:val="18"/>
              </w:rPr>
            </w:pPr>
            <w:r w:rsidRPr="00EA6851">
              <w:rPr>
                <w:bCs/>
                <w:iCs/>
                <w:color w:val="000000"/>
                <w:sz w:val="18"/>
                <w:szCs w:val="18"/>
              </w:rPr>
              <w:t>205 000</w:t>
            </w:r>
          </w:p>
        </w:tc>
      </w:tr>
    </w:tbl>
    <w:p w:rsidR="007977EB" w:rsidRPr="00EA6851" w:rsidRDefault="007977EB" w:rsidP="007977EB">
      <w:pPr>
        <w:widowControl w:val="0"/>
        <w:autoSpaceDE w:val="0"/>
        <w:autoSpaceDN w:val="0"/>
        <w:adjustRightInd w:val="0"/>
        <w:spacing w:after="120"/>
        <w:ind w:right="-8"/>
        <w:rPr>
          <w:rFonts w:eastAsia="Times New Roman" w:cs="Times New Roman"/>
          <w:bCs/>
          <w:i/>
          <w:sz w:val="18"/>
          <w:szCs w:val="16"/>
        </w:rPr>
      </w:pPr>
      <w:r w:rsidRPr="00EA6851">
        <w:rPr>
          <w:rFonts w:eastAsia="Times New Roman" w:cs="Times New Roman"/>
          <w:b/>
          <w:bCs/>
          <w:i/>
          <w:sz w:val="18"/>
          <w:szCs w:val="16"/>
        </w:rPr>
        <w:t xml:space="preserve">* </w:t>
      </w:r>
      <w:r w:rsidRPr="00EA6851">
        <w:rPr>
          <w:rFonts w:eastAsia="Times New Roman" w:cs="Times New Roman"/>
          <w:bCs/>
          <w:i/>
          <w:sz w:val="18"/>
          <w:szCs w:val="16"/>
        </w:rPr>
        <w:t>ЕВРОПОЛ - Европейска полицейска служба; ИНТЕРПОЛ - Международна организация на криминалната полиция; СИРЕНЕ (SIRENE - Supplementary Information Request at the National Entries) – Искане за допълнителна информация във връзка с националните сигнали – система за обмен на допълнителна информация за определени лица между държавите членки.</w:t>
      </w:r>
    </w:p>
    <w:p w:rsidR="007977EB" w:rsidRPr="00EA6851" w:rsidRDefault="007977EB" w:rsidP="007945B3">
      <w:pPr>
        <w:tabs>
          <w:tab w:val="left" w:pos="1134"/>
        </w:tabs>
        <w:spacing w:after="120"/>
        <w:rPr>
          <w:rFonts w:eastAsia="Times New Roman" w:cs="Times New Roman"/>
          <w:i/>
          <w:sz w:val="18"/>
          <w:szCs w:val="18"/>
        </w:rPr>
      </w:pPr>
      <w:r w:rsidRPr="00EA6851">
        <w:rPr>
          <w:rFonts w:eastAsia="Times New Roman" w:cs="Times New Roman"/>
          <w:b/>
          <w:bCs/>
          <w:sz w:val="18"/>
          <w:szCs w:val="18"/>
        </w:rPr>
        <w:t xml:space="preserve">Забележка: </w:t>
      </w:r>
      <w:r w:rsidRPr="00EA6851">
        <w:rPr>
          <w:rFonts w:eastAsia="Times New Roman" w:cs="Times New Roman"/>
          <w:b/>
          <w:i/>
          <w:noProof/>
          <w:sz w:val="18"/>
          <w:szCs w:val="18"/>
        </w:rPr>
        <w:t xml:space="preserve">Индикатор 4. - </w:t>
      </w:r>
      <w:r w:rsidRPr="00EA6851">
        <w:rPr>
          <w:rFonts w:eastAsia="Times New Roman" w:cs="Times New Roman"/>
          <w:i/>
          <w:sz w:val="18"/>
          <w:szCs w:val="18"/>
        </w:rPr>
        <w:t xml:space="preserve">През втората половина на 2022 г., след закриването на Специализирания съд и Специализираната прокуратура, ГДБОП на основание чл. 35, ал.2 и чл. 36 от </w:t>
      </w:r>
      <w:r w:rsidR="00E96255" w:rsidRPr="00EA6851">
        <w:rPr>
          <w:rFonts w:eastAsia="Times New Roman" w:cs="Times New Roman"/>
          <w:i/>
          <w:sz w:val="18"/>
          <w:szCs w:val="18"/>
        </w:rPr>
        <w:t>Наказателно-процесуалния кодекс</w:t>
      </w:r>
      <w:r w:rsidRPr="00EA6851">
        <w:rPr>
          <w:rFonts w:eastAsia="Times New Roman" w:cs="Times New Roman"/>
          <w:i/>
          <w:sz w:val="18"/>
          <w:szCs w:val="18"/>
        </w:rPr>
        <w:t>, докладва материалите по делата на оперативен отчет на Софийска градска прокуратура или на окръжните прокуратури в страната по компетентност. Новият принцип на действие се отразява неблагоприятно върху ключовия индикатор, а именно намаляване на новообразуваните ДП за извършени престъпления от организирани престъпни групи, а от там и на броя на лицата с повдигнати обвинения по чл. 321 от</w:t>
      </w:r>
      <w:r w:rsidR="00E96255" w:rsidRPr="00EA6851">
        <w:rPr>
          <w:rFonts w:eastAsia="Times New Roman" w:cs="Times New Roman"/>
          <w:i/>
          <w:sz w:val="18"/>
          <w:szCs w:val="18"/>
        </w:rPr>
        <w:t xml:space="preserve"> Наказателния кодекс</w:t>
      </w:r>
      <w:r w:rsidRPr="00EA6851">
        <w:rPr>
          <w:rFonts w:eastAsia="Times New Roman" w:cs="Times New Roman"/>
          <w:i/>
          <w:sz w:val="18"/>
          <w:szCs w:val="18"/>
        </w:rPr>
        <w:t>. Това налага да бъде променен ключовия индикат</w:t>
      </w:r>
      <w:r w:rsidR="007945B3" w:rsidRPr="00EA6851">
        <w:rPr>
          <w:rFonts w:eastAsia="Times New Roman" w:cs="Times New Roman"/>
          <w:i/>
          <w:sz w:val="18"/>
          <w:szCs w:val="18"/>
        </w:rPr>
        <w:t xml:space="preserve">ор и неговата целева стойност. </w:t>
      </w:r>
    </w:p>
    <w:p w:rsidR="00700C01" w:rsidRPr="00EA6851" w:rsidRDefault="00700C01" w:rsidP="00E44783">
      <w:pPr>
        <w:tabs>
          <w:tab w:val="left" w:pos="1134"/>
        </w:tabs>
        <w:spacing w:after="60"/>
        <w:rPr>
          <w:b/>
          <w:i/>
          <w:noProof/>
          <w:sz w:val="18"/>
          <w:szCs w:val="18"/>
        </w:rPr>
      </w:pPr>
    </w:p>
    <w:p w:rsidR="000E564D" w:rsidRPr="00EA6851" w:rsidRDefault="000E564D" w:rsidP="000E564D">
      <w:pPr>
        <w:pStyle w:val="Heading4"/>
      </w:pPr>
      <w:r w:rsidRPr="00EA6851">
        <w:t xml:space="preserve">Политика в областта на защитата на границите и контрол на миграционните процеси </w:t>
      </w:r>
    </w:p>
    <w:p w:rsidR="007977EB" w:rsidRPr="00EA6851" w:rsidRDefault="007977EB" w:rsidP="007977EB">
      <w:pPr>
        <w:rPr>
          <w:szCs w:val="24"/>
        </w:rPr>
      </w:pPr>
      <w:r w:rsidRPr="00EA6851">
        <w:rPr>
          <w:szCs w:val="24"/>
        </w:rPr>
        <w:t xml:space="preserve">Тази област на политика е насочена към усъвършенстване на системите за сигурност на границите чрез прилагане на модерни технически средства и по-ефективен контрол на миграционните процеси. </w:t>
      </w:r>
    </w:p>
    <w:p w:rsidR="00E96255" w:rsidRPr="00175C08" w:rsidRDefault="007977EB" w:rsidP="00E96255">
      <w:pPr>
        <w:rPr>
          <w:szCs w:val="24"/>
        </w:rPr>
      </w:pPr>
      <w:r w:rsidRPr="00EA6851">
        <w:rPr>
          <w:szCs w:val="24"/>
        </w:rPr>
        <w:t xml:space="preserve">Дейностите по тази политика се изпълняват от структури на </w:t>
      </w:r>
      <w:r w:rsidRPr="00175C08">
        <w:rPr>
          <w:szCs w:val="24"/>
        </w:rPr>
        <w:t>Министерството на вътрешните работи.</w:t>
      </w:r>
    </w:p>
    <w:p w:rsidR="00947632" w:rsidRPr="00EA6851" w:rsidRDefault="00947632" w:rsidP="000E564D">
      <w:pPr>
        <w:spacing w:after="0"/>
        <w:contextualSpacing/>
        <w:rPr>
          <w:b/>
          <w:bCs/>
          <w:sz w:val="20"/>
          <w:szCs w:val="20"/>
        </w:rPr>
      </w:pPr>
    </w:p>
    <w:p w:rsidR="000E564D" w:rsidRPr="00EA6851" w:rsidRDefault="000E564D" w:rsidP="000E564D">
      <w:pPr>
        <w:spacing w:after="0"/>
        <w:contextualSpacing/>
        <w:rPr>
          <w:b/>
          <w:bCs/>
          <w:sz w:val="20"/>
          <w:szCs w:val="20"/>
        </w:rPr>
      </w:pPr>
      <w:r w:rsidRPr="00EA6851">
        <w:rPr>
          <w:b/>
          <w:bCs/>
          <w:sz w:val="20"/>
          <w:szCs w:val="20"/>
        </w:rPr>
        <w:t>КЛЮЧОВИ ИНДИКАТОРИ ЗА ИЗПЪЛНЕНИЕ И ЦЕЛЕВИ СТОЙНОСТИ</w:t>
      </w:r>
    </w:p>
    <w:tbl>
      <w:tblPr>
        <w:tblStyle w:val="TableGrid271"/>
        <w:tblW w:w="5000" w:type="pct"/>
        <w:tblInd w:w="-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00"/>
        <w:gridCol w:w="893"/>
        <w:gridCol w:w="1027"/>
        <w:gridCol w:w="829"/>
        <w:gridCol w:w="189"/>
        <w:gridCol w:w="976"/>
        <w:gridCol w:w="956"/>
      </w:tblGrid>
      <w:tr w:rsidR="007977EB" w:rsidRPr="00EA6851" w:rsidTr="001B4B89">
        <w:trPr>
          <w:trHeight w:val="822"/>
          <w:tblHeader/>
        </w:trPr>
        <w:tc>
          <w:tcPr>
            <w:tcW w:w="2315" w:type="pct"/>
            <w:tcBorders>
              <w:top w:val="single" w:sz="4" w:space="0" w:color="auto"/>
              <w:left w:val="nil"/>
              <w:bottom w:val="nil"/>
              <w:right w:val="nil"/>
            </w:tcBorders>
            <w:vAlign w:val="center"/>
          </w:tcPr>
          <w:p w:rsidR="007977EB" w:rsidRPr="00EA6851" w:rsidRDefault="007977EB" w:rsidP="001B4B89">
            <w:pPr>
              <w:spacing w:after="120"/>
              <w:jc w:val="center"/>
              <w:rPr>
                <w:b/>
                <w:bCs/>
                <w:i/>
                <w:iCs/>
                <w:color w:val="000000"/>
                <w:sz w:val="18"/>
                <w:szCs w:val="18"/>
              </w:rPr>
            </w:pPr>
            <w:r w:rsidRPr="00EA6851">
              <w:rPr>
                <w:b/>
                <w:bCs/>
                <w:i/>
                <w:iCs/>
                <w:color w:val="000000"/>
                <w:sz w:val="18"/>
                <w:szCs w:val="18"/>
              </w:rPr>
              <w:t>Политика в областта на защитата на границите и к</w:t>
            </w:r>
            <w:r w:rsidR="001B4B89" w:rsidRPr="00EA6851">
              <w:rPr>
                <w:b/>
                <w:bCs/>
                <w:i/>
                <w:iCs/>
                <w:color w:val="000000"/>
                <w:sz w:val="18"/>
                <w:szCs w:val="18"/>
              </w:rPr>
              <w:t>онтрол на миграционните процеси</w:t>
            </w:r>
          </w:p>
        </w:tc>
        <w:tc>
          <w:tcPr>
            <w:tcW w:w="492" w:type="pct"/>
            <w:vMerge w:val="restart"/>
            <w:tcBorders>
              <w:top w:val="single" w:sz="4" w:space="0" w:color="auto"/>
              <w:left w:val="nil"/>
              <w:bottom w:val="single" w:sz="4" w:space="0" w:color="auto"/>
              <w:right w:val="nil"/>
            </w:tcBorders>
            <w:shd w:val="clear" w:color="auto" w:fill="F2F2F2"/>
            <w:vAlign w:val="center"/>
          </w:tcPr>
          <w:p w:rsidR="007977EB" w:rsidRPr="00EA6851" w:rsidRDefault="007977EB" w:rsidP="00094DD5">
            <w:pPr>
              <w:spacing w:after="120"/>
              <w:jc w:val="center"/>
              <w:rPr>
                <w:b/>
                <w:bCs/>
                <w:iCs/>
                <w:color w:val="000000"/>
                <w:sz w:val="18"/>
                <w:szCs w:val="18"/>
              </w:rPr>
            </w:pPr>
          </w:p>
          <w:p w:rsidR="007977EB" w:rsidRPr="00EA6851" w:rsidRDefault="007977EB" w:rsidP="00094DD5">
            <w:pPr>
              <w:spacing w:after="120"/>
              <w:jc w:val="center"/>
              <w:rPr>
                <w:b/>
                <w:bCs/>
                <w:iCs/>
                <w:color w:val="000000"/>
                <w:sz w:val="18"/>
                <w:szCs w:val="18"/>
              </w:rPr>
            </w:pPr>
            <w:r w:rsidRPr="00EA6851">
              <w:rPr>
                <w:b/>
                <w:bCs/>
                <w:iCs/>
                <w:color w:val="000000"/>
                <w:sz w:val="18"/>
                <w:szCs w:val="18"/>
              </w:rPr>
              <w:t>Мерна единица</w:t>
            </w:r>
          </w:p>
        </w:tc>
        <w:tc>
          <w:tcPr>
            <w:tcW w:w="2192" w:type="pct"/>
            <w:gridSpan w:val="5"/>
            <w:tcBorders>
              <w:top w:val="single" w:sz="4" w:space="0" w:color="auto"/>
              <w:left w:val="nil"/>
              <w:bottom w:val="single" w:sz="4" w:space="0" w:color="auto"/>
              <w:right w:val="nil"/>
            </w:tcBorders>
            <w:vAlign w:val="center"/>
            <w:hideMark/>
          </w:tcPr>
          <w:p w:rsidR="007977EB" w:rsidRPr="00EA6851" w:rsidRDefault="007977EB" w:rsidP="00094DD5">
            <w:pPr>
              <w:spacing w:after="120"/>
              <w:jc w:val="center"/>
              <w:rPr>
                <w:b/>
                <w:bCs/>
                <w:iCs/>
                <w:color w:val="000000"/>
                <w:sz w:val="18"/>
                <w:szCs w:val="18"/>
              </w:rPr>
            </w:pPr>
            <w:r w:rsidRPr="00EA6851">
              <w:rPr>
                <w:b/>
                <w:bCs/>
                <w:iCs/>
                <w:color w:val="000000"/>
                <w:sz w:val="18"/>
                <w:szCs w:val="18"/>
              </w:rPr>
              <w:t>Целева стойност</w:t>
            </w:r>
          </w:p>
        </w:tc>
      </w:tr>
      <w:tr w:rsidR="007977EB" w:rsidRPr="00EA6851" w:rsidTr="007977EB">
        <w:trPr>
          <w:trHeight w:val="450"/>
          <w:tblHeader/>
        </w:trPr>
        <w:tc>
          <w:tcPr>
            <w:tcW w:w="2315" w:type="pct"/>
            <w:tcBorders>
              <w:top w:val="nil"/>
              <w:left w:val="nil"/>
              <w:bottom w:val="single" w:sz="4" w:space="0" w:color="auto"/>
              <w:right w:val="nil"/>
            </w:tcBorders>
            <w:vAlign w:val="center"/>
            <w:hideMark/>
          </w:tcPr>
          <w:p w:rsidR="007977EB" w:rsidRPr="00EA6851" w:rsidRDefault="007977EB" w:rsidP="00094DD5">
            <w:pPr>
              <w:spacing w:after="120"/>
              <w:jc w:val="center"/>
              <w:rPr>
                <w:b/>
                <w:bCs/>
                <w:iCs/>
                <w:color w:val="000000"/>
                <w:sz w:val="18"/>
                <w:szCs w:val="18"/>
              </w:rPr>
            </w:pPr>
            <w:r w:rsidRPr="00EA6851">
              <w:rPr>
                <w:b/>
                <w:bCs/>
                <w:iCs/>
                <w:color w:val="000000"/>
                <w:sz w:val="18"/>
                <w:szCs w:val="18"/>
              </w:rPr>
              <w:t>Наименование на индикатора</w:t>
            </w:r>
          </w:p>
        </w:tc>
        <w:tc>
          <w:tcPr>
            <w:tcW w:w="0" w:type="auto"/>
            <w:vMerge/>
            <w:tcBorders>
              <w:top w:val="single" w:sz="4" w:space="0" w:color="auto"/>
              <w:left w:val="nil"/>
              <w:bottom w:val="single" w:sz="4" w:space="0" w:color="auto"/>
              <w:right w:val="nil"/>
            </w:tcBorders>
            <w:vAlign w:val="center"/>
            <w:hideMark/>
          </w:tcPr>
          <w:p w:rsidR="007977EB" w:rsidRPr="00EA6851" w:rsidRDefault="007977EB" w:rsidP="00094DD5">
            <w:pPr>
              <w:spacing w:after="120"/>
              <w:jc w:val="left"/>
              <w:rPr>
                <w:b/>
                <w:bCs/>
                <w:i/>
                <w:iCs/>
                <w:color w:val="000000"/>
                <w:sz w:val="18"/>
                <w:szCs w:val="18"/>
              </w:rPr>
            </w:pPr>
          </w:p>
        </w:tc>
        <w:tc>
          <w:tcPr>
            <w:tcW w:w="566" w:type="pct"/>
            <w:tcBorders>
              <w:top w:val="single" w:sz="4" w:space="0" w:color="auto"/>
              <w:left w:val="nil"/>
              <w:bottom w:val="single" w:sz="4" w:space="0" w:color="auto"/>
              <w:right w:val="nil"/>
            </w:tcBorders>
            <w:vAlign w:val="center"/>
            <w:hideMark/>
          </w:tcPr>
          <w:p w:rsidR="007977EB" w:rsidRPr="00EA6851" w:rsidRDefault="007977EB" w:rsidP="00094DD5">
            <w:pPr>
              <w:spacing w:after="120"/>
              <w:jc w:val="center"/>
              <w:rPr>
                <w:b/>
                <w:bCs/>
                <w:i/>
                <w:iCs/>
                <w:color w:val="000000"/>
                <w:sz w:val="18"/>
                <w:szCs w:val="18"/>
              </w:rPr>
            </w:pPr>
            <w:r w:rsidRPr="00EA6851">
              <w:rPr>
                <w:b/>
                <w:bCs/>
                <w:i/>
                <w:iCs/>
                <w:color w:val="000000"/>
                <w:sz w:val="18"/>
                <w:szCs w:val="18"/>
              </w:rPr>
              <w:t>Програма 2023 г.</w:t>
            </w:r>
          </w:p>
        </w:tc>
        <w:tc>
          <w:tcPr>
            <w:tcW w:w="561" w:type="pct"/>
            <w:gridSpan w:val="2"/>
            <w:tcBorders>
              <w:top w:val="single" w:sz="4" w:space="0" w:color="auto"/>
              <w:left w:val="nil"/>
              <w:bottom w:val="single" w:sz="4" w:space="0" w:color="auto"/>
              <w:right w:val="nil"/>
            </w:tcBorders>
            <w:vAlign w:val="center"/>
            <w:hideMark/>
          </w:tcPr>
          <w:p w:rsidR="007977EB" w:rsidRPr="00EA6851" w:rsidRDefault="007977EB" w:rsidP="00094DD5">
            <w:pPr>
              <w:spacing w:after="120"/>
              <w:ind w:right="-103"/>
              <w:jc w:val="center"/>
              <w:rPr>
                <w:b/>
                <w:bCs/>
                <w:i/>
                <w:iCs/>
                <w:color w:val="000000"/>
                <w:sz w:val="18"/>
                <w:szCs w:val="18"/>
              </w:rPr>
            </w:pPr>
            <w:r w:rsidRPr="00EA6851">
              <w:rPr>
                <w:b/>
                <w:bCs/>
                <w:i/>
                <w:iCs/>
                <w:color w:val="000000"/>
                <w:sz w:val="18"/>
                <w:szCs w:val="18"/>
              </w:rPr>
              <w:t>Проект 2024 г.</w:t>
            </w:r>
          </w:p>
        </w:tc>
        <w:tc>
          <w:tcPr>
            <w:tcW w:w="538" w:type="pct"/>
            <w:tcBorders>
              <w:top w:val="single" w:sz="4" w:space="0" w:color="auto"/>
              <w:left w:val="nil"/>
              <w:bottom w:val="single" w:sz="4" w:space="0" w:color="auto"/>
              <w:right w:val="nil"/>
            </w:tcBorders>
            <w:vAlign w:val="center"/>
            <w:hideMark/>
          </w:tcPr>
          <w:p w:rsidR="007977EB" w:rsidRPr="00EA6851" w:rsidRDefault="007977EB" w:rsidP="00094DD5">
            <w:pPr>
              <w:spacing w:after="120"/>
              <w:jc w:val="center"/>
              <w:rPr>
                <w:b/>
                <w:bCs/>
                <w:i/>
                <w:iCs/>
                <w:color w:val="000000"/>
                <w:sz w:val="18"/>
                <w:szCs w:val="18"/>
              </w:rPr>
            </w:pPr>
            <w:r w:rsidRPr="00EA6851">
              <w:rPr>
                <w:b/>
                <w:bCs/>
                <w:i/>
                <w:iCs/>
                <w:color w:val="000000"/>
                <w:sz w:val="18"/>
                <w:szCs w:val="18"/>
              </w:rPr>
              <w:t>Прогноза 2025 г.</w:t>
            </w:r>
          </w:p>
        </w:tc>
        <w:tc>
          <w:tcPr>
            <w:tcW w:w="527" w:type="pct"/>
            <w:tcBorders>
              <w:top w:val="single" w:sz="4" w:space="0" w:color="auto"/>
              <w:left w:val="nil"/>
              <w:bottom w:val="single" w:sz="4" w:space="0" w:color="auto"/>
              <w:right w:val="nil"/>
            </w:tcBorders>
            <w:hideMark/>
          </w:tcPr>
          <w:p w:rsidR="007977EB" w:rsidRPr="00EA6851" w:rsidRDefault="007977EB" w:rsidP="00094DD5">
            <w:pPr>
              <w:spacing w:after="120"/>
              <w:jc w:val="center"/>
              <w:rPr>
                <w:b/>
                <w:bCs/>
                <w:i/>
                <w:iCs/>
                <w:color w:val="000000"/>
                <w:sz w:val="18"/>
                <w:szCs w:val="18"/>
              </w:rPr>
            </w:pPr>
            <w:r w:rsidRPr="00EA6851">
              <w:rPr>
                <w:b/>
                <w:bCs/>
                <w:i/>
                <w:iCs/>
                <w:color w:val="000000"/>
                <w:sz w:val="18"/>
                <w:szCs w:val="18"/>
              </w:rPr>
              <w:t>Прогноза  2026 г.</w:t>
            </w:r>
          </w:p>
        </w:tc>
      </w:tr>
      <w:tr w:rsidR="007977EB" w:rsidRPr="00EA6851" w:rsidTr="007977EB">
        <w:trPr>
          <w:trHeight w:val="485"/>
        </w:trPr>
        <w:tc>
          <w:tcPr>
            <w:tcW w:w="2315" w:type="pct"/>
            <w:tcBorders>
              <w:top w:val="single" w:sz="4" w:space="0" w:color="auto"/>
              <w:left w:val="nil"/>
              <w:bottom w:val="nil"/>
              <w:right w:val="nil"/>
            </w:tcBorders>
            <w:hideMark/>
          </w:tcPr>
          <w:p w:rsidR="007977EB" w:rsidRPr="00EA6851" w:rsidRDefault="007977EB" w:rsidP="00094DD5">
            <w:pPr>
              <w:spacing w:after="120"/>
              <w:jc w:val="left"/>
              <w:rPr>
                <w:bCs/>
                <w:iCs/>
                <w:color w:val="000000"/>
                <w:sz w:val="18"/>
                <w:szCs w:val="18"/>
              </w:rPr>
            </w:pPr>
            <w:r w:rsidRPr="00EA6851">
              <w:rPr>
                <w:bCs/>
                <w:iCs/>
                <w:color w:val="000000"/>
                <w:sz w:val="18"/>
                <w:szCs w:val="18"/>
              </w:rPr>
              <w:t>1. Поддържане на висока ефективност в граничното наблюдение за противодействие на незаконната миграция и обезпечаване сигурността на външните европейски граници</w:t>
            </w:r>
          </w:p>
        </w:tc>
        <w:tc>
          <w:tcPr>
            <w:tcW w:w="492" w:type="pct"/>
            <w:tcBorders>
              <w:top w:val="single" w:sz="4" w:space="0" w:color="auto"/>
              <w:left w:val="nil"/>
              <w:bottom w:val="nil"/>
              <w:right w:val="nil"/>
            </w:tcBorders>
            <w:shd w:val="clear" w:color="auto" w:fill="F2F2F2"/>
            <w:vAlign w:val="center"/>
            <w:hideMark/>
          </w:tcPr>
          <w:p w:rsidR="007977EB" w:rsidRPr="00EA6851" w:rsidRDefault="007977EB" w:rsidP="00094DD5">
            <w:pPr>
              <w:spacing w:after="120"/>
              <w:jc w:val="center"/>
              <w:rPr>
                <w:bCs/>
                <w:iCs/>
                <w:color w:val="000000"/>
                <w:sz w:val="18"/>
                <w:szCs w:val="18"/>
              </w:rPr>
            </w:pPr>
            <w:r w:rsidRPr="00EA6851">
              <w:rPr>
                <w:bCs/>
                <w:iCs/>
                <w:color w:val="000000"/>
                <w:sz w:val="18"/>
                <w:szCs w:val="18"/>
              </w:rPr>
              <w:t>Брой</w:t>
            </w:r>
          </w:p>
        </w:tc>
        <w:tc>
          <w:tcPr>
            <w:tcW w:w="566" w:type="pct"/>
            <w:tcBorders>
              <w:top w:val="single" w:sz="4" w:space="0" w:color="auto"/>
              <w:left w:val="nil"/>
              <w:bottom w:val="nil"/>
              <w:right w:val="nil"/>
            </w:tcBorders>
            <w:vAlign w:val="center"/>
            <w:hideMark/>
          </w:tcPr>
          <w:p w:rsidR="007977EB" w:rsidRPr="00EA6851" w:rsidRDefault="007977EB" w:rsidP="007977EB">
            <w:pPr>
              <w:spacing w:after="120"/>
              <w:jc w:val="center"/>
              <w:rPr>
                <w:bCs/>
                <w:iCs/>
                <w:color w:val="000000"/>
                <w:sz w:val="18"/>
                <w:szCs w:val="18"/>
              </w:rPr>
            </w:pPr>
            <w:r w:rsidRPr="00EA6851">
              <w:rPr>
                <w:bCs/>
                <w:iCs/>
                <w:color w:val="000000"/>
                <w:sz w:val="18"/>
                <w:szCs w:val="18"/>
              </w:rPr>
              <w:t>5 000</w:t>
            </w:r>
          </w:p>
        </w:tc>
        <w:tc>
          <w:tcPr>
            <w:tcW w:w="457" w:type="pct"/>
            <w:tcBorders>
              <w:top w:val="single" w:sz="4" w:space="0" w:color="auto"/>
              <w:left w:val="nil"/>
              <w:bottom w:val="nil"/>
              <w:right w:val="nil"/>
            </w:tcBorders>
            <w:vAlign w:val="center"/>
            <w:hideMark/>
          </w:tcPr>
          <w:p w:rsidR="007977EB" w:rsidRPr="00EA6851" w:rsidRDefault="007977EB" w:rsidP="007977EB">
            <w:pPr>
              <w:spacing w:after="120"/>
              <w:jc w:val="center"/>
              <w:rPr>
                <w:bCs/>
                <w:iCs/>
                <w:color w:val="000000"/>
                <w:sz w:val="18"/>
                <w:szCs w:val="18"/>
              </w:rPr>
            </w:pPr>
            <w:r w:rsidRPr="00EA6851">
              <w:rPr>
                <w:bCs/>
                <w:iCs/>
                <w:color w:val="000000"/>
                <w:sz w:val="18"/>
                <w:szCs w:val="18"/>
              </w:rPr>
              <w:t>5 900</w:t>
            </w:r>
          </w:p>
        </w:tc>
        <w:tc>
          <w:tcPr>
            <w:tcW w:w="642" w:type="pct"/>
            <w:gridSpan w:val="2"/>
            <w:tcBorders>
              <w:top w:val="single" w:sz="4" w:space="0" w:color="auto"/>
              <w:left w:val="nil"/>
              <w:bottom w:val="nil"/>
              <w:right w:val="nil"/>
            </w:tcBorders>
            <w:vAlign w:val="center"/>
            <w:hideMark/>
          </w:tcPr>
          <w:p w:rsidR="007977EB" w:rsidRPr="00EA6851" w:rsidRDefault="007977EB" w:rsidP="007977EB">
            <w:pPr>
              <w:spacing w:after="120"/>
              <w:jc w:val="center"/>
              <w:rPr>
                <w:bCs/>
                <w:iCs/>
                <w:color w:val="000000"/>
                <w:sz w:val="18"/>
                <w:szCs w:val="18"/>
              </w:rPr>
            </w:pPr>
            <w:r w:rsidRPr="00EA6851">
              <w:rPr>
                <w:bCs/>
                <w:iCs/>
                <w:color w:val="000000"/>
                <w:sz w:val="18"/>
                <w:szCs w:val="18"/>
              </w:rPr>
              <w:t>6 250</w:t>
            </w:r>
          </w:p>
        </w:tc>
        <w:tc>
          <w:tcPr>
            <w:tcW w:w="527" w:type="pct"/>
            <w:tcBorders>
              <w:top w:val="single" w:sz="4" w:space="0" w:color="auto"/>
              <w:left w:val="nil"/>
              <w:bottom w:val="nil"/>
              <w:right w:val="nil"/>
            </w:tcBorders>
            <w:vAlign w:val="center"/>
            <w:hideMark/>
          </w:tcPr>
          <w:p w:rsidR="007977EB" w:rsidRPr="00EA6851" w:rsidRDefault="007977EB" w:rsidP="007977EB">
            <w:pPr>
              <w:tabs>
                <w:tab w:val="left" w:pos="0"/>
              </w:tabs>
              <w:spacing w:after="120"/>
              <w:jc w:val="center"/>
              <w:rPr>
                <w:bCs/>
                <w:iCs/>
                <w:color w:val="000000"/>
                <w:sz w:val="18"/>
                <w:szCs w:val="18"/>
              </w:rPr>
            </w:pPr>
            <w:r w:rsidRPr="00EA6851">
              <w:rPr>
                <w:bCs/>
                <w:iCs/>
                <w:color w:val="000000"/>
                <w:sz w:val="18"/>
                <w:szCs w:val="18"/>
              </w:rPr>
              <w:t>6 250</w:t>
            </w:r>
          </w:p>
        </w:tc>
      </w:tr>
      <w:tr w:rsidR="007977EB" w:rsidRPr="00EA6851" w:rsidTr="007977EB">
        <w:trPr>
          <w:trHeight w:val="400"/>
        </w:trPr>
        <w:tc>
          <w:tcPr>
            <w:tcW w:w="2315" w:type="pct"/>
            <w:hideMark/>
          </w:tcPr>
          <w:p w:rsidR="007977EB" w:rsidRPr="00EA6851" w:rsidRDefault="007977EB" w:rsidP="00094DD5">
            <w:pPr>
              <w:spacing w:after="120"/>
              <w:jc w:val="left"/>
              <w:rPr>
                <w:bCs/>
                <w:iCs/>
                <w:color w:val="000000"/>
                <w:sz w:val="18"/>
                <w:szCs w:val="18"/>
              </w:rPr>
            </w:pPr>
            <w:r w:rsidRPr="00EA6851">
              <w:rPr>
                <w:bCs/>
                <w:iCs/>
                <w:color w:val="000000"/>
                <w:sz w:val="18"/>
                <w:szCs w:val="18"/>
              </w:rPr>
              <w:t>2. Поддържане на висока ефективност в граничните проверки за противодействие на незаконната миграция и незаконното превеждане на лица през държавната граница</w:t>
            </w:r>
          </w:p>
        </w:tc>
        <w:tc>
          <w:tcPr>
            <w:tcW w:w="492" w:type="pct"/>
            <w:shd w:val="clear" w:color="auto" w:fill="F2F2F2"/>
            <w:vAlign w:val="center"/>
            <w:hideMark/>
          </w:tcPr>
          <w:p w:rsidR="007977EB" w:rsidRPr="00EA6851" w:rsidRDefault="007977EB" w:rsidP="00094DD5">
            <w:pPr>
              <w:spacing w:after="120"/>
              <w:jc w:val="center"/>
              <w:rPr>
                <w:bCs/>
                <w:iCs/>
                <w:color w:val="000000"/>
                <w:sz w:val="18"/>
                <w:szCs w:val="18"/>
              </w:rPr>
            </w:pPr>
            <w:r w:rsidRPr="00EA6851">
              <w:rPr>
                <w:bCs/>
                <w:iCs/>
                <w:color w:val="000000"/>
                <w:sz w:val="18"/>
                <w:szCs w:val="18"/>
              </w:rPr>
              <w:t>Брой</w:t>
            </w:r>
          </w:p>
        </w:tc>
        <w:tc>
          <w:tcPr>
            <w:tcW w:w="566" w:type="pct"/>
            <w:vAlign w:val="center"/>
            <w:hideMark/>
          </w:tcPr>
          <w:p w:rsidR="007977EB" w:rsidRPr="00EA6851" w:rsidRDefault="007977EB" w:rsidP="007977EB">
            <w:pPr>
              <w:spacing w:after="120"/>
              <w:jc w:val="center"/>
              <w:rPr>
                <w:bCs/>
                <w:iCs/>
                <w:color w:val="000000"/>
                <w:sz w:val="18"/>
                <w:szCs w:val="18"/>
              </w:rPr>
            </w:pPr>
            <w:r w:rsidRPr="00EA6851">
              <w:rPr>
                <w:bCs/>
                <w:iCs/>
                <w:color w:val="000000"/>
                <w:sz w:val="18"/>
                <w:szCs w:val="18"/>
              </w:rPr>
              <w:t>1 600</w:t>
            </w:r>
          </w:p>
        </w:tc>
        <w:tc>
          <w:tcPr>
            <w:tcW w:w="457" w:type="pct"/>
            <w:vAlign w:val="center"/>
            <w:hideMark/>
          </w:tcPr>
          <w:p w:rsidR="007977EB" w:rsidRPr="00EA6851" w:rsidRDefault="007977EB" w:rsidP="007977EB">
            <w:pPr>
              <w:spacing w:after="120"/>
              <w:jc w:val="center"/>
              <w:rPr>
                <w:bCs/>
                <w:iCs/>
                <w:color w:val="000000"/>
                <w:sz w:val="18"/>
                <w:szCs w:val="18"/>
              </w:rPr>
            </w:pPr>
            <w:r w:rsidRPr="00EA6851">
              <w:rPr>
                <w:bCs/>
                <w:iCs/>
                <w:color w:val="000000"/>
                <w:sz w:val="18"/>
                <w:szCs w:val="18"/>
              </w:rPr>
              <w:t>1 700</w:t>
            </w:r>
          </w:p>
        </w:tc>
        <w:tc>
          <w:tcPr>
            <w:tcW w:w="642" w:type="pct"/>
            <w:gridSpan w:val="2"/>
            <w:vAlign w:val="center"/>
            <w:hideMark/>
          </w:tcPr>
          <w:p w:rsidR="007977EB" w:rsidRPr="00EA6851" w:rsidRDefault="007977EB" w:rsidP="007977EB">
            <w:pPr>
              <w:spacing w:after="120"/>
              <w:jc w:val="center"/>
              <w:rPr>
                <w:bCs/>
                <w:iCs/>
                <w:color w:val="000000"/>
                <w:sz w:val="18"/>
                <w:szCs w:val="18"/>
              </w:rPr>
            </w:pPr>
            <w:r w:rsidRPr="00EA6851">
              <w:rPr>
                <w:bCs/>
                <w:iCs/>
                <w:color w:val="000000"/>
                <w:sz w:val="18"/>
                <w:szCs w:val="18"/>
              </w:rPr>
              <w:t>1 900</w:t>
            </w:r>
          </w:p>
        </w:tc>
        <w:tc>
          <w:tcPr>
            <w:tcW w:w="527" w:type="pct"/>
            <w:vAlign w:val="center"/>
            <w:hideMark/>
          </w:tcPr>
          <w:p w:rsidR="007977EB" w:rsidRPr="00EA6851" w:rsidRDefault="007977EB" w:rsidP="007977EB">
            <w:pPr>
              <w:tabs>
                <w:tab w:val="left" w:pos="0"/>
              </w:tabs>
              <w:spacing w:after="120"/>
              <w:jc w:val="center"/>
              <w:rPr>
                <w:bCs/>
                <w:iCs/>
                <w:color w:val="000000"/>
                <w:sz w:val="18"/>
                <w:szCs w:val="18"/>
              </w:rPr>
            </w:pPr>
            <w:r w:rsidRPr="00EA6851">
              <w:rPr>
                <w:bCs/>
                <w:iCs/>
                <w:color w:val="000000"/>
                <w:sz w:val="18"/>
                <w:szCs w:val="18"/>
              </w:rPr>
              <w:t>1 900</w:t>
            </w:r>
          </w:p>
        </w:tc>
      </w:tr>
      <w:tr w:rsidR="007977EB" w:rsidRPr="00EA6851" w:rsidTr="007977EB">
        <w:trPr>
          <w:trHeight w:val="268"/>
        </w:trPr>
        <w:tc>
          <w:tcPr>
            <w:tcW w:w="2315" w:type="pct"/>
            <w:hideMark/>
          </w:tcPr>
          <w:p w:rsidR="007977EB" w:rsidRPr="00EA6851" w:rsidRDefault="007977EB" w:rsidP="00094DD5">
            <w:pPr>
              <w:spacing w:after="120"/>
              <w:jc w:val="left"/>
              <w:rPr>
                <w:bCs/>
                <w:iCs/>
                <w:color w:val="000000"/>
                <w:sz w:val="18"/>
                <w:szCs w:val="18"/>
              </w:rPr>
            </w:pPr>
            <w:r w:rsidRPr="00EA6851">
              <w:rPr>
                <w:bCs/>
                <w:iCs/>
                <w:color w:val="000000"/>
                <w:sz w:val="18"/>
                <w:szCs w:val="18"/>
              </w:rPr>
              <w:t>3. Увеличаване на броя на издадените разрешения, удостоверения и други документи за пребиваване на граждани на трети страни и граждани на ЕС, спрямо предходния отчетен период</w:t>
            </w:r>
          </w:p>
        </w:tc>
        <w:tc>
          <w:tcPr>
            <w:tcW w:w="492" w:type="pct"/>
            <w:shd w:val="clear" w:color="auto" w:fill="F2F2F2"/>
            <w:vAlign w:val="center"/>
            <w:hideMark/>
          </w:tcPr>
          <w:p w:rsidR="007977EB" w:rsidRPr="00EA6851" w:rsidRDefault="007977EB" w:rsidP="00094DD5">
            <w:pPr>
              <w:spacing w:after="120"/>
              <w:jc w:val="center"/>
              <w:rPr>
                <w:bCs/>
                <w:iCs/>
                <w:color w:val="000000"/>
                <w:sz w:val="18"/>
                <w:szCs w:val="18"/>
              </w:rPr>
            </w:pPr>
            <w:r w:rsidRPr="00EA6851">
              <w:rPr>
                <w:bCs/>
                <w:iCs/>
                <w:color w:val="000000"/>
                <w:sz w:val="18"/>
                <w:szCs w:val="18"/>
              </w:rPr>
              <w:t>%</w:t>
            </w:r>
          </w:p>
        </w:tc>
        <w:tc>
          <w:tcPr>
            <w:tcW w:w="566" w:type="pct"/>
            <w:vAlign w:val="center"/>
            <w:hideMark/>
          </w:tcPr>
          <w:p w:rsidR="007977EB" w:rsidRPr="00EA6851" w:rsidRDefault="007977EB" w:rsidP="007977EB">
            <w:pPr>
              <w:spacing w:after="120"/>
              <w:jc w:val="center"/>
              <w:rPr>
                <w:bCs/>
                <w:iCs/>
                <w:color w:val="000000"/>
                <w:sz w:val="18"/>
                <w:szCs w:val="18"/>
              </w:rPr>
            </w:pPr>
            <w:r w:rsidRPr="00EA6851">
              <w:rPr>
                <w:bCs/>
                <w:iCs/>
                <w:color w:val="000000"/>
                <w:sz w:val="18"/>
                <w:szCs w:val="18"/>
              </w:rPr>
              <w:t>1</w:t>
            </w:r>
          </w:p>
        </w:tc>
        <w:tc>
          <w:tcPr>
            <w:tcW w:w="457" w:type="pct"/>
            <w:vAlign w:val="center"/>
            <w:hideMark/>
          </w:tcPr>
          <w:p w:rsidR="007977EB" w:rsidRPr="00EA6851" w:rsidRDefault="007977EB" w:rsidP="007977EB">
            <w:pPr>
              <w:spacing w:after="120"/>
              <w:jc w:val="center"/>
              <w:rPr>
                <w:bCs/>
                <w:iCs/>
                <w:color w:val="000000"/>
                <w:sz w:val="18"/>
                <w:szCs w:val="18"/>
              </w:rPr>
            </w:pPr>
            <w:r w:rsidRPr="00EA6851">
              <w:rPr>
                <w:bCs/>
                <w:iCs/>
                <w:color w:val="000000"/>
                <w:sz w:val="18"/>
                <w:szCs w:val="18"/>
              </w:rPr>
              <w:t>1</w:t>
            </w:r>
          </w:p>
        </w:tc>
        <w:tc>
          <w:tcPr>
            <w:tcW w:w="642" w:type="pct"/>
            <w:gridSpan w:val="2"/>
            <w:vAlign w:val="center"/>
            <w:hideMark/>
          </w:tcPr>
          <w:p w:rsidR="007977EB" w:rsidRPr="00EA6851" w:rsidRDefault="007977EB" w:rsidP="007977EB">
            <w:pPr>
              <w:spacing w:after="120"/>
              <w:jc w:val="center"/>
              <w:rPr>
                <w:bCs/>
                <w:iCs/>
                <w:color w:val="000000"/>
                <w:sz w:val="18"/>
                <w:szCs w:val="18"/>
              </w:rPr>
            </w:pPr>
            <w:r w:rsidRPr="00EA6851">
              <w:rPr>
                <w:bCs/>
                <w:iCs/>
                <w:color w:val="000000"/>
                <w:sz w:val="18"/>
                <w:szCs w:val="18"/>
              </w:rPr>
              <w:t>1</w:t>
            </w:r>
          </w:p>
        </w:tc>
        <w:tc>
          <w:tcPr>
            <w:tcW w:w="527" w:type="pct"/>
            <w:vAlign w:val="center"/>
            <w:hideMark/>
          </w:tcPr>
          <w:p w:rsidR="007977EB" w:rsidRPr="00EA6851" w:rsidRDefault="007977EB" w:rsidP="007977EB">
            <w:pPr>
              <w:tabs>
                <w:tab w:val="left" w:pos="0"/>
              </w:tabs>
              <w:spacing w:after="120"/>
              <w:jc w:val="center"/>
              <w:rPr>
                <w:bCs/>
                <w:iCs/>
                <w:color w:val="000000"/>
                <w:sz w:val="18"/>
                <w:szCs w:val="18"/>
              </w:rPr>
            </w:pPr>
            <w:r w:rsidRPr="00EA6851">
              <w:rPr>
                <w:bCs/>
                <w:iCs/>
                <w:color w:val="000000"/>
                <w:sz w:val="18"/>
                <w:szCs w:val="18"/>
              </w:rPr>
              <w:t>1</w:t>
            </w:r>
          </w:p>
        </w:tc>
      </w:tr>
      <w:tr w:rsidR="007977EB" w:rsidRPr="00EA6851" w:rsidTr="007977EB">
        <w:trPr>
          <w:trHeight w:val="1527"/>
        </w:trPr>
        <w:tc>
          <w:tcPr>
            <w:tcW w:w="2315" w:type="pct"/>
            <w:tcBorders>
              <w:top w:val="nil"/>
              <w:left w:val="nil"/>
              <w:bottom w:val="single" w:sz="4" w:space="0" w:color="auto"/>
              <w:right w:val="nil"/>
            </w:tcBorders>
            <w:hideMark/>
          </w:tcPr>
          <w:p w:rsidR="007977EB" w:rsidRPr="00EA6851" w:rsidRDefault="007977EB" w:rsidP="00094DD5">
            <w:pPr>
              <w:spacing w:after="120"/>
              <w:jc w:val="left"/>
              <w:rPr>
                <w:bCs/>
                <w:iCs/>
                <w:color w:val="000000"/>
                <w:sz w:val="18"/>
                <w:szCs w:val="18"/>
              </w:rPr>
            </w:pPr>
            <w:r w:rsidRPr="00EA6851">
              <w:rPr>
                <w:bCs/>
                <w:iCs/>
                <w:color w:val="000000"/>
                <w:sz w:val="18"/>
                <w:szCs w:val="18"/>
              </w:rPr>
              <w:t>4. Повишаване на ефективността на процедурите по връщане на незаконно пребиваващите чужденци като елемент от политиката по противодействие на незаконната миграция чрез увеличаване на процента на върнатите чужденци от националности, които могат да бъдат връщани* в страната на произход спрямо общия брой на лицата, подлежащи на връщане от тези националности**</w:t>
            </w:r>
          </w:p>
        </w:tc>
        <w:tc>
          <w:tcPr>
            <w:tcW w:w="492" w:type="pct"/>
            <w:tcBorders>
              <w:top w:val="nil"/>
              <w:left w:val="nil"/>
              <w:bottom w:val="single" w:sz="4" w:space="0" w:color="auto"/>
              <w:right w:val="nil"/>
            </w:tcBorders>
            <w:shd w:val="clear" w:color="auto" w:fill="F2F2F2"/>
            <w:vAlign w:val="center"/>
            <w:hideMark/>
          </w:tcPr>
          <w:p w:rsidR="007977EB" w:rsidRPr="00EA6851" w:rsidRDefault="007977EB" w:rsidP="00094DD5">
            <w:pPr>
              <w:spacing w:after="120"/>
              <w:jc w:val="center"/>
              <w:rPr>
                <w:bCs/>
                <w:iCs/>
                <w:color w:val="000000"/>
                <w:sz w:val="18"/>
                <w:szCs w:val="18"/>
              </w:rPr>
            </w:pPr>
            <w:r w:rsidRPr="00EA6851">
              <w:rPr>
                <w:bCs/>
                <w:iCs/>
                <w:color w:val="000000"/>
                <w:sz w:val="18"/>
                <w:szCs w:val="18"/>
              </w:rPr>
              <w:t>%</w:t>
            </w:r>
          </w:p>
        </w:tc>
        <w:tc>
          <w:tcPr>
            <w:tcW w:w="566" w:type="pct"/>
            <w:tcBorders>
              <w:top w:val="nil"/>
              <w:left w:val="nil"/>
              <w:bottom w:val="single" w:sz="4" w:space="0" w:color="auto"/>
              <w:right w:val="nil"/>
            </w:tcBorders>
            <w:vAlign w:val="center"/>
            <w:hideMark/>
          </w:tcPr>
          <w:p w:rsidR="007977EB" w:rsidRPr="00EA6851" w:rsidRDefault="007977EB" w:rsidP="007977EB">
            <w:pPr>
              <w:spacing w:after="120"/>
              <w:jc w:val="center"/>
              <w:rPr>
                <w:bCs/>
                <w:iCs/>
                <w:color w:val="000000"/>
                <w:sz w:val="18"/>
                <w:szCs w:val="18"/>
              </w:rPr>
            </w:pPr>
            <w:r w:rsidRPr="00EA6851">
              <w:rPr>
                <w:bCs/>
                <w:iCs/>
                <w:color w:val="000000"/>
                <w:sz w:val="18"/>
                <w:szCs w:val="18"/>
              </w:rPr>
              <w:t>6</w:t>
            </w:r>
          </w:p>
        </w:tc>
        <w:tc>
          <w:tcPr>
            <w:tcW w:w="457" w:type="pct"/>
            <w:tcBorders>
              <w:top w:val="nil"/>
              <w:left w:val="nil"/>
              <w:bottom w:val="single" w:sz="4" w:space="0" w:color="auto"/>
              <w:right w:val="nil"/>
            </w:tcBorders>
            <w:vAlign w:val="center"/>
            <w:hideMark/>
          </w:tcPr>
          <w:p w:rsidR="007977EB" w:rsidRPr="00EA6851" w:rsidRDefault="007977EB" w:rsidP="007977EB">
            <w:pPr>
              <w:spacing w:after="120"/>
              <w:jc w:val="center"/>
              <w:rPr>
                <w:bCs/>
                <w:iCs/>
                <w:color w:val="000000"/>
                <w:sz w:val="18"/>
                <w:szCs w:val="18"/>
              </w:rPr>
            </w:pPr>
            <w:r w:rsidRPr="00EA6851">
              <w:rPr>
                <w:bCs/>
                <w:iCs/>
                <w:color w:val="000000"/>
                <w:sz w:val="18"/>
                <w:szCs w:val="18"/>
              </w:rPr>
              <w:t>6</w:t>
            </w:r>
          </w:p>
        </w:tc>
        <w:tc>
          <w:tcPr>
            <w:tcW w:w="642" w:type="pct"/>
            <w:gridSpan w:val="2"/>
            <w:tcBorders>
              <w:top w:val="nil"/>
              <w:left w:val="nil"/>
              <w:bottom w:val="single" w:sz="4" w:space="0" w:color="auto"/>
              <w:right w:val="nil"/>
            </w:tcBorders>
            <w:vAlign w:val="center"/>
            <w:hideMark/>
          </w:tcPr>
          <w:p w:rsidR="007977EB" w:rsidRPr="00EA6851" w:rsidRDefault="007977EB" w:rsidP="007977EB">
            <w:pPr>
              <w:spacing w:after="120"/>
              <w:jc w:val="center"/>
              <w:rPr>
                <w:bCs/>
                <w:iCs/>
                <w:color w:val="000000"/>
                <w:sz w:val="18"/>
                <w:szCs w:val="18"/>
              </w:rPr>
            </w:pPr>
            <w:r w:rsidRPr="00EA6851">
              <w:rPr>
                <w:bCs/>
                <w:iCs/>
                <w:color w:val="000000"/>
                <w:sz w:val="18"/>
                <w:szCs w:val="18"/>
              </w:rPr>
              <w:t>6</w:t>
            </w:r>
          </w:p>
        </w:tc>
        <w:tc>
          <w:tcPr>
            <w:tcW w:w="527" w:type="pct"/>
            <w:tcBorders>
              <w:top w:val="nil"/>
              <w:left w:val="nil"/>
              <w:bottom w:val="single" w:sz="4" w:space="0" w:color="auto"/>
              <w:right w:val="nil"/>
            </w:tcBorders>
            <w:vAlign w:val="center"/>
            <w:hideMark/>
          </w:tcPr>
          <w:p w:rsidR="007977EB" w:rsidRPr="00EA6851" w:rsidRDefault="007977EB" w:rsidP="007977EB">
            <w:pPr>
              <w:tabs>
                <w:tab w:val="left" w:pos="0"/>
              </w:tabs>
              <w:spacing w:after="120"/>
              <w:jc w:val="center"/>
              <w:rPr>
                <w:bCs/>
                <w:iCs/>
                <w:color w:val="000000"/>
                <w:sz w:val="18"/>
                <w:szCs w:val="18"/>
              </w:rPr>
            </w:pPr>
            <w:r w:rsidRPr="00EA6851">
              <w:rPr>
                <w:bCs/>
                <w:iCs/>
                <w:color w:val="000000"/>
                <w:sz w:val="18"/>
                <w:szCs w:val="18"/>
              </w:rPr>
              <w:t>6</w:t>
            </w:r>
          </w:p>
        </w:tc>
      </w:tr>
    </w:tbl>
    <w:p w:rsidR="007977EB" w:rsidRPr="00EA6851" w:rsidRDefault="007977EB" w:rsidP="00700C01">
      <w:pPr>
        <w:spacing w:after="0"/>
        <w:contextualSpacing/>
        <w:rPr>
          <w:b/>
          <w:i/>
          <w:sz w:val="18"/>
          <w:szCs w:val="18"/>
          <w:highlight w:val="yellow"/>
        </w:rPr>
      </w:pPr>
    </w:p>
    <w:p w:rsidR="007977EB" w:rsidRPr="00EA6851" w:rsidRDefault="009A7F5D" w:rsidP="007977EB">
      <w:pPr>
        <w:spacing w:after="120"/>
        <w:rPr>
          <w:rFonts w:eastAsia="Times New Roman" w:cs="Times New Roman"/>
          <w:i/>
          <w:sz w:val="18"/>
          <w:szCs w:val="16"/>
        </w:rPr>
      </w:pPr>
      <w:r w:rsidRPr="00EA6851">
        <w:rPr>
          <w:rFonts w:eastAsia="Times New Roman" w:cs="Times New Roman"/>
          <w:b/>
          <w:i/>
          <w:sz w:val="18"/>
          <w:szCs w:val="16"/>
        </w:rPr>
        <w:t>Забележка: Индикатор № 1 и № 2</w:t>
      </w:r>
      <w:r w:rsidR="007977EB" w:rsidRPr="00EA6851">
        <w:rPr>
          <w:rFonts w:eastAsia="Times New Roman" w:cs="Times New Roman"/>
          <w:b/>
          <w:i/>
          <w:sz w:val="18"/>
          <w:szCs w:val="16"/>
        </w:rPr>
        <w:t xml:space="preserve"> - </w:t>
      </w:r>
      <w:r w:rsidR="007977EB" w:rsidRPr="00EA6851">
        <w:rPr>
          <w:rFonts w:eastAsia="Times New Roman" w:cs="Times New Roman"/>
          <w:i/>
          <w:sz w:val="18"/>
          <w:szCs w:val="16"/>
        </w:rPr>
        <w:t>Целевите стойности на показателите за изпълнение са завишени предвид отчетените през 2022 г. резултати и продължаващата тенденция за увеличаване на миграционните потоци в резултат на множеството кризи в страните източник на миграция. Съществуващите социално-икономически и хуманитарни проблеми, в комбинация с проблемите на сигурността в конфликтните зони на Близкия изток, Азия и Африка водят до разместване на големи слоеве от населението на регионално и интернационално ниво в посока към България по пътя им към Централна и Западна Европа. От една страна обстановката в Сирия и Афганистан става все по-нестабилна и усложнена, а от друга Турция като страна приемаща голям брой разселени лица и бежанци също среща големи предизвикателства и е възможно да промени сериозно политиката си по отношение на търсещите убежище чужди граждани. Всичко това упражнява силен натиск върху бежанците да се насочат към Европа търсейки спасение;</w:t>
      </w:r>
    </w:p>
    <w:p w:rsidR="007977EB" w:rsidRPr="00EA6851" w:rsidRDefault="007977EB" w:rsidP="007977EB">
      <w:pPr>
        <w:spacing w:after="120"/>
        <w:rPr>
          <w:rFonts w:eastAsia="Times New Roman" w:cs="Times New Roman"/>
          <w:b/>
          <w:i/>
          <w:sz w:val="18"/>
          <w:szCs w:val="16"/>
        </w:rPr>
      </w:pPr>
      <w:r w:rsidRPr="00EA6851">
        <w:rPr>
          <w:rFonts w:eastAsia="Times New Roman" w:cs="Times New Roman"/>
          <w:b/>
          <w:i/>
          <w:sz w:val="18"/>
          <w:szCs w:val="16"/>
        </w:rPr>
        <w:t xml:space="preserve">Индикатор № 4 - </w:t>
      </w:r>
      <w:r w:rsidRPr="00EA6851">
        <w:rPr>
          <w:rFonts w:eastAsia="Times New Roman" w:cs="Times New Roman"/>
          <w:b/>
          <w:i/>
          <w:sz w:val="18"/>
          <w:szCs w:val="18"/>
        </w:rPr>
        <w:t>*</w:t>
      </w:r>
      <w:r w:rsidRPr="00EA6851">
        <w:rPr>
          <w:rFonts w:eastAsia="Times New Roman" w:cs="Times New Roman"/>
          <w:i/>
          <w:sz w:val="18"/>
          <w:szCs w:val="18"/>
        </w:rPr>
        <w:t>Граждани на трети страни, върху чието принудително връщане не е наложен мораториум;</w:t>
      </w:r>
    </w:p>
    <w:p w:rsidR="007977EB" w:rsidRPr="00EA6851" w:rsidRDefault="007977EB" w:rsidP="007977EB">
      <w:pPr>
        <w:spacing w:after="120"/>
        <w:rPr>
          <w:rFonts w:eastAsia="Times New Roman" w:cs="Times New Roman"/>
          <w:b/>
          <w:i/>
          <w:sz w:val="18"/>
          <w:szCs w:val="16"/>
        </w:rPr>
      </w:pPr>
      <w:r w:rsidRPr="00EA6851">
        <w:rPr>
          <w:rFonts w:eastAsia="Times New Roman" w:cs="Times New Roman"/>
          <w:b/>
          <w:i/>
          <w:sz w:val="18"/>
          <w:szCs w:val="18"/>
        </w:rPr>
        <w:t>**</w:t>
      </w:r>
      <w:r w:rsidRPr="00EA6851">
        <w:rPr>
          <w:rFonts w:eastAsia="Times New Roman" w:cs="Times New Roman"/>
          <w:i/>
          <w:sz w:val="18"/>
          <w:szCs w:val="18"/>
        </w:rPr>
        <w:t>Предложена е промяна във формулировката на индикатор 4, поради следните обстоятелства:</w:t>
      </w:r>
    </w:p>
    <w:p w:rsidR="007977EB" w:rsidRPr="00EA6851" w:rsidRDefault="007977EB" w:rsidP="007977EB">
      <w:pPr>
        <w:tabs>
          <w:tab w:val="left" w:pos="1134"/>
        </w:tabs>
        <w:spacing w:after="120"/>
        <w:rPr>
          <w:rFonts w:eastAsia="Times New Roman" w:cs="Times New Roman"/>
          <w:i/>
          <w:sz w:val="18"/>
          <w:szCs w:val="18"/>
        </w:rPr>
      </w:pPr>
      <w:r w:rsidRPr="00EA6851">
        <w:rPr>
          <w:rFonts w:eastAsia="Times New Roman" w:cs="Times New Roman"/>
          <w:i/>
          <w:sz w:val="18"/>
          <w:szCs w:val="18"/>
        </w:rPr>
        <w:t>В изпълнение на разпоредително писмо на главния секретар на МВР №8121р-19216/20.09.2022 г. от 01.10.2022 г. в СДВНЧ към дирекция не се настаняват чужденци краткосрочно, а само такива с наложени принудителни административни мерки (ПАМ), свързани с връщането им от Република България, т.е. всички настанени чужденци подлежат на връщане. По този начин използваният през 2022 г. индикатор „Повишаване на ефективността на процедурите по връщане на незаконно пребиваващите чужденци като елемент от политиката по противодействие на незаконната миграция чрез увеличаване на процента на върнатите чужденци спрямо броя на лицата, настанени в СДВНЧ през отчетния период и подлежащи на връщане“ става неприложим към ситуацията през 2023 г. и следващите години.</w:t>
      </w:r>
    </w:p>
    <w:p w:rsidR="007977EB" w:rsidRPr="00EA6851" w:rsidRDefault="007977EB" w:rsidP="007977EB">
      <w:pPr>
        <w:tabs>
          <w:tab w:val="left" w:pos="1134"/>
        </w:tabs>
        <w:spacing w:after="120"/>
        <w:rPr>
          <w:rFonts w:eastAsia="Times New Roman" w:cs="Times New Roman"/>
          <w:i/>
          <w:sz w:val="18"/>
          <w:szCs w:val="18"/>
        </w:rPr>
      </w:pPr>
      <w:r w:rsidRPr="00EA6851">
        <w:rPr>
          <w:rFonts w:eastAsia="Times New Roman" w:cs="Times New Roman"/>
          <w:i/>
          <w:sz w:val="18"/>
          <w:szCs w:val="18"/>
        </w:rPr>
        <w:t>За сравнение – през 2022 г. преобладаващата част от чужденците в СДВНЧ са били настанени със заповеди за краткосрочно настаняване, с цел установяване на тяхната самоличност. Значително по-малка част от общо настанените за периода, са били настанените с ПАМ и подлежащи на връщане.</w:t>
      </w:r>
    </w:p>
    <w:p w:rsidR="007977EB" w:rsidRPr="00EA6851" w:rsidRDefault="007977EB" w:rsidP="007977EB">
      <w:pPr>
        <w:tabs>
          <w:tab w:val="left" w:pos="1134"/>
        </w:tabs>
        <w:spacing w:after="120"/>
        <w:rPr>
          <w:rFonts w:eastAsia="Times New Roman" w:cs="Times New Roman"/>
          <w:i/>
          <w:sz w:val="18"/>
          <w:szCs w:val="18"/>
        </w:rPr>
      </w:pPr>
      <w:r w:rsidRPr="00EA6851">
        <w:rPr>
          <w:rFonts w:eastAsia="Times New Roman" w:cs="Times New Roman"/>
          <w:i/>
          <w:sz w:val="18"/>
          <w:szCs w:val="18"/>
        </w:rPr>
        <w:t>Сериозен фактор, оказващ влияние върху изпълнение на процедурите по връщането е поддържането на мораториум върху принудителното връщане на сирийски граждани, както и на афганистанските граждани докато страната им се стабилизира. Това води до силно ограничаване на изпълнението на дейностите по връщането на тези лица в страните им на произход, като същевременно тези д</w:t>
      </w:r>
      <w:r w:rsidR="0063704A" w:rsidRPr="00EA6851">
        <w:rPr>
          <w:rFonts w:eastAsia="Times New Roman" w:cs="Times New Roman"/>
          <w:i/>
          <w:sz w:val="18"/>
          <w:szCs w:val="18"/>
        </w:rPr>
        <w:t>ве националности съставляват 80</w:t>
      </w:r>
      <w:r w:rsidRPr="00EA6851">
        <w:rPr>
          <w:rFonts w:eastAsia="Times New Roman" w:cs="Times New Roman"/>
          <w:i/>
          <w:sz w:val="18"/>
          <w:szCs w:val="18"/>
        </w:rPr>
        <w:t>% от настанените в СДВНЧ към дирекция „Миграция“ през първите 8 месеца на 2023 г.</w:t>
      </w:r>
    </w:p>
    <w:p w:rsidR="007977EB" w:rsidRPr="00EA6851" w:rsidRDefault="007977EB" w:rsidP="007977EB">
      <w:pPr>
        <w:tabs>
          <w:tab w:val="left" w:pos="1134"/>
        </w:tabs>
        <w:spacing w:after="120"/>
        <w:rPr>
          <w:rFonts w:eastAsia="Times New Roman" w:cs="Times New Roman"/>
          <w:i/>
          <w:sz w:val="18"/>
          <w:szCs w:val="18"/>
        </w:rPr>
      </w:pPr>
      <w:r w:rsidRPr="00EA6851">
        <w:rPr>
          <w:rFonts w:eastAsia="Times New Roman" w:cs="Times New Roman"/>
          <w:i/>
          <w:sz w:val="18"/>
          <w:szCs w:val="18"/>
        </w:rPr>
        <w:t xml:space="preserve">Въпреки предприетите мерки от дирекция „Миграция“ за изпълнение на процедурите по връщане по Фонд „Убежище, миграция и интеграция“ и осигуреното финансиране за закупуване на самолетни билети, горепосочения фактор се запазва като съществен проблем, което налага да бъде отчитано връщането на гражданите от националности, за които няма мораториум, т.е. без Сирия и Афганистан. </w:t>
      </w:r>
    </w:p>
    <w:p w:rsidR="000E564D" w:rsidRPr="00EA6851" w:rsidRDefault="000E564D" w:rsidP="000E564D">
      <w:pPr>
        <w:pStyle w:val="Heading4"/>
      </w:pPr>
      <w:r w:rsidRPr="00EA6851">
        <w:t xml:space="preserve">Политика в областта на пожарната безопасност и защитата на населението при извънредни ситуации </w:t>
      </w:r>
    </w:p>
    <w:p w:rsidR="007977EB" w:rsidRPr="00EA6851" w:rsidRDefault="007977EB" w:rsidP="007977EB">
      <w:pPr>
        <w:rPr>
          <w:rFonts w:eastAsia="Batang"/>
        </w:rPr>
      </w:pPr>
      <w:r w:rsidRPr="00EA6851">
        <w:rPr>
          <w:rFonts w:eastAsia="Batang"/>
        </w:rPr>
        <w:t xml:space="preserve">Тази област на политика е насочена към подобряване организацията на работа в областта на пожарната безопасност и защитата на населението чрез постигане на съответствие с изискванията на ЕС в областта. </w:t>
      </w:r>
    </w:p>
    <w:p w:rsidR="007977EB" w:rsidRPr="00EA6851" w:rsidRDefault="007977EB" w:rsidP="000E564D">
      <w:pPr>
        <w:rPr>
          <w:rFonts w:eastAsia="Batang"/>
        </w:rPr>
      </w:pPr>
      <w:r w:rsidRPr="00EA6851">
        <w:rPr>
          <w:rFonts w:eastAsia="Batang"/>
        </w:rPr>
        <w:t xml:space="preserve">Дейностите по тази политика се изпълняват от </w:t>
      </w:r>
      <w:r w:rsidRPr="00175C08">
        <w:rPr>
          <w:rFonts w:eastAsia="Batang"/>
        </w:rPr>
        <w:t>Главна дирекция „Пожарна безопасност и защита на населението“</w:t>
      </w:r>
      <w:r w:rsidRPr="00EA6851">
        <w:rPr>
          <w:rFonts w:eastAsia="Batang"/>
        </w:rPr>
        <w:t xml:space="preserve"> към МВР. </w:t>
      </w:r>
    </w:p>
    <w:p w:rsidR="000E564D" w:rsidRPr="00EA6851" w:rsidRDefault="000E564D" w:rsidP="000E564D">
      <w:pPr>
        <w:widowControl w:val="0"/>
        <w:autoSpaceDE w:val="0"/>
        <w:autoSpaceDN w:val="0"/>
        <w:adjustRightInd w:val="0"/>
        <w:ind w:right="-8"/>
        <w:rPr>
          <w:b/>
          <w:bCs/>
          <w:sz w:val="20"/>
          <w:szCs w:val="20"/>
        </w:rPr>
      </w:pPr>
      <w:r w:rsidRPr="00EA6851">
        <w:rPr>
          <w:b/>
          <w:bCs/>
          <w:sz w:val="20"/>
          <w:szCs w:val="20"/>
        </w:rPr>
        <w:t>КЛЮЧОВИ ИНДИКАТОРИ ЗА ИЗПЪЛНЕНИЕ И ЦЕЛЕВИ СТОЙНОСТИ</w:t>
      </w:r>
    </w:p>
    <w:tbl>
      <w:tblPr>
        <w:tblStyle w:val="TableGrid281"/>
        <w:tblpPr w:leftFromText="141" w:rightFromText="141" w:bottomFromText="200" w:vertAnchor="text" w:tblpXSpec="center" w:tblpY="1"/>
        <w:tblOverlap w:val="never"/>
        <w:tblW w:w="5130"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9"/>
        <w:gridCol w:w="962"/>
        <w:gridCol w:w="996"/>
        <w:gridCol w:w="1020"/>
        <w:gridCol w:w="108"/>
        <w:gridCol w:w="992"/>
        <w:gridCol w:w="108"/>
        <w:gridCol w:w="1050"/>
        <w:gridCol w:w="101"/>
      </w:tblGrid>
      <w:tr w:rsidR="007977EB" w:rsidRPr="00EA6851" w:rsidTr="00094DD5">
        <w:trPr>
          <w:gridAfter w:val="1"/>
          <w:wAfter w:w="54" w:type="pct"/>
          <w:trHeight w:val="255"/>
          <w:tblHeader/>
        </w:trPr>
        <w:tc>
          <w:tcPr>
            <w:tcW w:w="2132" w:type="pct"/>
            <w:tcBorders>
              <w:top w:val="single" w:sz="4" w:space="0" w:color="auto"/>
              <w:left w:val="nil"/>
              <w:bottom w:val="nil"/>
              <w:right w:val="nil"/>
            </w:tcBorders>
            <w:vAlign w:val="center"/>
            <w:hideMark/>
          </w:tcPr>
          <w:p w:rsidR="007977EB" w:rsidRPr="00EA6851" w:rsidRDefault="007977EB" w:rsidP="00094DD5">
            <w:pPr>
              <w:spacing w:after="120"/>
              <w:jc w:val="center"/>
              <w:rPr>
                <w:b/>
                <w:bCs/>
                <w:i/>
                <w:iCs/>
                <w:color w:val="000000"/>
                <w:sz w:val="18"/>
                <w:szCs w:val="18"/>
              </w:rPr>
            </w:pPr>
            <w:r w:rsidRPr="00EA6851">
              <w:rPr>
                <w:b/>
                <w:bCs/>
                <w:i/>
                <w:iCs/>
                <w:color w:val="000000"/>
                <w:sz w:val="18"/>
                <w:szCs w:val="18"/>
              </w:rPr>
              <w:t>Политика в областта на пожарната безопасност и защитата на населението при извънредни ситуации</w:t>
            </w:r>
          </w:p>
        </w:tc>
        <w:tc>
          <w:tcPr>
            <w:tcW w:w="517" w:type="pct"/>
            <w:vMerge w:val="restart"/>
            <w:tcBorders>
              <w:top w:val="single" w:sz="4" w:space="0" w:color="auto"/>
              <w:left w:val="nil"/>
              <w:bottom w:val="single" w:sz="4" w:space="0" w:color="auto"/>
              <w:right w:val="nil"/>
            </w:tcBorders>
            <w:shd w:val="clear" w:color="auto" w:fill="F2F2F2"/>
            <w:hideMark/>
          </w:tcPr>
          <w:p w:rsidR="007977EB" w:rsidRPr="00EA6851" w:rsidRDefault="007977EB" w:rsidP="00094DD5">
            <w:pPr>
              <w:spacing w:after="120"/>
              <w:rPr>
                <w:b/>
                <w:bCs/>
                <w:i/>
                <w:iCs/>
                <w:color w:val="000000"/>
                <w:sz w:val="18"/>
                <w:szCs w:val="18"/>
              </w:rPr>
            </w:pPr>
            <w:r w:rsidRPr="00EA6851">
              <w:rPr>
                <w:b/>
                <w:bCs/>
                <w:i/>
                <w:iCs/>
                <w:color w:val="000000"/>
                <w:sz w:val="18"/>
                <w:szCs w:val="18"/>
              </w:rPr>
              <w:t> </w:t>
            </w:r>
          </w:p>
          <w:p w:rsidR="007977EB" w:rsidRPr="00EA6851" w:rsidRDefault="007977EB" w:rsidP="00094DD5">
            <w:pPr>
              <w:spacing w:after="120"/>
              <w:jc w:val="center"/>
              <w:rPr>
                <w:b/>
                <w:bCs/>
                <w:iCs/>
                <w:color w:val="000000"/>
                <w:sz w:val="18"/>
                <w:szCs w:val="18"/>
              </w:rPr>
            </w:pPr>
            <w:r w:rsidRPr="00EA6851">
              <w:rPr>
                <w:b/>
                <w:bCs/>
                <w:iCs/>
                <w:color w:val="000000"/>
                <w:sz w:val="18"/>
                <w:szCs w:val="18"/>
              </w:rPr>
              <w:t>Мерна единица</w:t>
            </w:r>
          </w:p>
        </w:tc>
        <w:tc>
          <w:tcPr>
            <w:tcW w:w="2296" w:type="pct"/>
            <w:gridSpan w:val="6"/>
            <w:tcBorders>
              <w:top w:val="single" w:sz="4" w:space="0" w:color="auto"/>
              <w:left w:val="nil"/>
              <w:bottom w:val="single" w:sz="4" w:space="0" w:color="auto"/>
              <w:right w:val="nil"/>
            </w:tcBorders>
            <w:vAlign w:val="center"/>
            <w:hideMark/>
          </w:tcPr>
          <w:p w:rsidR="007977EB" w:rsidRPr="00EA6851" w:rsidRDefault="007977EB" w:rsidP="00094DD5">
            <w:pPr>
              <w:spacing w:after="120"/>
              <w:jc w:val="center"/>
              <w:rPr>
                <w:b/>
                <w:bCs/>
                <w:i/>
                <w:iCs/>
                <w:color w:val="000000"/>
                <w:sz w:val="18"/>
                <w:szCs w:val="18"/>
              </w:rPr>
            </w:pPr>
            <w:r w:rsidRPr="00EA6851">
              <w:rPr>
                <w:b/>
                <w:bCs/>
                <w:iCs/>
                <w:color w:val="000000"/>
                <w:sz w:val="18"/>
                <w:szCs w:val="18"/>
              </w:rPr>
              <w:t>Целева стойност</w:t>
            </w:r>
          </w:p>
        </w:tc>
      </w:tr>
      <w:tr w:rsidR="007977EB" w:rsidRPr="00EA6851" w:rsidTr="00094DD5">
        <w:trPr>
          <w:gridAfter w:val="1"/>
          <w:wAfter w:w="54" w:type="pct"/>
          <w:trHeight w:val="282"/>
          <w:tblHeader/>
        </w:trPr>
        <w:tc>
          <w:tcPr>
            <w:tcW w:w="2132" w:type="pct"/>
            <w:tcBorders>
              <w:top w:val="nil"/>
              <w:left w:val="nil"/>
              <w:bottom w:val="single" w:sz="4" w:space="0" w:color="auto"/>
              <w:right w:val="nil"/>
            </w:tcBorders>
            <w:vAlign w:val="center"/>
            <w:hideMark/>
          </w:tcPr>
          <w:p w:rsidR="007977EB" w:rsidRPr="00EA6851" w:rsidRDefault="007977EB" w:rsidP="00094DD5">
            <w:pPr>
              <w:spacing w:after="120"/>
              <w:jc w:val="center"/>
              <w:rPr>
                <w:b/>
                <w:bCs/>
                <w:iCs/>
                <w:color w:val="000000"/>
                <w:sz w:val="18"/>
                <w:szCs w:val="18"/>
              </w:rPr>
            </w:pPr>
            <w:r w:rsidRPr="00EA6851">
              <w:rPr>
                <w:b/>
                <w:bCs/>
                <w:iCs/>
                <w:color w:val="000000"/>
                <w:sz w:val="18"/>
                <w:szCs w:val="18"/>
              </w:rPr>
              <w:t>Наименование на индикатора</w:t>
            </w:r>
          </w:p>
        </w:tc>
        <w:tc>
          <w:tcPr>
            <w:tcW w:w="0" w:type="auto"/>
            <w:vMerge/>
            <w:tcBorders>
              <w:top w:val="single" w:sz="4" w:space="0" w:color="auto"/>
              <w:left w:val="nil"/>
              <w:bottom w:val="single" w:sz="4" w:space="0" w:color="auto"/>
              <w:right w:val="nil"/>
            </w:tcBorders>
            <w:vAlign w:val="center"/>
            <w:hideMark/>
          </w:tcPr>
          <w:p w:rsidR="007977EB" w:rsidRPr="00EA6851" w:rsidRDefault="007977EB" w:rsidP="00094DD5">
            <w:pPr>
              <w:spacing w:after="120"/>
              <w:jc w:val="left"/>
              <w:rPr>
                <w:b/>
                <w:bCs/>
                <w:iCs/>
                <w:color w:val="000000"/>
                <w:sz w:val="18"/>
                <w:szCs w:val="18"/>
              </w:rPr>
            </w:pPr>
          </w:p>
        </w:tc>
        <w:tc>
          <w:tcPr>
            <w:tcW w:w="535" w:type="pct"/>
            <w:tcBorders>
              <w:top w:val="single" w:sz="4" w:space="0" w:color="auto"/>
              <w:left w:val="nil"/>
              <w:bottom w:val="single" w:sz="4" w:space="0" w:color="auto"/>
              <w:right w:val="nil"/>
            </w:tcBorders>
            <w:vAlign w:val="center"/>
            <w:hideMark/>
          </w:tcPr>
          <w:p w:rsidR="007977EB" w:rsidRPr="00EA6851" w:rsidRDefault="007977EB" w:rsidP="00094DD5">
            <w:pPr>
              <w:spacing w:after="120"/>
              <w:jc w:val="center"/>
              <w:rPr>
                <w:b/>
                <w:bCs/>
                <w:i/>
                <w:iCs/>
                <w:color w:val="000000"/>
                <w:sz w:val="18"/>
                <w:szCs w:val="18"/>
              </w:rPr>
            </w:pPr>
            <w:r w:rsidRPr="00EA6851">
              <w:rPr>
                <w:b/>
                <w:bCs/>
                <w:i/>
                <w:iCs/>
                <w:color w:val="000000"/>
                <w:sz w:val="18"/>
                <w:szCs w:val="18"/>
              </w:rPr>
              <w:t>Програма 2023 г.</w:t>
            </w:r>
          </w:p>
        </w:tc>
        <w:tc>
          <w:tcPr>
            <w:tcW w:w="548" w:type="pct"/>
            <w:tcBorders>
              <w:top w:val="single" w:sz="4" w:space="0" w:color="auto"/>
              <w:left w:val="nil"/>
              <w:bottom w:val="single" w:sz="4" w:space="0" w:color="auto"/>
              <w:right w:val="nil"/>
            </w:tcBorders>
            <w:vAlign w:val="center"/>
            <w:hideMark/>
          </w:tcPr>
          <w:p w:rsidR="007977EB" w:rsidRPr="00EA6851" w:rsidRDefault="007977EB" w:rsidP="00094DD5">
            <w:pPr>
              <w:spacing w:after="120"/>
              <w:jc w:val="center"/>
              <w:rPr>
                <w:b/>
                <w:bCs/>
                <w:i/>
                <w:iCs/>
                <w:color w:val="000000"/>
                <w:sz w:val="18"/>
                <w:szCs w:val="18"/>
              </w:rPr>
            </w:pPr>
            <w:r w:rsidRPr="00EA6851">
              <w:rPr>
                <w:b/>
                <w:bCs/>
                <w:i/>
                <w:iCs/>
                <w:color w:val="000000"/>
                <w:sz w:val="18"/>
                <w:szCs w:val="18"/>
              </w:rPr>
              <w:t>Проект 2024 г.</w:t>
            </w:r>
          </w:p>
        </w:tc>
        <w:tc>
          <w:tcPr>
            <w:tcW w:w="591" w:type="pct"/>
            <w:gridSpan w:val="2"/>
            <w:tcBorders>
              <w:top w:val="single" w:sz="4" w:space="0" w:color="auto"/>
              <w:left w:val="nil"/>
              <w:bottom w:val="single" w:sz="4" w:space="0" w:color="auto"/>
              <w:right w:val="nil"/>
            </w:tcBorders>
            <w:vAlign w:val="center"/>
            <w:hideMark/>
          </w:tcPr>
          <w:p w:rsidR="007977EB" w:rsidRPr="00EA6851" w:rsidRDefault="007977EB" w:rsidP="00094DD5">
            <w:pPr>
              <w:spacing w:after="120"/>
              <w:jc w:val="center"/>
              <w:rPr>
                <w:b/>
                <w:bCs/>
                <w:i/>
                <w:iCs/>
                <w:color w:val="000000"/>
                <w:sz w:val="18"/>
                <w:szCs w:val="18"/>
              </w:rPr>
            </w:pPr>
            <w:r w:rsidRPr="00EA6851">
              <w:rPr>
                <w:b/>
                <w:bCs/>
                <w:i/>
                <w:iCs/>
                <w:color w:val="000000"/>
                <w:sz w:val="18"/>
                <w:szCs w:val="18"/>
              </w:rPr>
              <w:t>Прогноза 2025 г.</w:t>
            </w:r>
          </w:p>
        </w:tc>
        <w:tc>
          <w:tcPr>
            <w:tcW w:w="622" w:type="pct"/>
            <w:gridSpan w:val="2"/>
            <w:tcBorders>
              <w:top w:val="single" w:sz="4" w:space="0" w:color="auto"/>
              <w:left w:val="nil"/>
              <w:bottom w:val="single" w:sz="4" w:space="0" w:color="auto"/>
              <w:right w:val="nil"/>
            </w:tcBorders>
            <w:hideMark/>
          </w:tcPr>
          <w:p w:rsidR="007977EB" w:rsidRPr="00EA6851" w:rsidRDefault="007977EB" w:rsidP="00094DD5">
            <w:pPr>
              <w:spacing w:after="120"/>
              <w:jc w:val="center"/>
              <w:rPr>
                <w:b/>
                <w:bCs/>
                <w:i/>
                <w:iCs/>
                <w:color w:val="000000"/>
                <w:sz w:val="18"/>
                <w:szCs w:val="18"/>
              </w:rPr>
            </w:pPr>
            <w:r w:rsidRPr="00EA6851">
              <w:rPr>
                <w:b/>
                <w:bCs/>
                <w:i/>
                <w:iCs/>
                <w:color w:val="000000"/>
                <w:sz w:val="18"/>
                <w:szCs w:val="18"/>
              </w:rPr>
              <w:t>Прогноза  2026 г.</w:t>
            </w:r>
          </w:p>
        </w:tc>
      </w:tr>
      <w:tr w:rsidR="007977EB" w:rsidRPr="00EA6851" w:rsidTr="00094DD5">
        <w:trPr>
          <w:gridAfter w:val="1"/>
          <w:wAfter w:w="54" w:type="pct"/>
          <w:trHeight w:val="511"/>
        </w:trPr>
        <w:tc>
          <w:tcPr>
            <w:tcW w:w="2132" w:type="pct"/>
            <w:tcBorders>
              <w:top w:val="single" w:sz="4" w:space="0" w:color="auto"/>
              <w:left w:val="nil"/>
              <w:bottom w:val="nil"/>
              <w:right w:val="nil"/>
            </w:tcBorders>
            <w:vAlign w:val="center"/>
            <w:hideMark/>
          </w:tcPr>
          <w:p w:rsidR="007977EB" w:rsidRPr="00EA6851" w:rsidRDefault="007977EB" w:rsidP="00094DD5">
            <w:pPr>
              <w:spacing w:after="120"/>
              <w:rPr>
                <w:bCs/>
                <w:iCs/>
                <w:color w:val="000000"/>
                <w:sz w:val="18"/>
                <w:szCs w:val="18"/>
              </w:rPr>
            </w:pPr>
            <w:r w:rsidRPr="00EA6851">
              <w:rPr>
                <w:bCs/>
                <w:iCs/>
                <w:color w:val="000000"/>
                <w:sz w:val="18"/>
                <w:szCs w:val="18"/>
              </w:rPr>
              <w:t>1. Проверки по спазване на изискванията за пожарна безопасност</w:t>
            </w:r>
          </w:p>
        </w:tc>
        <w:tc>
          <w:tcPr>
            <w:tcW w:w="517" w:type="pct"/>
            <w:tcBorders>
              <w:top w:val="single" w:sz="4" w:space="0" w:color="auto"/>
              <w:left w:val="nil"/>
              <w:bottom w:val="nil"/>
              <w:right w:val="nil"/>
            </w:tcBorders>
            <w:shd w:val="clear" w:color="auto" w:fill="F2F2F2"/>
            <w:hideMark/>
          </w:tcPr>
          <w:p w:rsidR="007977EB" w:rsidRPr="00EA6851" w:rsidRDefault="007977EB" w:rsidP="00094DD5">
            <w:pPr>
              <w:spacing w:after="120"/>
              <w:jc w:val="center"/>
              <w:rPr>
                <w:bCs/>
                <w:iCs/>
                <w:color w:val="000000"/>
                <w:sz w:val="18"/>
                <w:szCs w:val="18"/>
              </w:rPr>
            </w:pPr>
            <w:r w:rsidRPr="00EA6851">
              <w:rPr>
                <w:bCs/>
                <w:iCs/>
                <w:color w:val="000000"/>
                <w:sz w:val="18"/>
                <w:szCs w:val="18"/>
              </w:rPr>
              <w:t>Брой</w:t>
            </w:r>
          </w:p>
        </w:tc>
        <w:tc>
          <w:tcPr>
            <w:tcW w:w="535" w:type="pct"/>
            <w:tcBorders>
              <w:top w:val="single" w:sz="4" w:space="0" w:color="auto"/>
              <w:left w:val="nil"/>
              <w:bottom w:val="nil"/>
              <w:right w:val="nil"/>
            </w:tcBorders>
            <w:hideMark/>
          </w:tcPr>
          <w:p w:rsidR="007977EB" w:rsidRPr="00EA6851" w:rsidRDefault="007977EB" w:rsidP="00094DD5">
            <w:pPr>
              <w:spacing w:after="120"/>
              <w:ind w:right="-8"/>
              <w:jc w:val="center"/>
              <w:rPr>
                <w:bCs/>
                <w:iCs/>
                <w:color w:val="000000"/>
                <w:sz w:val="18"/>
                <w:szCs w:val="18"/>
              </w:rPr>
            </w:pPr>
            <w:r w:rsidRPr="00EA6851">
              <w:rPr>
                <w:bCs/>
                <w:iCs/>
                <w:color w:val="000000"/>
                <w:sz w:val="18"/>
                <w:szCs w:val="18"/>
              </w:rPr>
              <w:t>80 000</w:t>
            </w:r>
          </w:p>
        </w:tc>
        <w:tc>
          <w:tcPr>
            <w:tcW w:w="548" w:type="pct"/>
            <w:tcBorders>
              <w:top w:val="single" w:sz="4" w:space="0" w:color="auto"/>
              <w:left w:val="nil"/>
              <w:bottom w:val="nil"/>
              <w:right w:val="nil"/>
            </w:tcBorders>
            <w:hideMark/>
          </w:tcPr>
          <w:p w:rsidR="007977EB" w:rsidRPr="00EA6851" w:rsidRDefault="007977EB" w:rsidP="00094DD5">
            <w:pPr>
              <w:spacing w:after="120"/>
              <w:ind w:right="-8"/>
              <w:jc w:val="center"/>
              <w:rPr>
                <w:bCs/>
                <w:iCs/>
                <w:color w:val="000000"/>
                <w:sz w:val="18"/>
                <w:szCs w:val="18"/>
              </w:rPr>
            </w:pPr>
            <w:r w:rsidRPr="00EA6851">
              <w:rPr>
                <w:bCs/>
                <w:iCs/>
                <w:color w:val="000000"/>
                <w:sz w:val="18"/>
                <w:szCs w:val="18"/>
              </w:rPr>
              <w:t>80 000</w:t>
            </w:r>
          </w:p>
        </w:tc>
        <w:tc>
          <w:tcPr>
            <w:tcW w:w="591" w:type="pct"/>
            <w:gridSpan w:val="2"/>
            <w:tcBorders>
              <w:top w:val="single" w:sz="4" w:space="0" w:color="auto"/>
              <w:left w:val="nil"/>
              <w:bottom w:val="nil"/>
              <w:right w:val="nil"/>
            </w:tcBorders>
            <w:hideMark/>
          </w:tcPr>
          <w:p w:rsidR="007977EB" w:rsidRPr="00EA6851" w:rsidRDefault="007977EB" w:rsidP="00094DD5">
            <w:pPr>
              <w:spacing w:after="120"/>
              <w:ind w:right="-8"/>
              <w:jc w:val="center"/>
              <w:rPr>
                <w:bCs/>
                <w:iCs/>
                <w:color w:val="000000"/>
                <w:sz w:val="18"/>
                <w:szCs w:val="18"/>
              </w:rPr>
            </w:pPr>
            <w:r w:rsidRPr="00EA6851">
              <w:rPr>
                <w:bCs/>
                <w:iCs/>
                <w:color w:val="000000"/>
                <w:sz w:val="18"/>
                <w:szCs w:val="18"/>
              </w:rPr>
              <w:t>80 000</w:t>
            </w:r>
          </w:p>
        </w:tc>
        <w:tc>
          <w:tcPr>
            <w:tcW w:w="622" w:type="pct"/>
            <w:gridSpan w:val="2"/>
            <w:tcBorders>
              <w:top w:val="single" w:sz="4" w:space="0" w:color="auto"/>
              <w:left w:val="nil"/>
              <w:bottom w:val="nil"/>
              <w:right w:val="nil"/>
            </w:tcBorders>
            <w:hideMark/>
          </w:tcPr>
          <w:p w:rsidR="007977EB" w:rsidRPr="00EA6851" w:rsidRDefault="007977EB" w:rsidP="00094DD5">
            <w:pPr>
              <w:spacing w:after="120"/>
              <w:ind w:right="-8"/>
              <w:jc w:val="center"/>
              <w:rPr>
                <w:bCs/>
                <w:iCs/>
                <w:color w:val="000000"/>
                <w:sz w:val="18"/>
                <w:szCs w:val="18"/>
              </w:rPr>
            </w:pPr>
            <w:r w:rsidRPr="00EA6851">
              <w:rPr>
                <w:bCs/>
                <w:iCs/>
                <w:color w:val="000000"/>
                <w:sz w:val="18"/>
                <w:szCs w:val="18"/>
              </w:rPr>
              <w:t>80 000</w:t>
            </w:r>
          </w:p>
        </w:tc>
      </w:tr>
      <w:tr w:rsidR="007977EB" w:rsidRPr="00EA6851" w:rsidTr="00094DD5">
        <w:trPr>
          <w:gridAfter w:val="1"/>
          <w:wAfter w:w="54" w:type="pct"/>
          <w:trHeight w:val="708"/>
        </w:trPr>
        <w:tc>
          <w:tcPr>
            <w:tcW w:w="2132" w:type="pct"/>
            <w:tcBorders>
              <w:top w:val="nil"/>
              <w:left w:val="nil"/>
              <w:bottom w:val="nil"/>
              <w:right w:val="nil"/>
            </w:tcBorders>
            <w:vAlign w:val="center"/>
            <w:hideMark/>
          </w:tcPr>
          <w:p w:rsidR="007977EB" w:rsidRPr="00EA6851" w:rsidRDefault="007977EB" w:rsidP="00094DD5">
            <w:pPr>
              <w:spacing w:after="120"/>
              <w:rPr>
                <w:bCs/>
                <w:iCs/>
                <w:color w:val="000000"/>
                <w:sz w:val="18"/>
                <w:szCs w:val="18"/>
              </w:rPr>
            </w:pPr>
            <w:r w:rsidRPr="00EA6851">
              <w:rPr>
                <w:bCs/>
                <w:iCs/>
                <w:color w:val="000000"/>
                <w:sz w:val="18"/>
                <w:szCs w:val="18"/>
              </w:rPr>
              <w:t xml:space="preserve">2. Предоставени административни услуги на гражданите в областта на пожарната безопасност </w:t>
            </w:r>
          </w:p>
        </w:tc>
        <w:tc>
          <w:tcPr>
            <w:tcW w:w="517" w:type="pct"/>
            <w:tcBorders>
              <w:top w:val="nil"/>
              <w:left w:val="nil"/>
              <w:bottom w:val="nil"/>
              <w:right w:val="nil"/>
            </w:tcBorders>
            <w:shd w:val="clear" w:color="auto" w:fill="F2F2F2"/>
            <w:hideMark/>
          </w:tcPr>
          <w:p w:rsidR="007977EB" w:rsidRPr="00EA6851" w:rsidRDefault="007977EB" w:rsidP="00094DD5">
            <w:pPr>
              <w:spacing w:after="120"/>
              <w:jc w:val="center"/>
              <w:rPr>
                <w:bCs/>
                <w:iCs/>
                <w:color w:val="000000"/>
                <w:sz w:val="18"/>
                <w:szCs w:val="18"/>
              </w:rPr>
            </w:pPr>
            <w:r w:rsidRPr="00EA6851">
              <w:rPr>
                <w:bCs/>
                <w:iCs/>
                <w:color w:val="000000"/>
                <w:sz w:val="18"/>
                <w:szCs w:val="18"/>
              </w:rPr>
              <w:t>Брой</w:t>
            </w:r>
          </w:p>
        </w:tc>
        <w:tc>
          <w:tcPr>
            <w:tcW w:w="535" w:type="pct"/>
            <w:tcBorders>
              <w:top w:val="nil"/>
              <w:left w:val="nil"/>
              <w:bottom w:val="nil"/>
              <w:right w:val="nil"/>
            </w:tcBorders>
            <w:hideMark/>
          </w:tcPr>
          <w:p w:rsidR="007977EB" w:rsidRPr="00EA6851" w:rsidRDefault="007977EB" w:rsidP="00094DD5">
            <w:pPr>
              <w:spacing w:after="120"/>
              <w:ind w:right="-8"/>
              <w:jc w:val="center"/>
              <w:rPr>
                <w:bCs/>
                <w:iCs/>
                <w:color w:val="000000"/>
                <w:sz w:val="18"/>
                <w:szCs w:val="18"/>
              </w:rPr>
            </w:pPr>
            <w:r w:rsidRPr="00EA6851">
              <w:rPr>
                <w:bCs/>
                <w:iCs/>
                <w:color w:val="000000"/>
                <w:sz w:val="18"/>
                <w:szCs w:val="18"/>
              </w:rPr>
              <w:t>11 000</w:t>
            </w:r>
          </w:p>
        </w:tc>
        <w:tc>
          <w:tcPr>
            <w:tcW w:w="548" w:type="pct"/>
            <w:tcBorders>
              <w:top w:val="nil"/>
              <w:left w:val="nil"/>
              <w:bottom w:val="nil"/>
              <w:right w:val="nil"/>
            </w:tcBorders>
            <w:hideMark/>
          </w:tcPr>
          <w:p w:rsidR="007977EB" w:rsidRPr="00EA6851" w:rsidRDefault="007977EB" w:rsidP="00094DD5">
            <w:pPr>
              <w:spacing w:after="120"/>
              <w:ind w:right="-8"/>
              <w:jc w:val="center"/>
              <w:rPr>
                <w:bCs/>
                <w:iCs/>
                <w:color w:val="000000"/>
                <w:sz w:val="18"/>
                <w:szCs w:val="18"/>
              </w:rPr>
            </w:pPr>
            <w:r w:rsidRPr="00EA6851">
              <w:rPr>
                <w:bCs/>
                <w:iCs/>
                <w:color w:val="000000"/>
                <w:sz w:val="18"/>
                <w:szCs w:val="18"/>
              </w:rPr>
              <w:t>11 000</w:t>
            </w:r>
          </w:p>
        </w:tc>
        <w:tc>
          <w:tcPr>
            <w:tcW w:w="591" w:type="pct"/>
            <w:gridSpan w:val="2"/>
            <w:tcBorders>
              <w:top w:val="nil"/>
              <w:left w:val="nil"/>
              <w:bottom w:val="nil"/>
              <w:right w:val="nil"/>
            </w:tcBorders>
            <w:hideMark/>
          </w:tcPr>
          <w:p w:rsidR="007977EB" w:rsidRPr="00EA6851" w:rsidRDefault="007977EB" w:rsidP="00094DD5">
            <w:pPr>
              <w:spacing w:after="120"/>
              <w:ind w:right="-8"/>
              <w:jc w:val="center"/>
              <w:rPr>
                <w:bCs/>
                <w:iCs/>
                <w:color w:val="000000"/>
                <w:sz w:val="18"/>
                <w:szCs w:val="18"/>
              </w:rPr>
            </w:pPr>
            <w:r w:rsidRPr="00EA6851">
              <w:rPr>
                <w:bCs/>
                <w:iCs/>
                <w:color w:val="000000"/>
                <w:sz w:val="18"/>
                <w:szCs w:val="18"/>
              </w:rPr>
              <w:t>11 000</w:t>
            </w:r>
          </w:p>
        </w:tc>
        <w:tc>
          <w:tcPr>
            <w:tcW w:w="622" w:type="pct"/>
            <w:gridSpan w:val="2"/>
            <w:tcBorders>
              <w:top w:val="nil"/>
              <w:left w:val="nil"/>
              <w:bottom w:val="nil"/>
              <w:right w:val="nil"/>
            </w:tcBorders>
            <w:hideMark/>
          </w:tcPr>
          <w:p w:rsidR="007977EB" w:rsidRPr="00EA6851" w:rsidRDefault="007977EB" w:rsidP="00094DD5">
            <w:pPr>
              <w:spacing w:after="120"/>
              <w:ind w:right="-8"/>
              <w:jc w:val="center"/>
              <w:rPr>
                <w:bCs/>
                <w:iCs/>
                <w:color w:val="000000"/>
                <w:sz w:val="18"/>
                <w:szCs w:val="18"/>
              </w:rPr>
            </w:pPr>
            <w:r w:rsidRPr="00EA6851">
              <w:rPr>
                <w:bCs/>
                <w:iCs/>
                <w:color w:val="000000"/>
                <w:sz w:val="18"/>
                <w:szCs w:val="18"/>
              </w:rPr>
              <w:t>11 000</w:t>
            </w:r>
          </w:p>
        </w:tc>
      </w:tr>
      <w:tr w:rsidR="007977EB" w:rsidRPr="00EA6851" w:rsidTr="00094DD5">
        <w:trPr>
          <w:trHeight w:val="270"/>
        </w:trPr>
        <w:tc>
          <w:tcPr>
            <w:tcW w:w="2132" w:type="pct"/>
            <w:tcBorders>
              <w:top w:val="nil"/>
              <w:left w:val="nil"/>
              <w:bottom w:val="nil"/>
              <w:right w:val="nil"/>
            </w:tcBorders>
            <w:vAlign w:val="center"/>
            <w:hideMark/>
          </w:tcPr>
          <w:p w:rsidR="007977EB" w:rsidRPr="00EA6851" w:rsidRDefault="007977EB" w:rsidP="00094DD5">
            <w:pPr>
              <w:spacing w:after="120"/>
              <w:rPr>
                <w:bCs/>
                <w:iCs/>
                <w:color w:val="000000"/>
                <w:sz w:val="18"/>
                <w:szCs w:val="18"/>
              </w:rPr>
            </w:pPr>
            <w:r w:rsidRPr="00EA6851">
              <w:rPr>
                <w:bCs/>
                <w:iCs/>
                <w:color w:val="000000"/>
                <w:sz w:val="18"/>
                <w:szCs w:val="18"/>
              </w:rPr>
              <w:t>3. Проведени мероприятия за повишаване културата на населението в областта на пожарната безоп</w:t>
            </w:r>
            <w:r w:rsidR="001B4B89" w:rsidRPr="00EA6851">
              <w:rPr>
                <w:bCs/>
                <w:iCs/>
                <w:color w:val="000000"/>
                <w:sz w:val="18"/>
                <w:szCs w:val="18"/>
              </w:rPr>
              <w:t>асност и защита на населението</w:t>
            </w:r>
          </w:p>
        </w:tc>
        <w:tc>
          <w:tcPr>
            <w:tcW w:w="517" w:type="pct"/>
            <w:tcBorders>
              <w:top w:val="nil"/>
              <w:left w:val="nil"/>
              <w:bottom w:val="nil"/>
              <w:right w:val="nil"/>
            </w:tcBorders>
            <w:shd w:val="clear" w:color="auto" w:fill="F2F2F2"/>
            <w:hideMark/>
          </w:tcPr>
          <w:p w:rsidR="007977EB" w:rsidRPr="00EA6851" w:rsidRDefault="007977EB" w:rsidP="00094DD5">
            <w:pPr>
              <w:spacing w:after="120"/>
              <w:jc w:val="center"/>
              <w:rPr>
                <w:bCs/>
                <w:iCs/>
                <w:color w:val="000000"/>
                <w:sz w:val="18"/>
                <w:szCs w:val="18"/>
              </w:rPr>
            </w:pPr>
            <w:r w:rsidRPr="00EA6851">
              <w:rPr>
                <w:bCs/>
                <w:iCs/>
                <w:color w:val="000000"/>
                <w:sz w:val="18"/>
                <w:szCs w:val="18"/>
              </w:rPr>
              <w:t>Брой</w:t>
            </w:r>
          </w:p>
        </w:tc>
        <w:tc>
          <w:tcPr>
            <w:tcW w:w="535" w:type="pct"/>
            <w:tcBorders>
              <w:top w:val="nil"/>
              <w:left w:val="nil"/>
              <w:bottom w:val="nil"/>
              <w:right w:val="nil"/>
            </w:tcBorders>
          </w:tcPr>
          <w:p w:rsidR="007977EB" w:rsidRPr="00EA6851" w:rsidRDefault="007977EB" w:rsidP="00094DD5">
            <w:pPr>
              <w:spacing w:after="120"/>
              <w:ind w:right="-8"/>
              <w:jc w:val="center"/>
              <w:rPr>
                <w:bCs/>
                <w:iCs/>
                <w:color w:val="000000"/>
                <w:sz w:val="18"/>
                <w:szCs w:val="18"/>
              </w:rPr>
            </w:pPr>
            <w:r w:rsidRPr="00EA6851">
              <w:rPr>
                <w:bCs/>
                <w:iCs/>
                <w:color w:val="000000"/>
                <w:sz w:val="18"/>
                <w:szCs w:val="18"/>
              </w:rPr>
              <w:t>7 400</w:t>
            </w:r>
          </w:p>
        </w:tc>
        <w:tc>
          <w:tcPr>
            <w:tcW w:w="606" w:type="pct"/>
            <w:gridSpan w:val="2"/>
            <w:tcBorders>
              <w:top w:val="nil"/>
              <w:left w:val="nil"/>
              <w:bottom w:val="nil"/>
              <w:right w:val="nil"/>
            </w:tcBorders>
          </w:tcPr>
          <w:p w:rsidR="007977EB" w:rsidRPr="00EA6851" w:rsidRDefault="007977EB" w:rsidP="00094DD5">
            <w:pPr>
              <w:spacing w:after="120"/>
              <w:ind w:right="-8"/>
              <w:jc w:val="center"/>
              <w:rPr>
                <w:bCs/>
                <w:iCs/>
                <w:color w:val="000000"/>
                <w:sz w:val="18"/>
                <w:szCs w:val="18"/>
              </w:rPr>
            </w:pPr>
            <w:r w:rsidRPr="00EA6851">
              <w:rPr>
                <w:bCs/>
                <w:iCs/>
                <w:color w:val="000000"/>
                <w:sz w:val="18"/>
                <w:szCs w:val="18"/>
              </w:rPr>
              <w:t>6 800</w:t>
            </w:r>
          </w:p>
        </w:tc>
        <w:tc>
          <w:tcPr>
            <w:tcW w:w="591" w:type="pct"/>
            <w:gridSpan w:val="2"/>
            <w:tcBorders>
              <w:top w:val="nil"/>
              <w:left w:val="nil"/>
              <w:bottom w:val="nil"/>
              <w:right w:val="nil"/>
            </w:tcBorders>
          </w:tcPr>
          <w:p w:rsidR="007977EB" w:rsidRPr="00EA6851" w:rsidRDefault="007977EB" w:rsidP="00094DD5">
            <w:pPr>
              <w:spacing w:after="120"/>
              <w:ind w:right="-8"/>
              <w:jc w:val="center"/>
              <w:rPr>
                <w:bCs/>
                <w:iCs/>
                <w:color w:val="000000"/>
                <w:sz w:val="18"/>
                <w:szCs w:val="18"/>
              </w:rPr>
            </w:pPr>
            <w:r w:rsidRPr="00EA6851">
              <w:rPr>
                <w:bCs/>
                <w:iCs/>
                <w:color w:val="000000"/>
                <w:sz w:val="18"/>
                <w:szCs w:val="18"/>
              </w:rPr>
              <w:t>6 400</w:t>
            </w:r>
          </w:p>
        </w:tc>
        <w:tc>
          <w:tcPr>
            <w:tcW w:w="618" w:type="pct"/>
            <w:gridSpan w:val="2"/>
            <w:tcBorders>
              <w:top w:val="nil"/>
              <w:left w:val="nil"/>
              <w:bottom w:val="nil"/>
              <w:right w:val="nil"/>
            </w:tcBorders>
          </w:tcPr>
          <w:p w:rsidR="007977EB" w:rsidRPr="00EA6851" w:rsidRDefault="007977EB" w:rsidP="00094DD5">
            <w:pPr>
              <w:spacing w:after="120"/>
              <w:ind w:right="-8"/>
              <w:jc w:val="center"/>
              <w:rPr>
                <w:bCs/>
                <w:iCs/>
                <w:color w:val="000000"/>
                <w:sz w:val="18"/>
                <w:szCs w:val="18"/>
              </w:rPr>
            </w:pPr>
            <w:r w:rsidRPr="00EA6851">
              <w:rPr>
                <w:bCs/>
                <w:iCs/>
                <w:color w:val="000000"/>
                <w:sz w:val="18"/>
                <w:szCs w:val="18"/>
              </w:rPr>
              <w:t>6 000</w:t>
            </w:r>
          </w:p>
        </w:tc>
      </w:tr>
      <w:tr w:rsidR="007977EB" w:rsidRPr="00EA6851" w:rsidTr="001B4B89">
        <w:trPr>
          <w:gridAfter w:val="1"/>
          <w:wAfter w:w="54" w:type="pct"/>
          <w:trHeight w:val="795"/>
        </w:trPr>
        <w:tc>
          <w:tcPr>
            <w:tcW w:w="2132" w:type="pct"/>
            <w:tcBorders>
              <w:top w:val="nil"/>
              <w:left w:val="nil"/>
              <w:bottom w:val="nil"/>
              <w:right w:val="nil"/>
            </w:tcBorders>
            <w:vAlign w:val="center"/>
            <w:hideMark/>
          </w:tcPr>
          <w:p w:rsidR="007977EB" w:rsidRPr="00EA6851" w:rsidRDefault="007977EB" w:rsidP="00094DD5">
            <w:pPr>
              <w:spacing w:after="120"/>
              <w:rPr>
                <w:bCs/>
                <w:iCs/>
                <w:color w:val="000000"/>
                <w:sz w:val="18"/>
                <w:szCs w:val="18"/>
              </w:rPr>
            </w:pPr>
            <w:r w:rsidRPr="00EA6851">
              <w:rPr>
                <w:bCs/>
                <w:iCs/>
                <w:color w:val="000000"/>
                <w:sz w:val="18"/>
                <w:szCs w:val="18"/>
              </w:rPr>
              <w:t xml:space="preserve">4. Извършени проверки на обекти съгласно Закона за защита при бедствия (чл. 35, ал. 1 и чл. 36, ал. </w:t>
            </w:r>
            <w:r w:rsidR="001B4B89" w:rsidRPr="00EA6851">
              <w:rPr>
                <w:bCs/>
                <w:iCs/>
                <w:color w:val="000000"/>
                <w:sz w:val="18"/>
                <w:szCs w:val="18"/>
              </w:rPr>
              <w:t>1)</w:t>
            </w:r>
          </w:p>
        </w:tc>
        <w:tc>
          <w:tcPr>
            <w:tcW w:w="517" w:type="pct"/>
            <w:tcBorders>
              <w:top w:val="nil"/>
              <w:left w:val="nil"/>
              <w:bottom w:val="nil"/>
              <w:right w:val="nil"/>
            </w:tcBorders>
            <w:shd w:val="clear" w:color="auto" w:fill="F2F2F2"/>
            <w:hideMark/>
          </w:tcPr>
          <w:p w:rsidR="007977EB" w:rsidRPr="00EA6851" w:rsidRDefault="007977EB" w:rsidP="00094DD5">
            <w:pPr>
              <w:spacing w:after="120"/>
              <w:jc w:val="center"/>
              <w:rPr>
                <w:bCs/>
                <w:iCs/>
                <w:color w:val="000000"/>
                <w:sz w:val="18"/>
                <w:szCs w:val="18"/>
              </w:rPr>
            </w:pPr>
            <w:r w:rsidRPr="00EA6851">
              <w:rPr>
                <w:bCs/>
                <w:iCs/>
                <w:color w:val="000000"/>
                <w:sz w:val="18"/>
                <w:szCs w:val="18"/>
              </w:rPr>
              <w:t>Брой</w:t>
            </w:r>
          </w:p>
        </w:tc>
        <w:tc>
          <w:tcPr>
            <w:tcW w:w="535" w:type="pct"/>
            <w:tcBorders>
              <w:top w:val="nil"/>
              <w:left w:val="nil"/>
              <w:bottom w:val="nil"/>
              <w:right w:val="nil"/>
            </w:tcBorders>
            <w:hideMark/>
          </w:tcPr>
          <w:p w:rsidR="007977EB" w:rsidRPr="00EA6851" w:rsidRDefault="007977EB" w:rsidP="00094DD5">
            <w:pPr>
              <w:spacing w:after="120"/>
              <w:ind w:right="-8"/>
              <w:jc w:val="center"/>
              <w:rPr>
                <w:bCs/>
                <w:iCs/>
                <w:color w:val="000000"/>
                <w:sz w:val="18"/>
                <w:szCs w:val="18"/>
              </w:rPr>
            </w:pPr>
            <w:r w:rsidRPr="00EA6851">
              <w:rPr>
                <w:bCs/>
                <w:iCs/>
                <w:color w:val="000000"/>
                <w:sz w:val="18"/>
                <w:szCs w:val="18"/>
              </w:rPr>
              <w:t>2 000</w:t>
            </w:r>
          </w:p>
        </w:tc>
        <w:tc>
          <w:tcPr>
            <w:tcW w:w="548" w:type="pct"/>
            <w:tcBorders>
              <w:top w:val="nil"/>
              <w:left w:val="nil"/>
              <w:bottom w:val="nil"/>
              <w:right w:val="nil"/>
            </w:tcBorders>
            <w:hideMark/>
          </w:tcPr>
          <w:p w:rsidR="007977EB" w:rsidRPr="00EA6851" w:rsidRDefault="007977EB" w:rsidP="00094DD5">
            <w:pPr>
              <w:spacing w:after="120"/>
              <w:ind w:right="-8"/>
              <w:jc w:val="center"/>
              <w:rPr>
                <w:bCs/>
                <w:iCs/>
                <w:color w:val="000000"/>
                <w:sz w:val="18"/>
                <w:szCs w:val="18"/>
              </w:rPr>
            </w:pPr>
            <w:r w:rsidRPr="00EA6851">
              <w:rPr>
                <w:bCs/>
                <w:iCs/>
                <w:color w:val="000000"/>
                <w:sz w:val="18"/>
                <w:szCs w:val="18"/>
              </w:rPr>
              <w:t xml:space="preserve">   2 000</w:t>
            </w:r>
          </w:p>
        </w:tc>
        <w:tc>
          <w:tcPr>
            <w:tcW w:w="591" w:type="pct"/>
            <w:gridSpan w:val="2"/>
            <w:tcBorders>
              <w:top w:val="nil"/>
              <w:left w:val="nil"/>
              <w:bottom w:val="nil"/>
              <w:right w:val="nil"/>
            </w:tcBorders>
            <w:hideMark/>
          </w:tcPr>
          <w:p w:rsidR="007977EB" w:rsidRPr="00EA6851" w:rsidRDefault="007977EB" w:rsidP="00094DD5">
            <w:pPr>
              <w:spacing w:after="120"/>
              <w:ind w:right="-8"/>
              <w:jc w:val="center"/>
              <w:rPr>
                <w:bCs/>
                <w:iCs/>
                <w:color w:val="000000"/>
                <w:sz w:val="18"/>
                <w:szCs w:val="18"/>
              </w:rPr>
            </w:pPr>
            <w:r w:rsidRPr="00EA6851">
              <w:rPr>
                <w:bCs/>
                <w:iCs/>
                <w:color w:val="000000"/>
                <w:sz w:val="18"/>
                <w:szCs w:val="18"/>
              </w:rPr>
              <w:t xml:space="preserve">      2 000</w:t>
            </w:r>
          </w:p>
        </w:tc>
        <w:tc>
          <w:tcPr>
            <w:tcW w:w="622" w:type="pct"/>
            <w:gridSpan w:val="2"/>
            <w:tcBorders>
              <w:top w:val="nil"/>
              <w:left w:val="nil"/>
              <w:bottom w:val="nil"/>
              <w:right w:val="nil"/>
            </w:tcBorders>
            <w:hideMark/>
          </w:tcPr>
          <w:p w:rsidR="007977EB" w:rsidRPr="00EA6851" w:rsidRDefault="007977EB" w:rsidP="00094DD5">
            <w:pPr>
              <w:spacing w:after="120"/>
              <w:ind w:right="-8"/>
              <w:jc w:val="center"/>
              <w:rPr>
                <w:bCs/>
                <w:iCs/>
                <w:color w:val="000000"/>
                <w:sz w:val="18"/>
                <w:szCs w:val="18"/>
              </w:rPr>
            </w:pPr>
            <w:r w:rsidRPr="00EA6851">
              <w:rPr>
                <w:bCs/>
                <w:iCs/>
                <w:color w:val="000000"/>
                <w:sz w:val="18"/>
                <w:szCs w:val="18"/>
              </w:rPr>
              <w:t xml:space="preserve">      2 000</w:t>
            </w:r>
          </w:p>
        </w:tc>
      </w:tr>
      <w:tr w:rsidR="007977EB" w:rsidRPr="00EA6851" w:rsidTr="00094DD5">
        <w:trPr>
          <w:gridAfter w:val="1"/>
          <w:wAfter w:w="54" w:type="pct"/>
          <w:trHeight w:val="270"/>
        </w:trPr>
        <w:tc>
          <w:tcPr>
            <w:tcW w:w="2132" w:type="pct"/>
            <w:tcBorders>
              <w:top w:val="nil"/>
              <w:left w:val="nil"/>
              <w:bottom w:val="nil"/>
              <w:right w:val="nil"/>
            </w:tcBorders>
            <w:vAlign w:val="center"/>
            <w:hideMark/>
          </w:tcPr>
          <w:p w:rsidR="007977EB" w:rsidRPr="00EA6851" w:rsidRDefault="007977EB" w:rsidP="00094DD5">
            <w:pPr>
              <w:spacing w:after="120"/>
              <w:rPr>
                <w:bCs/>
                <w:iCs/>
                <w:color w:val="000000"/>
                <w:sz w:val="18"/>
                <w:szCs w:val="18"/>
              </w:rPr>
            </w:pPr>
            <w:r w:rsidRPr="00EA6851">
              <w:rPr>
                <w:bCs/>
                <w:iCs/>
                <w:color w:val="000000"/>
                <w:sz w:val="18"/>
                <w:szCs w:val="18"/>
              </w:rPr>
              <w:t>5. Повишаване на готовността на силите и средствата от териториалните звена на ГДПБЗН и основните съставни части на Единната спасителна система за реагиране при пожари, бедствия и извънредни ситуации чрез провеждане на пожаро-тактически учения от СДПБЗН и РДПБЗН с участието на сили и средства от създадените специализирани сектори оперативни дейности (СОД), СДВР, ОДМВР, Центровете за спешна медицинска помощ</w:t>
            </w:r>
            <w:r w:rsidR="001B4B89" w:rsidRPr="00EA6851">
              <w:rPr>
                <w:bCs/>
                <w:iCs/>
                <w:color w:val="000000"/>
                <w:sz w:val="18"/>
                <w:szCs w:val="18"/>
              </w:rPr>
              <w:t>, БЧК и доброволни формирования</w:t>
            </w:r>
          </w:p>
        </w:tc>
        <w:tc>
          <w:tcPr>
            <w:tcW w:w="517" w:type="pct"/>
            <w:tcBorders>
              <w:top w:val="nil"/>
              <w:left w:val="nil"/>
              <w:bottom w:val="nil"/>
              <w:right w:val="nil"/>
            </w:tcBorders>
            <w:shd w:val="clear" w:color="auto" w:fill="F2F2F2"/>
            <w:hideMark/>
          </w:tcPr>
          <w:p w:rsidR="007977EB" w:rsidRPr="00EA6851" w:rsidRDefault="007977EB" w:rsidP="00094DD5">
            <w:pPr>
              <w:spacing w:after="120"/>
              <w:jc w:val="center"/>
              <w:rPr>
                <w:bCs/>
                <w:iCs/>
                <w:color w:val="000000"/>
                <w:sz w:val="18"/>
                <w:szCs w:val="18"/>
              </w:rPr>
            </w:pPr>
            <w:r w:rsidRPr="00EA6851">
              <w:rPr>
                <w:bCs/>
                <w:iCs/>
                <w:color w:val="000000"/>
                <w:sz w:val="18"/>
                <w:szCs w:val="18"/>
              </w:rPr>
              <w:t>Брой</w:t>
            </w:r>
          </w:p>
        </w:tc>
        <w:tc>
          <w:tcPr>
            <w:tcW w:w="535" w:type="pct"/>
            <w:tcBorders>
              <w:top w:val="nil"/>
              <w:left w:val="nil"/>
              <w:bottom w:val="nil"/>
              <w:right w:val="nil"/>
            </w:tcBorders>
            <w:hideMark/>
          </w:tcPr>
          <w:p w:rsidR="007977EB" w:rsidRPr="00EA6851" w:rsidRDefault="007977EB" w:rsidP="00094DD5">
            <w:pPr>
              <w:spacing w:after="120"/>
              <w:ind w:right="-8"/>
              <w:jc w:val="center"/>
              <w:rPr>
                <w:bCs/>
                <w:iCs/>
                <w:color w:val="000000"/>
                <w:sz w:val="18"/>
                <w:szCs w:val="18"/>
              </w:rPr>
            </w:pPr>
            <w:r w:rsidRPr="00EA6851">
              <w:rPr>
                <w:bCs/>
                <w:iCs/>
                <w:color w:val="000000"/>
                <w:sz w:val="18"/>
                <w:szCs w:val="18"/>
              </w:rPr>
              <w:t>35</w:t>
            </w:r>
          </w:p>
        </w:tc>
        <w:tc>
          <w:tcPr>
            <w:tcW w:w="548" w:type="pct"/>
            <w:tcBorders>
              <w:top w:val="nil"/>
              <w:left w:val="nil"/>
              <w:bottom w:val="nil"/>
              <w:right w:val="nil"/>
            </w:tcBorders>
            <w:hideMark/>
          </w:tcPr>
          <w:p w:rsidR="007977EB" w:rsidRPr="00EA6851" w:rsidRDefault="007977EB" w:rsidP="00094DD5">
            <w:pPr>
              <w:spacing w:after="120"/>
              <w:ind w:right="-8"/>
              <w:jc w:val="center"/>
              <w:rPr>
                <w:bCs/>
                <w:iCs/>
                <w:color w:val="000000"/>
                <w:sz w:val="18"/>
                <w:szCs w:val="18"/>
              </w:rPr>
            </w:pPr>
            <w:r w:rsidRPr="00EA6851">
              <w:rPr>
                <w:bCs/>
                <w:iCs/>
                <w:color w:val="000000"/>
                <w:sz w:val="18"/>
                <w:szCs w:val="18"/>
              </w:rPr>
              <w:t xml:space="preserve">   35</w:t>
            </w:r>
          </w:p>
        </w:tc>
        <w:tc>
          <w:tcPr>
            <w:tcW w:w="591" w:type="pct"/>
            <w:gridSpan w:val="2"/>
            <w:tcBorders>
              <w:top w:val="nil"/>
              <w:left w:val="nil"/>
              <w:bottom w:val="nil"/>
              <w:right w:val="nil"/>
            </w:tcBorders>
            <w:hideMark/>
          </w:tcPr>
          <w:p w:rsidR="007977EB" w:rsidRPr="00EA6851" w:rsidRDefault="007977EB" w:rsidP="00094DD5">
            <w:pPr>
              <w:spacing w:after="120"/>
              <w:ind w:right="-8"/>
              <w:jc w:val="center"/>
              <w:rPr>
                <w:bCs/>
                <w:iCs/>
                <w:color w:val="000000"/>
                <w:sz w:val="18"/>
                <w:szCs w:val="18"/>
              </w:rPr>
            </w:pPr>
            <w:r w:rsidRPr="00EA6851">
              <w:rPr>
                <w:bCs/>
                <w:iCs/>
                <w:color w:val="000000"/>
                <w:sz w:val="18"/>
                <w:szCs w:val="18"/>
              </w:rPr>
              <w:t xml:space="preserve">        28</w:t>
            </w:r>
          </w:p>
        </w:tc>
        <w:tc>
          <w:tcPr>
            <w:tcW w:w="622" w:type="pct"/>
            <w:gridSpan w:val="2"/>
            <w:tcBorders>
              <w:top w:val="nil"/>
              <w:left w:val="nil"/>
              <w:bottom w:val="nil"/>
              <w:right w:val="nil"/>
            </w:tcBorders>
            <w:hideMark/>
          </w:tcPr>
          <w:p w:rsidR="007977EB" w:rsidRPr="00EA6851" w:rsidRDefault="007977EB" w:rsidP="00094DD5">
            <w:pPr>
              <w:spacing w:after="120"/>
              <w:ind w:right="-8"/>
              <w:jc w:val="center"/>
              <w:rPr>
                <w:bCs/>
                <w:iCs/>
                <w:color w:val="000000"/>
                <w:sz w:val="18"/>
                <w:szCs w:val="18"/>
              </w:rPr>
            </w:pPr>
            <w:r w:rsidRPr="00EA6851">
              <w:rPr>
                <w:bCs/>
                <w:iCs/>
                <w:color w:val="000000"/>
                <w:sz w:val="18"/>
                <w:szCs w:val="18"/>
              </w:rPr>
              <w:t>28</w:t>
            </w:r>
          </w:p>
        </w:tc>
      </w:tr>
      <w:tr w:rsidR="007977EB" w:rsidRPr="00EA6851" w:rsidTr="00094DD5">
        <w:trPr>
          <w:gridAfter w:val="1"/>
          <w:wAfter w:w="54" w:type="pct"/>
          <w:trHeight w:val="270"/>
        </w:trPr>
        <w:tc>
          <w:tcPr>
            <w:tcW w:w="2132" w:type="pct"/>
            <w:tcBorders>
              <w:top w:val="nil"/>
              <w:left w:val="nil"/>
              <w:bottom w:val="single" w:sz="4" w:space="0" w:color="auto"/>
              <w:right w:val="nil"/>
            </w:tcBorders>
            <w:vAlign w:val="center"/>
          </w:tcPr>
          <w:p w:rsidR="007977EB" w:rsidRPr="00EA6851" w:rsidRDefault="007977EB" w:rsidP="00094DD5">
            <w:pPr>
              <w:spacing w:after="120"/>
              <w:rPr>
                <w:bCs/>
                <w:iCs/>
                <w:color w:val="000000"/>
                <w:sz w:val="18"/>
                <w:szCs w:val="18"/>
              </w:rPr>
            </w:pPr>
            <w:r w:rsidRPr="00EA6851">
              <w:rPr>
                <w:bCs/>
                <w:iCs/>
                <w:color w:val="000000"/>
                <w:sz w:val="18"/>
                <w:szCs w:val="18"/>
              </w:rPr>
              <w:t xml:space="preserve">6. </w:t>
            </w:r>
            <w:r w:rsidRPr="00EA6851">
              <w:t xml:space="preserve"> </w:t>
            </w:r>
            <w:r w:rsidRPr="00EA6851">
              <w:rPr>
                <w:bCs/>
                <w:iCs/>
                <w:color w:val="000000"/>
                <w:sz w:val="18"/>
                <w:szCs w:val="18"/>
              </w:rPr>
              <w:t>Публикувани материали в областта на ПБЗН в медиите и Интернет</w:t>
            </w:r>
          </w:p>
        </w:tc>
        <w:tc>
          <w:tcPr>
            <w:tcW w:w="517" w:type="pct"/>
            <w:tcBorders>
              <w:top w:val="nil"/>
              <w:left w:val="nil"/>
              <w:bottom w:val="single" w:sz="4" w:space="0" w:color="auto"/>
              <w:right w:val="nil"/>
            </w:tcBorders>
            <w:shd w:val="clear" w:color="auto" w:fill="F2F2F2"/>
          </w:tcPr>
          <w:p w:rsidR="007977EB" w:rsidRPr="00EA6851" w:rsidRDefault="007977EB" w:rsidP="00094DD5">
            <w:pPr>
              <w:spacing w:after="120"/>
              <w:jc w:val="center"/>
              <w:rPr>
                <w:bCs/>
                <w:iCs/>
                <w:color w:val="000000"/>
                <w:sz w:val="18"/>
                <w:szCs w:val="18"/>
              </w:rPr>
            </w:pPr>
            <w:r w:rsidRPr="00EA6851">
              <w:rPr>
                <w:bCs/>
                <w:iCs/>
                <w:color w:val="000000"/>
                <w:sz w:val="18"/>
                <w:szCs w:val="18"/>
              </w:rPr>
              <w:t>Брой</w:t>
            </w:r>
          </w:p>
        </w:tc>
        <w:tc>
          <w:tcPr>
            <w:tcW w:w="535" w:type="pct"/>
            <w:tcBorders>
              <w:top w:val="nil"/>
              <w:left w:val="nil"/>
              <w:bottom w:val="single" w:sz="4" w:space="0" w:color="auto"/>
              <w:right w:val="nil"/>
            </w:tcBorders>
          </w:tcPr>
          <w:p w:rsidR="007977EB" w:rsidRPr="00EA6851" w:rsidRDefault="007977EB" w:rsidP="00094DD5">
            <w:pPr>
              <w:spacing w:after="120"/>
              <w:ind w:right="-8"/>
              <w:jc w:val="center"/>
              <w:rPr>
                <w:bCs/>
                <w:iCs/>
                <w:color w:val="000000"/>
                <w:sz w:val="18"/>
                <w:szCs w:val="18"/>
              </w:rPr>
            </w:pPr>
            <w:r w:rsidRPr="00EA6851">
              <w:rPr>
                <w:bCs/>
                <w:iCs/>
                <w:color w:val="000000"/>
                <w:sz w:val="18"/>
                <w:szCs w:val="18"/>
              </w:rPr>
              <w:t>-</w:t>
            </w:r>
          </w:p>
        </w:tc>
        <w:tc>
          <w:tcPr>
            <w:tcW w:w="548" w:type="pct"/>
            <w:tcBorders>
              <w:top w:val="nil"/>
              <w:left w:val="nil"/>
              <w:bottom w:val="single" w:sz="4" w:space="0" w:color="auto"/>
              <w:right w:val="nil"/>
            </w:tcBorders>
          </w:tcPr>
          <w:p w:rsidR="007977EB" w:rsidRPr="00EA6851" w:rsidRDefault="007977EB" w:rsidP="00094DD5">
            <w:pPr>
              <w:spacing w:after="120"/>
              <w:ind w:right="-8"/>
              <w:jc w:val="center"/>
              <w:rPr>
                <w:bCs/>
                <w:iCs/>
                <w:color w:val="000000"/>
                <w:sz w:val="18"/>
                <w:szCs w:val="18"/>
              </w:rPr>
            </w:pPr>
            <w:r w:rsidRPr="00EA6851">
              <w:rPr>
                <w:bCs/>
                <w:iCs/>
                <w:color w:val="000000"/>
                <w:sz w:val="18"/>
                <w:szCs w:val="18"/>
              </w:rPr>
              <w:t>15 000</w:t>
            </w:r>
          </w:p>
        </w:tc>
        <w:tc>
          <w:tcPr>
            <w:tcW w:w="591" w:type="pct"/>
            <w:gridSpan w:val="2"/>
            <w:tcBorders>
              <w:top w:val="nil"/>
              <w:left w:val="nil"/>
              <w:bottom w:val="single" w:sz="4" w:space="0" w:color="auto"/>
              <w:right w:val="nil"/>
            </w:tcBorders>
          </w:tcPr>
          <w:p w:rsidR="007977EB" w:rsidRPr="00EA6851" w:rsidRDefault="007977EB" w:rsidP="00094DD5">
            <w:pPr>
              <w:spacing w:after="120"/>
              <w:ind w:right="-8"/>
              <w:jc w:val="center"/>
              <w:rPr>
                <w:bCs/>
                <w:iCs/>
                <w:color w:val="000000"/>
                <w:sz w:val="18"/>
                <w:szCs w:val="18"/>
              </w:rPr>
            </w:pPr>
            <w:r w:rsidRPr="00EA6851">
              <w:rPr>
                <w:bCs/>
                <w:iCs/>
                <w:color w:val="000000"/>
                <w:sz w:val="18"/>
                <w:szCs w:val="18"/>
              </w:rPr>
              <w:t>14 500</w:t>
            </w:r>
          </w:p>
        </w:tc>
        <w:tc>
          <w:tcPr>
            <w:tcW w:w="622" w:type="pct"/>
            <w:gridSpan w:val="2"/>
            <w:tcBorders>
              <w:top w:val="nil"/>
              <w:left w:val="nil"/>
              <w:bottom w:val="single" w:sz="4" w:space="0" w:color="auto"/>
              <w:right w:val="nil"/>
            </w:tcBorders>
          </w:tcPr>
          <w:p w:rsidR="007977EB" w:rsidRPr="00EA6851" w:rsidRDefault="007977EB" w:rsidP="00094DD5">
            <w:pPr>
              <w:spacing w:after="120"/>
              <w:ind w:right="-8"/>
              <w:jc w:val="center"/>
              <w:rPr>
                <w:bCs/>
                <w:iCs/>
                <w:color w:val="000000"/>
                <w:sz w:val="18"/>
                <w:szCs w:val="18"/>
              </w:rPr>
            </w:pPr>
            <w:r w:rsidRPr="00EA6851">
              <w:rPr>
                <w:bCs/>
                <w:iCs/>
                <w:color w:val="000000"/>
                <w:sz w:val="18"/>
                <w:szCs w:val="18"/>
              </w:rPr>
              <w:t>13 000</w:t>
            </w:r>
          </w:p>
        </w:tc>
      </w:tr>
    </w:tbl>
    <w:p w:rsidR="007977EB" w:rsidRPr="00EA6851" w:rsidRDefault="007977EB" w:rsidP="007977EB">
      <w:pPr>
        <w:spacing w:after="120"/>
        <w:rPr>
          <w:rFonts w:eastAsia="Times New Roman" w:cs="Times New Roman"/>
          <w:i/>
          <w:sz w:val="18"/>
          <w:szCs w:val="18"/>
        </w:rPr>
      </w:pPr>
      <w:r w:rsidRPr="00EA6851">
        <w:rPr>
          <w:rFonts w:eastAsia="Times New Roman" w:cs="Times New Roman"/>
          <w:b/>
          <w:i/>
          <w:sz w:val="18"/>
          <w:szCs w:val="18"/>
        </w:rPr>
        <w:t xml:space="preserve">Забележка: ГДПБЗН – </w:t>
      </w:r>
      <w:r w:rsidRPr="00EA6851">
        <w:rPr>
          <w:rFonts w:eastAsia="Times New Roman" w:cs="Times New Roman"/>
          <w:i/>
          <w:sz w:val="18"/>
          <w:szCs w:val="18"/>
        </w:rPr>
        <w:t>Главна дирекция „Пожарна безопасност и защита на населението“; СДПБЗН – Столична дирекция „Пожарна безопасност и защита на населението“; РДПБЗН – Регионална дирекция „Пожарна безопасност и защита на населението“; СДВР – Столична дирекция на вътрешните работи; ОДМВР – Областни дирекции на МВР.</w:t>
      </w:r>
    </w:p>
    <w:p w:rsidR="007977EB" w:rsidRPr="00EA6851" w:rsidRDefault="00000E19" w:rsidP="000E564D">
      <w:pPr>
        <w:widowControl w:val="0"/>
        <w:autoSpaceDE w:val="0"/>
        <w:autoSpaceDN w:val="0"/>
        <w:adjustRightInd w:val="0"/>
        <w:ind w:right="-8"/>
        <w:rPr>
          <w:b/>
          <w:bCs/>
          <w:sz w:val="20"/>
          <w:szCs w:val="20"/>
        </w:rPr>
      </w:pPr>
      <w:r w:rsidRPr="00EA6851">
        <w:rPr>
          <w:rFonts w:eastAsia="Batang"/>
        </w:rPr>
        <w:t xml:space="preserve">В проектобюджета за 2024 г. за </w:t>
      </w:r>
      <w:r w:rsidRPr="00EA6851">
        <w:rPr>
          <w:rFonts w:eastAsia="Batang"/>
          <w:i/>
        </w:rPr>
        <w:t>делегираните от държавата дейности</w:t>
      </w:r>
      <w:r w:rsidRPr="00EA6851">
        <w:rPr>
          <w:rFonts w:eastAsia="Batang"/>
        </w:rPr>
        <w:t xml:space="preserve"> в областта на сигурността и защитата на населението при извънредни ситуации, по бюджетите на общините са предвидени допълнителни средства в размер на 11,5 млн. лв. във връзка с увеличението на минималната работна заплата от 780 на 933 лв. Осигурени са допълнително и 0,7 млн. лв. за увеличение на издръжката на районните полицейски инспектори, детските педагогически стаи, офисите за военен отчет и на доброволните формирования.</w:t>
      </w:r>
    </w:p>
    <w:p w:rsidR="000E564D" w:rsidRPr="00EA6851" w:rsidRDefault="000E564D" w:rsidP="000E564D">
      <w:pPr>
        <w:pStyle w:val="Heading4"/>
      </w:pPr>
      <w:r w:rsidRPr="00EA6851">
        <w:t xml:space="preserve">Политика в областта на управлението и развитието на системата на МВР </w:t>
      </w:r>
    </w:p>
    <w:p w:rsidR="007977EB" w:rsidRPr="00EA6851" w:rsidRDefault="007977EB" w:rsidP="007977EB">
      <w:pPr>
        <w:rPr>
          <w:rFonts w:eastAsia="Batang"/>
        </w:rPr>
      </w:pPr>
      <w:r w:rsidRPr="00EA6851">
        <w:rPr>
          <w:rFonts w:eastAsia="Batang"/>
        </w:rPr>
        <w:t>Тази област на политика е насочена към повишаване на институционалния капацитет чрез гъвкаво управление на ресурсите, обучение и квалификация и подобряване координацията между структурите</w:t>
      </w:r>
      <w:r w:rsidR="005C14E4" w:rsidRPr="00EA6851">
        <w:rPr>
          <w:rFonts w:eastAsia="Batang"/>
        </w:rPr>
        <w:t>, както и към</w:t>
      </w:r>
      <w:r w:rsidRPr="00EA6851">
        <w:rPr>
          <w:rFonts w:eastAsia="Batang"/>
        </w:rPr>
        <w:t xml:space="preserve"> </w:t>
      </w:r>
      <w:r w:rsidR="005C14E4" w:rsidRPr="00EA6851">
        <w:rPr>
          <w:rFonts w:eastAsia="Batang"/>
        </w:rPr>
        <w:t>р</w:t>
      </w:r>
      <w:r w:rsidRPr="00EA6851">
        <w:rPr>
          <w:rFonts w:eastAsia="Batang"/>
        </w:rPr>
        <w:t>азвитие и подобряване на информационната и комуникационна среда на министерството, на информационно-аналитичната, експертната, научната и административната дейност и дейността по здравеопазване.</w:t>
      </w:r>
    </w:p>
    <w:p w:rsidR="000E564D" w:rsidRPr="00EA6851" w:rsidRDefault="007977EB" w:rsidP="000E564D">
      <w:pPr>
        <w:rPr>
          <w:rFonts w:eastAsia="Batang"/>
        </w:rPr>
      </w:pPr>
      <w:r w:rsidRPr="00EA6851">
        <w:rPr>
          <w:rFonts w:eastAsia="Batang"/>
        </w:rPr>
        <w:t>Дейностите по тази политика се изпълняват от административни звена в МВР, НС 112, Академията на МВР и Медицинския институт на МВР.</w:t>
      </w:r>
    </w:p>
    <w:p w:rsidR="000E564D" w:rsidRPr="00EA6851" w:rsidRDefault="000E564D" w:rsidP="000E564D">
      <w:pPr>
        <w:widowControl w:val="0"/>
        <w:autoSpaceDE w:val="0"/>
        <w:autoSpaceDN w:val="0"/>
        <w:adjustRightInd w:val="0"/>
        <w:ind w:right="-8"/>
        <w:rPr>
          <w:b/>
          <w:bCs/>
          <w:sz w:val="20"/>
          <w:szCs w:val="20"/>
        </w:rPr>
      </w:pPr>
      <w:r w:rsidRPr="00EA6851">
        <w:rPr>
          <w:b/>
          <w:bCs/>
          <w:sz w:val="20"/>
          <w:szCs w:val="20"/>
        </w:rPr>
        <w:t>КЛЮЧОВИ ИНДИКАТОРИ ЗА ИЗПЪЛНЕНИЕ И ЦЕЛЕВИ СТОЙНОСТИ</w:t>
      </w:r>
    </w:p>
    <w:tbl>
      <w:tblPr>
        <w:tblStyle w:val="TableGrid291"/>
        <w:tblW w:w="4961" w:type="pct"/>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9"/>
        <w:gridCol w:w="1001"/>
        <w:gridCol w:w="1132"/>
        <w:gridCol w:w="1130"/>
        <w:gridCol w:w="1164"/>
        <w:gridCol w:w="1163"/>
      </w:tblGrid>
      <w:tr w:rsidR="006736BB" w:rsidRPr="00EA6851" w:rsidTr="00306D54">
        <w:trPr>
          <w:trHeight w:val="64"/>
          <w:tblHeader/>
          <w:jc w:val="center"/>
        </w:trPr>
        <w:tc>
          <w:tcPr>
            <w:tcW w:w="1894" w:type="pct"/>
            <w:tcBorders>
              <w:top w:val="single" w:sz="4" w:space="0" w:color="auto"/>
              <w:left w:val="nil"/>
              <w:bottom w:val="nil"/>
              <w:right w:val="nil"/>
            </w:tcBorders>
            <w:vAlign w:val="center"/>
            <w:hideMark/>
          </w:tcPr>
          <w:p w:rsidR="006736BB" w:rsidRPr="00EA6851" w:rsidRDefault="006736BB" w:rsidP="00094DD5">
            <w:pPr>
              <w:spacing w:after="120"/>
              <w:jc w:val="center"/>
              <w:rPr>
                <w:b/>
                <w:bCs/>
                <w:i/>
                <w:iCs/>
                <w:color w:val="000000"/>
                <w:sz w:val="18"/>
                <w:szCs w:val="18"/>
              </w:rPr>
            </w:pPr>
            <w:r w:rsidRPr="00EA6851">
              <w:rPr>
                <w:b/>
                <w:bCs/>
                <w:i/>
                <w:iCs/>
                <w:color w:val="000000"/>
                <w:sz w:val="18"/>
                <w:szCs w:val="18"/>
              </w:rPr>
              <w:t>Политика в областта на управлението и развитието на системата на МВР</w:t>
            </w:r>
          </w:p>
        </w:tc>
        <w:tc>
          <w:tcPr>
            <w:tcW w:w="556" w:type="pct"/>
            <w:vMerge w:val="restart"/>
            <w:tcBorders>
              <w:top w:val="single" w:sz="4" w:space="0" w:color="auto"/>
              <w:left w:val="nil"/>
              <w:bottom w:val="single" w:sz="4" w:space="0" w:color="auto"/>
              <w:right w:val="nil"/>
            </w:tcBorders>
            <w:shd w:val="clear" w:color="auto" w:fill="F2F2F2"/>
            <w:vAlign w:val="center"/>
          </w:tcPr>
          <w:p w:rsidR="006736BB" w:rsidRPr="00EA6851" w:rsidRDefault="006736BB" w:rsidP="00094DD5">
            <w:pPr>
              <w:spacing w:after="120"/>
              <w:jc w:val="center"/>
              <w:rPr>
                <w:b/>
                <w:bCs/>
                <w:i/>
                <w:iCs/>
                <w:color w:val="000000"/>
                <w:sz w:val="18"/>
                <w:szCs w:val="18"/>
              </w:rPr>
            </w:pPr>
          </w:p>
          <w:p w:rsidR="006736BB" w:rsidRPr="00EA6851" w:rsidRDefault="006736BB" w:rsidP="00094DD5">
            <w:pPr>
              <w:spacing w:after="120"/>
              <w:jc w:val="center"/>
              <w:rPr>
                <w:b/>
                <w:bCs/>
                <w:iCs/>
                <w:color w:val="000000"/>
                <w:sz w:val="18"/>
                <w:szCs w:val="18"/>
              </w:rPr>
            </w:pPr>
            <w:r w:rsidRPr="00EA6851">
              <w:rPr>
                <w:b/>
                <w:bCs/>
                <w:iCs/>
                <w:color w:val="000000"/>
                <w:sz w:val="18"/>
                <w:szCs w:val="18"/>
              </w:rPr>
              <w:t>Мерна единица</w:t>
            </w:r>
          </w:p>
        </w:tc>
        <w:tc>
          <w:tcPr>
            <w:tcW w:w="2550" w:type="pct"/>
            <w:gridSpan w:val="4"/>
            <w:tcBorders>
              <w:top w:val="single" w:sz="4" w:space="0" w:color="auto"/>
              <w:left w:val="nil"/>
              <w:bottom w:val="single" w:sz="4" w:space="0" w:color="auto"/>
              <w:right w:val="nil"/>
            </w:tcBorders>
            <w:vAlign w:val="center"/>
            <w:hideMark/>
          </w:tcPr>
          <w:p w:rsidR="006736BB" w:rsidRPr="00EA6851" w:rsidRDefault="006736BB" w:rsidP="00094DD5">
            <w:pPr>
              <w:spacing w:after="120"/>
              <w:jc w:val="center"/>
              <w:rPr>
                <w:b/>
                <w:bCs/>
                <w:i/>
                <w:iCs/>
                <w:color w:val="000000"/>
                <w:sz w:val="18"/>
                <w:szCs w:val="18"/>
              </w:rPr>
            </w:pPr>
            <w:r w:rsidRPr="00EA6851">
              <w:rPr>
                <w:b/>
                <w:bCs/>
                <w:iCs/>
                <w:color w:val="000000"/>
                <w:sz w:val="18"/>
                <w:szCs w:val="18"/>
              </w:rPr>
              <w:t>Целева стойност</w:t>
            </w:r>
          </w:p>
        </w:tc>
      </w:tr>
      <w:tr w:rsidR="006736BB" w:rsidRPr="00EA6851" w:rsidTr="00306D54">
        <w:trPr>
          <w:trHeight w:val="450"/>
          <w:tblHeader/>
          <w:jc w:val="center"/>
        </w:trPr>
        <w:tc>
          <w:tcPr>
            <w:tcW w:w="1894" w:type="pct"/>
            <w:tcBorders>
              <w:top w:val="nil"/>
              <w:left w:val="nil"/>
              <w:bottom w:val="single" w:sz="4" w:space="0" w:color="auto"/>
              <w:right w:val="nil"/>
            </w:tcBorders>
            <w:vAlign w:val="center"/>
            <w:hideMark/>
          </w:tcPr>
          <w:p w:rsidR="006736BB" w:rsidRPr="00EA6851" w:rsidRDefault="006736BB" w:rsidP="00094DD5">
            <w:pPr>
              <w:spacing w:after="120"/>
              <w:jc w:val="center"/>
              <w:rPr>
                <w:b/>
                <w:bCs/>
                <w:iCs/>
                <w:color w:val="000000"/>
                <w:sz w:val="18"/>
                <w:szCs w:val="18"/>
              </w:rPr>
            </w:pPr>
            <w:r w:rsidRPr="00EA6851">
              <w:rPr>
                <w:b/>
                <w:bCs/>
                <w:iCs/>
                <w:color w:val="000000"/>
                <w:sz w:val="18"/>
                <w:szCs w:val="18"/>
              </w:rPr>
              <w:t>Наименование на индикатора</w:t>
            </w:r>
          </w:p>
        </w:tc>
        <w:tc>
          <w:tcPr>
            <w:tcW w:w="0" w:type="auto"/>
            <w:vMerge/>
            <w:tcBorders>
              <w:top w:val="single" w:sz="4" w:space="0" w:color="auto"/>
              <w:left w:val="nil"/>
              <w:bottom w:val="single" w:sz="4" w:space="0" w:color="auto"/>
              <w:right w:val="nil"/>
            </w:tcBorders>
            <w:vAlign w:val="center"/>
            <w:hideMark/>
          </w:tcPr>
          <w:p w:rsidR="006736BB" w:rsidRPr="00EA6851" w:rsidRDefault="006736BB" w:rsidP="00094DD5">
            <w:pPr>
              <w:spacing w:after="120"/>
              <w:jc w:val="left"/>
              <w:rPr>
                <w:b/>
                <w:bCs/>
                <w:iCs/>
                <w:color w:val="000000"/>
                <w:sz w:val="18"/>
                <w:szCs w:val="18"/>
              </w:rPr>
            </w:pPr>
          </w:p>
        </w:tc>
        <w:tc>
          <w:tcPr>
            <w:tcW w:w="629" w:type="pct"/>
            <w:tcBorders>
              <w:top w:val="single" w:sz="4" w:space="0" w:color="auto"/>
              <w:left w:val="nil"/>
              <w:bottom w:val="single" w:sz="4" w:space="0" w:color="auto"/>
              <w:right w:val="nil"/>
            </w:tcBorders>
            <w:vAlign w:val="center"/>
            <w:hideMark/>
          </w:tcPr>
          <w:p w:rsidR="006736BB" w:rsidRPr="00EA6851" w:rsidRDefault="006736BB" w:rsidP="00094DD5">
            <w:pPr>
              <w:spacing w:after="120"/>
              <w:jc w:val="center"/>
              <w:rPr>
                <w:b/>
                <w:bCs/>
                <w:i/>
                <w:iCs/>
                <w:color w:val="000000"/>
                <w:sz w:val="18"/>
                <w:szCs w:val="18"/>
              </w:rPr>
            </w:pPr>
            <w:r w:rsidRPr="00EA6851">
              <w:rPr>
                <w:b/>
                <w:bCs/>
                <w:i/>
                <w:iCs/>
                <w:color w:val="000000"/>
                <w:sz w:val="18"/>
                <w:szCs w:val="18"/>
              </w:rPr>
              <w:t>Програма 2023 г.</w:t>
            </w:r>
          </w:p>
        </w:tc>
        <w:tc>
          <w:tcPr>
            <w:tcW w:w="628" w:type="pct"/>
            <w:tcBorders>
              <w:top w:val="single" w:sz="4" w:space="0" w:color="auto"/>
              <w:left w:val="nil"/>
              <w:bottom w:val="single" w:sz="4" w:space="0" w:color="auto"/>
              <w:right w:val="nil"/>
            </w:tcBorders>
            <w:vAlign w:val="center"/>
            <w:hideMark/>
          </w:tcPr>
          <w:p w:rsidR="006736BB" w:rsidRPr="00EA6851" w:rsidRDefault="006736BB" w:rsidP="00094DD5">
            <w:pPr>
              <w:spacing w:after="120"/>
              <w:jc w:val="center"/>
              <w:rPr>
                <w:b/>
                <w:bCs/>
                <w:i/>
                <w:iCs/>
                <w:color w:val="000000"/>
                <w:sz w:val="18"/>
                <w:szCs w:val="18"/>
              </w:rPr>
            </w:pPr>
            <w:r w:rsidRPr="00EA6851">
              <w:rPr>
                <w:b/>
                <w:bCs/>
                <w:i/>
                <w:iCs/>
                <w:color w:val="000000"/>
                <w:sz w:val="18"/>
                <w:szCs w:val="18"/>
              </w:rPr>
              <w:t>Проект 2024 г.</w:t>
            </w:r>
          </w:p>
        </w:tc>
        <w:tc>
          <w:tcPr>
            <w:tcW w:w="647" w:type="pct"/>
            <w:tcBorders>
              <w:top w:val="single" w:sz="4" w:space="0" w:color="auto"/>
              <w:left w:val="nil"/>
              <w:bottom w:val="single" w:sz="4" w:space="0" w:color="auto"/>
              <w:right w:val="nil"/>
            </w:tcBorders>
            <w:vAlign w:val="center"/>
            <w:hideMark/>
          </w:tcPr>
          <w:p w:rsidR="006736BB" w:rsidRPr="00EA6851" w:rsidRDefault="006736BB" w:rsidP="00094DD5">
            <w:pPr>
              <w:spacing w:after="120"/>
              <w:jc w:val="center"/>
              <w:rPr>
                <w:b/>
                <w:bCs/>
                <w:i/>
                <w:iCs/>
                <w:color w:val="000000"/>
                <w:sz w:val="18"/>
                <w:szCs w:val="18"/>
              </w:rPr>
            </w:pPr>
            <w:r w:rsidRPr="00EA6851">
              <w:rPr>
                <w:b/>
                <w:bCs/>
                <w:i/>
                <w:iCs/>
                <w:color w:val="000000"/>
                <w:sz w:val="18"/>
                <w:szCs w:val="18"/>
              </w:rPr>
              <w:t>Прогноза 2025 г.</w:t>
            </w:r>
          </w:p>
        </w:tc>
        <w:tc>
          <w:tcPr>
            <w:tcW w:w="646" w:type="pct"/>
            <w:tcBorders>
              <w:top w:val="single" w:sz="4" w:space="0" w:color="auto"/>
              <w:left w:val="nil"/>
              <w:bottom w:val="single" w:sz="4" w:space="0" w:color="auto"/>
              <w:right w:val="nil"/>
            </w:tcBorders>
            <w:hideMark/>
          </w:tcPr>
          <w:p w:rsidR="006736BB" w:rsidRPr="00EA6851" w:rsidRDefault="006736BB" w:rsidP="00094DD5">
            <w:pPr>
              <w:spacing w:after="120"/>
              <w:jc w:val="center"/>
              <w:rPr>
                <w:b/>
                <w:bCs/>
                <w:i/>
                <w:iCs/>
                <w:color w:val="000000"/>
                <w:sz w:val="18"/>
                <w:szCs w:val="18"/>
              </w:rPr>
            </w:pPr>
            <w:r w:rsidRPr="00EA6851">
              <w:rPr>
                <w:b/>
                <w:bCs/>
                <w:i/>
                <w:iCs/>
                <w:color w:val="000000"/>
                <w:sz w:val="18"/>
                <w:szCs w:val="18"/>
              </w:rPr>
              <w:t>Прогноза  2026 г.</w:t>
            </w:r>
          </w:p>
        </w:tc>
      </w:tr>
      <w:tr w:rsidR="006736BB" w:rsidRPr="00EA6851" w:rsidTr="00306D54">
        <w:trPr>
          <w:trHeight w:val="525"/>
          <w:jc w:val="center"/>
        </w:trPr>
        <w:tc>
          <w:tcPr>
            <w:tcW w:w="1894" w:type="pct"/>
            <w:tcBorders>
              <w:top w:val="single" w:sz="4" w:space="0" w:color="auto"/>
              <w:left w:val="nil"/>
              <w:bottom w:val="nil"/>
              <w:right w:val="nil"/>
            </w:tcBorders>
            <w:hideMark/>
          </w:tcPr>
          <w:p w:rsidR="006736BB" w:rsidRPr="00EA6851" w:rsidRDefault="006736BB" w:rsidP="00094DD5">
            <w:pPr>
              <w:spacing w:after="120"/>
              <w:jc w:val="left"/>
              <w:rPr>
                <w:bCs/>
                <w:iCs/>
                <w:color w:val="000000"/>
                <w:sz w:val="18"/>
                <w:szCs w:val="18"/>
              </w:rPr>
            </w:pPr>
            <w:r w:rsidRPr="00EA6851">
              <w:rPr>
                <w:bCs/>
                <w:iCs/>
                <w:color w:val="000000"/>
                <w:sz w:val="18"/>
                <w:szCs w:val="18"/>
              </w:rPr>
              <w:t>1. Поддръжка и оптимизация на комуникационните системи на МВР</w:t>
            </w:r>
          </w:p>
        </w:tc>
        <w:tc>
          <w:tcPr>
            <w:tcW w:w="556" w:type="pct"/>
            <w:tcBorders>
              <w:top w:val="single" w:sz="4" w:space="0" w:color="auto"/>
              <w:left w:val="nil"/>
              <w:bottom w:val="nil"/>
              <w:right w:val="nil"/>
            </w:tcBorders>
            <w:shd w:val="clear" w:color="auto" w:fill="F2F2F2"/>
            <w:vAlign w:val="center"/>
            <w:hideMark/>
          </w:tcPr>
          <w:p w:rsidR="006736BB" w:rsidRPr="00EA6851" w:rsidRDefault="006736BB" w:rsidP="00094DD5">
            <w:pPr>
              <w:spacing w:after="120"/>
              <w:jc w:val="center"/>
              <w:rPr>
                <w:bCs/>
                <w:iCs/>
                <w:color w:val="000000"/>
                <w:sz w:val="18"/>
                <w:szCs w:val="18"/>
              </w:rPr>
            </w:pPr>
            <w:r w:rsidRPr="00EA6851">
              <w:rPr>
                <w:bCs/>
                <w:iCs/>
                <w:color w:val="000000"/>
                <w:sz w:val="18"/>
                <w:szCs w:val="18"/>
              </w:rPr>
              <w:t>Брой</w:t>
            </w:r>
          </w:p>
        </w:tc>
        <w:tc>
          <w:tcPr>
            <w:tcW w:w="629" w:type="pct"/>
            <w:tcBorders>
              <w:top w:val="single" w:sz="4" w:space="0" w:color="auto"/>
              <w:left w:val="nil"/>
              <w:bottom w:val="nil"/>
              <w:right w:val="nil"/>
            </w:tcBorders>
            <w:hideMark/>
          </w:tcPr>
          <w:p w:rsidR="006736BB" w:rsidRPr="00EA6851" w:rsidRDefault="006736BB" w:rsidP="00094DD5">
            <w:pPr>
              <w:spacing w:after="120"/>
              <w:ind w:right="-8"/>
              <w:jc w:val="center"/>
              <w:rPr>
                <w:bCs/>
                <w:iCs/>
                <w:color w:val="000000"/>
                <w:sz w:val="18"/>
                <w:szCs w:val="18"/>
              </w:rPr>
            </w:pPr>
            <w:r w:rsidRPr="00EA6851">
              <w:rPr>
                <w:bCs/>
                <w:iCs/>
                <w:color w:val="000000"/>
                <w:sz w:val="18"/>
                <w:szCs w:val="18"/>
              </w:rPr>
              <w:t>6</w:t>
            </w:r>
          </w:p>
        </w:tc>
        <w:tc>
          <w:tcPr>
            <w:tcW w:w="628" w:type="pct"/>
            <w:tcBorders>
              <w:top w:val="single" w:sz="4" w:space="0" w:color="auto"/>
              <w:left w:val="nil"/>
              <w:bottom w:val="nil"/>
              <w:right w:val="nil"/>
            </w:tcBorders>
            <w:hideMark/>
          </w:tcPr>
          <w:p w:rsidR="006736BB" w:rsidRPr="00EA6851" w:rsidRDefault="006736BB" w:rsidP="00094DD5">
            <w:pPr>
              <w:spacing w:after="120"/>
              <w:ind w:right="-8"/>
              <w:jc w:val="center"/>
              <w:rPr>
                <w:bCs/>
                <w:iCs/>
                <w:color w:val="000000"/>
                <w:sz w:val="18"/>
                <w:szCs w:val="18"/>
              </w:rPr>
            </w:pPr>
            <w:r w:rsidRPr="00EA6851">
              <w:rPr>
                <w:bCs/>
                <w:iCs/>
                <w:color w:val="000000"/>
                <w:sz w:val="18"/>
                <w:szCs w:val="18"/>
              </w:rPr>
              <w:t>6</w:t>
            </w:r>
          </w:p>
        </w:tc>
        <w:tc>
          <w:tcPr>
            <w:tcW w:w="647" w:type="pct"/>
            <w:tcBorders>
              <w:top w:val="single" w:sz="4" w:space="0" w:color="auto"/>
              <w:left w:val="nil"/>
              <w:bottom w:val="nil"/>
              <w:right w:val="nil"/>
            </w:tcBorders>
            <w:hideMark/>
          </w:tcPr>
          <w:p w:rsidR="006736BB" w:rsidRPr="00EA6851" w:rsidRDefault="006736BB" w:rsidP="00094DD5">
            <w:pPr>
              <w:spacing w:after="120"/>
              <w:ind w:right="-8"/>
              <w:jc w:val="center"/>
              <w:rPr>
                <w:bCs/>
                <w:iCs/>
                <w:color w:val="000000"/>
                <w:sz w:val="18"/>
                <w:szCs w:val="18"/>
              </w:rPr>
            </w:pPr>
            <w:r w:rsidRPr="00EA6851">
              <w:rPr>
                <w:bCs/>
                <w:iCs/>
                <w:color w:val="000000"/>
                <w:sz w:val="18"/>
                <w:szCs w:val="18"/>
              </w:rPr>
              <w:t>6</w:t>
            </w:r>
          </w:p>
        </w:tc>
        <w:tc>
          <w:tcPr>
            <w:tcW w:w="646" w:type="pct"/>
            <w:tcBorders>
              <w:top w:val="single" w:sz="4" w:space="0" w:color="auto"/>
              <w:left w:val="nil"/>
              <w:bottom w:val="nil"/>
              <w:right w:val="nil"/>
            </w:tcBorders>
            <w:hideMark/>
          </w:tcPr>
          <w:p w:rsidR="006736BB" w:rsidRPr="00EA6851" w:rsidRDefault="006736BB" w:rsidP="00094DD5">
            <w:pPr>
              <w:spacing w:after="120"/>
              <w:ind w:right="-8"/>
              <w:jc w:val="center"/>
              <w:rPr>
                <w:bCs/>
                <w:iCs/>
                <w:color w:val="000000"/>
                <w:sz w:val="18"/>
                <w:szCs w:val="18"/>
              </w:rPr>
            </w:pPr>
            <w:r w:rsidRPr="00EA6851">
              <w:rPr>
                <w:bCs/>
                <w:iCs/>
                <w:color w:val="000000"/>
                <w:sz w:val="18"/>
                <w:szCs w:val="18"/>
              </w:rPr>
              <w:t>6</w:t>
            </w:r>
          </w:p>
        </w:tc>
      </w:tr>
      <w:tr w:rsidR="006736BB" w:rsidRPr="00EA6851" w:rsidTr="00306D54">
        <w:trPr>
          <w:trHeight w:val="535"/>
          <w:jc w:val="center"/>
        </w:trPr>
        <w:tc>
          <w:tcPr>
            <w:tcW w:w="1894" w:type="pct"/>
            <w:tcBorders>
              <w:top w:val="nil"/>
              <w:left w:val="nil"/>
              <w:bottom w:val="nil"/>
              <w:right w:val="nil"/>
            </w:tcBorders>
            <w:hideMark/>
          </w:tcPr>
          <w:p w:rsidR="006736BB" w:rsidRPr="00EA6851" w:rsidRDefault="006736BB" w:rsidP="00094DD5">
            <w:pPr>
              <w:spacing w:after="120"/>
              <w:jc w:val="left"/>
              <w:rPr>
                <w:bCs/>
                <w:iCs/>
                <w:color w:val="000000"/>
                <w:sz w:val="18"/>
                <w:szCs w:val="18"/>
              </w:rPr>
            </w:pPr>
            <w:r w:rsidRPr="00EA6851">
              <w:rPr>
                <w:bCs/>
                <w:iCs/>
                <w:color w:val="000000"/>
                <w:sz w:val="18"/>
                <w:szCs w:val="18"/>
              </w:rPr>
              <w:t>2. Поддръжка и оптимизация на информационните системи на МВР</w:t>
            </w:r>
          </w:p>
        </w:tc>
        <w:tc>
          <w:tcPr>
            <w:tcW w:w="556" w:type="pct"/>
            <w:tcBorders>
              <w:top w:val="nil"/>
              <w:left w:val="nil"/>
              <w:bottom w:val="nil"/>
              <w:right w:val="nil"/>
            </w:tcBorders>
            <w:shd w:val="clear" w:color="auto" w:fill="F2F2F2"/>
            <w:vAlign w:val="center"/>
            <w:hideMark/>
          </w:tcPr>
          <w:p w:rsidR="006736BB" w:rsidRPr="00EA6851" w:rsidRDefault="006736BB" w:rsidP="00094DD5">
            <w:pPr>
              <w:spacing w:after="120"/>
              <w:jc w:val="center"/>
              <w:rPr>
                <w:bCs/>
                <w:iCs/>
                <w:color w:val="000000"/>
                <w:sz w:val="18"/>
                <w:szCs w:val="18"/>
              </w:rPr>
            </w:pPr>
            <w:r w:rsidRPr="00EA6851">
              <w:rPr>
                <w:bCs/>
                <w:iCs/>
                <w:color w:val="000000"/>
                <w:sz w:val="18"/>
                <w:szCs w:val="18"/>
              </w:rPr>
              <w:t>Брой</w:t>
            </w:r>
          </w:p>
        </w:tc>
        <w:tc>
          <w:tcPr>
            <w:tcW w:w="629" w:type="pct"/>
            <w:tcBorders>
              <w:top w:val="nil"/>
              <w:left w:val="nil"/>
              <w:bottom w:val="nil"/>
              <w:right w:val="nil"/>
            </w:tcBorders>
            <w:hideMark/>
          </w:tcPr>
          <w:p w:rsidR="006736BB" w:rsidRPr="00EA6851" w:rsidRDefault="006736BB" w:rsidP="00094DD5">
            <w:pPr>
              <w:spacing w:after="120"/>
              <w:ind w:right="-8"/>
              <w:jc w:val="center"/>
              <w:rPr>
                <w:bCs/>
                <w:iCs/>
                <w:color w:val="000000"/>
                <w:sz w:val="18"/>
                <w:szCs w:val="18"/>
              </w:rPr>
            </w:pPr>
            <w:r w:rsidRPr="00EA6851">
              <w:rPr>
                <w:bCs/>
                <w:iCs/>
                <w:color w:val="000000"/>
                <w:sz w:val="18"/>
                <w:szCs w:val="18"/>
              </w:rPr>
              <w:t>80</w:t>
            </w:r>
          </w:p>
        </w:tc>
        <w:tc>
          <w:tcPr>
            <w:tcW w:w="628" w:type="pct"/>
            <w:tcBorders>
              <w:top w:val="nil"/>
              <w:left w:val="nil"/>
              <w:bottom w:val="nil"/>
              <w:right w:val="nil"/>
            </w:tcBorders>
            <w:hideMark/>
          </w:tcPr>
          <w:p w:rsidR="006736BB" w:rsidRPr="00EA6851" w:rsidRDefault="006736BB" w:rsidP="00094DD5">
            <w:pPr>
              <w:spacing w:after="120"/>
              <w:ind w:right="-8"/>
              <w:jc w:val="center"/>
              <w:rPr>
                <w:bCs/>
                <w:iCs/>
                <w:color w:val="000000"/>
                <w:sz w:val="18"/>
                <w:szCs w:val="18"/>
              </w:rPr>
            </w:pPr>
            <w:r w:rsidRPr="00EA6851">
              <w:rPr>
                <w:bCs/>
                <w:iCs/>
                <w:color w:val="000000"/>
                <w:sz w:val="18"/>
                <w:szCs w:val="18"/>
              </w:rPr>
              <w:t>80</w:t>
            </w:r>
          </w:p>
        </w:tc>
        <w:tc>
          <w:tcPr>
            <w:tcW w:w="647" w:type="pct"/>
            <w:tcBorders>
              <w:top w:val="nil"/>
              <w:left w:val="nil"/>
              <w:bottom w:val="nil"/>
              <w:right w:val="nil"/>
            </w:tcBorders>
            <w:hideMark/>
          </w:tcPr>
          <w:p w:rsidR="006736BB" w:rsidRPr="00EA6851" w:rsidRDefault="006736BB" w:rsidP="00094DD5">
            <w:pPr>
              <w:spacing w:after="120"/>
              <w:ind w:right="-8"/>
              <w:jc w:val="center"/>
              <w:rPr>
                <w:bCs/>
                <w:iCs/>
                <w:color w:val="000000"/>
                <w:sz w:val="18"/>
                <w:szCs w:val="18"/>
              </w:rPr>
            </w:pPr>
            <w:r w:rsidRPr="00EA6851">
              <w:rPr>
                <w:bCs/>
                <w:iCs/>
                <w:color w:val="000000"/>
                <w:sz w:val="18"/>
                <w:szCs w:val="18"/>
              </w:rPr>
              <w:t>80</w:t>
            </w:r>
          </w:p>
        </w:tc>
        <w:tc>
          <w:tcPr>
            <w:tcW w:w="646" w:type="pct"/>
            <w:tcBorders>
              <w:top w:val="nil"/>
              <w:left w:val="nil"/>
              <w:bottom w:val="nil"/>
              <w:right w:val="nil"/>
            </w:tcBorders>
            <w:hideMark/>
          </w:tcPr>
          <w:p w:rsidR="006736BB" w:rsidRPr="00EA6851" w:rsidRDefault="006736BB" w:rsidP="00094DD5">
            <w:pPr>
              <w:spacing w:after="120"/>
              <w:ind w:right="-8"/>
              <w:jc w:val="center"/>
              <w:rPr>
                <w:bCs/>
                <w:iCs/>
                <w:color w:val="000000"/>
                <w:sz w:val="18"/>
                <w:szCs w:val="18"/>
              </w:rPr>
            </w:pPr>
            <w:r w:rsidRPr="00EA6851">
              <w:rPr>
                <w:bCs/>
                <w:iCs/>
                <w:color w:val="000000"/>
                <w:sz w:val="18"/>
                <w:szCs w:val="18"/>
              </w:rPr>
              <w:t>81</w:t>
            </w:r>
          </w:p>
        </w:tc>
      </w:tr>
      <w:tr w:rsidR="006736BB" w:rsidRPr="00EA6851" w:rsidTr="00306D54">
        <w:trPr>
          <w:trHeight w:val="270"/>
          <w:jc w:val="center"/>
        </w:trPr>
        <w:tc>
          <w:tcPr>
            <w:tcW w:w="1894" w:type="pct"/>
            <w:tcBorders>
              <w:top w:val="nil"/>
              <w:left w:val="nil"/>
              <w:bottom w:val="nil"/>
              <w:right w:val="nil"/>
            </w:tcBorders>
            <w:vAlign w:val="center"/>
            <w:hideMark/>
          </w:tcPr>
          <w:p w:rsidR="006736BB" w:rsidRPr="00EA6851" w:rsidRDefault="006736BB" w:rsidP="00094DD5">
            <w:pPr>
              <w:spacing w:after="120"/>
              <w:jc w:val="left"/>
              <w:rPr>
                <w:bCs/>
                <w:iCs/>
                <w:color w:val="000000"/>
                <w:sz w:val="18"/>
                <w:szCs w:val="18"/>
              </w:rPr>
            </w:pPr>
            <w:r w:rsidRPr="00EA6851">
              <w:rPr>
                <w:bCs/>
                <w:iCs/>
                <w:color w:val="000000"/>
                <w:sz w:val="18"/>
                <w:szCs w:val="18"/>
              </w:rPr>
              <w:t>3. Процент на обажданията, отговорени до 10-тата секунда</w:t>
            </w:r>
          </w:p>
          <w:p w:rsidR="006736BB" w:rsidRPr="00EA6851" w:rsidRDefault="006736BB" w:rsidP="00094DD5">
            <w:pPr>
              <w:spacing w:after="120"/>
              <w:jc w:val="left"/>
              <w:rPr>
                <w:bCs/>
                <w:iCs/>
                <w:color w:val="000000"/>
                <w:sz w:val="18"/>
                <w:szCs w:val="18"/>
              </w:rPr>
            </w:pPr>
          </w:p>
        </w:tc>
        <w:tc>
          <w:tcPr>
            <w:tcW w:w="556" w:type="pct"/>
            <w:tcBorders>
              <w:top w:val="nil"/>
              <w:left w:val="nil"/>
              <w:bottom w:val="nil"/>
              <w:right w:val="nil"/>
            </w:tcBorders>
            <w:shd w:val="clear" w:color="auto" w:fill="F2F2F2"/>
            <w:vAlign w:val="center"/>
            <w:hideMark/>
          </w:tcPr>
          <w:p w:rsidR="006736BB" w:rsidRPr="00EA6851" w:rsidRDefault="006736BB" w:rsidP="00094DD5">
            <w:pPr>
              <w:spacing w:after="120"/>
              <w:jc w:val="center"/>
              <w:rPr>
                <w:bCs/>
                <w:iCs/>
                <w:color w:val="000000"/>
                <w:sz w:val="18"/>
                <w:szCs w:val="18"/>
              </w:rPr>
            </w:pPr>
            <w:r w:rsidRPr="00EA6851">
              <w:rPr>
                <w:bCs/>
                <w:iCs/>
                <w:color w:val="000000"/>
                <w:sz w:val="18"/>
                <w:szCs w:val="18"/>
              </w:rPr>
              <w:t>%</w:t>
            </w:r>
          </w:p>
        </w:tc>
        <w:tc>
          <w:tcPr>
            <w:tcW w:w="629" w:type="pct"/>
            <w:tcBorders>
              <w:top w:val="nil"/>
              <w:left w:val="nil"/>
              <w:bottom w:val="nil"/>
              <w:right w:val="nil"/>
            </w:tcBorders>
            <w:hideMark/>
          </w:tcPr>
          <w:p w:rsidR="006736BB" w:rsidRPr="00EA6851" w:rsidRDefault="006736BB" w:rsidP="00094DD5">
            <w:pPr>
              <w:spacing w:after="120"/>
              <w:ind w:right="-8"/>
              <w:jc w:val="center"/>
              <w:rPr>
                <w:bCs/>
                <w:iCs/>
                <w:color w:val="000000"/>
                <w:sz w:val="18"/>
                <w:szCs w:val="18"/>
              </w:rPr>
            </w:pPr>
          </w:p>
          <w:p w:rsidR="006736BB" w:rsidRPr="00EA6851" w:rsidRDefault="006736BB" w:rsidP="00094DD5">
            <w:pPr>
              <w:spacing w:after="120"/>
              <w:ind w:right="-8"/>
              <w:jc w:val="center"/>
              <w:rPr>
                <w:bCs/>
                <w:iCs/>
                <w:color w:val="000000"/>
                <w:sz w:val="18"/>
                <w:szCs w:val="18"/>
              </w:rPr>
            </w:pPr>
            <w:r w:rsidRPr="00EA6851">
              <w:rPr>
                <w:bCs/>
                <w:iCs/>
                <w:color w:val="000000"/>
                <w:sz w:val="18"/>
                <w:szCs w:val="18"/>
              </w:rPr>
              <w:t>86,5</w:t>
            </w:r>
          </w:p>
        </w:tc>
        <w:tc>
          <w:tcPr>
            <w:tcW w:w="628" w:type="pct"/>
            <w:tcBorders>
              <w:top w:val="nil"/>
              <w:left w:val="nil"/>
              <w:bottom w:val="nil"/>
              <w:right w:val="nil"/>
            </w:tcBorders>
            <w:hideMark/>
          </w:tcPr>
          <w:p w:rsidR="006736BB" w:rsidRPr="00EA6851" w:rsidRDefault="006736BB" w:rsidP="00094DD5">
            <w:pPr>
              <w:spacing w:after="120"/>
              <w:ind w:right="-8"/>
              <w:jc w:val="center"/>
              <w:rPr>
                <w:bCs/>
                <w:iCs/>
                <w:color w:val="000000"/>
                <w:sz w:val="18"/>
                <w:szCs w:val="18"/>
              </w:rPr>
            </w:pPr>
          </w:p>
          <w:p w:rsidR="006736BB" w:rsidRPr="00EA6851" w:rsidRDefault="006736BB" w:rsidP="00094DD5">
            <w:pPr>
              <w:spacing w:after="120"/>
              <w:ind w:right="-8"/>
              <w:jc w:val="center"/>
              <w:rPr>
                <w:bCs/>
                <w:iCs/>
                <w:color w:val="000000"/>
                <w:sz w:val="18"/>
                <w:szCs w:val="18"/>
              </w:rPr>
            </w:pPr>
            <w:r w:rsidRPr="00EA6851">
              <w:rPr>
                <w:bCs/>
                <w:iCs/>
                <w:color w:val="000000"/>
                <w:sz w:val="18"/>
                <w:szCs w:val="18"/>
              </w:rPr>
              <w:t>87</w:t>
            </w:r>
          </w:p>
        </w:tc>
        <w:tc>
          <w:tcPr>
            <w:tcW w:w="647" w:type="pct"/>
            <w:tcBorders>
              <w:top w:val="nil"/>
              <w:left w:val="nil"/>
              <w:bottom w:val="nil"/>
              <w:right w:val="nil"/>
            </w:tcBorders>
            <w:hideMark/>
          </w:tcPr>
          <w:p w:rsidR="006736BB" w:rsidRPr="00EA6851" w:rsidRDefault="006736BB" w:rsidP="00094DD5">
            <w:pPr>
              <w:spacing w:after="120"/>
              <w:ind w:right="-8"/>
              <w:jc w:val="center"/>
              <w:rPr>
                <w:bCs/>
                <w:iCs/>
                <w:color w:val="000000"/>
                <w:sz w:val="18"/>
                <w:szCs w:val="18"/>
              </w:rPr>
            </w:pPr>
          </w:p>
          <w:p w:rsidR="006736BB" w:rsidRPr="00EA6851" w:rsidRDefault="006736BB" w:rsidP="00094DD5">
            <w:pPr>
              <w:spacing w:after="120"/>
              <w:ind w:right="-8"/>
              <w:jc w:val="center"/>
              <w:rPr>
                <w:bCs/>
                <w:iCs/>
                <w:color w:val="000000"/>
                <w:sz w:val="18"/>
                <w:szCs w:val="18"/>
              </w:rPr>
            </w:pPr>
            <w:r w:rsidRPr="00EA6851">
              <w:rPr>
                <w:bCs/>
                <w:iCs/>
                <w:color w:val="000000"/>
                <w:sz w:val="18"/>
                <w:szCs w:val="18"/>
              </w:rPr>
              <w:t>87,5</w:t>
            </w:r>
          </w:p>
        </w:tc>
        <w:tc>
          <w:tcPr>
            <w:tcW w:w="646" w:type="pct"/>
            <w:tcBorders>
              <w:top w:val="nil"/>
              <w:left w:val="nil"/>
              <w:bottom w:val="nil"/>
              <w:right w:val="nil"/>
            </w:tcBorders>
            <w:hideMark/>
          </w:tcPr>
          <w:p w:rsidR="006736BB" w:rsidRPr="00EA6851" w:rsidRDefault="006736BB" w:rsidP="00094DD5">
            <w:pPr>
              <w:spacing w:after="120"/>
              <w:ind w:right="-8"/>
              <w:jc w:val="center"/>
              <w:rPr>
                <w:bCs/>
                <w:iCs/>
                <w:color w:val="000000"/>
                <w:sz w:val="18"/>
                <w:szCs w:val="18"/>
              </w:rPr>
            </w:pPr>
          </w:p>
          <w:p w:rsidR="006736BB" w:rsidRPr="00EA6851" w:rsidRDefault="006736BB" w:rsidP="00094DD5">
            <w:pPr>
              <w:spacing w:after="120"/>
              <w:ind w:right="-8"/>
              <w:jc w:val="center"/>
              <w:rPr>
                <w:bCs/>
                <w:iCs/>
                <w:color w:val="000000"/>
                <w:sz w:val="18"/>
                <w:szCs w:val="18"/>
              </w:rPr>
            </w:pPr>
            <w:r w:rsidRPr="00EA6851">
              <w:rPr>
                <w:bCs/>
                <w:iCs/>
                <w:color w:val="000000"/>
                <w:sz w:val="18"/>
                <w:szCs w:val="18"/>
              </w:rPr>
              <w:t>88</w:t>
            </w:r>
          </w:p>
        </w:tc>
      </w:tr>
      <w:tr w:rsidR="006736BB" w:rsidRPr="00EA6851" w:rsidTr="00306D54">
        <w:trPr>
          <w:trHeight w:val="539"/>
          <w:jc w:val="center"/>
        </w:trPr>
        <w:tc>
          <w:tcPr>
            <w:tcW w:w="1894" w:type="pct"/>
            <w:tcBorders>
              <w:top w:val="nil"/>
              <w:left w:val="nil"/>
              <w:bottom w:val="nil"/>
              <w:right w:val="nil"/>
            </w:tcBorders>
            <w:hideMark/>
          </w:tcPr>
          <w:p w:rsidR="006736BB" w:rsidRPr="00EA6851" w:rsidRDefault="006736BB" w:rsidP="00094DD5">
            <w:pPr>
              <w:spacing w:after="120"/>
              <w:jc w:val="left"/>
              <w:rPr>
                <w:bCs/>
                <w:iCs/>
                <w:color w:val="000000"/>
                <w:sz w:val="18"/>
                <w:szCs w:val="18"/>
              </w:rPr>
            </w:pPr>
            <w:r w:rsidRPr="00EA6851">
              <w:rPr>
                <w:bCs/>
                <w:iCs/>
                <w:color w:val="000000"/>
                <w:sz w:val="18"/>
                <w:szCs w:val="18"/>
              </w:rPr>
              <w:t>4. Обучени лица по професионалното направление</w:t>
            </w:r>
          </w:p>
        </w:tc>
        <w:tc>
          <w:tcPr>
            <w:tcW w:w="556" w:type="pct"/>
            <w:tcBorders>
              <w:top w:val="nil"/>
              <w:left w:val="nil"/>
              <w:bottom w:val="nil"/>
              <w:right w:val="nil"/>
            </w:tcBorders>
            <w:shd w:val="clear" w:color="auto" w:fill="F2F2F2"/>
            <w:vAlign w:val="center"/>
            <w:hideMark/>
          </w:tcPr>
          <w:p w:rsidR="006736BB" w:rsidRPr="00EA6851" w:rsidRDefault="006736BB" w:rsidP="00094DD5">
            <w:pPr>
              <w:spacing w:after="120"/>
              <w:jc w:val="center"/>
              <w:rPr>
                <w:bCs/>
                <w:iCs/>
                <w:color w:val="000000"/>
                <w:sz w:val="18"/>
                <w:szCs w:val="18"/>
              </w:rPr>
            </w:pPr>
            <w:r w:rsidRPr="00EA6851">
              <w:rPr>
                <w:bCs/>
                <w:iCs/>
                <w:color w:val="000000"/>
                <w:sz w:val="18"/>
                <w:szCs w:val="18"/>
              </w:rPr>
              <w:t>Брой</w:t>
            </w:r>
          </w:p>
        </w:tc>
        <w:tc>
          <w:tcPr>
            <w:tcW w:w="629" w:type="pct"/>
            <w:tcBorders>
              <w:top w:val="nil"/>
              <w:left w:val="nil"/>
              <w:bottom w:val="nil"/>
              <w:right w:val="nil"/>
            </w:tcBorders>
            <w:hideMark/>
          </w:tcPr>
          <w:p w:rsidR="006736BB" w:rsidRPr="00EA6851" w:rsidRDefault="006736BB" w:rsidP="00094DD5">
            <w:pPr>
              <w:spacing w:after="120"/>
              <w:ind w:right="-8"/>
              <w:jc w:val="center"/>
              <w:rPr>
                <w:bCs/>
                <w:iCs/>
                <w:color w:val="000000"/>
                <w:sz w:val="18"/>
                <w:szCs w:val="18"/>
              </w:rPr>
            </w:pPr>
          </w:p>
          <w:p w:rsidR="006736BB" w:rsidRPr="00EA6851" w:rsidRDefault="006736BB" w:rsidP="00094DD5">
            <w:pPr>
              <w:spacing w:after="120"/>
              <w:ind w:right="-8"/>
              <w:jc w:val="center"/>
              <w:rPr>
                <w:bCs/>
                <w:iCs/>
                <w:color w:val="000000"/>
                <w:sz w:val="18"/>
                <w:szCs w:val="18"/>
              </w:rPr>
            </w:pPr>
            <w:r w:rsidRPr="00EA6851">
              <w:rPr>
                <w:bCs/>
                <w:iCs/>
                <w:color w:val="000000"/>
                <w:sz w:val="18"/>
                <w:szCs w:val="18"/>
              </w:rPr>
              <w:t>6 000</w:t>
            </w:r>
          </w:p>
        </w:tc>
        <w:tc>
          <w:tcPr>
            <w:tcW w:w="628" w:type="pct"/>
            <w:tcBorders>
              <w:top w:val="nil"/>
              <w:left w:val="nil"/>
              <w:bottom w:val="nil"/>
              <w:right w:val="nil"/>
            </w:tcBorders>
            <w:hideMark/>
          </w:tcPr>
          <w:p w:rsidR="006736BB" w:rsidRPr="00EA6851" w:rsidRDefault="006736BB" w:rsidP="00094DD5">
            <w:pPr>
              <w:spacing w:after="120"/>
              <w:ind w:right="-8"/>
              <w:jc w:val="center"/>
              <w:rPr>
                <w:bCs/>
                <w:iCs/>
                <w:color w:val="000000"/>
                <w:sz w:val="18"/>
                <w:szCs w:val="18"/>
              </w:rPr>
            </w:pPr>
          </w:p>
          <w:p w:rsidR="006736BB" w:rsidRPr="00EA6851" w:rsidRDefault="006736BB" w:rsidP="00094DD5">
            <w:pPr>
              <w:spacing w:after="120"/>
              <w:ind w:right="-8"/>
              <w:jc w:val="center"/>
              <w:rPr>
                <w:bCs/>
                <w:iCs/>
                <w:color w:val="000000"/>
                <w:sz w:val="18"/>
                <w:szCs w:val="18"/>
              </w:rPr>
            </w:pPr>
            <w:r w:rsidRPr="00EA6851">
              <w:rPr>
                <w:bCs/>
                <w:iCs/>
                <w:color w:val="000000"/>
                <w:sz w:val="18"/>
                <w:szCs w:val="18"/>
              </w:rPr>
              <w:t>6 000</w:t>
            </w:r>
          </w:p>
        </w:tc>
        <w:tc>
          <w:tcPr>
            <w:tcW w:w="647" w:type="pct"/>
            <w:tcBorders>
              <w:top w:val="nil"/>
              <w:left w:val="nil"/>
              <w:bottom w:val="nil"/>
              <w:right w:val="nil"/>
            </w:tcBorders>
            <w:hideMark/>
          </w:tcPr>
          <w:p w:rsidR="006736BB" w:rsidRPr="00EA6851" w:rsidRDefault="006736BB" w:rsidP="00094DD5">
            <w:pPr>
              <w:spacing w:after="120"/>
              <w:ind w:right="-8"/>
              <w:jc w:val="center"/>
              <w:rPr>
                <w:bCs/>
                <w:iCs/>
                <w:color w:val="000000"/>
                <w:sz w:val="18"/>
                <w:szCs w:val="18"/>
              </w:rPr>
            </w:pPr>
          </w:p>
          <w:p w:rsidR="006736BB" w:rsidRPr="00EA6851" w:rsidRDefault="006736BB" w:rsidP="00094DD5">
            <w:pPr>
              <w:spacing w:after="120"/>
              <w:ind w:right="-8"/>
              <w:jc w:val="center"/>
              <w:rPr>
                <w:bCs/>
                <w:iCs/>
                <w:color w:val="000000"/>
                <w:sz w:val="18"/>
                <w:szCs w:val="18"/>
              </w:rPr>
            </w:pPr>
            <w:r w:rsidRPr="00EA6851">
              <w:rPr>
                <w:bCs/>
                <w:iCs/>
                <w:color w:val="000000"/>
                <w:sz w:val="18"/>
                <w:szCs w:val="18"/>
              </w:rPr>
              <w:t>6 000</w:t>
            </w:r>
          </w:p>
        </w:tc>
        <w:tc>
          <w:tcPr>
            <w:tcW w:w="646" w:type="pct"/>
            <w:tcBorders>
              <w:top w:val="nil"/>
              <w:left w:val="nil"/>
              <w:bottom w:val="nil"/>
              <w:right w:val="nil"/>
            </w:tcBorders>
            <w:hideMark/>
          </w:tcPr>
          <w:p w:rsidR="006736BB" w:rsidRPr="00EA6851" w:rsidRDefault="006736BB" w:rsidP="00094DD5">
            <w:pPr>
              <w:spacing w:after="120"/>
              <w:ind w:right="-8"/>
              <w:jc w:val="center"/>
              <w:rPr>
                <w:bCs/>
                <w:iCs/>
                <w:color w:val="000000"/>
                <w:sz w:val="18"/>
                <w:szCs w:val="18"/>
              </w:rPr>
            </w:pPr>
          </w:p>
          <w:p w:rsidR="006736BB" w:rsidRPr="00EA6851" w:rsidRDefault="006736BB" w:rsidP="00094DD5">
            <w:pPr>
              <w:spacing w:after="120"/>
              <w:ind w:right="-8"/>
              <w:jc w:val="center"/>
              <w:rPr>
                <w:bCs/>
                <w:iCs/>
                <w:color w:val="000000"/>
                <w:sz w:val="18"/>
                <w:szCs w:val="18"/>
              </w:rPr>
            </w:pPr>
            <w:r w:rsidRPr="00EA6851">
              <w:rPr>
                <w:bCs/>
                <w:iCs/>
                <w:color w:val="000000"/>
                <w:sz w:val="18"/>
                <w:szCs w:val="18"/>
              </w:rPr>
              <w:t>6 000</w:t>
            </w:r>
          </w:p>
        </w:tc>
      </w:tr>
      <w:tr w:rsidR="006736BB" w:rsidRPr="00EA6851" w:rsidTr="00306D54">
        <w:trPr>
          <w:trHeight w:val="561"/>
          <w:jc w:val="center"/>
        </w:trPr>
        <w:tc>
          <w:tcPr>
            <w:tcW w:w="1894" w:type="pct"/>
            <w:tcBorders>
              <w:top w:val="nil"/>
              <w:left w:val="nil"/>
              <w:bottom w:val="nil"/>
              <w:right w:val="nil"/>
            </w:tcBorders>
            <w:hideMark/>
          </w:tcPr>
          <w:p w:rsidR="006736BB" w:rsidRPr="00EA6851" w:rsidRDefault="006736BB" w:rsidP="00094DD5">
            <w:pPr>
              <w:spacing w:after="120"/>
              <w:jc w:val="left"/>
              <w:rPr>
                <w:bCs/>
                <w:iCs/>
                <w:color w:val="000000"/>
                <w:sz w:val="18"/>
                <w:szCs w:val="18"/>
              </w:rPr>
            </w:pPr>
            <w:r w:rsidRPr="00EA6851">
              <w:rPr>
                <w:bCs/>
                <w:iCs/>
                <w:color w:val="000000"/>
                <w:sz w:val="18"/>
                <w:szCs w:val="18"/>
              </w:rPr>
              <w:t>5. Брой лица, с които е проведено психологично изследване</w:t>
            </w:r>
          </w:p>
        </w:tc>
        <w:tc>
          <w:tcPr>
            <w:tcW w:w="556" w:type="pct"/>
            <w:tcBorders>
              <w:top w:val="nil"/>
              <w:left w:val="nil"/>
              <w:bottom w:val="nil"/>
              <w:right w:val="nil"/>
            </w:tcBorders>
            <w:shd w:val="clear" w:color="auto" w:fill="F2F2F2"/>
            <w:vAlign w:val="center"/>
            <w:hideMark/>
          </w:tcPr>
          <w:p w:rsidR="006736BB" w:rsidRPr="00EA6851" w:rsidRDefault="006736BB" w:rsidP="00094DD5">
            <w:pPr>
              <w:spacing w:after="120"/>
              <w:jc w:val="center"/>
              <w:rPr>
                <w:bCs/>
                <w:iCs/>
                <w:color w:val="000000"/>
                <w:sz w:val="18"/>
                <w:szCs w:val="18"/>
              </w:rPr>
            </w:pPr>
            <w:r w:rsidRPr="00EA6851">
              <w:rPr>
                <w:bCs/>
                <w:iCs/>
                <w:color w:val="000000"/>
                <w:sz w:val="18"/>
                <w:szCs w:val="18"/>
              </w:rPr>
              <w:t>Брой</w:t>
            </w:r>
          </w:p>
        </w:tc>
        <w:tc>
          <w:tcPr>
            <w:tcW w:w="629" w:type="pct"/>
            <w:tcBorders>
              <w:top w:val="nil"/>
              <w:left w:val="nil"/>
              <w:bottom w:val="nil"/>
              <w:right w:val="nil"/>
            </w:tcBorders>
            <w:hideMark/>
          </w:tcPr>
          <w:p w:rsidR="006736BB" w:rsidRPr="00EA6851" w:rsidRDefault="006736BB" w:rsidP="00094DD5">
            <w:pPr>
              <w:spacing w:after="120"/>
              <w:ind w:right="-8"/>
              <w:jc w:val="center"/>
              <w:rPr>
                <w:bCs/>
                <w:iCs/>
                <w:color w:val="000000"/>
                <w:sz w:val="18"/>
                <w:szCs w:val="18"/>
              </w:rPr>
            </w:pPr>
          </w:p>
          <w:p w:rsidR="006736BB" w:rsidRPr="00EA6851" w:rsidRDefault="006736BB" w:rsidP="00094DD5">
            <w:pPr>
              <w:spacing w:after="120"/>
              <w:ind w:right="-8"/>
              <w:jc w:val="center"/>
              <w:rPr>
                <w:bCs/>
                <w:iCs/>
                <w:color w:val="000000"/>
                <w:sz w:val="18"/>
                <w:szCs w:val="18"/>
              </w:rPr>
            </w:pPr>
            <w:r w:rsidRPr="00EA6851">
              <w:rPr>
                <w:bCs/>
                <w:iCs/>
                <w:color w:val="000000"/>
                <w:sz w:val="18"/>
                <w:szCs w:val="18"/>
              </w:rPr>
              <w:t>5 500</w:t>
            </w:r>
          </w:p>
        </w:tc>
        <w:tc>
          <w:tcPr>
            <w:tcW w:w="628" w:type="pct"/>
            <w:tcBorders>
              <w:top w:val="nil"/>
              <w:left w:val="nil"/>
              <w:bottom w:val="nil"/>
              <w:right w:val="nil"/>
            </w:tcBorders>
            <w:hideMark/>
          </w:tcPr>
          <w:p w:rsidR="006736BB" w:rsidRPr="00EA6851" w:rsidRDefault="006736BB" w:rsidP="00094DD5">
            <w:pPr>
              <w:spacing w:after="120"/>
              <w:ind w:right="-8"/>
              <w:jc w:val="center"/>
              <w:rPr>
                <w:bCs/>
                <w:iCs/>
                <w:color w:val="000000"/>
                <w:sz w:val="18"/>
                <w:szCs w:val="18"/>
              </w:rPr>
            </w:pPr>
          </w:p>
          <w:p w:rsidR="006736BB" w:rsidRPr="00EA6851" w:rsidRDefault="006736BB" w:rsidP="00094DD5">
            <w:pPr>
              <w:spacing w:after="120"/>
              <w:ind w:right="-8"/>
              <w:jc w:val="center"/>
              <w:rPr>
                <w:bCs/>
                <w:iCs/>
                <w:color w:val="000000"/>
                <w:sz w:val="18"/>
                <w:szCs w:val="18"/>
              </w:rPr>
            </w:pPr>
            <w:r w:rsidRPr="00EA6851">
              <w:rPr>
                <w:bCs/>
                <w:iCs/>
                <w:color w:val="000000"/>
                <w:sz w:val="18"/>
                <w:szCs w:val="18"/>
              </w:rPr>
              <w:t>5 500</w:t>
            </w:r>
          </w:p>
        </w:tc>
        <w:tc>
          <w:tcPr>
            <w:tcW w:w="647" w:type="pct"/>
            <w:tcBorders>
              <w:top w:val="nil"/>
              <w:left w:val="nil"/>
              <w:bottom w:val="nil"/>
              <w:right w:val="nil"/>
            </w:tcBorders>
            <w:hideMark/>
          </w:tcPr>
          <w:p w:rsidR="006736BB" w:rsidRPr="00EA6851" w:rsidRDefault="006736BB" w:rsidP="00094DD5">
            <w:pPr>
              <w:spacing w:after="120"/>
              <w:ind w:right="-8"/>
              <w:jc w:val="center"/>
              <w:rPr>
                <w:bCs/>
                <w:iCs/>
                <w:color w:val="000000"/>
                <w:sz w:val="18"/>
                <w:szCs w:val="18"/>
              </w:rPr>
            </w:pPr>
          </w:p>
          <w:p w:rsidR="006736BB" w:rsidRPr="00EA6851" w:rsidRDefault="006736BB" w:rsidP="00094DD5">
            <w:pPr>
              <w:spacing w:after="120"/>
              <w:ind w:right="-8"/>
              <w:jc w:val="center"/>
              <w:rPr>
                <w:bCs/>
                <w:iCs/>
                <w:color w:val="000000"/>
                <w:sz w:val="18"/>
                <w:szCs w:val="18"/>
              </w:rPr>
            </w:pPr>
            <w:r w:rsidRPr="00EA6851">
              <w:rPr>
                <w:bCs/>
                <w:iCs/>
                <w:color w:val="000000"/>
                <w:sz w:val="18"/>
                <w:szCs w:val="18"/>
              </w:rPr>
              <w:t>5 500</w:t>
            </w:r>
          </w:p>
        </w:tc>
        <w:tc>
          <w:tcPr>
            <w:tcW w:w="646" w:type="pct"/>
            <w:tcBorders>
              <w:top w:val="nil"/>
              <w:left w:val="nil"/>
              <w:bottom w:val="nil"/>
              <w:right w:val="nil"/>
            </w:tcBorders>
            <w:hideMark/>
          </w:tcPr>
          <w:p w:rsidR="006736BB" w:rsidRPr="00EA6851" w:rsidRDefault="006736BB" w:rsidP="00094DD5">
            <w:pPr>
              <w:spacing w:after="120"/>
              <w:ind w:right="-8"/>
              <w:jc w:val="center"/>
              <w:rPr>
                <w:bCs/>
                <w:iCs/>
                <w:color w:val="000000"/>
                <w:sz w:val="18"/>
                <w:szCs w:val="18"/>
              </w:rPr>
            </w:pPr>
          </w:p>
          <w:p w:rsidR="006736BB" w:rsidRPr="00EA6851" w:rsidRDefault="006736BB" w:rsidP="00094DD5">
            <w:pPr>
              <w:spacing w:after="120"/>
              <w:ind w:right="-8"/>
              <w:jc w:val="center"/>
              <w:rPr>
                <w:bCs/>
                <w:iCs/>
                <w:color w:val="000000"/>
                <w:sz w:val="18"/>
                <w:szCs w:val="18"/>
              </w:rPr>
            </w:pPr>
            <w:r w:rsidRPr="00EA6851">
              <w:rPr>
                <w:bCs/>
                <w:iCs/>
                <w:color w:val="000000"/>
                <w:sz w:val="18"/>
                <w:szCs w:val="18"/>
              </w:rPr>
              <w:t>5 500</w:t>
            </w:r>
          </w:p>
        </w:tc>
      </w:tr>
      <w:tr w:rsidR="006736BB" w:rsidRPr="00EA6851" w:rsidTr="00306D54">
        <w:trPr>
          <w:trHeight w:val="80"/>
          <w:jc w:val="center"/>
        </w:trPr>
        <w:tc>
          <w:tcPr>
            <w:tcW w:w="1894" w:type="pct"/>
            <w:tcBorders>
              <w:top w:val="nil"/>
              <w:left w:val="nil"/>
              <w:bottom w:val="single" w:sz="4" w:space="0" w:color="auto"/>
              <w:right w:val="nil"/>
            </w:tcBorders>
            <w:hideMark/>
          </w:tcPr>
          <w:p w:rsidR="006736BB" w:rsidRPr="00EA6851" w:rsidRDefault="006736BB" w:rsidP="00094DD5">
            <w:pPr>
              <w:spacing w:after="120"/>
              <w:jc w:val="left"/>
              <w:rPr>
                <w:bCs/>
                <w:iCs/>
                <w:color w:val="000000"/>
                <w:sz w:val="18"/>
                <w:szCs w:val="18"/>
              </w:rPr>
            </w:pPr>
            <w:r w:rsidRPr="00EA6851">
              <w:rPr>
                <w:bCs/>
                <w:iCs/>
                <w:color w:val="000000"/>
                <w:sz w:val="18"/>
                <w:szCs w:val="18"/>
              </w:rPr>
              <w:t>6. Лекувани в МИ</w:t>
            </w:r>
            <w:r w:rsidRPr="00EA6851">
              <w:rPr>
                <w:bCs/>
                <w:iCs/>
                <w:position w:val="2"/>
                <w:sz w:val="18"/>
                <w:szCs w:val="18"/>
                <w:vertAlign w:val="superscript"/>
              </w:rPr>
              <w:footnoteReference w:id="22"/>
            </w:r>
            <w:r w:rsidRPr="00EA6851">
              <w:rPr>
                <w:bCs/>
                <w:iCs/>
                <w:color w:val="000000"/>
                <w:sz w:val="18"/>
                <w:szCs w:val="18"/>
              </w:rPr>
              <w:t>-МВР (ЦКБ</w:t>
            </w:r>
            <w:r w:rsidRPr="00EA6851">
              <w:rPr>
                <w:bCs/>
                <w:iCs/>
                <w:position w:val="2"/>
                <w:sz w:val="18"/>
                <w:szCs w:val="18"/>
                <w:vertAlign w:val="superscript"/>
              </w:rPr>
              <w:footnoteReference w:id="23"/>
            </w:r>
            <w:r w:rsidRPr="00EA6851">
              <w:rPr>
                <w:bCs/>
                <w:iCs/>
                <w:color w:val="000000"/>
                <w:sz w:val="18"/>
                <w:szCs w:val="18"/>
              </w:rPr>
              <w:t xml:space="preserve"> и БПРЛ</w:t>
            </w:r>
            <w:r w:rsidRPr="00EA6851">
              <w:rPr>
                <w:bCs/>
                <w:iCs/>
                <w:position w:val="2"/>
                <w:sz w:val="18"/>
                <w:szCs w:val="18"/>
                <w:vertAlign w:val="superscript"/>
              </w:rPr>
              <w:footnoteReference w:id="24"/>
            </w:r>
            <w:r w:rsidRPr="00EA6851">
              <w:rPr>
                <w:bCs/>
                <w:iCs/>
                <w:color w:val="000000"/>
                <w:sz w:val="18"/>
                <w:szCs w:val="18"/>
              </w:rPr>
              <w:t xml:space="preserve"> в Хисаря, Банкя и Варна) пациенти, съгласно ЗМВР</w:t>
            </w:r>
            <w:r w:rsidRPr="00EA6851">
              <w:rPr>
                <w:rStyle w:val="FootnoteReference"/>
                <w:bCs/>
                <w:iCs/>
                <w:szCs w:val="18"/>
              </w:rPr>
              <w:footnoteReference w:id="25"/>
            </w:r>
            <w:r w:rsidRPr="00EA6851">
              <w:rPr>
                <w:bCs/>
                <w:iCs/>
                <w:color w:val="000000"/>
                <w:sz w:val="18"/>
                <w:szCs w:val="18"/>
              </w:rPr>
              <w:t xml:space="preserve"> и ЗЗО</w:t>
            </w:r>
            <w:r w:rsidRPr="00EA6851">
              <w:rPr>
                <w:rStyle w:val="FootnoteReference"/>
                <w:bCs/>
                <w:iCs/>
                <w:szCs w:val="18"/>
              </w:rPr>
              <w:footnoteReference w:id="26"/>
            </w:r>
          </w:p>
        </w:tc>
        <w:tc>
          <w:tcPr>
            <w:tcW w:w="556" w:type="pct"/>
            <w:tcBorders>
              <w:top w:val="nil"/>
              <w:left w:val="nil"/>
              <w:bottom w:val="single" w:sz="4" w:space="0" w:color="auto"/>
              <w:right w:val="nil"/>
            </w:tcBorders>
            <w:shd w:val="clear" w:color="auto" w:fill="F2F2F2"/>
            <w:vAlign w:val="center"/>
            <w:hideMark/>
          </w:tcPr>
          <w:p w:rsidR="006736BB" w:rsidRPr="00EA6851" w:rsidRDefault="006736BB" w:rsidP="00094DD5">
            <w:pPr>
              <w:spacing w:after="120"/>
              <w:jc w:val="center"/>
              <w:rPr>
                <w:bCs/>
                <w:iCs/>
                <w:color w:val="000000"/>
                <w:sz w:val="18"/>
                <w:szCs w:val="18"/>
              </w:rPr>
            </w:pPr>
            <w:r w:rsidRPr="00EA6851">
              <w:rPr>
                <w:bCs/>
                <w:iCs/>
                <w:color w:val="000000"/>
                <w:sz w:val="18"/>
                <w:szCs w:val="18"/>
              </w:rPr>
              <w:t>Брой</w:t>
            </w:r>
          </w:p>
        </w:tc>
        <w:tc>
          <w:tcPr>
            <w:tcW w:w="629" w:type="pct"/>
            <w:tcBorders>
              <w:top w:val="nil"/>
              <w:left w:val="nil"/>
              <w:bottom w:val="single" w:sz="4" w:space="0" w:color="auto"/>
              <w:right w:val="nil"/>
            </w:tcBorders>
            <w:hideMark/>
          </w:tcPr>
          <w:p w:rsidR="006736BB" w:rsidRPr="00EA6851" w:rsidRDefault="006736BB" w:rsidP="00094DD5">
            <w:pPr>
              <w:spacing w:after="120"/>
              <w:jc w:val="center"/>
              <w:rPr>
                <w:bCs/>
                <w:iCs/>
                <w:color w:val="000000"/>
                <w:sz w:val="18"/>
                <w:szCs w:val="18"/>
              </w:rPr>
            </w:pPr>
          </w:p>
          <w:p w:rsidR="006736BB" w:rsidRPr="00EA6851" w:rsidRDefault="006736BB" w:rsidP="00094DD5">
            <w:pPr>
              <w:spacing w:after="120"/>
              <w:jc w:val="center"/>
              <w:rPr>
                <w:bCs/>
                <w:iCs/>
                <w:color w:val="000000"/>
                <w:sz w:val="18"/>
                <w:szCs w:val="18"/>
              </w:rPr>
            </w:pPr>
            <w:r w:rsidRPr="00EA6851">
              <w:rPr>
                <w:bCs/>
                <w:iCs/>
                <w:color w:val="000000"/>
                <w:sz w:val="18"/>
                <w:szCs w:val="18"/>
              </w:rPr>
              <w:t>26 876</w:t>
            </w:r>
          </w:p>
        </w:tc>
        <w:tc>
          <w:tcPr>
            <w:tcW w:w="628" w:type="pct"/>
            <w:tcBorders>
              <w:top w:val="nil"/>
              <w:left w:val="nil"/>
              <w:bottom w:val="single" w:sz="4" w:space="0" w:color="auto"/>
              <w:right w:val="nil"/>
            </w:tcBorders>
            <w:hideMark/>
          </w:tcPr>
          <w:p w:rsidR="006736BB" w:rsidRPr="00EA6851" w:rsidRDefault="006736BB" w:rsidP="00094DD5">
            <w:pPr>
              <w:spacing w:after="120"/>
              <w:jc w:val="center"/>
              <w:rPr>
                <w:bCs/>
                <w:iCs/>
                <w:color w:val="000000"/>
                <w:sz w:val="18"/>
                <w:szCs w:val="18"/>
              </w:rPr>
            </w:pPr>
          </w:p>
          <w:p w:rsidR="006736BB" w:rsidRPr="00EA6851" w:rsidRDefault="006736BB" w:rsidP="00094DD5">
            <w:pPr>
              <w:spacing w:after="120"/>
              <w:jc w:val="center"/>
              <w:rPr>
                <w:bCs/>
                <w:iCs/>
                <w:color w:val="000000"/>
                <w:sz w:val="18"/>
                <w:szCs w:val="18"/>
              </w:rPr>
            </w:pPr>
            <w:r w:rsidRPr="00EA6851">
              <w:rPr>
                <w:bCs/>
                <w:iCs/>
                <w:color w:val="000000"/>
                <w:sz w:val="18"/>
                <w:szCs w:val="18"/>
              </w:rPr>
              <w:t>28 000</w:t>
            </w:r>
          </w:p>
        </w:tc>
        <w:tc>
          <w:tcPr>
            <w:tcW w:w="647" w:type="pct"/>
            <w:tcBorders>
              <w:top w:val="nil"/>
              <w:left w:val="nil"/>
              <w:bottom w:val="single" w:sz="4" w:space="0" w:color="auto"/>
              <w:right w:val="nil"/>
            </w:tcBorders>
            <w:hideMark/>
          </w:tcPr>
          <w:p w:rsidR="006736BB" w:rsidRPr="00EA6851" w:rsidRDefault="006736BB" w:rsidP="00094DD5">
            <w:pPr>
              <w:spacing w:after="120"/>
              <w:jc w:val="center"/>
              <w:rPr>
                <w:bCs/>
                <w:iCs/>
                <w:color w:val="000000"/>
                <w:sz w:val="18"/>
                <w:szCs w:val="18"/>
              </w:rPr>
            </w:pPr>
          </w:p>
          <w:p w:rsidR="006736BB" w:rsidRPr="00EA6851" w:rsidRDefault="006736BB" w:rsidP="00094DD5">
            <w:pPr>
              <w:spacing w:after="120"/>
              <w:jc w:val="center"/>
              <w:rPr>
                <w:bCs/>
                <w:iCs/>
                <w:color w:val="000000"/>
                <w:sz w:val="18"/>
                <w:szCs w:val="18"/>
              </w:rPr>
            </w:pPr>
            <w:r w:rsidRPr="00EA6851">
              <w:rPr>
                <w:bCs/>
                <w:iCs/>
                <w:color w:val="000000"/>
                <w:sz w:val="18"/>
                <w:szCs w:val="18"/>
              </w:rPr>
              <w:t>28 100</w:t>
            </w:r>
          </w:p>
        </w:tc>
        <w:tc>
          <w:tcPr>
            <w:tcW w:w="646" w:type="pct"/>
            <w:tcBorders>
              <w:top w:val="nil"/>
              <w:left w:val="nil"/>
              <w:bottom w:val="single" w:sz="4" w:space="0" w:color="auto"/>
              <w:right w:val="nil"/>
            </w:tcBorders>
            <w:hideMark/>
          </w:tcPr>
          <w:p w:rsidR="006736BB" w:rsidRPr="00EA6851" w:rsidRDefault="006736BB" w:rsidP="00094DD5">
            <w:pPr>
              <w:spacing w:after="120"/>
              <w:jc w:val="center"/>
              <w:rPr>
                <w:bCs/>
                <w:iCs/>
                <w:color w:val="000000"/>
                <w:sz w:val="18"/>
                <w:szCs w:val="18"/>
              </w:rPr>
            </w:pPr>
          </w:p>
          <w:p w:rsidR="006736BB" w:rsidRPr="00EA6851" w:rsidRDefault="006736BB" w:rsidP="00094DD5">
            <w:pPr>
              <w:spacing w:after="120"/>
              <w:jc w:val="center"/>
              <w:rPr>
                <w:bCs/>
                <w:iCs/>
                <w:color w:val="000000"/>
                <w:sz w:val="18"/>
                <w:szCs w:val="18"/>
              </w:rPr>
            </w:pPr>
            <w:r w:rsidRPr="00EA6851">
              <w:rPr>
                <w:bCs/>
                <w:iCs/>
                <w:color w:val="000000"/>
                <w:sz w:val="18"/>
                <w:szCs w:val="18"/>
              </w:rPr>
              <w:t>28 100</w:t>
            </w:r>
          </w:p>
        </w:tc>
      </w:tr>
    </w:tbl>
    <w:p w:rsidR="006736BB" w:rsidRPr="00EA6851" w:rsidRDefault="006736BB" w:rsidP="0003268C">
      <w:pPr>
        <w:spacing w:after="60"/>
        <w:rPr>
          <w:i/>
          <w:sz w:val="18"/>
          <w:szCs w:val="18"/>
        </w:rPr>
      </w:pPr>
      <w:r w:rsidRPr="00EA6851">
        <w:rPr>
          <w:b/>
          <w:i/>
          <w:sz w:val="18"/>
          <w:szCs w:val="18"/>
        </w:rPr>
        <w:t xml:space="preserve">Забележка: </w:t>
      </w:r>
      <w:r w:rsidRPr="00EA6851">
        <w:rPr>
          <w:i/>
          <w:sz w:val="18"/>
          <w:szCs w:val="18"/>
        </w:rPr>
        <w:t>Дефиницията на индикатора е изменена, с оглед прецизиране на обхвата на лицата, имащи право на лечение в МИ-МВР.</w:t>
      </w:r>
    </w:p>
    <w:p w:rsidR="0003268C" w:rsidRPr="00EA6851" w:rsidRDefault="0003268C" w:rsidP="0003268C">
      <w:pPr>
        <w:spacing w:after="60"/>
        <w:rPr>
          <w:i/>
          <w:sz w:val="18"/>
          <w:szCs w:val="18"/>
        </w:rPr>
      </w:pPr>
    </w:p>
    <w:p w:rsidR="0033580A" w:rsidRPr="00EA6851" w:rsidRDefault="0033580A" w:rsidP="0033580A">
      <w:pPr>
        <w:pStyle w:val="Heading3"/>
        <w:ind w:left="0"/>
      </w:pPr>
      <w:r w:rsidRPr="00EA6851">
        <w:t>Политика в областта на съдебната система</w:t>
      </w:r>
    </w:p>
    <w:p w:rsidR="007478EA" w:rsidRPr="00EA6851" w:rsidRDefault="007478EA" w:rsidP="007478EA">
      <w:pPr>
        <w:rPr>
          <w:szCs w:val="24"/>
        </w:rPr>
      </w:pPr>
      <w:r w:rsidRPr="00EA6851">
        <w:rPr>
          <w:szCs w:val="24"/>
        </w:rPr>
        <w:t xml:space="preserve">Приоритет е изграждането на добре функционираща и прозрачна съдебна система, която да гарантира ефективно прилагане на законите, да дава сигурност на гражданите и да защитава спазването на техните права и свободи. Усилията в тази сфера са насочени към постигането на равен достъп до правосъдие и на европейски стандарти в областта на правната помощ и алтернативното решаване на спорове, в условията на пълноправно членство в Европейския съюз. </w:t>
      </w:r>
    </w:p>
    <w:p w:rsidR="007478EA" w:rsidRPr="00EA6851" w:rsidRDefault="007478EA" w:rsidP="007478EA">
      <w:pPr>
        <w:rPr>
          <w:szCs w:val="24"/>
        </w:rPr>
      </w:pPr>
      <w:r w:rsidRPr="00EA6851">
        <w:rPr>
          <w:szCs w:val="24"/>
        </w:rPr>
        <w:t xml:space="preserve">Политиките в областта на съдебната власт се координират от </w:t>
      </w:r>
      <w:r w:rsidRPr="00EA6851">
        <w:rPr>
          <w:b/>
          <w:szCs w:val="24"/>
        </w:rPr>
        <w:t>Висшия съдебен съвет</w:t>
      </w:r>
      <w:r w:rsidRPr="00EA6851">
        <w:rPr>
          <w:szCs w:val="24"/>
        </w:rPr>
        <w:t xml:space="preserve"> като постоянно действащ орган, представляващ съдебната власт, който осигурява и отстоява нейната независимост, определя състава и организацията на работа на съдилищата, прокуратурите и следствените органи и обезпечава финансово и технически тяхната дейност без да се намесва в нейното осъществяване.</w:t>
      </w:r>
    </w:p>
    <w:p w:rsidR="007478EA" w:rsidRPr="00EA6851" w:rsidRDefault="007478EA" w:rsidP="007478EA">
      <w:pPr>
        <w:rPr>
          <w:szCs w:val="24"/>
        </w:rPr>
      </w:pPr>
      <w:r w:rsidRPr="00EA6851">
        <w:rPr>
          <w:szCs w:val="24"/>
        </w:rPr>
        <w:t xml:space="preserve">Изпълнението на заложените политики цели повишаване на общественото доверие в съдебната власт, постигане на ефективно, бързо, прозрачно, справедливо и достъпно правосъдие, както и създаване на съвременни условия на гражданите, вкл. за обвиняемите, за провеждане на съдебния процес. За постигането на тези цели е важно да се наблегне на качествено изпълнение на предвидените в Закона за съдебната власт задължения и повишаване на общественото доверие в съдебната власт, както и да се засили контролът на органите на съдебната власт, основаващ се на принципите на законосъобразност, обективност и публичност. </w:t>
      </w:r>
    </w:p>
    <w:p w:rsidR="007478EA" w:rsidRPr="00EA6851" w:rsidRDefault="007478EA" w:rsidP="007478EA">
      <w:pPr>
        <w:rPr>
          <w:szCs w:val="24"/>
        </w:rPr>
      </w:pPr>
      <w:r w:rsidRPr="00EA6851">
        <w:rPr>
          <w:szCs w:val="24"/>
        </w:rPr>
        <w:t xml:space="preserve">Важен момент при изпълнението на политиките в областта на съдебната система е засилването на ефективността в борбата на Прокуратурата срещу организираната престъпност и корупцията. </w:t>
      </w:r>
    </w:p>
    <w:p w:rsidR="007478EA" w:rsidRPr="00EA6851" w:rsidRDefault="007478EA" w:rsidP="007478EA">
      <w:pPr>
        <w:rPr>
          <w:szCs w:val="24"/>
        </w:rPr>
      </w:pPr>
      <w:r w:rsidRPr="00EA6851">
        <w:rPr>
          <w:szCs w:val="24"/>
        </w:rPr>
        <w:t>Предвижда се подобряване на административното обслужване чрез разширяване на техническите възможности за връзка между отделните органи на съдебната власт, включително и осигуряването на автоматизиран достъп до публичните съдебни регистри, както и поетапна подмяна на амортизираната компютърна техника, като част от електронното правосъдие. Това ще бъде възможно чрез въвеждане на стандарти за обмен на информация между отделните подсистеми в съдебната власт, създаване и внедряване на стандартен софтуер за публичните регистри и информация за работата на съдебните институции, цялостна компютризация на съдилищата, както и разширяване на автоматизирания обмен на специализираната информация между съдебните институции и държавната администрация.</w:t>
      </w:r>
    </w:p>
    <w:p w:rsidR="007478EA" w:rsidRPr="00EA6851" w:rsidRDefault="007478EA" w:rsidP="007478EA">
      <w:pPr>
        <w:rPr>
          <w:b/>
          <w:bCs/>
          <w:szCs w:val="24"/>
        </w:rPr>
      </w:pPr>
      <w:r w:rsidRPr="00EA6851">
        <w:rPr>
          <w:b/>
          <w:bCs/>
          <w:szCs w:val="24"/>
        </w:rPr>
        <w:t xml:space="preserve">Конституционен съд </w:t>
      </w:r>
    </w:p>
    <w:p w:rsidR="007478EA" w:rsidRPr="00EA6851" w:rsidRDefault="007478EA" w:rsidP="007478EA">
      <w:pPr>
        <w:rPr>
          <w:szCs w:val="24"/>
        </w:rPr>
      </w:pPr>
      <w:r w:rsidRPr="00EA6851">
        <w:rPr>
          <w:szCs w:val="24"/>
        </w:rPr>
        <w:t xml:space="preserve">Конституционният съд на Република България е независим държавен орган, създаден с Конституцията и натоварен да осигурява нейното върховенство. Независим е от законодателната, изпълнителната и съдебната власт. Основната му дейност е да дава задължителни тълкувания на Конституцията, както и да се произнася по съответствието ѝ със законите, актовете на Народното събрание и президента и международните договори, по които България е страна. </w:t>
      </w:r>
    </w:p>
    <w:p w:rsidR="007478EA" w:rsidRPr="00EA6851" w:rsidRDefault="007478EA" w:rsidP="007478EA">
      <w:pPr>
        <w:rPr>
          <w:szCs w:val="24"/>
        </w:rPr>
      </w:pPr>
      <w:r w:rsidRPr="00EA6851">
        <w:rPr>
          <w:szCs w:val="24"/>
        </w:rPr>
        <w:t xml:space="preserve">Конституционният съд членува в три международни организации, като членството в тях е от изключително важно значение за развитието и работата на съда и за добрата позиция в международен аспект на българския Конституционен съд. </w:t>
      </w:r>
    </w:p>
    <w:p w:rsidR="007478EA" w:rsidRPr="00EA6851" w:rsidRDefault="007478EA" w:rsidP="007478EA">
      <w:pPr>
        <w:rPr>
          <w:szCs w:val="24"/>
        </w:rPr>
      </w:pPr>
      <w:r w:rsidRPr="00EA6851">
        <w:rPr>
          <w:szCs w:val="24"/>
        </w:rPr>
        <w:t xml:space="preserve">Бюджетната прогноза на Конституционния съд отразява оптималния размер на средствата, необходими за нормално функциониране на съда и повишаване ефективността на работата му. </w:t>
      </w:r>
    </w:p>
    <w:p w:rsidR="007478EA" w:rsidRPr="00EA6851" w:rsidRDefault="007478EA" w:rsidP="00C32082">
      <w:pPr>
        <w:rPr>
          <w:szCs w:val="24"/>
        </w:rPr>
      </w:pPr>
      <w:r w:rsidRPr="00EA6851">
        <w:rPr>
          <w:szCs w:val="24"/>
        </w:rPr>
        <w:t>Дейността на Конституционния съд попада в обхвата на функционална област „</w:t>
      </w:r>
      <w:r w:rsidR="002E00B3" w:rsidRPr="00EA6851">
        <w:rPr>
          <w:szCs w:val="24"/>
        </w:rPr>
        <w:t>Върховенство на конституцията“.</w:t>
      </w:r>
    </w:p>
    <w:p w:rsidR="00C32082" w:rsidRPr="00EA6851" w:rsidRDefault="00C32082" w:rsidP="00C32082">
      <w:pPr>
        <w:pStyle w:val="Heading4"/>
      </w:pPr>
      <w:r w:rsidRPr="00EA6851">
        <w:t xml:space="preserve">Политика в областта на правосъдието </w:t>
      </w:r>
    </w:p>
    <w:p w:rsidR="007478EA" w:rsidRPr="00EA6851" w:rsidRDefault="007478EA" w:rsidP="007478EA">
      <w:pPr>
        <w:rPr>
          <w:szCs w:val="24"/>
        </w:rPr>
      </w:pPr>
      <w:r w:rsidRPr="00EA6851">
        <w:rPr>
          <w:szCs w:val="24"/>
        </w:rPr>
        <w:t>Програмният бюджет на Министерството на правосъдието за периода 2024-2026 г. включва две политики – Политика в областта на правосъдието и Политика в областта на изпълнение на наказанията и бюджетна програма „Администрация“.</w:t>
      </w:r>
    </w:p>
    <w:p w:rsidR="007478EA" w:rsidRPr="00EA6851" w:rsidRDefault="007478EA" w:rsidP="007478EA">
      <w:pPr>
        <w:rPr>
          <w:szCs w:val="24"/>
        </w:rPr>
      </w:pPr>
      <w:r w:rsidRPr="00EA6851">
        <w:rPr>
          <w:szCs w:val="24"/>
        </w:rPr>
        <w:t>Приоритет на Министерството на правосъдието е да се реформира работата на съдебната система за постигане на достъпно, предвидимо, бързо и справедливо правосъдие, за възстановяване на справедливостта в обществото, което да гарантира правовия ред в страната, постигане на конкретни резултати в борбата с престъпността и еф</w:t>
      </w:r>
      <w:r w:rsidR="003E754F">
        <w:rPr>
          <w:szCs w:val="24"/>
        </w:rPr>
        <w:t>ективно справяне с корупцията.</w:t>
      </w:r>
      <w:r w:rsidRPr="00EA6851">
        <w:rPr>
          <w:szCs w:val="24"/>
        </w:rPr>
        <w:tab/>
      </w:r>
    </w:p>
    <w:p w:rsidR="007478EA" w:rsidRPr="00EA6851" w:rsidRDefault="007478EA" w:rsidP="007478EA">
      <w:pPr>
        <w:rPr>
          <w:szCs w:val="24"/>
        </w:rPr>
      </w:pPr>
      <w:r w:rsidRPr="00EA6851">
        <w:rPr>
          <w:szCs w:val="24"/>
        </w:rPr>
        <w:t>Отговорните структури за изпълнението на политиката в областта на правосъдието са Министерството на правосъдието</w:t>
      </w:r>
      <w:r w:rsidR="00DD0DC1">
        <w:rPr>
          <w:szCs w:val="24"/>
        </w:rPr>
        <w:t xml:space="preserve"> (МП)</w:t>
      </w:r>
      <w:r w:rsidRPr="00EA6851">
        <w:rPr>
          <w:szCs w:val="24"/>
        </w:rPr>
        <w:t>, Агенцията по вписванията</w:t>
      </w:r>
      <w:r w:rsidR="00DD0DC1">
        <w:rPr>
          <w:szCs w:val="24"/>
        </w:rPr>
        <w:t xml:space="preserve"> (АВ)</w:t>
      </w:r>
      <w:r w:rsidRPr="00EA6851">
        <w:rPr>
          <w:szCs w:val="24"/>
        </w:rPr>
        <w:t xml:space="preserve">, Националното бюро за правна помощ, Главна дирекция „Охрана” и </w:t>
      </w:r>
      <w:r w:rsidRPr="00EA6851">
        <w:rPr>
          <w:bCs/>
          <w:szCs w:val="24"/>
        </w:rPr>
        <w:t>Бюрото по защита на застрашени лица</w:t>
      </w:r>
      <w:r w:rsidRPr="00EA6851">
        <w:rPr>
          <w:szCs w:val="24"/>
        </w:rPr>
        <w:t>.</w:t>
      </w:r>
    </w:p>
    <w:p w:rsidR="007478EA" w:rsidRPr="00EA6851" w:rsidRDefault="007478EA" w:rsidP="007478EA">
      <w:pPr>
        <w:rPr>
          <w:szCs w:val="24"/>
        </w:rPr>
      </w:pPr>
      <w:r w:rsidRPr="00EA6851">
        <w:rPr>
          <w:szCs w:val="24"/>
        </w:rPr>
        <w:t>Извън дейностите, които се финансират с бюджетни средства, ще бъдат изпълнявани и дейности, финансирани със средства от Норвежкия финансов механизъм, Швейцарско-българската програма за сътрудничество, Инструмента за техническа подкрепа на Европейската комисия, Хоризонтална програма „Правосъдие“ на Европейската комисия и Механизма за възстановяване и устойчивост.</w:t>
      </w:r>
    </w:p>
    <w:p w:rsidR="007478EA" w:rsidRPr="00EA6851" w:rsidRDefault="007478EA" w:rsidP="007478EA">
      <w:pPr>
        <w:rPr>
          <w:szCs w:val="24"/>
        </w:rPr>
      </w:pPr>
      <w:r w:rsidRPr="00EA6851">
        <w:rPr>
          <w:szCs w:val="24"/>
        </w:rPr>
        <w:t xml:space="preserve">Меморандумът за разбирателство относно изпълнението на Норвежкия финансов механизъм (НФМ) 2014-2021, сключен на </w:t>
      </w:r>
      <w:r w:rsidR="00DE438C">
        <w:rPr>
          <w:szCs w:val="24"/>
        </w:rPr>
        <w:t>0</w:t>
      </w:r>
      <w:r w:rsidRPr="00EA6851">
        <w:rPr>
          <w:szCs w:val="24"/>
        </w:rPr>
        <w:t>9.12.2016 г. между Кралство Норвегия и Република България, определя Министерството на правосъдието за Програмен оператор на Програма „Правосъдие“.</w:t>
      </w:r>
    </w:p>
    <w:p w:rsidR="007478EA" w:rsidRPr="00EA6851" w:rsidRDefault="007478EA" w:rsidP="007478EA">
      <w:pPr>
        <w:rPr>
          <w:szCs w:val="24"/>
        </w:rPr>
      </w:pPr>
      <w:r w:rsidRPr="00EA6851">
        <w:rPr>
          <w:szCs w:val="24"/>
        </w:rPr>
        <w:t>В рамките на програмата се предвижда изпълнението на девет предварително дефинирани проекта и на една малка грантова схема.</w:t>
      </w:r>
    </w:p>
    <w:p w:rsidR="007478EA" w:rsidRPr="00EA6851" w:rsidRDefault="007478EA" w:rsidP="007478EA">
      <w:pPr>
        <w:rPr>
          <w:szCs w:val="24"/>
        </w:rPr>
      </w:pPr>
      <w:r w:rsidRPr="00EA6851">
        <w:rPr>
          <w:szCs w:val="24"/>
        </w:rPr>
        <w:t>Програма „Правосъдие“ обхваща две програмни области</w:t>
      </w:r>
      <w:r w:rsidR="00DE438C">
        <w:rPr>
          <w:szCs w:val="24"/>
        </w:rPr>
        <w:t>:</w:t>
      </w:r>
      <w:r w:rsidRPr="00EA6851">
        <w:rPr>
          <w:szCs w:val="24"/>
        </w:rPr>
        <w:t xml:space="preserve"> </w:t>
      </w:r>
      <w:r w:rsidR="00DE438C" w:rsidRPr="0030405E">
        <w:rPr>
          <w:i/>
          <w:szCs w:val="24"/>
        </w:rPr>
        <w:t xml:space="preserve">Програмна област </w:t>
      </w:r>
      <w:r w:rsidRPr="0030405E">
        <w:rPr>
          <w:i/>
          <w:szCs w:val="24"/>
        </w:rPr>
        <w:t>19 „Корекционни услуги и предварително задържане“</w:t>
      </w:r>
      <w:r w:rsidRPr="00EA6851">
        <w:rPr>
          <w:szCs w:val="24"/>
        </w:rPr>
        <w:t xml:space="preserve"> и </w:t>
      </w:r>
      <w:r w:rsidR="00DE438C" w:rsidRPr="0030405E">
        <w:rPr>
          <w:i/>
          <w:szCs w:val="24"/>
        </w:rPr>
        <w:t>Програмна об</w:t>
      </w:r>
      <w:r w:rsidR="0030405E">
        <w:rPr>
          <w:i/>
          <w:szCs w:val="24"/>
        </w:rPr>
        <w:t>л</w:t>
      </w:r>
      <w:r w:rsidR="00DE438C" w:rsidRPr="0030405E">
        <w:rPr>
          <w:i/>
          <w:szCs w:val="24"/>
        </w:rPr>
        <w:t xml:space="preserve">аст </w:t>
      </w:r>
      <w:r w:rsidRPr="0030405E">
        <w:rPr>
          <w:i/>
          <w:szCs w:val="24"/>
        </w:rPr>
        <w:t>21 „Ефективност и ефикасност на съдебната система, укрепване на върховенството на закона“.</w:t>
      </w:r>
      <w:r w:rsidRPr="00EA6851">
        <w:rPr>
          <w:szCs w:val="24"/>
        </w:rPr>
        <w:t xml:space="preserve"> </w:t>
      </w:r>
    </w:p>
    <w:p w:rsidR="007478EA" w:rsidRPr="00EA6851" w:rsidRDefault="007478EA" w:rsidP="007478EA">
      <w:pPr>
        <w:rPr>
          <w:szCs w:val="24"/>
        </w:rPr>
      </w:pPr>
      <w:r w:rsidRPr="00EA6851">
        <w:rPr>
          <w:szCs w:val="24"/>
        </w:rPr>
        <w:t xml:space="preserve">Планираното финансиране по </w:t>
      </w:r>
      <w:r w:rsidRPr="0030405E">
        <w:rPr>
          <w:i/>
          <w:szCs w:val="24"/>
        </w:rPr>
        <w:t>Програмна област 21</w:t>
      </w:r>
      <w:r w:rsidRPr="00EA6851">
        <w:rPr>
          <w:szCs w:val="24"/>
        </w:rPr>
        <w:t xml:space="preserve"> е насочено в следните направления:</w:t>
      </w:r>
    </w:p>
    <w:p w:rsidR="007478EA" w:rsidRPr="00EA6851" w:rsidRDefault="007478EA" w:rsidP="007478EA">
      <w:pPr>
        <w:rPr>
          <w:szCs w:val="24"/>
        </w:rPr>
      </w:pPr>
      <w:r w:rsidRPr="00EA6851">
        <w:rPr>
          <w:szCs w:val="24"/>
        </w:rPr>
        <w:t>(1) Подобрено прилагане на европейската правна рамка от българската съдебна система чрез ефективно изпълнение на решенията на Европейския съд по правата на човека (ЕСПЧ) и обучения на магистрати и други правни експерти;</w:t>
      </w:r>
    </w:p>
    <w:p w:rsidR="007478EA" w:rsidRPr="00EA6851" w:rsidRDefault="007478EA" w:rsidP="007478EA">
      <w:pPr>
        <w:rPr>
          <w:szCs w:val="24"/>
        </w:rPr>
      </w:pPr>
      <w:r w:rsidRPr="00EA6851">
        <w:rPr>
          <w:szCs w:val="24"/>
        </w:rPr>
        <w:t>(2) Подобряване на капацитета на българските власти в областта на детското правосъдие;</w:t>
      </w:r>
    </w:p>
    <w:p w:rsidR="007478EA" w:rsidRPr="00EA6851" w:rsidRDefault="007478EA" w:rsidP="007478EA">
      <w:pPr>
        <w:rPr>
          <w:szCs w:val="24"/>
        </w:rPr>
      </w:pPr>
      <w:r w:rsidRPr="00EA6851">
        <w:rPr>
          <w:szCs w:val="24"/>
        </w:rPr>
        <w:t>(3) Подобрен капацитет на българските институции в областта на домашното насилие и насилие, основано на полов признак.</w:t>
      </w:r>
    </w:p>
    <w:p w:rsidR="007478EA" w:rsidRPr="00EA6851" w:rsidRDefault="007478EA" w:rsidP="007478EA">
      <w:pPr>
        <w:rPr>
          <w:szCs w:val="24"/>
        </w:rPr>
      </w:pPr>
      <w:r w:rsidRPr="00EA6851">
        <w:rPr>
          <w:szCs w:val="24"/>
        </w:rPr>
        <w:t>Идентифицираната необходимост от подобряване на достъпа до основна правна помощ за жертви на домашно насилие и насилие, основано на полов признак и уязвимите групи ще бъде разрешена чрез разширена линия услуги за Националното бюро за правна помощ (включително онлайн инструменти), изграждане на координационен механизъм на местно ниво и повишена съгласуваност между основните заинтересовани страни за защита на правата на най-уязвимите – жени, деца и ромски общности. Освен това, повишаването на осведомеността относно съществуването и наличието на възможностите за правна помощ ще допринесе за подобряване на достъпа до правосъдие на най-уязвимите групи в обществото.</w:t>
      </w:r>
    </w:p>
    <w:p w:rsidR="007478EA" w:rsidRPr="00EA6851" w:rsidRDefault="007478EA" w:rsidP="007478EA">
      <w:pPr>
        <w:rPr>
          <w:szCs w:val="24"/>
        </w:rPr>
      </w:pPr>
      <w:r w:rsidRPr="00EA6851">
        <w:rPr>
          <w:szCs w:val="24"/>
        </w:rPr>
        <w:t>Не на последно място, мерките за повишаване на компетенциите в съдебната власт и подобряване на сътрудничеството и координацията между институциите, отговарящи за прилагането на принципите на Европейския съд по правата на човека</w:t>
      </w:r>
      <w:r w:rsidR="00064038" w:rsidRPr="00EA6851">
        <w:rPr>
          <w:szCs w:val="24"/>
        </w:rPr>
        <w:t>,</w:t>
      </w:r>
      <w:r w:rsidRPr="00EA6851">
        <w:rPr>
          <w:szCs w:val="24"/>
        </w:rPr>
        <w:t xml:space="preserve"> ще допринесат за бързото, ефикасно и ефективно изпълнение и прилагане на основните права на национално равнище.</w:t>
      </w:r>
    </w:p>
    <w:p w:rsidR="007478EA" w:rsidRPr="00EA6851" w:rsidRDefault="007478EA" w:rsidP="007478EA">
      <w:pPr>
        <w:rPr>
          <w:szCs w:val="24"/>
        </w:rPr>
      </w:pPr>
      <w:r w:rsidRPr="00EA6851">
        <w:rPr>
          <w:szCs w:val="24"/>
        </w:rPr>
        <w:t xml:space="preserve">В Рамките на </w:t>
      </w:r>
      <w:r w:rsidRPr="0030405E">
        <w:rPr>
          <w:i/>
          <w:szCs w:val="24"/>
        </w:rPr>
        <w:t>Програмна област 21</w:t>
      </w:r>
      <w:r w:rsidRPr="00EA6851">
        <w:rPr>
          <w:szCs w:val="24"/>
        </w:rPr>
        <w:t xml:space="preserve"> </w:t>
      </w:r>
      <w:r w:rsidR="00064038" w:rsidRPr="00EA6851">
        <w:rPr>
          <w:szCs w:val="24"/>
        </w:rPr>
        <w:t xml:space="preserve">бенефициенти по предварително дефинирани проекти са </w:t>
      </w:r>
      <w:r w:rsidRPr="00EA6851">
        <w:rPr>
          <w:szCs w:val="24"/>
        </w:rPr>
        <w:t>Националното бюро за правна помощ и дирекция „Процесуално представителство на Република България пред Европейския съд по правата на човека“ в Министерството на правосъдието.</w:t>
      </w:r>
    </w:p>
    <w:p w:rsidR="007478EA" w:rsidRPr="00EA6851" w:rsidRDefault="007478EA" w:rsidP="007478EA">
      <w:pPr>
        <w:rPr>
          <w:b/>
          <w:bCs/>
          <w:sz w:val="20"/>
          <w:szCs w:val="20"/>
        </w:rPr>
      </w:pPr>
      <w:r w:rsidRPr="00EA6851">
        <w:rPr>
          <w:b/>
          <w:bCs/>
          <w:sz w:val="20"/>
          <w:szCs w:val="20"/>
        </w:rPr>
        <w:t>КЛЮЧОВИ ИНДИКАТОРИ ЗА ИЗПЪЛНЕНИЕ И ЦЕЛЕВИ СТОЙНОСТИ</w:t>
      </w:r>
    </w:p>
    <w:tbl>
      <w:tblPr>
        <w:tblW w:w="5000" w:type="pct"/>
        <w:jc w:val="center"/>
        <w:tblBorders>
          <w:top w:val="single" w:sz="4" w:space="0" w:color="auto"/>
          <w:bottom w:val="single" w:sz="4" w:space="0" w:color="auto"/>
        </w:tblBorders>
        <w:tblLook w:val="04A0" w:firstRow="1" w:lastRow="0" w:firstColumn="1" w:lastColumn="0" w:noHBand="0" w:noVBand="1"/>
      </w:tblPr>
      <w:tblGrid>
        <w:gridCol w:w="3953"/>
        <w:gridCol w:w="1173"/>
        <w:gridCol w:w="1115"/>
        <w:gridCol w:w="923"/>
        <w:gridCol w:w="953"/>
        <w:gridCol w:w="953"/>
      </w:tblGrid>
      <w:tr w:rsidR="00164482" w:rsidRPr="00EA6851" w:rsidTr="00094DD5">
        <w:trPr>
          <w:trHeight w:val="60"/>
          <w:tblHeader/>
          <w:jc w:val="center"/>
        </w:trPr>
        <w:tc>
          <w:tcPr>
            <w:tcW w:w="2185" w:type="pct"/>
            <w:tcBorders>
              <w:bottom w:val="nil"/>
            </w:tcBorders>
            <w:shd w:val="clear" w:color="auto" w:fill="auto"/>
            <w:vAlign w:val="center"/>
            <w:hideMark/>
          </w:tcPr>
          <w:p w:rsidR="00164482" w:rsidRPr="00EA6851" w:rsidRDefault="00164482" w:rsidP="00094DD5">
            <w:pPr>
              <w:spacing w:after="0"/>
              <w:jc w:val="center"/>
              <w:rPr>
                <w:b/>
                <w:bCs/>
                <w:i/>
                <w:iCs/>
                <w:color w:val="000000"/>
                <w:sz w:val="18"/>
                <w:szCs w:val="18"/>
              </w:rPr>
            </w:pPr>
            <w:r w:rsidRPr="00EA6851">
              <w:rPr>
                <w:b/>
                <w:bCs/>
                <w:i/>
                <w:iCs/>
                <w:color w:val="000000"/>
                <w:sz w:val="18"/>
                <w:szCs w:val="18"/>
              </w:rPr>
              <w:t>Политика в областта на правосъдието</w:t>
            </w:r>
          </w:p>
          <w:p w:rsidR="00164482" w:rsidRPr="00EA6851" w:rsidRDefault="00164482" w:rsidP="00094DD5">
            <w:pPr>
              <w:spacing w:after="0"/>
              <w:jc w:val="center"/>
              <w:rPr>
                <w:b/>
                <w:bCs/>
                <w:i/>
                <w:iCs/>
                <w:color w:val="000000"/>
                <w:sz w:val="18"/>
                <w:szCs w:val="18"/>
              </w:rPr>
            </w:pPr>
          </w:p>
        </w:tc>
        <w:tc>
          <w:tcPr>
            <w:tcW w:w="647" w:type="pct"/>
            <w:vMerge w:val="restart"/>
            <w:shd w:val="clear" w:color="auto" w:fill="F2F2F2" w:themeFill="background1" w:themeFillShade="F2"/>
            <w:vAlign w:val="center"/>
            <w:hideMark/>
          </w:tcPr>
          <w:p w:rsidR="00164482" w:rsidRPr="00EA6851" w:rsidRDefault="00164482" w:rsidP="00094DD5">
            <w:pPr>
              <w:spacing w:after="0"/>
              <w:jc w:val="center"/>
              <w:rPr>
                <w:b/>
                <w:bCs/>
                <w:iCs/>
                <w:color w:val="000000"/>
                <w:sz w:val="18"/>
                <w:szCs w:val="18"/>
              </w:rPr>
            </w:pPr>
            <w:r w:rsidRPr="00EA6851">
              <w:rPr>
                <w:b/>
                <w:bCs/>
                <w:iCs/>
                <w:color w:val="000000"/>
                <w:sz w:val="18"/>
                <w:szCs w:val="18"/>
              </w:rPr>
              <w:t>Мерна единица</w:t>
            </w:r>
          </w:p>
        </w:tc>
        <w:tc>
          <w:tcPr>
            <w:tcW w:w="2168" w:type="pct"/>
            <w:gridSpan w:val="4"/>
            <w:tcBorders>
              <w:bottom w:val="single" w:sz="4" w:space="0" w:color="auto"/>
            </w:tcBorders>
            <w:shd w:val="clear" w:color="auto" w:fill="auto"/>
            <w:vAlign w:val="center"/>
            <w:hideMark/>
          </w:tcPr>
          <w:p w:rsidR="00164482" w:rsidRPr="00EA6851" w:rsidRDefault="00164482" w:rsidP="00094DD5">
            <w:pPr>
              <w:spacing w:after="0"/>
              <w:jc w:val="center"/>
              <w:rPr>
                <w:b/>
                <w:bCs/>
                <w:iCs/>
                <w:color w:val="000000"/>
                <w:sz w:val="18"/>
                <w:szCs w:val="18"/>
              </w:rPr>
            </w:pPr>
            <w:r w:rsidRPr="00EA6851">
              <w:rPr>
                <w:b/>
                <w:bCs/>
                <w:iCs/>
                <w:color w:val="000000"/>
                <w:sz w:val="18"/>
                <w:szCs w:val="18"/>
                <w:lang w:eastAsia="en-US"/>
              </w:rPr>
              <w:t>Целева стойност</w:t>
            </w:r>
          </w:p>
        </w:tc>
      </w:tr>
      <w:tr w:rsidR="00164482" w:rsidRPr="00EA6851" w:rsidTr="00094DD5">
        <w:trPr>
          <w:trHeight w:val="307"/>
          <w:tblHeader/>
          <w:jc w:val="center"/>
        </w:trPr>
        <w:tc>
          <w:tcPr>
            <w:tcW w:w="2185" w:type="pct"/>
            <w:tcBorders>
              <w:top w:val="nil"/>
              <w:bottom w:val="single" w:sz="4" w:space="0" w:color="auto"/>
            </w:tcBorders>
            <w:shd w:val="clear" w:color="auto" w:fill="auto"/>
            <w:vAlign w:val="center"/>
            <w:hideMark/>
          </w:tcPr>
          <w:p w:rsidR="00164482" w:rsidRPr="00EA6851" w:rsidRDefault="00164482" w:rsidP="00094DD5">
            <w:pPr>
              <w:spacing w:after="0"/>
              <w:jc w:val="center"/>
              <w:rPr>
                <w:b/>
                <w:bCs/>
                <w:iCs/>
                <w:color w:val="000000"/>
                <w:sz w:val="18"/>
                <w:szCs w:val="18"/>
              </w:rPr>
            </w:pPr>
            <w:r w:rsidRPr="00EA6851">
              <w:rPr>
                <w:b/>
                <w:bCs/>
                <w:iCs/>
                <w:color w:val="000000"/>
                <w:sz w:val="18"/>
                <w:szCs w:val="18"/>
              </w:rPr>
              <w:t>Наименование на индикатора</w:t>
            </w:r>
          </w:p>
        </w:tc>
        <w:tc>
          <w:tcPr>
            <w:tcW w:w="647" w:type="pct"/>
            <w:vMerge/>
            <w:tcBorders>
              <w:bottom w:val="single" w:sz="4" w:space="0" w:color="auto"/>
            </w:tcBorders>
            <w:shd w:val="clear" w:color="auto" w:fill="F2F2F2" w:themeFill="background1" w:themeFillShade="F2"/>
            <w:vAlign w:val="center"/>
            <w:hideMark/>
          </w:tcPr>
          <w:p w:rsidR="00164482" w:rsidRPr="00EA6851" w:rsidRDefault="00164482" w:rsidP="00094DD5">
            <w:pPr>
              <w:spacing w:after="0"/>
              <w:jc w:val="center"/>
              <w:rPr>
                <w:b/>
                <w:bCs/>
                <w:i/>
                <w:iCs/>
                <w:color w:val="000000"/>
                <w:sz w:val="18"/>
                <w:szCs w:val="18"/>
              </w:rPr>
            </w:pPr>
          </w:p>
        </w:tc>
        <w:tc>
          <w:tcPr>
            <w:tcW w:w="626" w:type="pct"/>
            <w:tcBorders>
              <w:top w:val="single" w:sz="4" w:space="0" w:color="auto"/>
              <w:bottom w:val="single" w:sz="4" w:space="0" w:color="auto"/>
            </w:tcBorders>
            <w:shd w:val="clear" w:color="auto" w:fill="auto"/>
            <w:vAlign w:val="center"/>
            <w:hideMark/>
          </w:tcPr>
          <w:p w:rsidR="00164482" w:rsidRPr="00EA6851" w:rsidRDefault="00164482" w:rsidP="00094DD5">
            <w:pPr>
              <w:spacing w:after="0"/>
              <w:jc w:val="center"/>
              <w:rPr>
                <w:b/>
                <w:bCs/>
                <w:i/>
                <w:iCs/>
                <w:color w:val="000000"/>
                <w:sz w:val="18"/>
                <w:szCs w:val="18"/>
                <w:lang w:eastAsia="en-US"/>
              </w:rPr>
            </w:pPr>
            <w:r w:rsidRPr="00EA6851">
              <w:rPr>
                <w:b/>
                <w:bCs/>
                <w:i/>
                <w:iCs/>
                <w:color w:val="000000"/>
                <w:sz w:val="18"/>
                <w:szCs w:val="18"/>
                <w:lang w:eastAsia="en-US"/>
              </w:rPr>
              <w:t>Програма</w:t>
            </w:r>
          </w:p>
          <w:p w:rsidR="00164482" w:rsidRPr="00EA6851" w:rsidRDefault="00164482" w:rsidP="00094DD5">
            <w:pPr>
              <w:spacing w:after="0"/>
              <w:jc w:val="center"/>
              <w:rPr>
                <w:b/>
                <w:bCs/>
                <w:i/>
                <w:iCs/>
                <w:color w:val="000000"/>
                <w:sz w:val="18"/>
                <w:szCs w:val="18"/>
                <w:lang w:eastAsia="en-US"/>
              </w:rPr>
            </w:pPr>
            <w:r w:rsidRPr="00EA6851">
              <w:rPr>
                <w:b/>
                <w:bCs/>
                <w:i/>
                <w:iCs/>
                <w:color w:val="000000"/>
                <w:sz w:val="18"/>
                <w:szCs w:val="18"/>
                <w:lang w:eastAsia="en-US"/>
              </w:rPr>
              <w:t>2023 г.</w:t>
            </w:r>
          </w:p>
        </w:tc>
        <w:tc>
          <w:tcPr>
            <w:tcW w:w="515" w:type="pct"/>
            <w:tcBorders>
              <w:top w:val="single" w:sz="4" w:space="0" w:color="auto"/>
              <w:bottom w:val="single" w:sz="4" w:space="0" w:color="auto"/>
            </w:tcBorders>
            <w:shd w:val="clear" w:color="auto" w:fill="auto"/>
            <w:vAlign w:val="center"/>
            <w:hideMark/>
          </w:tcPr>
          <w:p w:rsidR="00164482" w:rsidRPr="00EA6851" w:rsidRDefault="00164482" w:rsidP="00094DD5">
            <w:pPr>
              <w:spacing w:after="0"/>
              <w:jc w:val="center"/>
              <w:rPr>
                <w:b/>
                <w:bCs/>
                <w:i/>
                <w:iCs/>
                <w:color w:val="000000"/>
                <w:sz w:val="18"/>
                <w:szCs w:val="18"/>
                <w:lang w:eastAsia="en-US"/>
              </w:rPr>
            </w:pPr>
            <w:r w:rsidRPr="00EA6851">
              <w:rPr>
                <w:b/>
                <w:bCs/>
                <w:i/>
                <w:iCs/>
                <w:color w:val="000000"/>
                <w:sz w:val="18"/>
                <w:szCs w:val="18"/>
                <w:lang w:eastAsia="en-US"/>
              </w:rPr>
              <w:t xml:space="preserve">Проект </w:t>
            </w:r>
            <w:r w:rsidRPr="00EA6851">
              <w:rPr>
                <w:b/>
                <w:bCs/>
                <w:i/>
                <w:iCs/>
                <w:color w:val="000000"/>
                <w:sz w:val="18"/>
                <w:szCs w:val="18"/>
                <w:lang w:eastAsia="en-US"/>
              </w:rPr>
              <w:br/>
              <w:t>2024 г.</w:t>
            </w:r>
          </w:p>
        </w:tc>
        <w:tc>
          <w:tcPr>
            <w:tcW w:w="514" w:type="pct"/>
            <w:tcBorders>
              <w:top w:val="single" w:sz="4" w:space="0" w:color="auto"/>
              <w:bottom w:val="single" w:sz="4" w:space="0" w:color="auto"/>
            </w:tcBorders>
            <w:shd w:val="clear" w:color="auto" w:fill="auto"/>
            <w:vAlign w:val="center"/>
            <w:hideMark/>
          </w:tcPr>
          <w:p w:rsidR="00164482" w:rsidRPr="00EA6851" w:rsidRDefault="00164482" w:rsidP="00094DD5">
            <w:pPr>
              <w:spacing w:after="0"/>
              <w:jc w:val="center"/>
              <w:rPr>
                <w:b/>
                <w:bCs/>
                <w:i/>
                <w:iCs/>
                <w:color w:val="000000"/>
                <w:sz w:val="18"/>
                <w:szCs w:val="18"/>
                <w:lang w:eastAsia="en-US"/>
              </w:rPr>
            </w:pPr>
            <w:r w:rsidRPr="00EA6851">
              <w:rPr>
                <w:b/>
                <w:bCs/>
                <w:i/>
                <w:iCs/>
                <w:color w:val="000000"/>
                <w:sz w:val="18"/>
                <w:szCs w:val="18"/>
                <w:lang w:eastAsia="en-US"/>
              </w:rPr>
              <w:t xml:space="preserve">Прогноза </w:t>
            </w:r>
            <w:r w:rsidRPr="00EA6851">
              <w:rPr>
                <w:b/>
                <w:bCs/>
                <w:i/>
                <w:iCs/>
                <w:color w:val="000000"/>
                <w:sz w:val="18"/>
                <w:szCs w:val="18"/>
                <w:lang w:eastAsia="en-US"/>
              </w:rPr>
              <w:br/>
              <w:t>2025 г.</w:t>
            </w:r>
          </w:p>
        </w:tc>
        <w:tc>
          <w:tcPr>
            <w:tcW w:w="513" w:type="pct"/>
            <w:tcBorders>
              <w:top w:val="single" w:sz="4" w:space="0" w:color="auto"/>
              <w:bottom w:val="single" w:sz="4" w:space="0" w:color="auto"/>
            </w:tcBorders>
            <w:shd w:val="clear" w:color="auto" w:fill="auto"/>
            <w:vAlign w:val="center"/>
            <w:hideMark/>
          </w:tcPr>
          <w:p w:rsidR="00164482" w:rsidRPr="00EA6851" w:rsidRDefault="00164482" w:rsidP="00094DD5">
            <w:pPr>
              <w:spacing w:after="0"/>
              <w:jc w:val="center"/>
              <w:rPr>
                <w:b/>
                <w:bCs/>
                <w:i/>
                <w:iCs/>
                <w:color w:val="000000"/>
                <w:sz w:val="18"/>
                <w:szCs w:val="18"/>
                <w:lang w:eastAsia="en-US"/>
              </w:rPr>
            </w:pPr>
            <w:r w:rsidRPr="00EA6851">
              <w:rPr>
                <w:b/>
                <w:bCs/>
                <w:i/>
                <w:iCs/>
                <w:color w:val="000000"/>
                <w:sz w:val="18"/>
                <w:szCs w:val="18"/>
                <w:lang w:eastAsia="en-US"/>
              </w:rPr>
              <w:t>Прогноза 2026 г.</w:t>
            </w:r>
          </w:p>
        </w:tc>
      </w:tr>
      <w:tr w:rsidR="00164482" w:rsidRPr="00EA6851" w:rsidTr="00094DD5">
        <w:trPr>
          <w:trHeight w:val="60"/>
          <w:jc w:val="center"/>
        </w:trPr>
        <w:tc>
          <w:tcPr>
            <w:tcW w:w="2185" w:type="pct"/>
            <w:tcBorders>
              <w:top w:val="single" w:sz="4" w:space="0" w:color="auto"/>
              <w:bottom w:val="nil"/>
            </w:tcBorders>
            <w:shd w:val="clear" w:color="auto" w:fill="auto"/>
            <w:vAlign w:val="center"/>
            <w:hideMark/>
          </w:tcPr>
          <w:p w:rsidR="00164482" w:rsidRPr="00EA6851" w:rsidRDefault="00164482" w:rsidP="00094DD5">
            <w:pPr>
              <w:spacing w:after="0"/>
              <w:rPr>
                <w:color w:val="000000"/>
                <w:sz w:val="18"/>
                <w:szCs w:val="18"/>
                <w:lang w:eastAsia="en-US"/>
              </w:rPr>
            </w:pPr>
            <w:r w:rsidRPr="00EA6851">
              <w:rPr>
                <w:color w:val="000000"/>
                <w:sz w:val="18"/>
                <w:szCs w:val="18"/>
                <w:lang w:eastAsia="en-US"/>
              </w:rPr>
              <w:t>1. Брой изготвени законопроекти и подзаконови нормативни актове, които осигуряват нормативната основа за функциониране на съдебната власт, включително свързани с въвеждането, изпълнението и прилагането на актове на ЕС в областите от компетентност на МП</w:t>
            </w:r>
          </w:p>
        </w:tc>
        <w:tc>
          <w:tcPr>
            <w:tcW w:w="647" w:type="pct"/>
            <w:tcBorders>
              <w:top w:val="single" w:sz="4" w:space="0" w:color="auto"/>
              <w:bottom w:val="nil"/>
            </w:tcBorders>
            <w:shd w:val="clear" w:color="auto" w:fill="F2F2F2" w:themeFill="background1" w:themeFillShade="F2"/>
            <w:vAlign w:val="center"/>
            <w:hideMark/>
          </w:tcPr>
          <w:p w:rsidR="00164482" w:rsidRPr="00EA6851" w:rsidRDefault="00164482" w:rsidP="00094DD5">
            <w:pPr>
              <w:spacing w:after="0"/>
              <w:jc w:val="center"/>
              <w:rPr>
                <w:color w:val="000000"/>
                <w:sz w:val="18"/>
                <w:szCs w:val="18"/>
                <w:lang w:eastAsia="en-US"/>
              </w:rPr>
            </w:pPr>
            <w:r w:rsidRPr="00EA6851">
              <w:rPr>
                <w:color w:val="000000"/>
                <w:sz w:val="18"/>
                <w:szCs w:val="18"/>
                <w:lang w:eastAsia="en-US"/>
              </w:rPr>
              <w:t>Брой</w:t>
            </w:r>
          </w:p>
        </w:tc>
        <w:tc>
          <w:tcPr>
            <w:tcW w:w="626" w:type="pct"/>
            <w:tcBorders>
              <w:top w:val="single" w:sz="4" w:space="0" w:color="auto"/>
              <w:bottom w:val="nil"/>
            </w:tcBorders>
            <w:shd w:val="clear" w:color="auto" w:fill="auto"/>
            <w:vAlign w:val="center"/>
            <w:hideMark/>
          </w:tcPr>
          <w:p w:rsidR="00164482" w:rsidRPr="00EA6851" w:rsidRDefault="00164482" w:rsidP="00094DD5">
            <w:pPr>
              <w:spacing w:after="0"/>
              <w:jc w:val="center"/>
              <w:rPr>
                <w:color w:val="000000"/>
                <w:sz w:val="18"/>
                <w:szCs w:val="18"/>
                <w:lang w:eastAsia="en-US"/>
              </w:rPr>
            </w:pPr>
            <w:r w:rsidRPr="00EA6851">
              <w:rPr>
                <w:color w:val="000000"/>
                <w:sz w:val="18"/>
                <w:szCs w:val="18"/>
                <w:lang w:eastAsia="en-US"/>
              </w:rPr>
              <w:t>8</w:t>
            </w:r>
          </w:p>
        </w:tc>
        <w:tc>
          <w:tcPr>
            <w:tcW w:w="515" w:type="pct"/>
            <w:tcBorders>
              <w:top w:val="single" w:sz="4" w:space="0" w:color="auto"/>
              <w:bottom w:val="nil"/>
            </w:tcBorders>
            <w:shd w:val="clear" w:color="auto" w:fill="auto"/>
            <w:noWrap/>
            <w:vAlign w:val="center"/>
            <w:hideMark/>
          </w:tcPr>
          <w:p w:rsidR="00164482" w:rsidRPr="00EA6851" w:rsidRDefault="00164482" w:rsidP="00094DD5">
            <w:pPr>
              <w:spacing w:after="0"/>
              <w:jc w:val="center"/>
              <w:rPr>
                <w:color w:val="000000"/>
                <w:sz w:val="18"/>
                <w:szCs w:val="18"/>
                <w:lang w:eastAsia="en-US"/>
              </w:rPr>
            </w:pPr>
            <w:r w:rsidRPr="00EA6851">
              <w:rPr>
                <w:color w:val="000000"/>
                <w:sz w:val="18"/>
                <w:szCs w:val="18"/>
                <w:lang w:eastAsia="en-US"/>
              </w:rPr>
              <w:t>8</w:t>
            </w:r>
          </w:p>
        </w:tc>
        <w:tc>
          <w:tcPr>
            <w:tcW w:w="514" w:type="pct"/>
            <w:tcBorders>
              <w:top w:val="single" w:sz="4" w:space="0" w:color="auto"/>
              <w:bottom w:val="nil"/>
            </w:tcBorders>
            <w:shd w:val="clear" w:color="auto" w:fill="auto"/>
            <w:noWrap/>
            <w:vAlign w:val="center"/>
            <w:hideMark/>
          </w:tcPr>
          <w:p w:rsidR="00164482" w:rsidRPr="00EA6851" w:rsidRDefault="00164482" w:rsidP="00094DD5">
            <w:pPr>
              <w:spacing w:after="0"/>
              <w:jc w:val="center"/>
              <w:rPr>
                <w:color w:val="000000"/>
                <w:sz w:val="18"/>
                <w:szCs w:val="18"/>
                <w:lang w:eastAsia="en-US"/>
              </w:rPr>
            </w:pPr>
            <w:r w:rsidRPr="00EA6851">
              <w:rPr>
                <w:color w:val="000000"/>
                <w:sz w:val="18"/>
                <w:szCs w:val="18"/>
                <w:lang w:eastAsia="en-US"/>
              </w:rPr>
              <w:t>8</w:t>
            </w:r>
          </w:p>
        </w:tc>
        <w:tc>
          <w:tcPr>
            <w:tcW w:w="513" w:type="pct"/>
            <w:tcBorders>
              <w:top w:val="single" w:sz="4" w:space="0" w:color="auto"/>
              <w:bottom w:val="nil"/>
            </w:tcBorders>
            <w:shd w:val="clear" w:color="auto" w:fill="auto"/>
            <w:noWrap/>
            <w:vAlign w:val="center"/>
            <w:hideMark/>
          </w:tcPr>
          <w:p w:rsidR="00164482" w:rsidRPr="00EA6851" w:rsidRDefault="00164482" w:rsidP="00094DD5">
            <w:pPr>
              <w:spacing w:after="0"/>
              <w:jc w:val="center"/>
              <w:rPr>
                <w:color w:val="000000"/>
                <w:sz w:val="18"/>
                <w:szCs w:val="18"/>
                <w:lang w:eastAsia="en-US"/>
              </w:rPr>
            </w:pPr>
            <w:r w:rsidRPr="00EA6851">
              <w:rPr>
                <w:color w:val="000000"/>
                <w:sz w:val="18"/>
                <w:szCs w:val="18"/>
                <w:lang w:eastAsia="en-US"/>
              </w:rPr>
              <w:t>8</w:t>
            </w:r>
          </w:p>
        </w:tc>
      </w:tr>
      <w:tr w:rsidR="00164482" w:rsidRPr="00EA6851" w:rsidTr="00094DD5">
        <w:trPr>
          <w:trHeight w:val="129"/>
          <w:jc w:val="center"/>
        </w:trPr>
        <w:tc>
          <w:tcPr>
            <w:tcW w:w="2185" w:type="pct"/>
            <w:tcBorders>
              <w:top w:val="nil"/>
            </w:tcBorders>
            <w:shd w:val="clear" w:color="auto" w:fill="auto"/>
            <w:vAlign w:val="center"/>
            <w:hideMark/>
          </w:tcPr>
          <w:p w:rsidR="00164482" w:rsidRPr="00EA6851" w:rsidRDefault="00164482" w:rsidP="00094DD5">
            <w:pPr>
              <w:spacing w:after="0"/>
              <w:rPr>
                <w:color w:val="000000"/>
                <w:sz w:val="18"/>
                <w:szCs w:val="18"/>
                <w:lang w:eastAsia="en-US"/>
              </w:rPr>
            </w:pPr>
            <w:r w:rsidRPr="00EA6851">
              <w:rPr>
                <w:color w:val="000000"/>
                <w:sz w:val="18"/>
                <w:szCs w:val="18"/>
                <w:lang w:eastAsia="en-US"/>
              </w:rPr>
              <w:t>2. Брой свързани регистри за изграждане на интегрирана свързаност на регистрите</w:t>
            </w:r>
          </w:p>
        </w:tc>
        <w:tc>
          <w:tcPr>
            <w:tcW w:w="647" w:type="pct"/>
            <w:tcBorders>
              <w:top w:val="nil"/>
            </w:tcBorders>
            <w:shd w:val="clear" w:color="auto" w:fill="F2F2F2" w:themeFill="background1" w:themeFillShade="F2"/>
            <w:vAlign w:val="center"/>
            <w:hideMark/>
          </w:tcPr>
          <w:p w:rsidR="00164482" w:rsidRPr="00EA6851" w:rsidRDefault="00164482" w:rsidP="00094DD5">
            <w:pPr>
              <w:spacing w:after="0"/>
              <w:jc w:val="center"/>
              <w:rPr>
                <w:color w:val="000000"/>
                <w:sz w:val="18"/>
                <w:szCs w:val="18"/>
                <w:lang w:eastAsia="en-US"/>
              </w:rPr>
            </w:pPr>
            <w:r w:rsidRPr="00EA6851">
              <w:rPr>
                <w:color w:val="000000"/>
                <w:sz w:val="18"/>
                <w:szCs w:val="18"/>
                <w:lang w:eastAsia="en-US"/>
              </w:rPr>
              <w:t>Брой</w:t>
            </w:r>
          </w:p>
        </w:tc>
        <w:tc>
          <w:tcPr>
            <w:tcW w:w="626" w:type="pct"/>
            <w:tcBorders>
              <w:top w:val="nil"/>
            </w:tcBorders>
            <w:shd w:val="clear" w:color="auto" w:fill="auto"/>
            <w:vAlign w:val="center"/>
            <w:hideMark/>
          </w:tcPr>
          <w:p w:rsidR="00164482" w:rsidRPr="00EA6851" w:rsidRDefault="00164482" w:rsidP="00094DD5">
            <w:pPr>
              <w:spacing w:after="0"/>
              <w:jc w:val="center"/>
              <w:rPr>
                <w:color w:val="000000"/>
                <w:sz w:val="18"/>
                <w:szCs w:val="18"/>
                <w:lang w:eastAsia="en-US"/>
              </w:rPr>
            </w:pPr>
            <w:r w:rsidRPr="00EA6851">
              <w:rPr>
                <w:color w:val="000000"/>
                <w:sz w:val="18"/>
                <w:szCs w:val="18"/>
                <w:lang w:eastAsia="en-US"/>
              </w:rPr>
              <w:t>2</w:t>
            </w:r>
          </w:p>
        </w:tc>
        <w:tc>
          <w:tcPr>
            <w:tcW w:w="515" w:type="pct"/>
            <w:tcBorders>
              <w:top w:val="nil"/>
            </w:tcBorders>
            <w:shd w:val="clear" w:color="auto" w:fill="auto"/>
            <w:noWrap/>
            <w:vAlign w:val="center"/>
            <w:hideMark/>
          </w:tcPr>
          <w:p w:rsidR="00164482" w:rsidRPr="00EA6851" w:rsidRDefault="00164482" w:rsidP="00094DD5">
            <w:pPr>
              <w:spacing w:after="0"/>
              <w:jc w:val="center"/>
              <w:rPr>
                <w:color w:val="000000"/>
                <w:sz w:val="18"/>
                <w:szCs w:val="18"/>
                <w:lang w:eastAsia="en-US"/>
              </w:rPr>
            </w:pPr>
            <w:r w:rsidRPr="00EA6851">
              <w:rPr>
                <w:color w:val="000000"/>
                <w:sz w:val="18"/>
                <w:szCs w:val="18"/>
                <w:lang w:eastAsia="en-US"/>
              </w:rPr>
              <w:t>1</w:t>
            </w:r>
          </w:p>
        </w:tc>
        <w:tc>
          <w:tcPr>
            <w:tcW w:w="514" w:type="pct"/>
            <w:tcBorders>
              <w:top w:val="nil"/>
            </w:tcBorders>
            <w:shd w:val="clear" w:color="auto" w:fill="auto"/>
            <w:noWrap/>
            <w:vAlign w:val="center"/>
            <w:hideMark/>
          </w:tcPr>
          <w:p w:rsidR="00164482" w:rsidRPr="00EA6851" w:rsidRDefault="00164482" w:rsidP="00094DD5">
            <w:pPr>
              <w:spacing w:after="0"/>
              <w:jc w:val="center"/>
              <w:rPr>
                <w:color w:val="000000"/>
                <w:sz w:val="18"/>
                <w:szCs w:val="18"/>
                <w:lang w:eastAsia="en-US"/>
              </w:rPr>
            </w:pPr>
            <w:r w:rsidRPr="00EA6851">
              <w:rPr>
                <w:color w:val="000000"/>
                <w:sz w:val="18"/>
                <w:szCs w:val="18"/>
                <w:lang w:eastAsia="en-US"/>
              </w:rPr>
              <w:t>1</w:t>
            </w:r>
          </w:p>
        </w:tc>
        <w:tc>
          <w:tcPr>
            <w:tcW w:w="513" w:type="pct"/>
            <w:tcBorders>
              <w:top w:val="nil"/>
            </w:tcBorders>
            <w:shd w:val="clear" w:color="auto" w:fill="auto"/>
            <w:noWrap/>
            <w:vAlign w:val="center"/>
            <w:hideMark/>
          </w:tcPr>
          <w:p w:rsidR="00164482" w:rsidRPr="00EA6851" w:rsidRDefault="00164482" w:rsidP="00094DD5">
            <w:pPr>
              <w:spacing w:after="0"/>
              <w:jc w:val="center"/>
              <w:rPr>
                <w:color w:val="000000"/>
                <w:sz w:val="18"/>
                <w:szCs w:val="18"/>
                <w:lang w:eastAsia="en-US"/>
              </w:rPr>
            </w:pPr>
            <w:r w:rsidRPr="00EA6851">
              <w:rPr>
                <w:color w:val="000000"/>
                <w:sz w:val="18"/>
                <w:szCs w:val="18"/>
                <w:lang w:eastAsia="en-US"/>
              </w:rPr>
              <w:t>1</w:t>
            </w:r>
          </w:p>
        </w:tc>
      </w:tr>
      <w:tr w:rsidR="00164482" w:rsidRPr="00EA6851" w:rsidTr="00094DD5">
        <w:trPr>
          <w:trHeight w:val="726"/>
          <w:jc w:val="center"/>
        </w:trPr>
        <w:tc>
          <w:tcPr>
            <w:tcW w:w="2185" w:type="pct"/>
            <w:shd w:val="clear" w:color="auto" w:fill="auto"/>
            <w:vAlign w:val="center"/>
            <w:hideMark/>
          </w:tcPr>
          <w:p w:rsidR="00164482" w:rsidRPr="00EA6851" w:rsidRDefault="00164482" w:rsidP="00094DD5">
            <w:pPr>
              <w:spacing w:after="0"/>
              <w:rPr>
                <w:color w:val="000000"/>
                <w:sz w:val="18"/>
                <w:szCs w:val="18"/>
                <w:lang w:eastAsia="en-US"/>
              </w:rPr>
            </w:pPr>
            <w:r w:rsidRPr="00EA6851">
              <w:rPr>
                <w:color w:val="000000"/>
                <w:sz w:val="18"/>
                <w:szCs w:val="18"/>
                <w:lang w:eastAsia="en-US"/>
              </w:rPr>
              <w:t>3. Брой нови електронни услуги в Търговския регистър и регистъра на юридическите лица с нестопанска цел</w:t>
            </w:r>
          </w:p>
        </w:tc>
        <w:tc>
          <w:tcPr>
            <w:tcW w:w="647" w:type="pct"/>
            <w:shd w:val="clear" w:color="auto" w:fill="F2F2F2" w:themeFill="background1" w:themeFillShade="F2"/>
            <w:vAlign w:val="center"/>
            <w:hideMark/>
          </w:tcPr>
          <w:p w:rsidR="00164482" w:rsidRPr="00EA6851" w:rsidRDefault="00164482" w:rsidP="00094DD5">
            <w:pPr>
              <w:spacing w:after="0"/>
              <w:jc w:val="center"/>
              <w:rPr>
                <w:color w:val="000000"/>
                <w:sz w:val="18"/>
                <w:szCs w:val="18"/>
                <w:lang w:eastAsia="en-US"/>
              </w:rPr>
            </w:pPr>
            <w:r w:rsidRPr="00EA6851">
              <w:rPr>
                <w:color w:val="000000"/>
                <w:sz w:val="18"/>
                <w:szCs w:val="18"/>
                <w:lang w:eastAsia="en-US"/>
              </w:rPr>
              <w:t>Брой</w:t>
            </w:r>
          </w:p>
        </w:tc>
        <w:tc>
          <w:tcPr>
            <w:tcW w:w="626" w:type="pct"/>
            <w:shd w:val="clear" w:color="auto" w:fill="auto"/>
            <w:vAlign w:val="center"/>
            <w:hideMark/>
          </w:tcPr>
          <w:p w:rsidR="00164482" w:rsidRPr="00EA6851" w:rsidRDefault="00164482" w:rsidP="00094DD5">
            <w:pPr>
              <w:spacing w:after="0"/>
              <w:jc w:val="center"/>
              <w:rPr>
                <w:color w:val="000000"/>
                <w:sz w:val="18"/>
                <w:szCs w:val="18"/>
                <w:lang w:eastAsia="en-US"/>
              </w:rPr>
            </w:pPr>
            <w:r w:rsidRPr="00EA6851">
              <w:rPr>
                <w:color w:val="000000"/>
                <w:sz w:val="18"/>
                <w:szCs w:val="18"/>
                <w:lang w:eastAsia="en-US"/>
              </w:rPr>
              <w:t>1</w:t>
            </w:r>
          </w:p>
        </w:tc>
        <w:tc>
          <w:tcPr>
            <w:tcW w:w="515" w:type="pct"/>
            <w:shd w:val="clear" w:color="auto" w:fill="auto"/>
            <w:noWrap/>
            <w:vAlign w:val="center"/>
            <w:hideMark/>
          </w:tcPr>
          <w:p w:rsidR="00164482" w:rsidRPr="00EA6851" w:rsidRDefault="00164482" w:rsidP="00094DD5">
            <w:pPr>
              <w:spacing w:after="0"/>
              <w:jc w:val="center"/>
              <w:rPr>
                <w:color w:val="000000"/>
                <w:sz w:val="18"/>
                <w:szCs w:val="18"/>
                <w:lang w:eastAsia="en-US"/>
              </w:rPr>
            </w:pPr>
            <w:r w:rsidRPr="00EA6851">
              <w:rPr>
                <w:color w:val="000000"/>
                <w:sz w:val="18"/>
                <w:szCs w:val="18"/>
                <w:lang w:eastAsia="en-US"/>
              </w:rPr>
              <w:t>1</w:t>
            </w:r>
          </w:p>
        </w:tc>
        <w:tc>
          <w:tcPr>
            <w:tcW w:w="514" w:type="pct"/>
            <w:shd w:val="clear" w:color="auto" w:fill="auto"/>
            <w:noWrap/>
            <w:vAlign w:val="center"/>
            <w:hideMark/>
          </w:tcPr>
          <w:p w:rsidR="00164482" w:rsidRPr="00EA6851" w:rsidRDefault="00164482" w:rsidP="00094DD5">
            <w:pPr>
              <w:spacing w:after="0"/>
              <w:jc w:val="center"/>
              <w:rPr>
                <w:color w:val="000000"/>
                <w:sz w:val="18"/>
                <w:szCs w:val="18"/>
                <w:lang w:eastAsia="en-US"/>
              </w:rPr>
            </w:pPr>
            <w:r w:rsidRPr="00EA6851">
              <w:rPr>
                <w:color w:val="000000"/>
                <w:sz w:val="18"/>
                <w:szCs w:val="18"/>
                <w:lang w:eastAsia="en-US"/>
              </w:rPr>
              <w:t>0</w:t>
            </w:r>
          </w:p>
        </w:tc>
        <w:tc>
          <w:tcPr>
            <w:tcW w:w="513" w:type="pct"/>
            <w:shd w:val="clear" w:color="auto" w:fill="auto"/>
            <w:noWrap/>
            <w:vAlign w:val="center"/>
            <w:hideMark/>
          </w:tcPr>
          <w:p w:rsidR="00164482" w:rsidRPr="00EA6851" w:rsidRDefault="00164482" w:rsidP="00094DD5">
            <w:pPr>
              <w:spacing w:after="0"/>
              <w:jc w:val="center"/>
              <w:rPr>
                <w:color w:val="000000"/>
                <w:sz w:val="18"/>
                <w:szCs w:val="18"/>
                <w:lang w:eastAsia="en-US"/>
              </w:rPr>
            </w:pPr>
            <w:r w:rsidRPr="00EA6851">
              <w:rPr>
                <w:color w:val="000000"/>
                <w:sz w:val="18"/>
                <w:szCs w:val="18"/>
                <w:lang w:eastAsia="en-US"/>
              </w:rPr>
              <w:t>0</w:t>
            </w:r>
          </w:p>
        </w:tc>
      </w:tr>
      <w:tr w:rsidR="00164482" w:rsidRPr="00EA6851" w:rsidTr="00094DD5">
        <w:trPr>
          <w:trHeight w:val="926"/>
          <w:jc w:val="center"/>
        </w:trPr>
        <w:tc>
          <w:tcPr>
            <w:tcW w:w="2185" w:type="pct"/>
            <w:shd w:val="clear" w:color="auto" w:fill="auto"/>
            <w:vAlign w:val="center"/>
          </w:tcPr>
          <w:p w:rsidR="00164482" w:rsidRPr="00EA6851" w:rsidRDefault="00164482" w:rsidP="00094DD5">
            <w:pPr>
              <w:spacing w:after="0"/>
              <w:rPr>
                <w:color w:val="000000"/>
                <w:sz w:val="18"/>
                <w:szCs w:val="18"/>
                <w:lang w:eastAsia="en-US"/>
              </w:rPr>
            </w:pPr>
            <w:r w:rsidRPr="00EA6851">
              <w:rPr>
                <w:color w:val="000000"/>
                <w:sz w:val="18"/>
                <w:szCs w:val="18"/>
                <w:lang w:eastAsia="en-US"/>
              </w:rPr>
              <w:t>4. Цифровизация на архиви на служби по вписванията към Агенция по вписванията</w:t>
            </w:r>
          </w:p>
        </w:tc>
        <w:tc>
          <w:tcPr>
            <w:tcW w:w="647" w:type="pct"/>
            <w:shd w:val="clear" w:color="auto" w:fill="F2F2F2" w:themeFill="background1" w:themeFillShade="F2"/>
            <w:vAlign w:val="center"/>
          </w:tcPr>
          <w:p w:rsidR="00164482" w:rsidRPr="00EA6851" w:rsidRDefault="00164482" w:rsidP="00094DD5">
            <w:pPr>
              <w:spacing w:after="0"/>
              <w:jc w:val="center"/>
              <w:rPr>
                <w:color w:val="000000"/>
                <w:sz w:val="18"/>
                <w:szCs w:val="18"/>
                <w:lang w:eastAsia="en-US"/>
              </w:rPr>
            </w:pPr>
            <w:r w:rsidRPr="00EA6851">
              <w:rPr>
                <w:color w:val="000000"/>
                <w:sz w:val="18"/>
                <w:szCs w:val="18"/>
                <w:lang w:eastAsia="en-US"/>
              </w:rPr>
              <w:t>Брой служби по вписванията</w:t>
            </w:r>
          </w:p>
        </w:tc>
        <w:tc>
          <w:tcPr>
            <w:tcW w:w="626" w:type="pct"/>
            <w:shd w:val="clear" w:color="auto" w:fill="auto"/>
            <w:vAlign w:val="center"/>
          </w:tcPr>
          <w:p w:rsidR="00164482" w:rsidRPr="00EA6851" w:rsidRDefault="00164482" w:rsidP="00094DD5">
            <w:pPr>
              <w:spacing w:after="0"/>
              <w:jc w:val="center"/>
              <w:rPr>
                <w:color w:val="000000"/>
                <w:sz w:val="18"/>
                <w:szCs w:val="18"/>
                <w:lang w:eastAsia="en-US"/>
              </w:rPr>
            </w:pPr>
            <w:r w:rsidRPr="00EA6851">
              <w:rPr>
                <w:color w:val="000000"/>
                <w:sz w:val="18"/>
                <w:szCs w:val="18"/>
                <w:lang w:eastAsia="en-US"/>
              </w:rPr>
              <w:t>2</w:t>
            </w:r>
          </w:p>
        </w:tc>
        <w:tc>
          <w:tcPr>
            <w:tcW w:w="515" w:type="pct"/>
            <w:shd w:val="clear" w:color="auto" w:fill="auto"/>
            <w:noWrap/>
            <w:vAlign w:val="center"/>
          </w:tcPr>
          <w:p w:rsidR="00164482" w:rsidRPr="00EA6851" w:rsidRDefault="00164482" w:rsidP="00094DD5">
            <w:pPr>
              <w:spacing w:after="0"/>
              <w:jc w:val="center"/>
              <w:rPr>
                <w:color w:val="000000"/>
                <w:sz w:val="18"/>
                <w:szCs w:val="18"/>
                <w:lang w:eastAsia="en-US"/>
              </w:rPr>
            </w:pPr>
            <w:r w:rsidRPr="00EA6851">
              <w:rPr>
                <w:color w:val="000000"/>
                <w:sz w:val="18"/>
                <w:szCs w:val="18"/>
                <w:lang w:eastAsia="en-US"/>
              </w:rPr>
              <w:t>2</w:t>
            </w:r>
          </w:p>
        </w:tc>
        <w:tc>
          <w:tcPr>
            <w:tcW w:w="514" w:type="pct"/>
            <w:shd w:val="clear" w:color="auto" w:fill="auto"/>
            <w:noWrap/>
            <w:vAlign w:val="center"/>
          </w:tcPr>
          <w:p w:rsidR="00164482" w:rsidRPr="00EA6851" w:rsidRDefault="00164482" w:rsidP="00094DD5">
            <w:pPr>
              <w:spacing w:after="0"/>
              <w:jc w:val="center"/>
              <w:rPr>
                <w:color w:val="000000"/>
                <w:sz w:val="18"/>
                <w:szCs w:val="18"/>
                <w:lang w:eastAsia="en-US"/>
              </w:rPr>
            </w:pPr>
            <w:r w:rsidRPr="00EA6851">
              <w:rPr>
                <w:color w:val="000000"/>
                <w:sz w:val="18"/>
                <w:szCs w:val="18"/>
                <w:lang w:eastAsia="en-US"/>
              </w:rPr>
              <w:t>2</w:t>
            </w:r>
          </w:p>
        </w:tc>
        <w:tc>
          <w:tcPr>
            <w:tcW w:w="513" w:type="pct"/>
            <w:shd w:val="clear" w:color="auto" w:fill="auto"/>
            <w:noWrap/>
            <w:vAlign w:val="center"/>
          </w:tcPr>
          <w:p w:rsidR="00164482" w:rsidRPr="00EA6851" w:rsidRDefault="00164482" w:rsidP="00094DD5">
            <w:pPr>
              <w:spacing w:after="0"/>
              <w:jc w:val="center"/>
              <w:rPr>
                <w:color w:val="000000"/>
                <w:sz w:val="18"/>
                <w:szCs w:val="18"/>
                <w:lang w:eastAsia="en-US"/>
              </w:rPr>
            </w:pPr>
            <w:r w:rsidRPr="00EA6851">
              <w:rPr>
                <w:color w:val="000000"/>
                <w:sz w:val="18"/>
                <w:szCs w:val="18"/>
                <w:lang w:eastAsia="en-US"/>
              </w:rPr>
              <w:t>2</w:t>
            </w:r>
          </w:p>
        </w:tc>
      </w:tr>
      <w:tr w:rsidR="00164482" w:rsidRPr="00EA6851" w:rsidTr="00094DD5">
        <w:trPr>
          <w:trHeight w:val="483"/>
          <w:jc w:val="center"/>
        </w:trPr>
        <w:tc>
          <w:tcPr>
            <w:tcW w:w="2185" w:type="pct"/>
            <w:shd w:val="clear" w:color="auto" w:fill="auto"/>
            <w:vAlign w:val="center"/>
          </w:tcPr>
          <w:p w:rsidR="00164482" w:rsidRPr="00EA6851" w:rsidRDefault="00164482" w:rsidP="00094DD5">
            <w:pPr>
              <w:spacing w:after="0"/>
              <w:rPr>
                <w:color w:val="000000"/>
                <w:sz w:val="18"/>
                <w:szCs w:val="18"/>
                <w:lang w:eastAsia="en-US"/>
              </w:rPr>
            </w:pPr>
            <w:r w:rsidRPr="00EA6851">
              <w:rPr>
                <w:color w:val="000000"/>
                <w:sz w:val="18"/>
                <w:szCs w:val="18"/>
                <w:lang w:eastAsia="en-US"/>
              </w:rPr>
              <w:t>5. Реализиране на ЦАИС</w:t>
            </w:r>
            <w:r w:rsidRPr="00EA6851">
              <w:rPr>
                <w:rFonts w:cs="Times New Roman"/>
                <w:position w:val="2"/>
                <w:sz w:val="18"/>
                <w:szCs w:val="18"/>
                <w:vertAlign w:val="superscript"/>
                <w:lang w:eastAsia="en-US"/>
              </w:rPr>
              <w:footnoteReference w:id="27"/>
            </w:r>
            <w:r w:rsidRPr="00EA6851">
              <w:rPr>
                <w:color w:val="000000"/>
                <w:sz w:val="18"/>
                <w:szCs w:val="18"/>
                <w:lang w:eastAsia="en-US"/>
              </w:rPr>
              <w:t xml:space="preserve"> „Единна входна точка“ за подаване на годишни финансови отчети и статистика в машинно-четим формат и интеграция с НАП, НСИ, АВ (ТР)</w:t>
            </w:r>
          </w:p>
        </w:tc>
        <w:tc>
          <w:tcPr>
            <w:tcW w:w="647" w:type="pct"/>
            <w:shd w:val="clear" w:color="auto" w:fill="F2F2F2" w:themeFill="background1" w:themeFillShade="F2"/>
            <w:vAlign w:val="center"/>
          </w:tcPr>
          <w:p w:rsidR="00164482" w:rsidRPr="00EA6851" w:rsidRDefault="00164482" w:rsidP="00094DD5">
            <w:pPr>
              <w:spacing w:after="0"/>
              <w:jc w:val="center"/>
              <w:rPr>
                <w:color w:val="000000"/>
                <w:sz w:val="18"/>
                <w:szCs w:val="18"/>
                <w:lang w:eastAsia="en-US"/>
              </w:rPr>
            </w:pPr>
            <w:r w:rsidRPr="00EA6851">
              <w:rPr>
                <w:color w:val="000000"/>
                <w:sz w:val="18"/>
                <w:szCs w:val="18"/>
                <w:lang w:eastAsia="en-US"/>
              </w:rPr>
              <w:t>Брой</w:t>
            </w:r>
          </w:p>
        </w:tc>
        <w:tc>
          <w:tcPr>
            <w:tcW w:w="626" w:type="pct"/>
            <w:shd w:val="clear" w:color="auto" w:fill="auto"/>
            <w:vAlign w:val="center"/>
          </w:tcPr>
          <w:p w:rsidR="00164482" w:rsidRPr="00EA6851" w:rsidRDefault="00164482" w:rsidP="00094DD5">
            <w:pPr>
              <w:spacing w:after="0"/>
              <w:jc w:val="center"/>
              <w:rPr>
                <w:color w:val="000000"/>
                <w:sz w:val="18"/>
                <w:szCs w:val="18"/>
                <w:lang w:eastAsia="en-US"/>
              </w:rPr>
            </w:pPr>
            <w:r w:rsidRPr="00EA6851">
              <w:rPr>
                <w:color w:val="000000"/>
                <w:sz w:val="18"/>
                <w:szCs w:val="18"/>
                <w:lang w:eastAsia="en-US"/>
              </w:rPr>
              <w:t>0</w:t>
            </w:r>
          </w:p>
        </w:tc>
        <w:tc>
          <w:tcPr>
            <w:tcW w:w="515" w:type="pct"/>
            <w:shd w:val="clear" w:color="auto" w:fill="auto"/>
            <w:noWrap/>
            <w:vAlign w:val="center"/>
          </w:tcPr>
          <w:p w:rsidR="00164482" w:rsidRPr="00EA6851" w:rsidRDefault="00164482" w:rsidP="00094DD5">
            <w:pPr>
              <w:spacing w:after="0"/>
              <w:jc w:val="center"/>
              <w:rPr>
                <w:color w:val="000000"/>
                <w:sz w:val="18"/>
                <w:szCs w:val="18"/>
                <w:lang w:eastAsia="en-US"/>
              </w:rPr>
            </w:pPr>
            <w:r w:rsidRPr="00EA6851">
              <w:rPr>
                <w:color w:val="000000"/>
                <w:sz w:val="18"/>
                <w:szCs w:val="18"/>
                <w:lang w:eastAsia="en-US"/>
              </w:rPr>
              <w:t>1</w:t>
            </w:r>
          </w:p>
        </w:tc>
        <w:tc>
          <w:tcPr>
            <w:tcW w:w="514" w:type="pct"/>
            <w:shd w:val="clear" w:color="auto" w:fill="auto"/>
            <w:noWrap/>
            <w:vAlign w:val="center"/>
          </w:tcPr>
          <w:p w:rsidR="00164482" w:rsidRPr="00EA6851" w:rsidRDefault="00164482" w:rsidP="00094DD5">
            <w:pPr>
              <w:spacing w:after="0"/>
              <w:jc w:val="center"/>
              <w:rPr>
                <w:color w:val="000000"/>
                <w:sz w:val="18"/>
                <w:szCs w:val="18"/>
                <w:lang w:eastAsia="en-US"/>
              </w:rPr>
            </w:pPr>
            <w:r w:rsidRPr="00EA6851">
              <w:rPr>
                <w:color w:val="000000"/>
                <w:sz w:val="18"/>
                <w:szCs w:val="18"/>
                <w:lang w:eastAsia="en-US"/>
              </w:rPr>
              <w:t>0</w:t>
            </w:r>
          </w:p>
        </w:tc>
        <w:tc>
          <w:tcPr>
            <w:tcW w:w="513" w:type="pct"/>
            <w:shd w:val="clear" w:color="auto" w:fill="auto"/>
            <w:noWrap/>
            <w:vAlign w:val="center"/>
          </w:tcPr>
          <w:p w:rsidR="00164482" w:rsidRPr="00EA6851" w:rsidRDefault="00164482" w:rsidP="00094DD5">
            <w:pPr>
              <w:spacing w:after="0"/>
              <w:jc w:val="center"/>
              <w:rPr>
                <w:color w:val="000000"/>
                <w:sz w:val="18"/>
                <w:szCs w:val="18"/>
                <w:lang w:eastAsia="en-US"/>
              </w:rPr>
            </w:pPr>
            <w:r w:rsidRPr="00EA6851">
              <w:rPr>
                <w:color w:val="000000"/>
                <w:sz w:val="18"/>
                <w:szCs w:val="18"/>
                <w:lang w:eastAsia="en-US"/>
              </w:rPr>
              <w:t>0</w:t>
            </w:r>
          </w:p>
        </w:tc>
      </w:tr>
    </w:tbl>
    <w:p w:rsidR="007478EA" w:rsidRPr="00EA6851" w:rsidRDefault="007478EA" w:rsidP="007478EA">
      <w:pPr>
        <w:rPr>
          <w:szCs w:val="24"/>
        </w:rPr>
      </w:pPr>
    </w:p>
    <w:p w:rsidR="007478EA" w:rsidRPr="00EA6851" w:rsidRDefault="007478EA" w:rsidP="007478EA">
      <w:pPr>
        <w:rPr>
          <w:b/>
          <w:szCs w:val="24"/>
        </w:rPr>
      </w:pPr>
      <w:r w:rsidRPr="00EA6851">
        <w:rPr>
          <w:i/>
          <w:szCs w:val="24"/>
        </w:rPr>
        <w:t xml:space="preserve">1. Брой изготвени законопроекти и подзаконови нормативни актове, които осигуряват нормативната основа за функциониране на съдебната власт, включително свързани с въвеждането, изпълнението и прилагането на актове на ЕС в </w:t>
      </w:r>
      <w:r w:rsidR="005C237B" w:rsidRPr="00EA6851">
        <w:rPr>
          <w:i/>
          <w:szCs w:val="24"/>
        </w:rPr>
        <w:t>областите от компетентност на Министерството на правосъдието</w:t>
      </w:r>
      <w:r w:rsidRPr="00EA6851">
        <w:rPr>
          <w:b/>
          <w:szCs w:val="24"/>
        </w:rPr>
        <w:t xml:space="preserve"> - </w:t>
      </w:r>
      <w:r w:rsidRPr="00EA6851">
        <w:rPr>
          <w:szCs w:val="24"/>
        </w:rPr>
        <w:t>общата цел на този ключов индикатор е да надгради усилията за модернизация на съдебната власт и да завърши реформата ѝ като:</w:t>
      </w:r>
    </w:p>
    <w:p w:rsidR="007478EA" w:rsidRPr="00EA6851" w:rsidRDefault="007478EA" w:rsidP="00B30642">
      <w:pPr>
        <w:numPr>
          <w:ilvl w:val="0"/>
          <w:numId w:val="26"/>
        </w:numPr>
        <w:rPr>
          <w:szCs w:val="24"/>
        </w:rPr>
      </w:pPr>
      <w:r w:rsidRPr="00EA6851">
        <w:rPr>
          <w:szCs w:val="24"/>
        </w:rPr>
        <w:t>Постигне действени гаранции за независимост на съда и съдебната власт;</w:t>
      </w:r>
    </w:p>
    <w:p w:rsidR="007478EA" w:rsidRPr="00EA6851" w:rsidRDefault="007478EA" w:rsidP="00B30642">
      <w:pPr>
        <w:numPr>
          <w:ilvl w:val="0"/>
          <w:numId w:val="26"/>
        </w:numPr>
        <w:rPr>
          <w:szCs w:val="24"/>
        </w:rPr>
      </w:pPr>
      <w:r w:rsidRPr="00EA6851">
        <w:rPr>
          <w:szCs w:val="24"/>
        </w:rPr>
        <w:t>Осигури добро управление на органите на съдебната власт и висока ефективност на тяхното функциониране;</w:t>
      </w:r>
    </w:p>
    <w:p w:rsidR="007478EA" w:rsidRPr="00EA6851" w:rsidRDefault="007478EA" w:rsidP="00B30642">
      <w:pPr>
        <w:numPr>
          <w:ilvl w:val="0"/>
          <w:numId w:val="26"/>
        </w:numPr>
        <w:rPr>
          <w:szCs w:val="24"/>
        </w:rPr>
      </w:pPr>
      <w:r w:rsidRPr="00EA6851">
        <w:rPr>
          <w:szCs w:val="24"/>
        </w:rPr>
        <w:t>Разгърне потенциала на човешкия ресурс на съдебната власт и гарантира високата мотивация, компетентност и социална отговорност на съдиите, прокурорите и следователите;</w:t>
      </w:r>
    </w:p>
    <w:p w:rsidR="007478EA" w:rsidRPr="00EA6851" w:rsidRDefault="007478EA" w:rsidP="00B30642">
      <w:pPr>
        <w:numPr>
          <w:ilvl w:val="0"/>
          <w:numId w:val="26"/>
        </w:numPr>
        <w:rPr>
          <w:szCs w:val="24"/>
        </w:rPr>
      </w:pPr>
      <w:r w:rsidRPr="00EA6851">
        <w:rPr>
          <w:szCs w:val="24"/>
        </w:rPr>
        <w:t>Реализира модерна и ефективна наказателна политика чрез необходимите институционални и нормативни реформи;</w:t>
      </w:r>
    </w:p>
    <w:p w:rsidR="007478EA" w:rsidRPr="00EA6851" w:rsidRDefault="007478EA" w:rsidP="00B30642">
      <w:pPr>
        <w:numPr>
          <w:ilvl w:val="0"/>
          <w:numId w:val="26"/>
        </w:numPr>
        <w:rPr>
          <w:szCs w:val="24"/>
        </w:rPr>
      </w:pPr>
      <w:r w:rsidRPr="00EA6851">
        <w:rPr>
          <w:szCs w:val="24"/>
        </w:rPr>
        <w:t>Осигури пълноценно право на справедлив процес на всеки гражданин и ефективна защита на правата на човека.</w:t>
      </w:r>
    </w:p>
    <w:p w:rsidR="007478EA" w:rsidRPr="00EA6851" w:rsidRDefault="007478EA" w:rsidP="007478EA">
      <w:pPr>
        <w:rPr>
          <w:i/>
          <w:szCs w:val="24"/>
        </w:rPr>
      </w:pPr>
      <w:r w:rsidRPr="00EA6851">
        <w:rPr>
          <w:i/>
          <w:szCs w:val="24"/>
        </w:rPr>
        <w:t>2. Брой свързани регистри за изграждане на интегрирана свързаност на регистрите</w:t>
      </w:r>
    </w:p>
    <w:p w:rsidR="007478EA" w:rsidRPr="00EA6851" w:rsidRDefault="007478EA" w:rsidP="007478EA">
      <w:pPr>
        <w:rPr>
          <w:szCs w:val="24"/>
        </w:rPr>
      </w:pPr>
      <w:r w:rsidRPr="00EA6851">
        <w:rPr>
          <w:szCs w:val="24"/>
        </w:rPr>
        <w:t>Описание: Във връзка с Директива (ЕС) 2017/1132 на Европейския парламент и на Съвета от 14 юни 2017 година относно някои аспекти на дружественото право държавите членки осигуряват оперативната съвместимост на своите централни, търговски или дружествени регистри в рамките на системата за взаимно свързване на регистрите (BRIS) чрез европейската централна платформа. В изпълнение на изискванията е предвидено българският търговски регистър да бъде свързан със системата за взаимно свързване на бизнес регистрите чрез Европейската централна платформа през 2022 г. Търговският регистър е свързан с BRIS на 30.03.2022 г.</w:t>
      </w:r>
    </w:p>
    <w:p w:rsidR="007478EA" w:rsidRPr="00EA6851" w:rsidRDefault="007478EA" w:rsidP="007478EA">
      <w:pPr>
        <w:rPr>
          <w:szCs w:val="24"/>
        </w:rPr>
      </w:pPr>
      <w:r w:rsidRPr="00EA6851">
        <w:rPr>
          <w:szCs w:val="24"/>
        </w:rPr>
        <w:t>Съгласно чл. 30, параграф 10 и чл. 31, параграф 9 от Директива (ЕС) 2015/849 на Европейския парламент и Съвета от 20 май 2015 г. за предотвратяване използването на финансовата система за целите на изпирането на пари и финансирането на тероризма, за изменение на Регламент (ЕС) № 648/2012 на Европейския парламент и на Съвета и за отмяна на Директива 2005/60/ЕО на Европейския парламент и на Съвета и на Директива 2006/</w:t>
      </w:r>
      <w:r w:rsidR="00164482" w:rsidRPr="00EA6851">
        <w:rPr>
          <w:szCs w:val="24"/>
        </w:rPr>
        <w:t xml:space="preserve">70/ЕО на Комисията, изменена с </w:t>
      </w:r>
      <w:r w:rsidRPr="00EA6851">
        <w:rPr>
          <w:szCs w:val="24"/>
        </w:rPr>
        <w:t>Директива (ЕС) 2018/843 на Европейския парламент и на Съвета от 30 май 2018 г. за изменение на Директива (ЕС) 2015/849 за предотвратяване използването на финансовата система за целите на изпирането на пари и финансирането на тероризма и за изменение на директиви 2009/138/ЕО и 2013/36/ЕС, държавите членки гарантират, че централните регистри, в които се съхранява информация за действителните собственици, са свързани чрез европейската централна платформа, създадена с член 22, параграф 1 от Директива (ЕС) 2017/1132 на Европейския парламент и на Съвета, като свързването на централните регистри на държавите членки към платформата се осъществява в съответствие с техническите спецификации и процедури, установени в актовете за изпълнение, приети от Комисията в съответствие с член 24 от Директива (ЕС) 2017/1132 и с член 31а Директива (ЕС) 2015/849. В текстовете на директивата е посочено, че държавите членки гарантират, че информацията за действителните собственици е достъпна чрез системата за взаимно свързване на регистрите.</w:t>
      </w:r>
    </w:p>
    <w:p w:rsidR="007478EA" w:rsidRPr="00EA6851" w:rsidRDefault="007478EA" w:rsidP="007478EA">
      <w:pPr>
        <w:rPr>
          <w:szCs w:val="24"/>
        </w:rPr>
      </w:pPr>
      <w:r w:rsidRPr="00EA6851">
        <w:rPr>
          <w:szCs w:val="24"/>
        </w:rPr>
        <w:t xml:space="preserve">Към настоящия момент в Търговския закон и </w:t>
      </w:r>
      <w:r w:rsidR="00C71697" w:rsidRPr="00EA6851">
        <w:rPr>
          <w:szCs w:val="24"/>
        </w:rPr>
        <w:t>Закона за търговския регистър и регистъра на юридическите лица с нестопанска цел (</w:t>
      </w:r>
      <w:r w:rsidRPr="00EA6851">
        <w:rPr>
          <w:szCs w:val="24"/>
        </w:rPr>
        <w:t>ЗТРРЮНЦ</w:t>
      </w:r>
      <w:r w:rsidR="00C71697" w:rsidRPr="00EA6851">
        <w:rPr>
          <w:szCs w:val="24"/>
        </w:rPr>
        <w:t>)</w:t>
      </w:r>
      <w:r w:rsidRPr="00EA6851">
        <w:rPr>
          <w:szCs w:val="24"/>
        </w:rPr>
        <w:t xml:space="preserve"> се съдържат текстове, които да транспонират посочените по-горе задължения, а в Информационната система на търговския регистър и регистъра на юридическите лица с нестопанска цел е изградена възможност за свързаност с европейската централна платформа, като същият е свързан с BRIS.  </w:t>
      </w:r>
    </w:p>
    <w:p w:rsidR="007478EA" w:rsidRPr="00EA6851" w:rsidRDefault="007478EA" w:rsidP="007478EA">
      <w:pPr>
        <w:rPr>
          <w:szCs w:val="24"/>
        </w:rPr>
      </w:pPr>
      <w:r w:rsidRPr="00EA6851">
        <w:rPr>
          <w:szCs w:val="24"/>
        </w:rPr>
        <w:t>В Закона за регистър БУЛСТАТ също е предвиден ангажимент на България за свързването на този регистър с европейската централна платформа на регистрите на държавите</w:t>
      </w:r>
      <w:r w:rsidR="00064038" w:rsidRPr="00EA6851">
        <w:rPr>
          <w:szCs w:val="24"/>
        </w:rPr>
        <w:t>-</w:t>
      </w:r>
      <w:r w:rsidRPr="00EA6851">
        <w:rPr>
          <w:szCs w:val="24"/>
        </w:rPr>
        <w:t>членки на ЕС.</w:t>
      </w:r>
    </w:p>
    <w:p w:rsidR="007478EA" w:rsidRPr="00EA6851" w:rsidRDefault="007478EA" w:rsidP="007478EA">
      <w:pPr>
        <w:rPr>
          <w:szCs w:val="24"/>
        </w:rPr>
      </w:pPr>
      <w:r w:rsidRPr="00EA6851">
        <w:rPr>
          <w:szCs w:val="24"/>
        </w:rPr>
        <w:t xml:space="preserve">Цел: ще бъдат реализирани трансгранични електронни услуги, които ще позволят предоставяне на информация за регистрираните в българския </w:t>
      </w:r>
      <w:r w:rsidR="00C71697" w:rsidRPr="00EA6851">
        <w:rPr>
          <w:szCs w:val="24"/>
        </w:rPr>
        <w:t>Търговски регистър и регистър на юридическите лица с нестопанска цел (</w:t>
      </w:r>
      <w:r w:rsidRPr="00EA6851">
        <w:rPr>
          <w:szCs w:val="24"/>
        </w:rPr>
        <w:t>ТРРЮЛНЦ</w:t>
      </w:r>
      <w:r w:rsidR="00C71697" w:rsidRPr="00EA6851">
        <w:rPr>
          <w:szCs w:val="24"/>
        </w:rPr>
        <w:t>)</w:t>
      </w:r>
      <w:r w:rsidRPr="00EA6851">
        <w:rPr>
          <w:szCs w:val="24"/>
        </w:rPr>
        <w:t xml:space="preserve">  и регистър БУЛСТАТ субекти, вкл. и информация за техните действителни собственици.</w:t>
      </w:r>
    </w:p>
    <w:p w:rsidR="007478EA" w:rsidRPr="00EA6851" w:rsidRDefault="007478EA" w:rsidP="007478EA">
      <w:pPr>
        <w:rPr>
          <w:szCs w:val="24"/>
        </w:rPr>
      </w:pPr>
      <w:r w:rsidRPr="00EA6851">
        <w:rPr>
          <w:szCs w:val="24"/>
        </w:rPr>
        <w:t>Резултат: Свързване на ТРРЮЛНЦ с европейската централна платформа BRIS.</w:t>
      </w:r>
    </w:p>
    <w:p w:rsidR="007478EA" w:rsidRPr="00EA6851" w:rsidRDefault="007478EA" w:rsidP="007478EA">
      <w:pPr>
        <w:rPr>
          <w:szCs w:val="24"/>
        </w:rPr>
      </w:pPr>
      <w:r w:rsidRPr="00EA6851">
        <w:rPr>
          <w:szCs w:val="24"/>
        </w:rPr>
        <w:t>Индикаторът е идентифициран като ключов в съответствие с Приоритет 10 „Институционална рамка“ от Националната програма за развитие на България 2030. Чрез реализацията му ще се подпомогне осъществяване</w:t>
      </w:r>
      <w:r w:rsidR="00064038" w:rsidRPr="00EA6851">
        <w:rPr>
          <w:szCs w:val="24"/>
        </w:rPr>
        <w:t>то</w:t>
      </w:r>
      <w:r w:rsidRPr="00EA6851">
        <w:rPr>
          <w:szCs w:val="24"/>
        </w:rPr>
        <w:t xml:space="preserve"> </w:t>
      </w:r>
      <w:r w:rsidR="00064038" w:rsidRPr="00EA6851">
        <w:rPr>
          <w:szCs w:val="24"/>
        </w:rPr>
        <w:t xml:space="preserve">на </w:t>
      </w:r>
      <w:r w:rsidRPr="00EA6851">
        <w:rPr>
          <w:szCs w:val="24"/>
        </w:rPr>
        <w:t>обмен на данни в рамките на Европейския съюз, в резултат на което ще се усъвършенстват работните им процеси за предоставяне на по-качествени и леснодостъпни електронни услуги и ще се постигне намаляване на административната тежест и повишаване на качеството на предоставяните услуги в изпълнение на изискванията на ЕС.</w:t>
      </w:r>
    </w:p>
    <w:p w:rsidR="007478EA" w:rsidRPr="00EA6851" w:rsidRDefault="007478EA" w:rsidP="007478EA">
      <w:pPr>
        <w:rPr>
          <w:szCs w:val="24"/>
        </w:rPr>
      </w:pPr>
      <w:r w:rsidRPr="00EA6851">
        <w:rPr>
          <w:szCs w:val="24"/>
        </w:rPr>
        <w:t>Свързване на  ТРРЮЛНЦ и регистър Булстат с платформата за обмен на данни относно действителни собственици – BORIS.</w:t>
      </w:r>
    </w:p>
    <w:p w:rsidR="007478EA" w:rsidRPr="00EA6851" w:rsidRDefault="007478EA" w:rsidP="007478EA">
      <w:pPr>
        <w:rPr>
          <w:i/>
          <w:szCs w:val="24"/>
        </w:rPr>
      </w:pPr>
      <w:r w:rsidRPr="00EA6851">
        <w:rPr>
          <w:i/>
          <w:szCs w:val="24"/>
        </w:rPr>
        <w:t>3. Брой нови електронни услуги в Търговския регистър и регистъра на ЮЛНЦ</w:t>
      </w:r>
    </w:p>
    <w:p w:rsidR="007478EA" w:rsidRPr="00EA6851" w:rsidRDefault="007478EA" w:rsidP="007478EA">
      <w:pPr>
        <w:rPr>
          <w:szCs w:val="24"/>
        </w:rPr>
      </w:pPr>
      <w:r w:rsidRPr="00EA6851">
        <w:rPr>
          <w:szCs w:val="24"/>
        </w:rPr>
        <w:t xml:space="preserve">С предоставянето на нови услуги, свързани с воденето на регистър на ЮЛНЦ, чрез надграждане на Търговския регистър, ще се осъществи основната цел, а именно  подобряване на административното обслужване на гражданите и бизнеса и увеличаване на броя на услугите, предоставени по електронен път за субектите, които подлежат на регистрация в електронния регистър, вкл. и на неправителствените организации. Към настоящия момент всички услуги в ТРРЮЛНЦ се предоставят както на гише, така и по електронен път. Нови услуги се изграждат и предвиждат в зависимост от нормативните изисквания. </w:t>
      </w:r>
    </w:p>
    <w:p w:rsidR="007478EA" w:rsidRPr="00EA6851" w:rsidRDefault="007478EA" w:rsidP="007478EA">
      <w:pPr>
        <w:rPr>
          <w:szCs w:val="24"/>
        </w:rPr>
      </w:pPr>
      <w:r w:rsidRPr="00EA6851">
        <w:rPr>
          <w:szCs w:val="24"/>
        </w:rPr>
        <w:t>Резултат: Реализирани нови електронни услуги или вътрешно-административни електронни услуги.</w:t>
      </w:r>
    </w:p>
    <w:p w:rsidR="007478EA" w:rsidRPr="00EA6851" w:rsidRDefault="007478EA" w:rsidP="007478EA">
      <w:pPr>
        <w:rPr>
          <w:i/>
          <w:szCs w:val="24"/>
        </w:rPr>
      </w:pPr>
      <w:r w:rsidRPr="00EA6851">
        <w:rPr>
          <w:i/>
          <w:szCs w:val="24"/>
        </w:rPr>
        <w:t>4. Цифровизация на архиви на служби по вписванията към Агенция по вписванията</w:t>
      </w:r>
    </w:p>
    <w:p w:rsidR="007478EA" w:rsidRPr="00EA6851" w:rsidRDefault="007478EA" w:rsidP="007478EA">
      <w:pPr>
        <w:rPr>
          <w:szCs w:val="24"/>
        </w:rPr>
      </w:pPr>
      <w:r w:rsidRPr="00EA6851">
        <w:rPr>
          <w:szCs w:val="24"/>
        </w:rPr>
        <w:t>Към настоящия момент всички документи в Имотния регистър се съхраняват на хартиен носител. Обемът на натрупаната информация, която се води от 1910 г. до 2009 г.</w:t>
      </w:r>
      <w:r w:rsidR="005E47DB" w:rsidRPr="00EA6851">
        <w:rPr>
          <w:szCs w:val="24"/>
        </w:rPr>
        <w:t>,</w:t>
      </w:r>
      <w:r w:rsidRPr="00EA6851">
        <w:rPr>
          <w:szCs w:val="24"/>
        </w:rPr>
        <w:t xml:space="preserve"> е в книги, които следва да се дигитализират. С проект по Плана за възстановяване и устойчивост се предвижда цифровизиране на всички документи, които се съхраняват на хартиен носител в службите по вписванията, което от своя страна е предпоставка и възможност за изготвяне на справки и удостоверения по електронен път и сигурно съхранение на данните за имотите в Република България. </w:t>
      </w:r>
    </w:p>
    <w:p w:rsidR="007478EA" w:rsidRPr="00EA6851" w:rsidRDefault="007478EA" w:rsidP="007478EA">
      <w:pPr>
        <w:rPr>
          <w:i/>
          <w:szCs w:val="24"/>
        </w:rPr>
      </w:pPr>
      <w:r w:rsidRPr="00EA6851">
        <w:rPr>
          <w:i/>
          <w:szCs w:val="24"/>
        </w:rPr>
        <w:t>5. Реализиране на ЦАИС „Единна входна точка“ за подаване на годишни финансови отчети и статистика в машинно-четим формат и интеграция с НАП, НСИ, АВ (ТР)</w:t>
      </w:r>
    </w:p>
    <w:p w:rsidR="007478EA" w:rsidRPr="00EA6851" w:rsidRDefault="007478EA" w:rsidP="007478EA">
      <w:pPr>
        <w:rPr>
          <w:szCs w:val="24"/>
        </w:rPr>
      </w:pPr>
      <w:r w:rsidRPr="00EA6851">
        <w:rPr>
          <w:szCs w:val="24"/>
        </w:rPr>
        <w:t>С цел комплексно използване на данните от НСИ, НАП и АВ е предвидено да се реализира Единната входна точка (ЕВТ) за подаване на годишни отчети за дейността, включващи годишни финансови отчети и статистически справки. Индикаторът е идентифициран като ключов в съответствие с Приоритет 10 „Институционална рамка“ от Националната програма за развитие на България 2030. Чрез реализацията му ще се подпомогне осъществяване на част от необходимата интеграция между институциите, в резултат на което ще се усъвършенстват работните им процеси за предоставяне на по-качествени и леснодостъпни електронни услуги и ще се постигне намаляване на административната тежест и повишаване на качеството на предоставяните услуги.</w:t>
      </w:r>
    </w:p>
    <w:p w:rsidR="00164482" w:rsidRPr="00EA6851" w:rsidRDefault="006601CB" w:rsidP="007478EA">
      <w:pPr>
        <w:rPr>
          <w:szCs w:val="24"/>
        </w:rPr>
      </w:pPr>
      <w:r w:rsidRPr="00EA6851">
        <w:rPr>
          <w:szCs w:val="24"/>
        </w:rPr>
        <w:t>В</w:t>
      </w:r>
      <w:r w:rsidR="007478EA" w:rsidRPr="00EA6851">
        <w:rPr>
          <w:szCs w:val="24"/>
        </w:rPr>
        <w:t xml:space="preserve"> </w:t>
      </w:r>
      <w:r w:rsidR="005E47DB" w:rsidRPr="00EA6851">
        <w:rPr>
          <w:szCs w:val="24"/>
        </w:rPr>
        <w:t xml:space="preserve">проекта на </w:t>
      </w:r>
      <w:r w:rsidR="007478EA" w:rsidRPr="00EA6851">
        <w:rPr>
          <w:szCs w:val="24"/>
        </w:rPr>
        <w:t>бюджет на Министерството на правосъдието за 2024 г. са планирани разходи в размер на 19,2 млн. лв. за държавна субсидия за политическите партии, които на последните парламентарни избори са получили не по-малко от едно на сто от действителните гласове и коалициите, които на последните парламентарни избори са получили не по-малко от четири на сто от действителните гласове.</w:t>
      </w:r>
    </w:p>
    <w:p w:rsidR="007478EA" w:rsidRPr="00EA6851" w:rsidRDefault="007478EA" w:rsidP="00164482">
      <w:pPr>
        <w:pStyle w:val="Heading4"/>
      </w:pPr>
      <w:r w:rsidRPr="00EA6851">
        <w:t xml:space="preserve">Политика в областта на изпълнение на наказанията </w:t>
      </w:r>
    </w:p>
    <w:p w:rsidR="007478EA" w:rsidRPr="00EA6851" w:rsidRDefault="007478EA" w:rsidP="007478EA">
      <w:pPr>
        <w:rPr>
          <w:szCs w:val="24"/>
        </w:rPr>
      </w:pPr>
      <w:r w:rsidRPr="00EA6851">
        <w:rPr>
          <w:szCs w:val="24"/>
        </w:rPr>
        <w:t>Политиката по изпълнение на наказанията e насочена към по-нататъшното развитие, усъвършенстване и демократизиране на институциите на наказателно-изпълнителната система, като необходима предпоставка за хуманно третиране на закононарушителите и гаранция за спазването на правата на човека.</w:t>
      </w:r>
    </w:p>
    <w:p w:rsidR="007478EA" w:rsidRPr="00EA6851" w:rsidRDefault="007478EA" w:rsidP="007478EA">
      <w:pPr>
        <w:rPr>
          <w:szCs w:val="24"/>
        </w:rPr>
      </w:pPr>
      <w:r w:rsidRPr="00EA6851">
        <w:rPr>
          <w:szCs w:val="24"/>
        </w:rPr>
        <w:t xml:space="preserve">Политиката в наказателно-изпълнителната дейност цели утвърждаването на съвременен модел на управление и развитие на пенитенциарната система, в съответствие с международните минимални стандарти, приети за местата за задържане и Европейските правила за затворите. </w:t>
      </w:r>
    </w:p>
    <w:p w:rsidR="007478EA" w:rsidRPr="00EA6851" w:rsidRDefault="007478EA" w:rsidP="007478EA">
      <w:pPr>
        <w:rPr>
          <w:szCs w:val="24"/>
        </w:rPr>
      </w:pPr>
      <w:r w:rsidRPr="00EA6851">
        <w:rPr>
          <w:szCs w:val="24"/>
        </w:rPr>
        <w:t>Дейността по изпълнение на наказанията е изцяло ориентирана към реформиране на пенитенциарните заведения и към създаването на условия в тях за поправянето и ресоциализацията на осъдените лица. Основната ѝ цел е да осигури защита на обществото от правонарушителите, да гарантира правата и свободите на лишените от свобода и възможностите за тяхната социална рехабилитация.</w:t>
      </w:r>
    </w:p>
    <w:p w:rsidR="007478EA" w:rsidRPr="00EA6851" w:rsidRDefault="007478EA" w:rsidP="007478EA">
      <w:pPr>
        <w:rPr>
          <w:szCs w:val="24"/>
        </w:rPr>
      </w:pPr>
      <w:r w:rsidRPr="00EA6851">
        <w:rPr>
          <w:szCs w:val="24"/>
        </w:rPr>
        <w:t xml:space="preserve">Реформирането на пенитенциарната система е неразделна част от процеса на ускорена съдебна реформа и успешното противодействие на престъпността. Въпреки че през последните години страната ни постигна значителен напредък в развитието и усъвършенстването на наказателното изпълнение,  процесът на реформа е невъзможен  без подобряване материалните условия на бит и живот на лишените от свобода и по-нататъшното демократизиране институциите на наказателно-изпълнителната система. </w:t>
      </w:r>
    </w:p>
    <w:p w:rsidR="007478EA" w:rsidRPr="00EA6851" w:rsidRDefault="007478EA" w:rsidP="007478EA">
      <w:pPr>
        <w:rPr>
          <w:szCs w:val="24"/>
        </w:rPr>
      </w:pPr>
      <w:r w:rsidRPr="00EA6851">
        <w:rPr>
          <w:szCs w:val="24"/>
        </w:rPr>
        <w:t xml:space="preserve">Още в процеса на преговорите за интеграция на страната ни към Европейските структури извършените сравнително-правни изследвания, </w:t>
      </w:r>
      <w:r w:rsidR="000033A6" w:rsidRPr="00EA6851">
        <w:rPr>
          <w:szCs w:val="24"/>
        </w:rPr>
        <w:t xml:space="preserve">както и </w:t>
      </w:r>
      <w:r w:rsidRPr="00EA6851">
        <w:rPr>
          <w:szCs w:val="24"/>
        </w:rPr>
        <w:t>засиленият обмен на информация и опит показаха редица недостатъци на състоянието на материално-техническата база на затворната система.</w:t>
      </w:r>
    </w:p>
    <w:p w:rsidR="007478EA" w:rsidRPr="00EA6851" w:rsidRDefault="007478EA" w:rsidP="007478EA">
      <w:pPr>
        <w:rPr>
          <w:szCs w:val="24"/>
        </w:rPr>
      </w:pPr>
      <w:r w:rsidRPr="00EA6851">
        <w:rPr>
          <w:szCs w:val="24"/>
        </w:rPr>
        <w:t>Препоръки за подобряване на материалните условия в местата за лишаване от свобода</w:t>
      </w:r>
      <w:r w:rsidR="000033A6" w:rsidRPr="00EA6851">
        <w:rPr>
          <w:szCs w:val="24"/>
        </w:rPr>
        <w:t xml:space="preserve"> </w:t>
      </w:r>
      <w:r w:rsidRPr="00EA6851">
        <w:rPr>
          <w:szCs w:val="24"/>
        </w:rPr>
        <w:t xml:space="preserve"> като необходима предпоставка за хуманното третиране на закононарушителите и гаранция за спазване правата на човека се съдържат и в докладите на европейските експерти по глава 24 „Правосъдие и вътрешни работи” и от проверките на Европейския комитет против изтезанията, про</w:t>
      </w:r>
      <w:r w:rsidR="00512425" w:rsidRPr="00EA6851">
        <w:rPr>
          <w:szCs w:val="24"/>
        </w:rPr>
        <w:t xml:space="preserve">ведени през последните години. </w:t>
      </w:r>
    </w:p>
    <w:p w:rsidR="007478EA" w:rsidRPr="00EA6851" w:rsidRDefault="007478EA" w:rsidP="007478EA">
      <w:pPr>
        <w:rPr>
          <w:szCs w:val="24"/>
        </w:rPr>
      </w:pPr>
      <w:r w:rsidRPr="00EA6851">
        <w:rPr>
          <w:szCs w:val="24"/>
        </w:rPr>
        <w:t xml:space="preserve">Политиката в областта на изпълнение на наказанията се изпълнява от Главна дирекция „Изпълнение на наказанията“. </w:t>
      </w:r>
    </w:p>
    <w:p w:rsidR="007478EA" w:rsidRPr="00EA6851" w:rsidRDefault="007478EA" w:rsidP="007478EA">
      <w:pPr>
        <w:rPr>
          <w:szCs w:val="24"/>
        </w:rPr>
      </w:pPr>
      <w:r w:rsidRPr="00EA6851">
        <w:rPr>
          <w:szCs w:val="24"/>
        </w:rPr>
        <w:t>Извън дейностите, които се финансират с бюджетни средства, ще бъдат изпълнявани и дейности, финансирани със средства от Норвежкия финансов механизъм.</w:t>
      </w:r>
    </w:p>
    <w:p w:rsidR="007478EA" w:rsidRPr="00EA6851" w:rsidRDefault="007478EA" w:rsidP="007478EA">
      <w:pPr>
        <w:rPr>
          <w:szCs w:val="24"/>
        </w:rPr>
      </w:pPr>
      <w:r w:rsidRPr="00EA6851">
        <w:rPr>
          <w:szCs w:val="24"/>
        </w:rPr>
        <w:t xml:space="preserve">Съгласно Програмното споразумение за Програма „Правосъдие“ на Норвежкия Финансов Механизъм 2014-2021, по Програмна област 19 „Корекционни услуги и предварително задържане“ Главна дирекция „Изпълнение на наказанията“ изпълнява </w:t>
      </w:r>
      <w:r w:rsidR="000033A6" w:rsidRPr="00EA6851">
        <w:rPr>
          <w:szCs w:val="24"/>
        </w:rPr>
        <w:t>три</w:t>
      </w:r>
      <w:r w:rsidRPr="00EA6851">
        <w:rPr>
          <w:szCs w:val="24"/>
        </w:rPr>
        <w:t xml:space="preserve"> предварително дефинирани проект</w:t>
      </w:r>
      <w:r w:rsidR="000033A6" w:rsidRPr="00EA6851">
        <w:rPr>
          <w:szCs w:val="24"/>
        </w:rPr>
        <w:t>а</w:t>
      </w:r>
      <w:r w:rsidRPr="00EA6851">
        <w:rPr>
          <w:szCs w:val="24"/>
        </w:rPr>
        <w:t xml:space="preserve">. </w:t>
      </w:r>
    </w:p>
    <w:p w:rsidR="007478EA" w:rsidRPr="00EA6851" w:rsidRDefault="007478EA" w:rsidP="007478EA">
      <w:pPr>
        <w:rPr>
          <w:szCs w:val="24"/>
        </w:rPr>
      </w:pPr>
      <w:r w:rsidRPr="00EA6851">
        <w:rPr>
          <w:szCs w:val="24"/>
        </w:rPr>
        <w:t>Договорите за предоставяне на безвъзмездна финансова помощ за изпълнението на предефинираните проекти с бенефициент Главна дирекция „Изпълнение на наказанията бяха сключени през 2020 г.</w:t>
      </w:r>
    </w:p>
    <w:p w:rsidR="007478EA" w:rsidRPr="00EA6851" w:rsidRDefault="007478EA" w:rsidP="007478EA">
      <w:pPr>
        <w:rPr>
          <w:szCs w:val="24"/>
        </w:rPr>
      </w:pPr>
      <w:r w:rsidRPr="00EA6851">
        <w:rPr>
          <w:szCs w:val="24"/>
        </w:rPr>
        <w:t>Планираното финансиране по Програмна област 19 е насочено в следните направления:</w:t>
      </w:r>
    </w:p>
    <w:p w:rsidR="007478EA" w:rsidRPr="00EA6851" w:rsidRDefault="007478EA" w:rsidP="007478EA">
      <w:pPr>
        <w:rPr>
          <w:szCs w:val="24"/>
        </w:rPr>
      </w:pPr>
      <w:r w:rsidRPr="00EA6851">
        <w:rPr>
          <w:szCs w:val="24"/>
        </w:rPr>
        <w:t>(1) Подобрени корекционни услуги, включително материални условия за лишените от свобода и задържаните лица, както и за уязвимите групи и младежите в съответствие с приложимите международни стандарти;</w:t>
      </w:r>
    </w:p>
    <w:p w:rsidR="007478EA" w:rsidRPr="00EA6851" w:rsidRDefault="007478EA" w:rsidP="007478EA">
      <w:pPr>
        <w:rPr>
          <w:szCs w:val="24"/>
        </w:rPr>
      </w:pPr>
      <w:r w:rsidRPr="00EA6851">
        <w:rPr>
          <w:szCs w:val="24"/>
        </w:rPr>
        <w:t>(2) Повишено прилагане на алтернативни мерки на лишаването от свобода, по-конкретно подобряване на качеството на пробацията.</w:t>
      </w:r>
    </w:p>
    <w:p w:rsidR="007478EA" w:rsidRPr="00EA6851" w:rsidRDefault="007478EA" w:rsidP="007478EA">
      <w:pPr>
        <w:rPr>
          <w:szCs w:val="24"/>
        </w:rPr>
      </w:pPr>
      <w:r w:rsidRPr="00EA6851">
        <w:rPr>
          <w:szCs w:val="24"/>
        </w:rPr>
        <w:t>Конкретните предизвикателства и нужди, очертани след консултации със заинтересованите страни, ще бъдат разрешени чрез подобряване на материалните условия за лишените от свобода и задържаните лица, включително за уязвимите групи (предимно ромското население) и младежите съгласно приложимите международни стандарти. Същевременно необходимостта от подобряване на условията в местата за лишаване от свобода ще бъде насочена към повишаване на капацитета на персонала им по отношение на разпознаването на нуждите на лишените от свобода и задоволяването им по адекватен начин. Освен това ще бъде постигнато прилагането на алтернативни мерки на лишаването от свобода, особено подобряване на качеството на пробацията, за да се търсят нови общностно базирани алтернативи на местата за лишаване от свобода, като това ще допринесе за намаляване на броя на лишените от свобода в затворите.</w:t>
      </w:r>
    </w:p>
    <w:p w:rsidR="007478EA" w:rsidRPr="00EA6851" w:rsidRDefault="007478EA" w:rsidP="007478EA">
      <w:pPr>
        <w:rPr>
          <w:szCs w:val="24"/>
        </w:rPr>
      </w:pPr>
      <w:r w:rsidRPr="00EA6851">
        <w:rPr>
          <w:szCs w:val="24"/>
        </w:rPr>
        <w:t>Дейностите по проектите ще доведат до постигане на следните резултати:</w:t>
      </w:r>
    </w:p>
    <w:p w:rsidR="007478EA" w:rsidRPr="00EA6851" w:rsidRDefault="007478EA" w:rsidP="00B30642">
      <w:pPr>
        <w:numPr>
          <w:ilvl w:val="0"/>
          <w:numId w:val="27"/>
        </w:numPr>
        <w:rPr>
          <w:szCs w:val="24"/>
        </w:rPr>
      </w:pPr>
      <w:r w:rsidRPr="00EA6851">
        <w:rPr>
          <w:szCs w:val="24"/>
        </w:rPr>
        <w:t>Подобряване на инфраструктурата на ГДИН</w:t>
      </w:r>
      <w:r w:rsidR="00512425" w:rsidRPr="00EA6851">
        <w:rPr>
          <w:rStyle w:val="FootnoteReference"/>
          <w:szCs w:val="24"/>
        </w:rPr>
        <w:footnoteReference w:id="28"/>
      </w:r>
      <w:r w:rsidRPr="00EA6851">
        <w:rPr>
          <w:szCs w:val="24"/>
        </w:rPr>
        <w:t>, чрез ремонтиране на арести</w:t>
      </w:r>
      <w:r w:rsidR="000033A6" w:rsidRPr="00EA6851">
        <w:rPr>
          <w:szCs w:val="24"/>
        </w:rPr>
        <w:t xml:space="preserve">, </w:t>
      </w:r>
      <w:r w:rsidRPr="00EA6851">
        <w:rPr>
          <w:szCs w:val="24"/>
        </w:rPr>
        <w:t xml:space="preserve"> подобряване условията на затворническите сгради и общежития;</w:t>
      </w:r>
    </w:p>
    <w:p w:rsidR="007478EA" w:rsidRPr="00EA6851" w:rsidRDefault="007478EA" w:rsidP="00B30642">
      <w:pPr>
        <w:numPr>
          <w:ilvl w:val="0"/>
          <w:numId w:val="27"/>
        </w:numPr>
        <w:rPr>
          <w:szCs w:val="24"/>
        </w:rPr>
      </w:pPr>
      <w:r w:rsidRPr="00EA6851">
        <w:rPr>
          <w:szCs w:val="24"/>
        </w:rPr>
        <w:t>Изграждане пилотен затвор с център за обучение на персонала на ГДИН, разработване на учебни програми за иницииращо и последващо обучение подобряване на здравните грижи за лишените от свобода с фокус върху уязвими групи и зависими;</w:t>
      </w:r>
    </w:p>
    <w:p w:rsidR="007478EA" w:rsidRPr="00EA6851" w:rsidRDefault="007478EA" w:rsidP="00B30642">
      <w:pPr>
        <w:numPr>
          <w:ilvl w:val="0"/>
          <w:numId w:val="27"/>
        </w:numPr>
        <w:rPr>
          <w:szCs w:val="24"/>
        </w:rPr>
      </w:pPr>
      <w:r w:rsidRPr="00EA6851">
        <w:rPr>
          <w:szCs w:val="24"/>
        </w:rPr>
        <w:t>Засилване прилагането на алтернативни мерк</w:t>
      </w:r>
      <w:r w:rsidR="00512425" w:rsidRPr="00EA6851">
        <w:rPr>
          <w:szCs w:val="24"/>
        </w:rPr>
        <w:t>и на лишаването от свобода, по-</w:t>
      </w:r>
      <w:r w:rsidRPr="00EA6851">
        <w:rPr>
          <w:szCs w:val="24"/>
        </w:rPr>
        <w:t>специално повишаване качеството на пробацията и повишаване компетентностите на пробационните служители;</w:t>
      </w:r>
    </w:p>
    <w:p w:rsidR="007478EA" w:rsidRPr="00EA6851" w:rsidRDefault="007478EA" w:rsidP="00B30642">
      <w:pPr>
        <w:numPr>
          <w:ilvl w:val="0"/>
          <w:numId w:val="27"/>
        </w:numPr>
        <w:rPr>
          <w:szCs w:val="24"/>
        </w:rPr>
      </w:pPr>
      <w:r w:rsidRPr="00EA6851">
        <w:rPr>
          <w:szCs w:val="24"/>
        </w:rPr>
        <w:t>Рехабилитация на затворници. Подобряване условията на живот и рехабилитация на уязвимите групи в затворите, включително изграждане/рехабилитация на преходни отделения в затворниче</w:t>
      </w:r>
      <w:r w:rsidR="00512425" w:rsidRPr="00EA6851">
        <w:rPr>
          <w:szCs w:val="24"/>
        </w:rPr>
        <w:t>ските общежития от открит тип (</w:t>
      </w:r>
      <w:r w:rsidRPr="00EA6851">
        <w:rPr>
          <w:szCs w:val="24"/>
        </w:rPr>
        <w:t>half way house) предлагащи програми, съобразени с техните нужди.</w:t>
      </w:r>
    </w:p>
    <w:p w:rsidR="007478EA" w:rsidRPr="00EA6851" w:rsidRDefault="007478EA" w:rsidP="007478EA">
      <w:pPr>
        <w:rPr>
          <w:b/>
          <w:bCs/>
          <w:sz w:val="20"/>
          <w:szCs w:val="20"/>
        </w:rPr>
      </w:pPr>
      <w:r w:rsidRPr="00EA6851">
        <w:rPr>
          <w:b/>
          <w:bCs/>
          <w:sz w:val="20"/>
          <w:szCs w:val="20"/>
        </w:rPr>
        <w:t>КЛЮЧОВИ ИНДИКАТОРИ ЗА ИЗПЪЛНЕНИЕ И ЦЕЛЕВИ СТОЙНОСТИ</w:t>
      </w:r>
    </w:p>
    <w:tbl>
      <w:tblPr>
        <w:tblW w:w="5001" w:type="pct"/>
        <w:tblBorders>
          <w:top w:val="single" w:sz="4" w:space="0" w:color="auto"/>
          <w:bottom w:val="single" w:sz="4" w:space="0" w:color="auto"/>
        </w:tblBorders>
        <w:tblLayout w:type="fixed"/>
        <w:tblLook w:val="04A0" w:firstRow="1" w:lastRow="0" w:firstColumn="1" w:lastColumn="0" w:noHBand="0" w:noVBand="1"/>
      </w:tblPr>
      <w:tblGrid>
        <w:gridCol w:w="3686"/>
        <w:gridCol w:w="1134"/>
        <w:gridCol w:w="1051"/>
        <w:gridCol w:w="936"/>
        <w:gridCol w:w="1334"/>
        <w:gridCol w:w="931"/>
      </w:tblGrid>
      <w:tr w:rsidR="00094DD5" w:rsidRPr="00EA6851" w:rsidTr="00094DD5">
        <w:trPr>
          <w:trHeight w:val="60"/>
          <w:tblHeader/>
        </w:trPr>
        <w:tc>
          <w:tcPr>
            <w:tcW w:w="2032" w:type="pct"/>
            <w:tcBorders>
              <w:top w:val="single" w:sz="4" w:space="0" w:color="auto"/>
              <w:bottom w:val="nil"/>
            </w:tcBorders>
            <w:shd w:val="clear" w:color="auto" w:fill="auto"/>
            <w:vAlign w:val="center"/>
            <w:hideMark/>
          </w:tcPr>
          <w:p w:rsidR="00094DD5" w:rsidRPr="00EA6851" w:rsidRDefault="00094DD5" w:rsidP="00094DD5">
            <w:pPr>
              <w:spacing w:after="0"/>
              <w:jc w:val="center"/>
              <w:rPr>
                <w:b/>
                <w:bCs/>
                <w:i/>
                <w:iCs/>
                <w:color w:val="000000"/>
                <w:sz w:val="18"/>
                <w:szCs w:val="18"/>
              </w:rPr>
            </w:pPr>
            <w:r w:rsidRPr="00EA6851">
              <w:rPr>
                <w:b/>
                <w:bCs/>
                <w:i/>
                <w:iCs/>
                <w:color w:val="000000"/>
                <w:sz w:val="18"/>
                <w:szCs w:val="18"/>
              </w:rPr>
              <w:t>Политика в областта на изпълнение на наказанията</w:t>
            </w:r>
          </w:p>
        </w:tc>
        <w:tc>
          <w:tcPr>
            <w:tcW w:w="625" w:type="pct"/>
            <w:vMerge w:val="restart"/>
            <w:tcBorders>
              <w:top w:val="single" w:sz="4" w:space="0" w:color="auto"/>
            </w:tcBorders>
            <w:shd w:val="clear" w:color="auto" w:fill="F2F2F2" w:themeFill="background1" w:themeFillShade="F2"/>
            <w:hideMark/>
          </w:tcPr>
          <w:p w:rsidR="00094DD5" w:rsidRPr="00EA6851" w:rsidRDefault="00094DD5" w:rsidP="00094DD5">
            <w:pPr>
              <w:spacing w:after="0"/>
              <w:jc w:val="center"/>
              <w:rPr>
                <w:b/>
                <w:bCs/>
                <w:i/>
                <w:iCs/>
                <w:color w:val="000000"/>
                <w:sz w:val="18"/>
                <w:szCs w:val="18"/>
              </w:rPr>
            </w:pPr>
            <w:r w:rsidRPr="00EA6851">
              <w:rPr>
                <w:b/>
                <w:bCs/>
                <w:i/>
                <w:iCs/>
                <w:color w:val="000000"/>
                <w:sz w:val="18"/>
                <w:szCs w:val="18"/>
              </w:rPr>
              <w:t> </w:t>
            </w:r>
          </w:p>
          <w:p w:rsidR="00094DD5" w:rsidRPr="00EA6851" w:rsidRDefault="00094DD5" w:rsidP="00094DD5">
            <w:pPr>
              <w:spacing w:after="0"/>
              <w:jc w:val="center"/>
              <w:rPr>
                <w:b/>
                <w:bCs/>
                <w:iCs/>
                <w:color w:val="000000"/>
                <w:sz w:val="18"/>
                <w:szCs w:val="18"/>
              </w:rPr>
            </w:pPr>
            <w:r w:rsidRPr="00EA6851">
              <w:rPr>
                <w:b/>
                <w:bCs/>
                <w:iCs/>
                <w:color w:val="000000"/>
                <w:sz w:val="18"/>
                <w:szCs w:val="18"/>
              </w:rPr>
              <w:t>Мерна  единица</w:t>
            </w:r>
          </w:p>
        </w:tc>
        <w:tc>
          <w:tcPr>
            <w:tcW w:w="2343" w:type="pct"/>
            <w:gridSpan w:val="4"/>
            <w:tcBorders>
              <w:top w:val="single" w:sz="4" w:space="0" w:color="auto"/>
              <w:bottom w:val="nil"/>
            </w:tcBorders>
            <w:shd w:val="clear" w:color="auto" w:fill="auto"/>
            <w:hideMark/>
          </w:tcPr>
          <w:p w:rsidR="00094DD5" w:rsidRPr="00EA6851" w:rsidRDefault="00094DD5" w:rsidP="00094DD5">
            <w:pPr>
              <w:spacing w:after="0"/>
              <w:jc w:val="center"/>
              <w:rPr>
                <w:b/>
                <w:bCs/>
                <w:iCs/>
                <w:color w:val="000000"/>
                <w:sz w:val="18"/>
                <w:szCs w:val="18"/>
              </w:rPr>
            </w:pPr>
            <w:r w:rsidRPr="00EA6851">
              <w:rPr>
                <w:b/>
                <w:bCs/>
                <w:iCs/>
                <w:color w:val="000000"/>
                <w:sz w:val="18"/>
                <w:szCs w:val="18"/>
              </w:rPr>
              <w:t>Целева стойност</w:t>
            </w:r>
          </w:p>
        </w:tc>
      </w:tr>
      <w:tr w:rsidR="00094DD5" w:rsidRPr="00EA6851" w:rsidTr="00094DD5">
        <w:trPr>
          <w:trHeight w:val="450"/>
          <w:tblHeader/>
        </w:trPr>
        <w:tc>
          <w:tcPr>
            <w:tcW w:w="2032" w:type="pct"/>
            <w:tcBorders>
              <w:top w:val="nil"/>
              <w:bottom w:val="single" w:sz="4" w:space="0" w:color="auto"/>
            </w:tcBorders>
            <w:shd w:val="clear" w:color="auto" w:fill="auto"/>
            <w:vAlign w:val="center"/>
            <w:hideMark/>
          </w:tcPr>
          <w:p w:rsidR="00094DD5" w:rsidRPr="00EA6851" w:rsidRDefault="00094DD5" w:rsidP="00094DD5">
            <w:pPr>
              <w:spacing w:after="0"/>
              <w:jc w:val="center"/>
              <w:rPr>
                <w:b/>
                <w:bCs/>
                <w:iCs/>
                <w:color w:val="000000"/>
                <w:sz w:val="18"/>
                <w:szCs w:val="18"/>
              </w:rPr>
            </w:pPr>
            <w:r w:rsidRPr="00EA6851">
              <w:rPr>
                <w:b/>
                <w:bCs/>
                <w:iCs/>
                <w:color w:val="000000"/>
                <w:sz w:val="18"/>
                <w:szCs w:val="18"/>
              </w:rPr>
              <w:t>Наименование на индикатора</w:t>
            </w:r>
          </w:p>
        </w:tc>
        <w:tc>
          <w:tcPr>
            <w:tcW w:w="625" w:type="pct"/>
            <w:vMerge/>
            <w:tcBorders>
              <w:bottom w:val="single" w:sz="4" w:space="0" w:color="auto"/>
            </w:tcBorders>
            <w:shd w:val="clear" w:color="auto" w:fill="F2F2F2" w:themeFill="background1" w:themeFillShade="F2"/>
            <w:hideMark/>
          </w:tcPr>
          <w:p w:rsidR="00094DD5" w:rsidRPr="00EA6851" w:rsidRDefault="00094DD5" w:rsidP="00094DD5">
            <w:pPr>
              <w:spacing w:after="0"/>
              <w:jc w:val="center"/>
              <w:rPr>
                <w:b/>
                <w:bCs/>
                <w:i/>
                <w:iCs/>
                <w:color w:val="000000"/>
                <w:sz w:val="18"/>
                <w:szCs w:val="18"/>
              </w:rPr>
            </w:pPr>
          </w:p>
        </w:tc>
        <w:tc>
          <w:tcPr>
            <w:tcW w:w="579" w:type="pct"/>
            <w:tcBorders>
              <w:top w:val="single" w:sz="4" w:space="0" w:color="auto"/>
              <w:bottom w:val="single" w:sz="4" w:space="0" w:color="auto"/>
            </w:tcBorders>
            <w:shd w:val="clear" w:color="auto" w:fill="auto"/>
            <w:vAlign w:val="center"/>
            <w:hideMark/>
          </w:tcPr>
          <w:p w:rsidR="00094DD5" w:rsidRPr="00EA6851" w:rsidRDefault="00094DD5" w:rsidP="00094DD5">
            <w:pPr>
              <w:spacing w:after="0"/>
              <w:jc w:val="center"/>
              <w:rPr>
                <w:b/>
                <w:bCs/>
                <w:i/>
                <w:iCs/>
                <w:color w:val="000000"/>
                <w:sz w:val="18"/>
                <w:szCs w:val="18"/>
                <w:lang w:eastAsia="en-US"/>
              </w:rPr>
            </w:pPr>
            <w:r w:rsidRPr="00EA6851">
              <w:rPr>
                <w:b/>
                <w:bCs/>
                <w:i/>
                <w:iCs/>
                <w:color w:val="000000"/>
                <w:sz w:val="18"/>
                <w:szCs w:val="18"/>
                <w:lang w:eastAsia="en-US"/>
              </w:rPr>
              <w:t>Програма</w:t>
            </w:r>
          </w:p>
          <w:p w:rsidR="00094DD5" w:rsidRPr="00EA6851" w:rsidRDefault="00094DD5" w:rsidP="00094DD5">
            <w:pPr>
              <w:spacing w:after="0"/>
              <w:jc w:val="center"/>
              <w:rPr>
                <w:b/>
                <w:bCs/>
                <w:i/>
                <w:iCs/>
                <w:color w:val="000000"/>
                <w:sz w:val="18"/>
                <w:szCs w:val="18"/>
                <w:lang w:eastAsia="en-US"/>
              </w:rPr>
            </w:pPr>
            <w:r w:rsidRPr="00EA6851">
              <w:rPr>
                <w:b/>
                <w:bCs/>
                <w:i/>
                <w:iCs/>
                <w:color w:val="000000"/>
                <w:sz w:val="18"/>
                <w:szCs w:val="18"/>
                <w:lang w:eastAsia="en-US"/>
              </w:rPr>
              <w:t>2023</w:t>
            </w:r>
          </w:p>
        </w:tc>
        <w:tc>
          <w:tcPr>
            <w:tcW w:w="516" w:type="pct"/>
            <w:tcBorders>
              <w:top w:val="single" w:sz="4" w:space="0" w:color="auto"/>
              <w:bottom w:val="single" w:sz="4" w:space="0" w:color="auto"/>
            </w:tcBorders>
            <w:shd w:val="clear" w:color="auto" w:fill="auto"/>
            <w:vAlign w:val="center"/>
            <w:hideMark/>
          </w:tcPr>
          <w:p w:rsidR="00094DD5" w:rsidRPr="00EA6851" w:rsidRDefault="00094DD5" w:rsidP="00094DD5">
            <w:pPr>
              <w:spacing w:after="0"/>
              <w:jc w:val="center"/>
              <w:rPr>
                <w:b/>
                <w:bCs/>
                <w:i/>
                <w:iCs/>
                <w:color w:val="000000"/>
                <w:sz w:val="18"/>
                <w:szCs w:val="18"/>
                <w:lang w:eastAsia="en-US"/>
              </w:rPr>
            </w:pPr>
            <w:r w:rsidRPr="00EA6851">
              <w:rPr>
                <w:b/>
                <w:bCs/>
                <w:i/>
                <w:iCs/>
                <w:color w:val="000000"/>
                <w:sz w:val="18"/>
                <w:szCs w:val="18"/>
                <w:lang w:eastAsia="en-US"/>
              </w:rPr>
              <w:t xml:space="preserve">Проект </w:t>
            </w:r>
          </w:p>
          <w:p w:rsidR="00094DD5" w:rsidRPr="00EA6851" w:rsidRDefault="00094DD5" w:rsidP="00094DD5">
            <w:pPr>
              <w:spacing w:after="0"/>
              <w:jc w:val="center"/>
              <w:rPr>
                <w:b/>
                <w:bCs/>
                <w:i/>
                <w:iCs/>
                <w:color w:val="000000"/>
                <w:sz w:val="18"/>
                <w:szCs w:val="18"/>
                <w:lang w:eastAsia="en-US"/>
              </w:rPr>
            </w:pPr>
            <w:r w:rsidRPr="00EA6851">
              <w:rPr>
                <w:b/>
                <w:bCs/>
                <w:i/>
                <w:iCs/>
                <w:color w:val="000000"/>
                <w:sz w:val="18"/>
                <w:szCs w:val="18"/>
                <w:lang w:eastAsia="en-US"/>
              </w:rPr>
              <w:t>2024 г.</w:t>
            </w:r>
          </w:p>
        </w:tc>
        <w:tc>
          <w:tcPr>
            <w:tcW w:w="735" w:type="pct"/>
            <w:tcBorders>
              <w:top w:val="single" w:sz="4" w:space="0" w:color="auto"/>
              <w:bottom w:val="single" w:sz="4" w:space="0" w:color="auto"/>
            </w:tcBorders>
            <w:shd w:val="clear" w:color="auto" w:fill="auto"/>
            <w:vAlign w:val="center"/>
            <w:hideMark/>
          </w:tcPr>
          <w:p w:rsidR="00094DD5" w:rsidRPr="00EA6851" w:rsidRDefault="00094DD5" w:rsidP="00094DD5">
            <w:pPr>
              <w:spacing w:after="0"/>
              <w:jc w:val="center"/>
              <w:rPr>
                <w:b/>
                <w:bCs/>
                <w:i/>
                <w:iCs/>
                <w:color w:val="000000"/>
                <w:sz w:val="18"/>
                <w:szCs w:val="18"/>
                <w:lang w:eastAsia="en-US"/>
              </w:rPr>
            </w:pPr>
            <w:r w:rsidRPr="00EA6851">
              <w:rPr>
                <w:b/>
                <w:bCs/>
                <w:i/>
                <w:iCs/>
                <w:color w:val="000000"/>
                <w:sz w:val="18"/>
                <w:szCs w:val="18"/>
                <w:lang w:eastAsia="en-US"/>
              </w:rPr>
              <w:t xml:space="preserve">Прогноза </w:t>
            </w:r>
          </w:p>
          <w:p w:rsidR="00094DD5" w:rsidRPr="00EA6851" w:rsidRDefault="00094DD5" w:rsidP="00094DD5">
            <w:pPr>
              <w:spacing w:after="0"/>
              <w:jc w:val="center"/>
              <w:rPr>
                <w:b/>
                <w:bCs/>
                <w:i/>
                <w:iCs/>
                <w:color w:val="000000"/>
                <w:sz w:val="18"/>
                <w:szCs w:val="18"/>
                <w:lang w:eastAsia="en-US"/>
              </w:rPr>
            </w:pPr>
            <w:r w:rsidRPr="00EA6851">
              <w:rPr>
                <w:b/>
                <w:bCs/>
                <w:i/>
                <w:iCs/>
                <w:color w:val="000000"/>
                <w:sz w:val="18"/>
                <w:szCs w:val="18"/>
                <w:lang w:eastAsia="en-US"/>
              </w:rPr>
              <w:t>2025 г.</w:t>
            </w:r>
          </w:p>
        </w:tc>
        <w:tc>
          <w:tcPr>
            <w:tcW w:w="514" w:type="pct"/>
            <w:tcBorders>
              <w:top w:val="single" w:sz="4" w:space="0" w:color="auto"/>
              <w:bottom w:val="single" w:sz="4" w:space="0" w:color="auto"/>
            </w:tcBorders>
            <w:shd w:val="clear" w:color="auto" w:fill="auto"/>
            <w:vAlign w:val="center"/>
            <w:hideMark/>
          </w:tcPr>
          <w:p w:rsidR="00094DD5" w:rsidRPr="00EA6851" w:rsidRDefault="00094DD5" w:rsidP="00094DD5">
            <w:pPr>
              <w:spacing w:after="0"/>
              <w:ind w:left="-150" w:firstLine="90"/>
              <w:jc w:val="center"/>
              <w:rPr>
                <w:b/>
                <w:bCs/>
                <w:i/>
                <w:iCs/>
                <w:color w:val="000000"/>
                <w:sz w:val="18"/>
                <w:szCs w:val="18"/>
                <w:lang w:eastAsia="en-US"/>
              </w:rPr>
            </w:pPr>
            <w:r w:rsidRPr="00EA6851">
              <w:rPr>
                <w:b/>
                <w:bCs/>
                <w:i/>
                <w:iCs/>
                <w:color w:val="000000"/>
                <w:sz w:val="18"/>
                <w:szCs w:val="18"/>
                <w:lang w:eastAsia="en-US"/>
              </w:rPr>
              <w:t xml:space="preserve">Прогноза </w:t>
            </w:r>
            <w:r w:rsidRPr="00EA6851">
              <w:rPr>
                <w:b/>
                <w:bCs/>
                <w:i/>
                <w:iCs/>
                <w:color w:val="000000"/>
                <w:sz w:val="18"/>
                <w:szCs w:val="18"/>
                <w:lang w:eastAsia="en-US"/>
              </w:rPr>
              <w:br/>
              <w:t>2026 г.</w:t>
            </w:r>
          </w:p>
        </w:tc>
      </w:tr>
      <w:tr w:rsidR="00094DD5" w:rsidRPr="00EA6851" w:rsidTr="00094DD5">
        <w:trPr>
          <w:trHeight w:val="1005"/>
        </w:trPr>
        <w:tc>
          <w:tcPr>
            <w:tcW w:w="2032" w:type="pct"/>
            <w:tcBorders>
              <w:top w:val="single" w:sz="4" w:space="0" w:color="auto"/>
              <w:bottom w:val="nil"/>
            </w:tcBorders>
            <w:shd w:val="clear" w:color="auto" w:fill="auto"/>
            <w:vAlign w:val="center"/>
            <w:hideMark/>
          </w:tcPr>
          <w:p w:rsidR="00094DD5" w:rsidRPr="00EA6851" w:rsidRDefault="00094DD5" w:rsidP="00094DD5">
            <w:pPr>
              <w:spacing w:after="0"/>
              <w:rPr>
                <w:color w:val="000000"/>
                <w:sz w:val="18"/>
                <w:szCs w:val="18"/>
                <w:lang w:eastAsia="en-US"/>
              </w:rPr>
            </w:pPr>
            <w:r w:rsidRPr="00EA6851">
              <w:rPr>
                <w:color w:val="000000"/>
                <w:sz w:val="18"/>
                <w:szCs w:val="18"/>
                <w:lang w:eastAsia="en-US"/>
              </w:rPr>
              <w:t>1.Процент на настанените в места за лишаване от свобода, които не са в съответствие с европейските стандарти за затворите (включително 4 кв.м. на задържан)</w:t>
            </w:r>
          </w:p>
        </w:tc>
        <w:tc>
          <w:tcPr>
            <w:tcW w:w="625" w:type="pct"/>
            <w:tcBorders>
              <w:top w:val="single" w:sz="4" w:space="0" w:color="auto"/>
              <w:bottom w:val="nil"/>
            </w:tcBorders>
            <w:shd w:val="clear" w:color="auto" w:fill="F2F2F2" w:themeFill="background1" w:themeFillShade="F2"/>
            <w:vAlign w:val="center"/>
            <w:hideMark/>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w:t>
            </w:r>
          </w:p>
        </w:tc>
        <w:tc>
          <w:tcPr>
            <w:tcW w:w="579" w:type="pct"/>
            <w:tcBorders>
              <w:top w:val="single" w:sz="4" w:space="0" w:color="auto"/>
              <w:bottom w:val="nil"/>
            </w:tcBorders>
            <w:shd w:val="clear" w:color="auto" w:fill="auto"/>
            <w:vAlign w:val="center"/>
            <w:hideMark/>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5</w:t>
            </w:r>
          </w:p>
        </w:tc>
        <w:tc>
          <w:tcPr>
            <w:tcW w:w="516" w:type="pct"/>
            <w:tcBorders>
              <w:top w:val="single" w:sz="4" w:space="0" w:color="auto"/>
              <w:bottom w:val="nil"/>
            </w:tcBorders>
            <w:shd w:val="clear" w:color="auto" w:fill="auto"/>
            <w:noWrap/>
            <w:vAlign w:val="center"/>
            <w:hideMark/>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5</w:t>
            </w:r>
          </w:p>
        </w:tc>
        <w:tc>
          <w:tcPr>
            <w:tcW w:w="735" w:type="pct"/>
            <w:tcBorders>
              <w:top w:val="single" w:sz="4" w:space="0" w:color="auto"/>
              <w:bottom w:val="nil"/>
            </w:tcBorders>
            <w:shd w:val="clear" w:color="auto" w:fill="auto"/>
            <w:noWrap/>
            <w:vAlign w:val="center"/>
            <w:hideMark/>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5</w:t>
            </w:r>
          </w:p>
        </w:tc>
        <w:tc>
          <w:tcPr>
            <w:tcW w:w="514" w:type="pct"/>
            <w:tcBorders>
              <w:top w:val="single" w:sz="4" w:space="0" w:color="auto"/>
              <w:bottom w:val="nil"/>
            </w:tcBorders>
            <w:shd w:val="clear" w:color="auto" w:fill="auto"/>
            <w:noWrap/>
            <w:vAlign w:val="center"/>
            <w:hideMark/>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5</w:t>
            </w:r>
          </w:p>
        </w:tc>
      </w:tr>
      <w:tr w:rsidR="00094DD5" w:rsidRPr="00EA6851" w:rsidTr="007945B3">
        <w:trPr>
          <w:trHeight w:val="490"/>
        </w:trPr>
        <w:tc>
          <w:tcPr>
            <w:tcW w:w="2032" w:type="pct"/>
            <w:tcBorders>
              <w:top w:val="nil"/>
            </w:tcBorders>
            <w:shd w:val="clear" w:color="auto" w:fill="auto"/>
            <w:vAlign w:val="center"/>
            <w:hideMark/>
          </w:tcPr>
          <w:p w:rsidR="00094DD5" w:rsidRPr="00EA6851" w:rsidRDefault="00094DD5" w:rsidP="00094DD5">
            <w:pPr>
              <w:spacing w:after="0"/>
              <w:rPr>
                <w:color w:val="000000"/>
                <w:sz w:val="18"/>
                <w:szCs w:val="18"/>
                <w:lang w:eastAsia="en-US"/>
              </w:rPr>
            </w:pPr>
            <w:r w:rsidRPr="00EA6851">
              <w:rPr>
                <w:color w:val="000000"/>
                <w:sz w:val="18"/>
                <w:szCs w:val="18"/>
                <w:lang w:eastAsia="en-US"/>
              </w:rPr>
              <w:t xml:space="preserve">2.Процент на лицата в пробация, включени в програми за обществено въздействие </w:t>
            </w:r>
          </w:p>
        </w:tc>
        <w:tc>
          <w:tcPr>
            <w:tcW w:w="625" w:type="pct"/>
            <w:tcBorders>
              <w:top w:val="nil"/>
            </w:tcBorders>
            <w:shd w:val="clear" w:color="auto" w:fill="F2F2F2" w:themeFill="background1" w:themeFillShade="F2"/>
            <w:vAlign w:val="center"/>
            <w:hideMark/>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w:t>
            </w:r>
          </w:p>
        </w:tc>
        <w:tc>
          <w:tcPr>
            <w:tcW w:w="579" w:type="pct"/>
            <w:tcBorders>
              <w:top w:val="nil"/>
            </w:tcBorders>
            <w:shd w:val="clear" w:color="auto" w:fill="auto"/>
            <w:vAlign w:val="center"/>
            <w:hideMark/>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28</w:t>
            </w:r>
          </w:p>
        </w:tc>
        <w:tc>
          <w:tcPr>
            <w:tcW w:w="516" w:type="pct"/>
            <w:tcBorders>
              <w:top w:val="nil"/>
            </w:tcBorders>
            <w:shd w:val="clear" w:color="auto" w:fill="auto"/>
            <w:noWrap/>
            <w:vAlign w:val="center"/>
            <w:hideMark/>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28</w:t>
            </w:r>
          </w:p>
        </w:tc>
        <w:tc>
          <w:tcPr>
            <w:tcW w:w="735" w:type="pct"/>
            <w:tcBorders>
              <w:top w:val="nil"/>
            </w:tcBorders>
            <w:shd w:val="clear" w:color="auto" w:fill="auto"/>
            <w:noWrap/>
            <w:vAlign w:val="center"/>
            <w:hideMark/>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28</w:t>
            </w:r>
          </w:p>
        </w:tc>
        <w:tc>
          <w:tcPr>
            <w:tcW w:w="514" w:type="pct"/>
            <w:tcBorders>
              <w:top w:val="nil"/>
            </w:tcBorders>
            <w:shd w:val="clear" w:color="auto" w:fill="auto"/>
            <w:noWrap/>
            <w:vAlign w:val="center"/>
            <w:hideMark/>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28</w:t>
            </w:r>
          </w:p>
        </w:tc>
      </w:tr>
      <w:tr w:rsidR="00094DD5" w:rsidRPr="00EA6851" w:rsidTr="007945B3">
        <w:trPr>
          <w:trHeight w:val="724"/>
        </w:trPr>
        <w:tc>
          <w:tcPr>
            <w:tcW w:w="2032" w:type="pct"/>
            <w:shd w:val="clear" w:color="auto" w:fill="auto"/>
            <w:vAlign w:val="center"/>
            <w:hideMark/>
          </w:tcPr>
          <w:p w:rsidR="00094DD5" w:rsidRPr="00EA6851" w:rsidRDefault="00094DD5" w:rsidP="00094DD5">
            <w:pPr>
              <w:spacing w:after="0"/>
              <w:rPr>
                <w:color w:val="000000"/>
                <w:sz w:val="18"/>
                <w:szCs w:val="18"/>
                <w:lang w:eastAsia="en-US"/>
              </w:rPr>
            </w:pPr>
            <w:r w:rsidRPr="00EA6851">
              <w:rPr>
                <w:color w:val="000000"/>
                <w:sz w:val="18"/>
                <w:szCs w:val="18"/>
                <w:lang w:eastAsia="en-US"/>
              </w:rPr>
              <w:t>3.Процент на лишени от свобода, завърнали се обратно в пенитенциарната система в рамките на 1 година след освобождаването</w:t>
            </w:r>
          </w:p>
        </w:tc>
        <w:tc>
          <w:tcPr>
            <w:tcW w:w="625" w:type="pct"/>
            <w:shd w:val="clear" w:color="auto" w:fill="F2F2F2" w:themeFill="background1" w:themeFillShade="F2"/>
            <w:vAlign w:val="center"/>
            <w:hideMark/>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w:t>
            </w:r>
          </w:p>
        </w:tc>
        <w:tc>
          <w:tcPr>
            <w:tcW w:w="579" w:type="pct"/>
            <w:shd w:val="clear" w:color="auto" w:fill="auto"/>
            <w:vAlign w:val="center"/>
            <w:hideMark/>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5</w:t>
            </w:r>
          </w:p>
        </w:tc>
        <w:tc>
          <w:tcPr>
            <w:tcW w:w="516" w:type="pct"/>
            <w:shd w:val="clear" w:color="auto" w:fill="auto"/>
            <w:noWrap/>
            <w:vAlign w:val="center"/>
            <w:hideMark/>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5</w:t>
            </w:r>
          </w:p>
        </w:tc>
        <w:tc>
          <w:tcPr>
            <w:tcW w:w="735" w:type="pct"/>
            <w:shd w:val="clear" w:color="auto" w:fill="auto"/>
            <w:noWrap/>
            <w:vAlign w:val="center"/>
            <w:hideMark/>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5</w:t>
            </w:r>
          </w:p>
        </w:tc>
        <w:tc>
          <w:tcPr>
            <w:tcW w:w="514" w:type="pct"/>
            <w:shd w:val="clear" w:color="auto" w:fill="auto"/>
            <w:noWrap/>
            <w:vAlign w:val="center"/>
            <w:hideMark/>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5</w:t>
            </w:r>
          </w:p>
        </w:tc>
      </w:tr>
      <w:tr w:rsidR="00094DD5" w:rsidRPr="00EA6851" w:rsidTr="007945B3">
        <w:trPr>
          <w:trHeight w:val="715"/>
        </w:trPr>
        <w:tc>
          <w:tcPr>
            <w:tcW w:w="2032" w:type="pct"/>
            <w:shd w:val="clear" w:color="auto" w:fill="auto"/>
            <w:vAlign w:val="center"/>
            <w:hideMark/>
          </w:tcPr>
          <w:p w:rsidR="00094DD5" w:rsidRPr="00EA6851" w:rsidRDefault="00094DD5" w:rsidP="00094DD5">
            <w:pPr>
              <w:spacing w:after="0"/>
              <w:rPr>
                <w:color w:val="000000"/>
                <w:sz w:val="18"/>
                <w:szCs w:val="18"/>
                <w:lang w:eastAsia="en-US"/>
              </w:rPr>
            </w:pPr>
            <w:r w:rsidRPr="00EA6851">
              <w:rPr>
                <w:color w:val="000000"/>
                <w:sz w:val="18"/>
                <w:szCs w:val="18"/>
                <w:lang w:eastAsia="en-US"/>
              </w:rPr>
              <w:t>4. Процент на лишени от свобода, завърнали се обратно в пенитенциарната система в рамките на 2 години след освобождаването</w:t>
            </w:r>
          </w:p>
        </w:tc>
        <w:tc>
          <w:tcPr>
            <w:tcW w:w="625" w:type="pct"/>
            <w:shd w:val="clear" w:color="auto" w:fill="F2F2F2" w:themeFill="background1" w:themeFillShade="F2"/>
            <w:vAlign w:val="center"/>
            <w:hideMark/>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w:t>
            </w:r>
          </w:p>
        </w:tc>
        <w:tc>
          <w:tcPr>
            <w:tcW w:w="579" w:type="pct"/>
            <w:shd w:val="clear" w:color="auto" w:fill="auto"/>
            <w:vAlign w:val="center"/>
            <w:hideMark/>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10</w:t>
            </w:r>
          </w:p>
        </w:tc>
        <w:tc>
          <w:tcPr>
            <w:tcW w:w="516" w:type="pct"/>
            <w:shd w:val="clear" w:color="auto" w:fill="auto"/>
            <w:noWrap/>
            <w:vAlign w:val="center"/>
            <w:hideMark/>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10</w:t>
            </w:r>
          </w:p>
        </w:tc>
        <w:tc>
          <w:tcPr>
            <w:tcW w:w="735" w:type="pct"/>
            <w:shd w:val="clear" w:color="auto" w:fill="auto"/>
            <w:noWrap/>
            <w:vAlign w:val="center"/>
            <w:hideMark/>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10</w:t>
            </w:r>
          </w:p>
        </w:tc>
        <w:tc>
          <w:tcPr>
            <w:tcW w:w="514" w:type="pct"/>
            <w:shd w:val="clear" w:color="auto" w:fill="auto"/>
            <w:noWrap/>
            <w:vAlign w:val="center"/>
            <w:hideMark/>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10</w:t>
            </w:r>
          </w:p>
        </w:tc>
      </w:tr>
      <w:tr w:rsidR="00094DD5" w:rsidRPr="00EA6851" w:rsidTr="007945B3">
        <w:trPr>
          <w:trHeight w:val="904"/>
        </w:trPr>
        <w:tc>
          <w:tcPr>
            <w:tcW w:w="2032" w:type="pct"/>
            <w:shd w:val="clear" w:color="auto" w:fill="auto"/>
            <w:vAlign w:val="center"/>
          </w:tcPr>
          <w:p w:rsidR="00094DD5" w:rsidRPr="00EA6851" w:rsidRDefault="00094DD5" w:rsidP="00094DD5">
            <w:pPr>
              <w:spacing w:after="0"/>
              <w:rPr>
                <w:color w:val="000000"/>
                <w:sz w:val="18"/>
                <w:szCs w:val="18"/>
                <w:lang w:eastAsia="en-US"/>
              </w:rPr>
            </w:pPr>
            <w:r w:rsidRPr="00EA6851">
              <w:rPr>
                <w:color w:val="000000"/>
                <w:sz w:val="18"/>
                <w:szCs w:val="18"/>
                <w:lang w:eastAsia="en-US"/>
              </w:rPr>
              <w:t>5. Разработена концептуална рамка за рехабилитация на лишени от свобода и брой  програми за социална реинтеграция на лишените от свобода</w:t>
            </w:r>
          </w:p>
        </w:tc>
        <w:tc>
          <w:tcPr>
            <w:tcW w:w="625" w:type="pct"/>
            <w:shd w:val="clear" w:color="auto" w:fill="F2F2F2" w:themeFill="background1" w:themeFillShade="F2"/>
            <w:vAlign w:val="center"/>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Брой</w:t>
            </w:r>
          </w:p>
        </w:tc>
        <w:tc>
          <w:tcPr>
            <w:tcW w:w="579" w:type="pct"/>
            <w:shd w:val="clear" w:color="auto" w:fill="auto"/>
            <w:vAlign w:val="center"/>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1</w:t>
            </w:r>
          </w:p>
        </w:tc>
        <w:tc>
          <w:tcPr>
            <w:tcW w:w="516" w:type="pct"/>
            <w:shd w:val="clear" w:color="auto" w:fill="auto"/>
            <w:noWrap/>
            <w:vAlign w:val="center"/>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2</w:t>
            </w:r>
          </w:p>
        </w:tc>
        <w:tc>
          <w:tcPr>
            <w:tcW w:w="735" w:type="pct"/>
            <w:shd w:val="clear" w:color="auto" w:fill="auto"/>
            <w:noWrap/>
            <w:vAlign w:val="center"/>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0</w:t>
            </w:r>
          </w:p>
        </w:tc>
        <w:tc>
          <w:tcPr>
            <w:tcW w:w="514" w:type="pct"/>
            <w:shd w:val="clear" w:color="auto" w:fill="auto"/>
            <w:noWrap/>
            <w:vAlign w:val="center"/>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0</w:t>
            </w:r>
          </w:p>
        </w:tc>
      </w:tr>
      <w:tr w:rsidR="00094DD5" w:rsidRPr="00EA6851" w:rsidTr="00094DD5">
        <w:trPr>
          <w:trHeight w:val="101"/>
        </w:trPr>
        <w:tc>
          <w:tcPr>
            <w:tcW w:w="2032" w:type="pct"/>
            <w:shd w:val="clear" w:color="auto" w:fill="auto"/>
            <w:vAlign w:val="center"/>
          </w:tcPr>
          <w:p w:rsidR="00094DD5" w:rsidRPr="00EA6851" w:rsidRDefault="00094DD5" w:rsidP="00094DD5">
            <w:pPr>
              <w:spacing w:after="0"/>
              <w:rPr>
                <w:color w:val="000000"/>
                <w:sz w:val="18"/>
                <w:szCs w:val="18"/>
                <w:lang w:eastAsia="en-US"/>
              </w:rPr>
            </w:pPr>
            <w:r w:rsidRPr="00EA6851">
              <w:rPr>
                <w:color w:val="000000"/>
                <w:sz w:val="18"/>
                <w:szCs w:val="18"/>
                <w:lang w:eastAsia="en-US"/>
              </w:rPr>
              <w:t>6. Брой лишени от свобода преминали през съвременни програми за социална реинтеграция</w:t>
            </w:r>
          </w:p>
        </w:tc>
        <w:tc>
          <w:tcPr>
            <w:tcW w:w="625" w:type="pct"/>
            <w:shd w:val="clear" w:color="auto" w:fill="F2F2F2" w:themeFill="background1" w:themeFillShade="F2"/>
            <w:vAlign w:val="center"/>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Брой</w:t>
            </w:r>
          </w:p>
        </w:tc>
        <w:tc>
          <w:tcPr>
            <w:tcW w:w="579" w:type="pct"/>
            <w:shd w:val="clear" w:color="auto" w:fill="auto"/>
            <w:vAlign w:val="center"/>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20</w:t>
            </w:r>
          </w:p>
        </w:tc>
        <w:tc>
          <w:tcPr>
            <w:tcW w:w="516" w:type="pct"/>
            <w:shd w:val="clear" w:color="auto" w:fill="auto"/>
            <w:noWrap/>
            <w:vAlign w:val="center"/>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20</w:t>
            </w:r>
          </w:p>
        </w:tc>
        <w:tc>
          <w:tcPr>
            <w:tcW w:w="735" w:type="pct"/>
            <w:shd w:val="clear" w:color="auto" w:fill="auto"/>
            <w:noWrap/>
            <w:vAlign w:val="center"/>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60</w:t>
            </w:r>
          </w:p>
        </w:tc>
        <w:tc>
          <w:tcPr>
            <w:tcW w:w="514" w:type="pct"/>
            <w:shd w:val="clear" w:color="auto" w:fill="auto"/>
            <w:noWrap/>
            <w:vAlign w:val="center"/>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70</w:t>
            </w:r>
          </w:p>
        </w:tc>
      </w:tr>
      <w:tr w:rsidR="00094DD5" w:rsidRPr="00EA6851" w:rsidTr="007945B3">
        <w:trPr>
          <w:trHeight w:val="364"/>
        </w:trPr>
        <w:tc>
          <w:tcPr>
            <w:tcW w:w="2032" w:type="pct"/>
            <w:shd w:val="clear" w:color="auto" w:fill="auto"/>
            <w:vAlign w:val="center"/>
          </w:tcPr>
          <w:p w:rsidR="00094DD5" w:rsidRPr="00EA6851" w:rsidRDefault="00094DD5" w:rsidP="00094DD5">
            <w:pPr>
              <w:spacing w:after="0"/>
              <w:rPr>
                <w:color w:val="000000"/>
                <w:sz w:val="18"/>
                <w:szCs w:val="18"/>
                <w:lang w:eastAsia="en-US"/>
              </w:rPr>
            </w:pPr>
            <w:r w:rsidRPr="00EA6851">
              <w:rPr>
                <w:color w:val="000000"/>
                <w:sz w:val="18"/>
                <w:szCs w:val="18"/>
                <w:lang w:eastAsia="en-US"/>
              </w:rPr>
              <w:t>7. Брой открити нови работни места</w:t>
            </w:r>
          </w:p>
        </w:tc>
        <w:tc>
          <w:tcPr>
            <w:tcW w:w="625" w:type="pct"/>
            <w:shd w:val="clear" w:color="auto" w:fill="F2F2F2" w:themeFill="background1" w:themeFillShade="F2"/>
            <w:vAlign w:val="center"/>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Брой</w:t>
            </w:r>
          </w:p>
        </w:tc>
        <w:tc>
          <w:tcPr>
            <w:tcW w:w="579" w:type="pct"/>
            <w:shd w:val="clear" w:color="auto" w:fill="auto"/>
            <w:vAlign w:val="center"/>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0</w:t>
            </w:r>
          </w:p>
        </w:tc>
        <w:tc>
          <w:tcPr>
            <w:tcW w:w="516" w:type="pct"/>
            <w:shd w:val="clear" w:color="auto" w:fill="auto"/>
            <w:noWrap/>
            <w:vAlign w:val="center"/>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92</w:t>
            </w:r>
          </w:p>
        </w:tc>
        <w:tc>
          <w:tcPr>
            <w:tcW w:w="735" w:type="pct"/>
            <w:shd w:val="clear" w:color="auto" w:fill="auto"/>
            <w:noWrap/>
            <w:vAlign w:val="center"/>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50</w:t>
            </w:r>
          </w:p>
        </w:tc>
        <w:tc>
          <w:tcPr>
            <w:tcW w:w="514" w:type="pct"/>
            <w:shd w:val="clear" w:color="auto" w:fill="auto"/>
            <w:noWrap/>
            <w:vAlign w:val="center"/>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40</w:t>
            </w:r>
          </w:p>
        </w:tc>
      </w:tr>
      <w:tr w:rsidR="00094DD5" w:rsidRPr="00EA6851" w:rsidTr="00094DD5">
        <w:trPr>
          <w:trHeight w:val="101"/>
        </w:trPr>
        <w:tc>
          <w:tcPr>
            <w:tcW w:w="2032" w:type="pct"/>
            <w:shd w:val="clear" w:color="auto" w:fill="auto"/>
            <w:vAlign w:val="center"/>
          </w:tcPr>
          <w:p w:rsidR="00094DD5" w:rsidRPr="00EA6851" w:rsidRDefault="00094DD5" w:rsidP="00094DD5">
            <w:pPr>
              <w:spacing w:after="0"/>
              <w:rPr>
                <w:color w:val="000000"/>
                <w:sz w:val="18"/>
                <w:szCs w:val="18"/>
                <w:lang w:eastAsia="en-US"/>
              </w:rPr>
            </w:pPr>
            <w:r w:rsidRPr="00EA6851">
              <w:rPr>
                <w:color w:val="000000"/>
                <w:sz w:val="18"/>
                <w:szCs w:val="18"/>
                <w:lang w:eastAsia="en-US"/>
              </w:rPr>
              <w:t>8. Брой изградени пилотни затворнически съоръжения и учебни центрове за персонала</w:t>
            </w:r>
          </w:p>
        </w:tc>
        <w:tc>
          <w:tcPr>
            <w:tcW w:w="625" w:type="pct"/>
            <w:shd w:val="clear" w:color="auto" w:fill="F2F2F2" w:themeFill="background1" w:themeFillShade="F2"/>
            <w:vAlign w:val="center"/>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Брой</w:t>
            </w:r>
          </w:p>
        </w:tc>
        <w:tc>
          <w:tcPr>
            <w:tcW w:w="579" w:type="pct"/>
            <w:shd w:val="clear" w:color="auto" w:fill="auto"/>
            <w:vAlign w:val="center"/>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0</w:t>
            </w:r>
          </w:p>
        </w:tc>
        <w:tc>
          <w:tcPr>
            <w:tcW w:w="516" w:type="pct"/>
            <w:shd w:val="clear" w:color="auto" w:fill="auto"/>
            <w:noWrap/>
            <w:vAlign w:val="center"/>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2</w:t>
            </w:r>
          </w:p>
        </w:tc>
        <w:tc>
          <w:tcPr>
            <w:tcW w:w="735" w:type="pct"/>
            <w:shd w:val="clear" w:color="auto" w:fill="auto"/>
            <w:noWrap/>
            <w:vAlign w:val="center"/>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0</w:t>
            </w:r>
          </w:p>
        </w:tc>
        <w:tc>
          <w:tcPr>
            <w:tcW w:w="514" w:type="pct"/>
            <w:shd w:val="clear" w:color="auto" w:fill="auto"/>
            <w:noWrap/>
            <w:vAlign w:val="center"/>
          </w:tcPr>
          <w:p w:rsidR="00094DD5" w:rsidRPr="00EA6851" w:rsidRDefault="00094DD5" w:rsidP="00094DD5">
            <w:pPr>
              <w:spacing w:after="0"/>
              <w:jc w:val="center"/>
              <w:rPr>
                <w:color w:val="000000"/>
                <w:sz w:val="18"/>
                <w:szCs w:val="18"/>
                <w:lang w:eastAsia="en-US"/>
              </w:rPr>
            </w:pPr>
            <w:r w:rsidRPr="00EA6851">
              <w:rPr>
                <w:color w:val="000000"/>
                <w:sz w:val="18"/>
                <w:szCs w:val="18"/>
                <w:lang w:eastAsia="en-US"/>
              </w:rPr>
              <w:t>0</w:t>
            </w:r>
          </w:p>
        </w:tc>
      </w:tr>
    </w:tbl>
    <w:p w:rsidR="007478EA" w:rsidRPr="00EA6851" w:rsidRDefault="007478EA" w:rsidP="007478EA">
      <w:pPr>
        <w:rPr>
          <w:szCs w:val="24"/>
        </w:rPr>
      </w:pPr>
    </w:p>
    <w:p w:rsidR="007478EA" w:rsidRPr="00EA6851" w:rsidRDefault="007478EA" w:rsidP="007478EA">
      <w:pPr>
        <w:rPr>
          <w:szCs w:val="24"/>
        </w:rPr>
      </w:pPr>
      <w:r w:rsidRPr="00EA6851">
        <w:rPr>
          <w:szCs w:val="24"/>
        </w:rPr>
        <w:t>Индикаторите по политика в областта на правосъдието са насочени към постигане на реформиране на пенитенциарната система и хуманизиране изпълнението на наказанията, повишаване на сигурността на затворите и следствените арести с внедряването на съвременни и модерни технически средства за наблюдение и контрол, охрана и управление, както и по-интензивно прилагане на програмите за обществено въздействие в пробационните служби.</w:t>
      </w:r>
    </w:p>
    <w:p w:rsidR="007478EA" w:rsidRPr="00EA6851" w:rsidRDefault="007478EA" w:rsidP="00B30642">
      <w:pPr>
        <w:numPr>
          <w:ilvl w:val="0"/>
          <w:numId w:val="46"/>
        </w:numPr>
        <w:rPr>
          <w:i/>
          <w:szCs w:val="24"/>
        </w:rPr>
      </w:pPr>
      <w:r w:rsidRPr="00EA6851">
        <w:rPr>
          <w:i/>
          <w:szCs w:val="24"/>
        </w:rPr>
        <w:t xml:space="preserve">Процент на настанените в места за лишаване от свобода, които не са в съответствие с европейските стандарти за затворите (включително 4 </w:t>
      </w:r>
      <w:r w:rsidR="00E9058E" w:rsidRPr="00EA6851">
        <w:rPr>
          <w:i/>
          <w:szCs w:val="24"/>
        </w:rPr>
        <w:t>кв.</w:t>
      </w:r>
      <w:r w:rsidRPr="00EA6851">
        <w:rPr>
          <w:i/>
          <w:szCs w:val="24"/>
        </w:rPr>
        <w:t>м</w:t>
      </w:r>
      <w:r w:rsidR="00E9058E" w:rsidRPr="00EA6851">
        <w:rPr>
          <w:i/>
          <w:szCs w:val="24"/>
        </w:rPr>
        <w:t>.</w:t>
      </w:r>
      <w:r w:rsidRPr="00EA6851">
        <w:rPr>
          <w:i/>
          <w:szCs w:val="24"/>
        </w:rPr>
        <w:t xml:space="preserve"> на задържан)</w:t>
      </w:r>
    </w:p>
    <w:p w:rsidR="007478EA" w:rsidRPr="00EA6851" w:rsidRDefault="007478EA" w:rsidP="007478EA">
      <w:pPr>
        <w:rPr>
          <w:szCs w:val="24"/>
        </w:rPr>
      </w:pPr>
      <w:r w:rsidRPr="00EA6851">
        <w:rPr>
          <w:szCs w:val="24"/>
        </w:rPr>
        <w:t xml:space="preserve">Индикаторът е разпознат като ключов в отговор на промените в законодателството и препоръките на Европейския комитет за предотвратяване на наказанията (КПИ) за осигуряване на 4 </w:t>
      </w:r>
      <w:r w:rsidR="00E9058E" w:rsidRPr="00EA6851">
        <w:rPr>
          <w:szCs w:val="24"/>
        </w:rPr>
        <w:t>кв.</w:t>
      </w:r>
      <w:r w:rsidRPr="00EA6851">
        <w:rPr>
          <w:szCs w:val="24"/>
        </w:rPr>
        <w:t>м. минимална жилищна площ, което е в съответствие с европейските стандарти и добри практики. Този индикатор гарантира спазването на човешките права и осигуряване на условия на лишените от свобода, които да съдействат за тяхната по-успешна рехабилитация и ресоциализация. Индикаторът измерва постигането на стратегическа цел „Реформиране на пенитенциарната система и хуманизиране изпълнението на наказанията“.</w:t>
      </w:r>
    </w:p>
    <w:p w:rsidR="007478EA" w:rsidRPr="00EA6851" w:rsidRDefault="007478EA" w:rsidP="00B30642">
      <w:pPr>
        <w:numPr>
          <w:ilvl w:val="0"/>
          <w:numId w:val="46"/>
        </w:numPr>
        <w:rPr>
          <w:i/>
          <w:szCs w:val="24"/>
        </w:rPr>
      </w:pPr>
      <w:r w:rsidRPr="00EA6851">
        <w:rPr>
          <w:i/>
          <w:szCs w:val="24"/>
        </w:rPr>
        <w:t xml:space="preserve"> Процент на лицата в пробация, включени в програми за обществено въздействие</w:t>
      </w:r>
    </w:p>
    <w:p w:rsidR="007478EA" w:rsidRPr="00EA6851" w:rsidRDefault="007478EA" w:rsidP="007478EA">
      <w:pPr>
        <w:rPr>
          <w:szCs w:val="24"/>
        </w:rPr>
      </w:pPr>
      <w:r w:rsidRPr="00EA6851">
        <w:rPr>
          <w:szCs w:val="24"/>
        </w:rPr>
        <w:t>Индикаторът е определен като ключов, тъй като една от основните цели на наказанието пробация е успешната социална включеност на осъдените лица и тяхната реинтеграция в обществото като пълноценни и зачитащи закона граждани. Един от основните стълбове за постигане на тази цел е включването на  осъдените лица в  специализирани програми за обществено въздействие, където те да успеят да извлекат полза като усвоят нови знания и умения. Резултатите на участниците в тях са свързани основно с повишаване на отговорността за поведението, промяна на отношението към извършеното правонарушение, промяна на нагласите и преодоляване на наличните дефицити в решаване на проблеми. Индикаторът измерва доколко тази цел е постигната за периода на изпълнение на наказанието, което би довело до превенция за извършване на повторно правонарушение. Индикаторът се отнася към стратегическа цел „Реформиране на пенитенциарната система и хуманизиране изпълнението на наказанията“.</w:t>
      </w:r>
    </w:p>
    <w:p w:rsidR="007478EA" w:rsidRPr="00EA6851" w:rsidRDefault="007478EA" w:rsidP="00B30642">
      <w:pPr>
        <w:numPr>
          <w:ilvl w:val="0"/>
          <w:numId w:val="46"/>
        </w:numPr>
        <w:rPr>
          <w:i/>
          <w:szCs w:val="24"/>
        </w:rPr>
      </w:pPr>
      <w:r w:rsidRPr="00EA6851">
        <w:rPr>
          <w:i/>
          <w:szCs w:val="24"/>
        </w:rPr>
        <w:t>Процент на лишени от свобода, завърнали се обратно в пенитенциарната система в рамките на 1 година след освобождаването</w:t>
      </w:r>
    </w:p>
    <w:p w:rsidR="007478EA" w:rsidRPr="00EA6851" w:rsidRDefault="007478EA" w:rsidP="007478EA">
      <w:pPr>
        <w:rPr>
          <w:b/>
          <w:i/>
          <w:szCs w:val="24"/>
        </w:rPr>
      </w:pPr>
      <w:r w:rsidRPr="00EA6851">
        <w:rPr>
          <w:szCs w:val="24"/>
        </w:rPr>
        <w:t xml:space="preserve">Индикаторът е ключов за измерване постигането на целите на наказанието, </w:t>
      </w:r>
      <w:r w:rsidR="00E04B76" w:rsidRPr="00EA6851">
        <w:rPr>
          <w:szCs w:val="24"/>
        </w:rPr>
        <w:t xml:space="preserve">а </w:t>
      </w:r>
      <w:r w:rsidRPr="00EA6851">
        <w:rPr>
          <w:szCs w:val="24"/>
        </w:rPr>
        <w:t>именно превенция на повторното престъпление, базиран е на екстраполацията на очакваната степен на рецидивизъм в национален мащаб за периода от 1 година след освобождаване.</w:t>
      </w:r>
      <w:r w:rsidRPr="00EA6851">
        <w:rPr>
          <w:b/>
          <w:i/>
          <w:szCs w:val="24"/>
        </w:rPr>
        <w:t xml:space="preserve"> </w:t>
      </w:r>
      <w:r w:rsidRPr="00EA6851">
        <w:rPr>
          <w:szCs w:val="24"/>
        </w:rPr>
        <w:t>Индикаторът се отнася към стратегическа цел „Реформиране на пенитенциарната система и хуманизиране изпълнението на наказанията“.</w:t>
      </w:r>
    </w:p>
    <w:p w:rsidR="007478EA" w:rsidRPr="00EA6851" w:rsidRDefault="007478EA" w:rsidP="00B30642">
      <w:pPr>
        <w:numPr>
          <w:ilvl w:val="0"/>
          <w:numId w:val="46"/>
        </w:numPr>
        <w:rPr>
          <w:i/>
          <w:szCs w:val="24"/>
        </w:rPr>
      </w:pPr>
      <w:r w:rsidRPr="00EA6851">
        <w:rPr>
          <w:i/>
          <w:szCs w:val="24"/>
        </w:rPr>
        <w:t>Процент на лишени от свобода, завърнали се обратно в пенитенциарната система в рамките на 2 годин</w:t>
      </w:r>
      <w:r w:rsidR="00E04B76" w:rsidRPr="00EA6851">
        <w:rPr>
          <w:i/>
          <w:szCs w:val="24"/>
        </w:rPr>
        <w:t>и</w:t>
      </w:r>
      <w:r w:rsidRPr="00EA6851">
        <w:rPr>
          <w:i/>
          <w:szCs w:val="24"/>
        </w:rPr>
        <w:t xml:space="preserve"> след освобождаването </w:t>
      </w:r>
    </w:p>
    <w:p w:rsidR="007478EA" w:rsidRPr="00EA6851" w:rsidRDefault="007478EA" w:rsidP="007478EA">
      <w:pPr>
        <w:rPr>
          <w:szCs w:val="24"/>
        </w:rPr>
      </w:pPr>
      <w:r w:rsidRPr="00EA6851">
        <w:rPr>
          <w:szCs w:val="24"/>
        </w:rPr>
        <w:t>Индикаторът измерва устойчивостта на резултатите, а именно превенция на повторното престъпление в дългосрочен период, базиран е на екстраполацията на очакваната степен на рецидивизъм в национален мащаб за периода от 2 години след освобождаване.</w:t>
      </w:r>
      <w:r w:rsidRPr="00EA6851">
        <w:rPr>
          <w:b/>
          <w:i/>
          <w:szCs w:val="24"/>
        </w:rPr>
        <w:t xml:space="preserve"> </w:t>
      </w:r>
      <w:r w:rsidRPr="00EA6851">
        <w:rPr>
          <w:szCs w:val="24"/>
        </w:rPr>
        <w:t>Индикаторът се отнася към стратегическа цел „Реформиране на пенитенциарната система и хуманизиране изпълнението на наказанията“.</w:t>
      </w:r>
    </w:p>
    <w:p w:rsidR="007478EA" w:rsidRPr="00EA6851" w:rsidRDefault="007478EA" w:rsidP="00B30642">
      <w:pPr>
        <w:numPr>
          <w:ilvl w:val="0"/>
          <w:numId w:val="46"/>
        </w:numPr>
        <w:rPr>
          <w:i/>
          <w:szCs w:val="24"/>
        </w:rPr>
      </w:pPr>
      <w:r w:rsidRPr="00EA6851">
        <w:rPr>
          <w:i/>
          <w:szCs w:val="24"/>
        </w:rPr>
        <w:t>Разработена концептуална рамка за рехабилитация на лишени от свобода и брой програми за социална реинтеграция на лишените от свобода</w:t>
      </w:r>
    </w:p>
    <w:p w:rsidR="007478EA" w:rsidRPr="00EA6851" w:rsidRDefault="007478EA" w:rsidP="007478EA">
      <w:pPr>
        <w:rPr>
          <w:szCs w:val="24"/>
        </w:rPr>
      </w:pPr>
      <w:r w:rsidRPr="00EA6851">
        <w:rPr>
          <w:szCs w:val="24"/>
        </w:rPr>
        <w:t>По Предефиниран проект 2 на НФМ, в периода 2023-2024 г. предстои разработването на 1 концептуална рамка и две програми за уязвими групи, 1 за млади правонарушители и 1 за роми.</w:t>
      </w:r>
    </w:p>
    <w:p w:rsidR="007478EA" w:rsidRPr="00EA6851" w:rsidRDefault="007478EA" w:rsidP="007478EA">
      <w:pPr>
        <w:rPr>
          <w:szCs w:val="24"/>
        </w:rPr>
      </w:pPr>
      <w:r w:rsidRPr="00EA6851">
        <w:rPr>
          <w:szCs w:val="24"/>
        </w:rPr>
        <w:t>Индикаторът измерва напредъка в предоставянето на достъп до програми и съдържателни дейности, с оглед на риска и специфичните нужди на лишените от свобода и е ключов за успешното реинтегриране и социално включване на тези лица. Индикаторът се отнася към стратегическа цел „Подобряване на рехабилитацията на лишените от свобода и засилване на техните социални компетентности за намаляване на рецидива“.</w:t>
      </w:r>
    </w:p>
    <w:p w:rsidR="007478EA" w:rsidRPr="00EA6851" w:rsidRDefault="007478EA" w:rsidP="00B30642">
      <w:pPr>
        <w:numPr>
          <w:ilvl w:val="0"/>
          <w:numId w:val="46"/>
        </w:numPr>
        <w:rPr>
          <w:i/>
          <w:szCs w:val="24"/>
        </w:rPr>
      </w:pPr>
      <w:r w:rsidRPr="00EA6851">
        <w:rPr>
          <w:i/>
          <w:szCs w:val="24"/>
        </w:rPr>
        <w:t>Брой лишени от свобода преминали през съвременни програми за рехабилитация и реинтеграция</w:t>
      </w:r>
    </w:p>
    <w:p w:rsidR="007478EA" w:rsidRPr="00EA6851" w:rsidRDefault="007478EA" w:rsidP="007478EA">
      <w:pPr>
        <w:rPr>
          <w:szCs w:val="24"/>
        </w:rPr>
      </w:pPr>
      <w:r w:rsidRPr="00EA6851">
        <w:rPr>
          <w:szCs w:val="24"/>
        </w:rPr>
        <w:t xml:space="preserve">Индикаторът измерва динамиката в достъпа и интереса на лишените от свобода за включване в рехабилитационни и реинтеграционни програми, които да подпомогнат изграждането на устойчиви социални компетентности и умения на социална интеграция. Индикаторът </w:t>
      </w:r>
      <w:r w:rsidR="00E9058E" w:rsidRPr="00EA6851">
        <w:rPr>
          <w:szCs w:val="24"/>
        </w:rPr>
        <w:t>се отнася към стратегическа цел</w:t>
      </w:r>
      <w:r w:rsidRPr="00EA6851">
        <w:rPr>
          <w:szCs w:val="24"/>
        </w:rPr>
        <w:t xml:space="preserve"> „Подобряване на рехабилитацията на лишените от свобода и засилване на техните социални компетентности за намаляване на рецидива“.</w:t>
      </w:r>
    </w:p>
    <w:p w:rsidR="007478EA" w:rsidRPr="00EA6851" w:rsidRDefault="007478EA" w:rsidP="00B30642">
      <w:pPr>
        <w:numPr>
          <w:ilvl w:val="0"/>
          <w:numId w:val="46"/>
        </w:numPr>
        <w:rPr>
          <w:i/>
          <w:szCs w:val="24"/>
        </w:rPr>
      </w:pPr>
      <w:r w:rsidRPr="00EA6851">
        <w:rPr>
          <w:i/>
          <w:szCs w:val="24"/>
        </w:rPr>
        <w:t>Брой открити нови работни места</w:t>
      </w:r>
    </w:p>
    <w:p w:rsidR="007478EA" w:rsidRPr="00EA6851" w:rsidRDefault="007478EA" w:rsidP="007478EA">
      <w:pPr>
        <w:rPr>
          <w:szCs w:val="24"/>
        </w:rPr>
      </w:pPr>
      <w:r w:rsidRPr="00EA6851">
        <w:rPr>
          <w:szCs w:val="24"/>
        </w:rPr>
        <w:t>Индикаторът измерва броят на новоназначените служители в затворите, така че да се прилагат ефективно новите програми за социална реинтеграция и рехабилитация на лишените от свобода, както и да се гарантира успешното внедряване на принципите на нормализация и динамична сигурност. Това гарантира и устойчивост на резултатите</w:t>
      </w:r>
      <w:r w:rsidR="00E04B76" w:rsidRPr="00EA6851">
        <w:rPr>
          <w:szCs w:val="24"/>
        </w:rPr>
        <w:t>,</w:t>
      </w:r>
      <w:r w:rsidRPr="00EA6851">
        <w:rPr>
          <w:szCs w:val="24"/>
        </w:rPr>
        <w:t xml:space="preserve"> постигнати по подписаните договори по европейски програми и проекти, което има отношение към стратегическа цел „Ефективно и ефикасно управление и изпълнение на подписаните договори по европейски програми и проекти и засилване на международното сътрудничество“.</w:t>
      </w:r>
    </w:p>
    <w:p w:rsidR="007478EA" w:rsidRPr="00EA6851" w:rsidRDefault="007478EA" w:rsidP="007478EA">
      <w:pPr>
        <w:rPr>
          <w:szCs w:val="24"/>
        </w:rPr>
      </w:pPr>
      <w:r w:rsidRPr="00EA6851">
        <w:rPr>
          <w:szCs w:val="24"/>
        </w:rPr>
        <w:t>Индикаторът „Брой открити нови работни места“ се отнася към цел „Организационно развитие и укрепване на административния капацитет, осигуряващи изпълненията на наказанията“.</w:t>
      </w:r>
    </w:p>
    <w:p w:rsidR="007478EA" w:rsidRPr="00EA6851" w:rsidRDefault="007478EA" w:rsidP="00B30642">
      <w:pPr>
        <w:numPr>
          <w:ilvl w:val="0"/>
          <w:numId w:val="46"/>
        </w:numPr>
        <w:rPr>
          <w:i/>
          <w:szCs w:val="24"/>
        </w:rPr>
      </w:pPr>
      <w:r w:rsidRPr="00EA6851">
        <w:rPr>
          <w:i/>
          <w:szCs w:val="24"/>
        </w:rPr>
        <w:t>Брой изградени пилотни затворнически съоръжения и учебни центрове за персонал</w:t>
      </w:r>
    </w:p>
    <w:p w:rsidR="007478EA" w:rsidRPr="00EA6851" w:rsidRDefault="007478EA" w:rsidP="00C32082">
      <w:pPr>
        <w:rPr>
          <w:szCs w:val="24"/>
        </w:rPr>
      </w:pPr>
      <w:r w:rsidRPr="00EA6851">
        <w:rPr>
          <w:szCs w:val="24"/>
        </w:rPr>
        <w:t>Индикаторът е ключов за постигане на реформиране на пенитенциарната система, хуманизиране изпълнението на наказанията и повишаване на сигурността на затворите. В последните 60 години в България не е изграждан нов затвор, а тези съоръжения, които са в експлоатация не отговарят на съвременните стандарти и архитектурни решения, гарантиращи както сигурността, така и защита</w:t>
      </w:r>
      <w:r w:rsidR="00E04B76" w:rsidRPr="00EA6851">
        <w:rPr>
          <w:szCs w:val="24"/>
        </w:rPr>
        <w:t>та</w:t>
      </w:r>
      <w:r w:rsidRPr="00EA6851">
        <w:rPr>
          <w:szCs w:val="24"/>
        </w:rPr>
        <w:t xml:space="preserve"> на човешките права на лишените от свобода. Индикаторът се отнася към стратегическа цел „Реформиране на пенитенциарната система и хуманизиране изпълнението на наказанията“.</w:t>
      </w:r>
    </w:p>
    <w:p w:rsidR="0033580A" w:rsidRPr="00EA6851" w:rsidRDefault="0033580A" w:rsidP="0033580A">
      <w:pPr>
        <w:pStyle w:val="Heading3"/>
        <w:ind w:left="0"/>
      </w:pPr>
      <w:r w:rsidRPr="00EA6851">
        <w:t>Външна политика</w:t>
      </w:r>
    </w:p>
    <w:p w:rsidR="00E9058E" w:rsidRPr="00EA6851" w:rsidRDefault="00E9058E" w:rsidP="00E9058E">
      <w:pPr>
        <w:rPr>
          <w:noProof/>
          <w:szCs w:val="24"/>
          <w:highlight w:val="yellow"/>
        </w:rPr>
      </w:pPr>
      <w:r w:rsidRPr="00EA6851">
        <w:rPr>
          <w:noProof/>
          <w:szCs w:val="24"/>
        </w:rPr>
        <w:t xml:space="preserve">Външната политика на България се ръководи от принципа на прагматично следване на националния интерес и недопускане на намеса във вътрешните работи на страната ни. </w:t>
      </w:r>
      <w:r w:rsidRPr="0030405E">
        <w:rPr>
          <w:b/>
          <w:noProof/>
          <w:szCs w:val="24"/>
        </w:rPr>
        <w:t>Министерството на външните работи</w:t>
      </w:r>
      <w:r w:rsidRPr="00EA6851">
        <w:rPr>
          <w:noProof/>
          <w:szCs w:val="24"/>
        </w:rPr>
        <w:t xml:space="preserve"> ръководи, координира и контролира осъществяването на държавната политика на Република България в отношенията ѝ с други държави, като осигурява поддържането и развитието на външнополитическия диалог, политиката на сигурност и двустранното, регионалното и многостранното сътрудничество</w:t>
      </w:r>
      <w:r w:rsidR="005D6F92" w:rsidRPr="00EA6851">
        <w:rPr>
          <w:noProof/>
          <w:szCs w:val="24"/>
        </w:rPr>
        <w:t xml:space="preserve"> и</w:t>
      </w:r>
      <w:r w:rsidRPr="00EA6851">
        <w:rPr>
          <w:noProof/>
          <w:szCs w:val="24"/>
        </w:rPr>
        <w:t xml:space="preserve"> </w:t>
      </w:r>
      <w:r w:rsidR="005D6F92" w:rsidRPr="00EA6851">
        <w:rPr>
          <w:noProof/>
          <w:szCs w:val="24"/>
        </w:rPr>
        <w:t>о</w:t>
      </w:r>
      <w:r w:rsidRPr="00EA6851">
        <w:rPr>
          <w:noProof/>
          <w:szCs w:val="24"/>
        </w:rPr>
        <w:t>съществява общата координация в областта на външната политика и международната дейност на Република България.</w:t>
      </w:r>
    </w:p>
    <w:p w:rsidR="00E9058E" w:rsidRPr="00EA6851" w:rsidRDefault="00E9058E" w:rsidP="00E9058E">
      <w:pPr>
        <w:pStyle w:val="Heading4"/>
        <w:spacing w:before="0" w:after="200"/>
      </w:pPr>
      <w:r w:rsidRPr="00EA6851">
        <w:t>Политика в областта на активната двустранна и многостранна дипломация</w:t>
      </w:r>
    </w:p>
    <w:p w:rsidR="00E9058E" w:rsidRPr="00EA6851" w:rsidRDefault="00E9058E" w:rsidP="00E9058E">
      <w:r w:rsidRPr="00EA6851">
        <w:t>Политиката в областта на активната двустранна и многостранна дипломация е главното направление на дейността на Министерството на външните работи като орган, провеждащ външната политика на държавата. В съвременния многополюсен свят дипломацията и преговорите са жизнено необходим основен инструмент в разрешаването на съществуващите и нововъзникнали кризи и конфликти, както и за намиране на устойчиви и справедливи решения на глобалните проблеми.</w:t>
      </w:r>
    </w:p>
    <w:p w:rsidR="00E9058E" w:rsidRPr="00EA6851" w:rsidRDefault="00E9058E" w:rsidP="00E9058E">
      <w:r w:rsidRPr="00EA6851">
        <w:t>Важен акцент при осъществяването на тази политика е активното участие на страната ни в евроатлантическите структури и задълбочаване на сътрудничеството между НАТО и ЕС. Реформите в ЕС трябва да се основават на принципите и ценностите на европейската солидарност и равноправие при взаимно зачитане на интересите и доверието между държавите-членки на ЕС. Специално внимание се отдава на по-нататъшно задълбочаване на двустранните политически, икономически и културни отношения със страните от Югоизточна Европа.</w:t>
      </w:r>
    </w:p>
    <w:p w:rsidR="00E9058E" w:rsidRPr="00EA6851" w:rsidRDefault="00E9058E" w:rsidP="00E9058E">
      <w:r w:rsidRPr="00EA6851">
        <w:t>Българската външна политика работи за присъединяване на България към Шенген, еврозоната и Организацията за икономическо сътрудничество и развитие. Присъединяването на България към ОИСР ще представлява не само допълнително признание за стабилността, потенциала и привлекателността на нашата икономика за инвеститорите, но и ще бъде гарант за постоянния ангажимент на България към изработването и прилагането  на политики за социално и икономическо благополучие. Присъединяването на страната ни към ОИСР ще е логическото продължение и следваща ключова стъпка в изграждането на модерно демократично общество и просперираща пазарна икономика след членството в НАТО и ЕС. За о</w:t>
      </w:r>
      <w:r w:rsidR="005D6F92" w:rsidRPr="00EA6851">
        <w:t>сигуряване</w:t>
      </w:r>
      <w:r w:rsidRPr="00EA6851">
        <w:t xml:space="preserve"> на разходите по процеса на присъединяване на България към ОИСР, дължими към Секретариата на ОИСР, за периода 2024-2026 г.  по бюджета на МВнР за всяка от годините са осигурени допълнителни средства в размер на </w:t>
      </w:r>
      <w:r w:rsidR="00914161" w:rsidRPr="00EA6851">
        <w:t>9</w:t>
      </w:r>
      <w:r w:rsidRPr="00EA6851">
        <w:t xml:space="preserve">,8 млн. лв. </w:t>
      </w:r>
    </w:p>
    <w:p w:rsidR="00E9058E" w:rsidRPr="00EA6851" w:rsidRDefault="00E9058E" w:rsidP="00E9058E">
      <w:r w:rsidRPr="00EA6851">
        <w:t>Основен приоритет на българската държава е ефективна защита на правата и отстояване на законните интереси на българите зад граница. Усилията ще са насочени към провеждане на целенасочена политика за поддържане на българската идентичност, език и култура в традиционните и новите български общности в чужбина.</w:t>
      </w:r>
    </w:p>
    <w:p w:rsidR="00E9058E" w:rsidRPr="00EA6851" w:rsidRDefault="00E9058E" w:rsidP="00E9058E">
      <w:r w:rsidRPr="00EA6851">
        <w:t>В рамките на тази политика се осъществява и политиката на сътрудничество за развитие, чрез която се цели постигане на устойчиво развитие, укрепване на международния мир, сигурност и стабилност на основата на ценностите на демокрацията, плурализма, върховенството на закона и зачитането на правата на човека.</w:t>
      </w:r>
    </w:p>
    <w:p w:rsidR="00E9058E" w:rsidRPr="00EA6851" w:rsidRDefault="00E9058E" w:rsidP="00E9058E">
      <w:pPr>
        <w:rPr>
          <w:b/>
          <w:bCs/>
          <w:sz w:val="20"/>
          <w:szCs w:val="20"/>
        </w:rPr>
      </w:pPr>
      <w:r w:rsidRPr="00EA6851">
        <w:rPr>
          <w:b/>
          <w:bCs/>
          <w:sz w:val="20"/>
          <w:szCs w:val="20"/>
        </w:rPr>
        <w:t>КЛЮЧОВИ ИНДИКАТОРИ ЗА ИЗПЪЛНЕНИЕ И ЦЕЛЕВИ СТОЙНОСТИ</w:t>
      </w:r>
    </w:p>
    <w:tbl>
      <w:tblPr>
        <w:tblW w:w="5000" w:type="pct"/>
        <w:tblBorders>
          <w:top w:val="single" w:sz="4" w:space="0" w:color="auto"/>
          <w:bottom w:val="single" w:sz="4" w:space="0" w:color="auto"/>
        </w:tblBorders>
        <w:tblLook w:val="0000" w:firstRow="0" w:lastRow="0" w:firstColumn="0" w:lastColumn="0" w:noHBand="0" w:noVBand="0"/>
      </w:tblPr>
      <w:tblGrid>
        <w:gridCol w:w="3024"/>
        <w:gridCol w:w="2133"/>
        <w:gridCol w:w="996"/>
        <w:gridCol w:w="855"/>
        <w:gridCol w:w="953"/>
        <w:gridCol w:w="1109"/>
      </w:tblGrid>
      <w:tr w:rsidR="00E9058E" w:rsidRPr="00EA6851" w:rsidTr="00960D92">
        <w:trPr>
          <w:trHeight w:val="255"/>
          <w:tblHeader/>
        </w:trPr>
        <w:tc>
          <w:tcPr>
            <w:tcW w:w="1689" w:type="pct"/>
            <w:shd w:val="clear" w:color="auto" w:fill="auto"/>
            <w:vAlign w:val="center"/>
          </w:tcPr>
          <w:p w:rsidR="00E9058E" w:rsidRPr="00EA6851" w:rsidRDefault="00E9058E" w:rsidP="00E9058E">
            <w:pPr>
              <w:spacing w:after="0"/>
              <w:jc w:val="center"/>
              <w:rPr>
                <w:b/>
                <w:i/>
                <w:iCs/>
                <w:sz w:val="18"/>
                <w:szCs w:val="18"/>
                <w:lang w:eastAsia="en-US"/>
              </w:rPr>
            </w:pPr>
            <w:r w:rsidRPr="00EA6851">
              <w:rPr>
                <w:b/>
                <w:i/>
                <w:iCs/>
                <w:sz w:val="18"/>
                <w:szCs w:val="18"/>
                <w:lang w:eastAsia="en-US"/>
              </w:rPr>
              <w:t>Политика в областта на активната двустранна и многостранна дипломация</w:t>
            </w:r>
          </w:p>
        </w:tc>
        <w:tc>
          <w:tcPr>
            <w:tcW w:w="1198" w:type="pct"/>
            <w:vMerge w:val="restart"/>
            <w:shd w:val="clear" w:color="auto" w:fill="F2F2F2"/>
            <w:vAlign w:val="center"/>
          </w:tcPr>
          <w:p w:rsidR="00E9058E" w:rsidRPr="00EA6851" w:rsidRDefault="00E9058E" w:rsidP="00E9058E">
            <w:pPr>
              <w:spacing w:after="0"/>
              <w:jc w:val="center"/>
              <w:rPr>
                <w:sz w:val="18"/>
                <w:szCs w:val="18"/>
                <w:lang w:eastAsia="en-US"/>
              </w:rPr>
            </w:pPr>
            <w:r w:rsidRPr="00EA6851">
              <w:rPr>
                <w:b/>
                <w:bCs/>
                <w:sz w:val="18"/>
                <w:szCs w:val="18"/>
                <w:lang w:eastAsia="en-US"/>
              </w:rPr>
              <w:t xml:space="preserve">Мерна </w:t>
            </w:r>
            <w:r w:rsidRPr="00EA6851">
              <w:rPr>
                <w:b/>
                <w:bCs/>
                <w:sz w:val="18"/>
                <w:szCs w:val="18"/>
                <w:lang w:eastAsia="en-US"/>
              </w:rPr>
              <w:br/>
              <w:t>единица</w:t>
            </w:r>
          </w:p>
        </w:tc>
        <w:tc>
          <w:tcPr>
            <w:tcW w:w="493" w:type="pct"/>
          </w:tcPr>
          <w:p w:rsidR="00E9058E" w:rsidRPr="00EA6851" w:rsidRDefault="00E9058E" w:rsidP="00E9058E">
            <w:pPr>
              <w:spacing w:after="0"/>
              <w:ind w:left="162" w:hanging="162"/>
              <w:jc w:val="center"/>
              <w:rPr>
                <w:b/>
                <w:bCs/>
                <w:sz w:val="18"/>
                <w:szCs w:val="18"/>
                <w:lang w:eastAsia="en-US"/>
              </w:rPr>
            </w:pPr>
          </w:p>
        </w:tc>
        <w:tc>
          <w:tcPr>
            <w:tcW w:w="1620" w:type="pct"/>
            <w:gridSpan w:val="3"/>
            <w:tcBorders>
              <w:bottom w:val="single" w:sz="4" w:space="0" w:color="auto"/>
            </w:tcBorders>
            <w:shd w:val="clear" w:color="auto" w:fill="auto"/>
            <w:vAlign w:val="center"/>
          </w:tcPr>
          <w:p w:rsidR="00E9058E" w:rsidRPr="00EA6851" w:rsidRDefault="00E9058E" w:rsidP="00E9058E">
            <w:pPr>
              <w:spacing w:after="0"/>
              <w:ind w:left="162" w:hanging="162"/>
              <w:jc w:val="center"/>
              <w:rPr>
                <w:b/>
                <w:bCs/>
                <w:sz w:val="18"/>
                <w:szCs w:val="18"/>
                <w:lang w:eastAsia="en-US"/>
              </w:rPr>
            </w:pPr>
            <w:r w:rsidRPr="00EA6851">
              <w:rPr>
                <w:b/>
                <w:bCs/>
                <w:sz w:val="18"/>
                <w:szCs w:val="18"/>
                <w:lang w:eastAsia="en-US"/>
              </w:rPr>
              <w:t>Целева стойност</w:t>
            </w:r>
          </w:p>
        </w:tc>
      </w:tr>
      <w:tr w:rsidR="00E9058E" w:rsidRPr="00EA6851" w:rsidTr="00960D92">
        <w:trPr>
          <w:trHeight w:val="450"/>
          <w:tblHeader/>
        </w:trPr>
        <w:tc>
          <w:tcPr>
            <w:tcW w:w="1689" w:type="pct"/>
            <w:tcBorders>
              <w:bottom w:val="single" w:sz="4" w:space="0" w:color="auto"/>
            </w:tcBorders>
            <w:shd w:val="clear" w:color="auto" w:fill="auto"/>
            <w:vAlign w:val="center"/>
          </w:tcPr>
          <w:p w:rsidR="00E9058E" w:rsidRPr="00EA6851" w:rsidRDefault="00E9058E" w:rsidP="00E9058E">
            <w:pPr>
              <w:spacing w:after="0"/>
              <w:jc w:val="center"/>
              <w:rPr>
                <w:b/>
                <w:bCs/>
                <w:sz w:val="18"/>
                <w:szCs w:val="18"/>
                <w:lang w:eastAsia="en-US"/>
              </w:rPr>
            </w:pPr>
            <w:r w:rsidRPr="00EA6851">
              <w:rPr>
                <w:b/>
                <w:bCs/>
                <w:sz w:val="18"/>
                <w:szCs w:val="18"/>
                <w:lang w:eastAsia="en-US"/>
              </w:rPr>
              <w:t>Наименование на индикатора</w:t>
            </w:r>
          </w:p>
        </w:tc>
        <w:tc>
          <w:tcPr>
            <w:tcW w:w="1198" w:type="pct"/>
            <w:vMerge/>
            <w:tcBorders>
              <w:bottom w:val="single" w:sz="4" w:space="0" w:color="auto"/>
            </w:tcBorders>
            <w:shd w:val="clear" w:color="auto" w:fill="F2F2F2"/>
            <w:vAlign w:val="center"/>
          </w:tcPr>
          <w:p w:rsidR="00E9058E" w:rsidRPr="00EA6851" w:rsidRDefault="00E9058E" w:rsidP="00E9058E">
            <w:pPr>
              <w:spacing w:after="0"/>
              <w:jc w:val="center"/>
              <w:rPr>
                <w:b/>
                <w:bCs/>
                <w:sz w:val="18"/>
                <w:szCs w:val="18"/>
                <w:lang w:eastAsia="en-US"/>
              </w:rPr>
            </w:pPr>
          </w:p>
        </w:tc>
        <w:tc>
          <w:tcPr>
            <w:tcW w:w="493" w:type="pct"/>
            <w:tcBorders>
              <w:top w:val="single" w:sz="4" w:space="0" w:color="auto"/>
              <w:bottom w:val="single" w:sz="4" w:space="0" w:color="auto"/>
            </w:tcBorders>
            <w:shd w:val="clear" w:color="auto" w:fill="auto"/>
            <w:vAlign w:val="center"/>
          </w:tcPr>
          <w:p w:rsidR="00E9058E" w:rsidRPr="00EA6851" w:rsidRDefault="00E9058E" w:rsidP="00E9058E">
            <w:pPr>
              <w:spacing w:after="0"/>
              <w:jc w:val="center"/>
              <w:rPr>
                <w:b/>
                <w:bCs/>
                <w:i/>
                <w:iCs/>
                <w:sz w:val="18"/>
                <w:szCs w:val="18"/>
                <w:lang w:eastAsia="en-US"/>
              </w:rPr>
            </w:pPr>
            <w:r w:rsidRPr="00EA6851">
              <w:rPr>
                <w:b/>
                <w:bCs/>
                <w:i/>
                <w:iCs/>
                <w:sz w:val="18"/>
                <w:szCs w:val="18"/>
                <w:lang w:eastAsia="en-US"/>
              </w:rPr>
              <w:t>Програма 2023 г.</w:t>
            </w:r>
          </w:p>
        </w:tc>
        <w:tc>
          <w:tcPr>
            <w:tcW w:w="493" w:type="pct"/>
            <w:tcBorders>
              <w:top w:val="single" w:sz="4" w:space="0" w:color="auto"/>
              <w:bottom w:val="single" w:sz="4" w:space="0" w:color="auto"/>
            </w:tcBorders>
            <w:shd w:val="clear" w:color="auto" w:fill="auto"/>
            <w:vAlign w:val="center"/>
          </w:tcPr>
          <w:p w:rsidR="00E9058E" w:rsidRPr="00EA6851" w:rsidRDefault="00E9058E" w:rsidP="00E9058E">
            <w:pPr>
              <w:spacing w:after="0"/>
              <w:jc w:val="center"/>
              <w:rPr>
                <w:b/>
                <w:bCs/>
                <w:i/>
                <w:iCs/>
                <w:sz w:val="18"/>
                <w:szCs w:val="18"/>
                <w:lang w:eastAsia="en-US"/>
              </w:rPr>
            </w:pPr>
            <w:r w:rsidRPr="00EA6851">
              <w:rPr>
                <w:b/>
                <w:bCs/>
                <w:i/>
                <w:iCs/>
                <w:sz w:val="18"/>
                <w:szCs w:val="18"/>
                <w:lang w:eastAsia="en-US"/>
              </w:rPr>
              <w:t>Проект 2024 г.</w:t>
            </w:r>
          </w:p>
        </w:tc>
        <w:tc>
          <w:tcPr>
            <w:tcW w:w="494" w:type="pct"/>
            <w:tcBorders>
              <w:top w:val="single" w:sz="4" w:space="0" w:color="auto"/>
              <w:bottom w:val="single" w:sz="4" w:space="0" w:color="auto"/>
            </w:tcBorders>
            <w:shd w:val="clear" w:color="auto" w:fill="auto"/>
            <w:vAlign w:val="center"/>
          </w:tcPr>
          <w:p w:rsidR="00E9058E" w:rsidRPr="00EA6851" w:rsidRDefault="00E9058E" w:rsidP="00E9058E">
            <w:pPr>
              <w:spacing w:after="0"/>
              <w:jc w:val="center"/>
              <w:rPr>
                <w:b/>
                <w:bCs/>
                <w:i/>
                <w:iCs/>
                <w:sz w:val="18"/>
                <w:szCs w:val="18"/>
                <w:lang w:eastAsia="en-US"/>
              </w:rPr>
            </w:pPr>
            <w:r w:rsidRPr="00EA6851">
              <w:rPr>
                <w:b/>
                <w:bCs/>
                <w:i/>
                <w:iCs/>
                <w:sz w:val="18"/>
                <w:szCs w:val="18"/>
                <w:lang w:eastAsia="en-US"/>
              </w:rPr>
              <w:t>Прогноза 2025 г.</w:t>
            </w:r>
          </w:p>
        </w:tc>
        <w:tc>
          <w:tcPr>
            <w:tcW w:w="633" w:type="pct"/>
            <w:tcBorders>
              <w:top w:val="single" w:sz="4" w:space="0" w:color="auto"/>
              <w:bottom w:val="single" w:sz="4" w:space="0" w:color="auto"/>
            </w:tcBorders>
            <w:shd w:val="clear" w:color="auto" w:fill="auto"/>
            <w:vAlign w:val="center"/>
          </w:tcPr>
          <w:p w:rsidR="00E9058E" w:rsidRPr="00EA6851" w:rsidRDefault="00E9058E" w:rsidP="00E9058E">
            <w:pPr>
              <w:spacing w:after="0"/>
              <w:jc w:val="center"/>
              <w:rPr>
                <w:b/>
                <w:bCs/>
                <w:i/>
                <w:iCs/>
                <w:sz w:val="18"/>
                <w:szCs w:val="18"/>
                <w:lang w:eastAsia="en-US"/>
              </w:rPr>
            </w:pPr>
            <w:r w:rsidRPr="00EA6851">
              <w:rPr>
                <w:b/>
                <w:bCs/>
                <w:i/>
                <w:iCs/>
                <w:sz w:val="18"/>
                <w:szCs w:val="18"/>
                <w:lang w:eastAsia="en-US"/>
              </w:rPr>
              <w:t>Прогноза 2026 г.</w:t>
            </w:r>
          </w:p>
        </w:tc>
      </w:tr>
      <w:tr w:rsidR="00E9058E" w:rsidRPr="00EA6851" w:rsidTr="00960D92">
        <w:trPr>
          <w:trHeight w:val="226"/>
        </w:trPr>
        <w:tc>
          <w:tcPr>
            <w:tcW w:w="1689" w:type="pct"/>
            <w:tcBorders>
              <w:top w:val="single" w:sz="4" w:space="0" w:color="auto"/>
              <w:bottom w:val="nil"/>
            </w:tcBorders>
            <w:shd w:val="clear" w:color="auto" w:fill="auto"/>
            <w:vAlign w:val="center"/>
          </w:tcPr>
          <w:p w:rsidR="00E9058E" w:rsidRPr="00EA6851" w:rsidRDefault="00E9058E" w:rsidP="00E9058E">
            <w:pPr>
              <w:autoSpaceDE w:val="0"/>
              <w:autoSpaceDN w:val="0"/>
              <w:adjustRightInd w:val="0"/>
              <w:spacing w:after="0"/>
              <w:jc w:val="left"/>
              <w:rPr>
                <w:sz w:val="18"/>
                <w:szCs w:val="18"/>
                <w:lang w:eastAsia="en-US"/>
              </w:rPr>
            </w:pPr>
            <w:r w:rsidRPr="00EA6851">
              <w:rPr>
                <w:sz w:val="18"/>
                <w:szCs w:val="18"/>
                <w:lang w:eastAsia="en-US"/>
              </w:rPr>
              <w:t>1. Защита на български физически и юридически лица и български общности зад граница</w:t>
            </w:r>
          </w:p>
          <w:p w:rsidR="00E9058E" w:rsidRPr="00EA6851" w:rsidRDefault="00E9058E" w:rsidP="00E9058E">
            <w:pPr>
              <w:autoSpaceDE w:val="0"/>
              <w:autoSpaceDN w:val="0"/>
              <w:adjustRightInd w:val="0"/>
              <w:spacing w:after="0" w:line="276" w:lineRule="auto"/>
              <w:ind w:left="24"/>
              <w:jc w:val="left"/>
              <w:rPr>
                <w:sz w:val="18"/>
                <w:szCs w:val="18"/>
                <w:lang w:eastAsia="en-US"/>
              </w:rPr>
            </w:pPr>
          </w:p>
        </w:tc>
        <w:tc>
          <w:tcPr>
            <w:tcW w:w="1198" w:type="pct"/>
            <w:tcBorders>
              <w:top w:val="single" w:sz="4" w:space="0" w:color="auto"/>
              <w:bottom w:val="nil"/>
            </w:tcBorders>
            <w:shd w:val="clear" w:color="auto" w:fill="F2F2F2"/>
            <w:vAlign w:val="center"/>
          </w:tcPr>
          <w:p w:rsidR="00E9058E" w:rsidRPr="00EA6851" w:rsidRDefault="00E9058E" w:rsidP="00E9058E">
            <w:pPr>
              <w:autoSpaceDE w:val="0"/>
              <w:autoSpaceDN w:val="0"/>
              <w:adjustRightInd w:val="0"/>
              <w:spacing w:after="0"/>
              <w:jc w:val="center"/>
              <w:rPr>
                <w:sz w:val="18"/>
                <w:szCs w:val="18"/>
                <w:lang w:eastAsia="en-US"/>
              </w:rPr>
            </w:pPr>
            <w:r w:rsidRPr="00EA6851">
              <w:rPr>
                <w:sz w:val="18"/>
                <w:szCs w:val="18"/>
                <w:lang w:eastAsia="en-US"/>
              </w:rPr>
              <w:t>Степен на ефективност/ удовлетвореност</w:t>
            </w:r>
          </w:p>
        </w:tc>
        <w:tc>
          <w:tcPr>
            <w:tcW w:w="493" w:type="pct"/>
            <w:tcBorders>
              <w:top w:val="single" w:sz="4" w:space="0" w:color="auto"/>
              <w:bottom w:val="nil"/>
            </w:tcBorders>
            <w:shd w:val="clear" w:color="auto" w:fill="auto"/>
            <w:vAlign w:val="center"/>
          </w:tcPr>
          <w:p w:rsidR="00E9058E" w:rsidRPr="00EA6851" w:rsidRDefault="00E9058E" w:rsidP="00E9058E">
            <w:pPr>
              <w:autoSpaceDE w:val="0"/>
              <w:autoSpaceDN w:val="0"/>
              <w:adjustRightInd w:val="0"/>
              <w:spacing w:after="0"/>
              <w:jc w:val="center"/>
              <w:rPr>
                <w:sz w:val="18"/>
                <w:szCs w:val="18"/>
                <w:lang w:eastAsia="en-US"/>
              </w:rPr>
            </w:pPr>
            <w:r w:rsidRPr="00EA6851">
              <w:rPr>
                <w:sz w:val="18"/>
                <w:szCs w:val="18"/>
                <w:lang w:eastAsia="en-US"/>
              </w:rPr>
              <w:t>100%</w:t>
            </w:r>
          </w:p>
        </w:tc>
        <w:tc>
          <w:tcPr>
            <w:tcW w:w="493" w:type="pct"/>
            <w:tcBorders>
              <w:top w:val="single" w:sz="4" w:space="0" w:color="auto"/>
              <w:bottom w:val="nil"/>
            </w:tcBorders>
            <w:shd w:val="clear" w:color="auto" w:fill="auto"/>
            <w:vAlign w:val="center"/>
          </w:tcPr>
          <w:p w:rsidR="00E9058E" w:rsidRPr="00EA6851" w:rsidRDefault="00E9058E" w:rsidP="00E9058E">
            <w:pPr>
              <w:autoSpaceDE w:val="0"/>
              <w:autoSpaceDN w:val="0"/>
              <w:adjustRightInd w:val="0"/>
              <w:spacing w:after="0"/>
              <w:jc w:val="center"/>
              <w:rPr>
                <w:sz w:val="18"/>
                <w:szCs w:val="18"/>
                <w:lang w:eastAsia="en-US"/>
              </w:rPr>
            </w:pPr>
            <w:r w:rsidRPr="00EA6851">
              <w:rPr>
                <w:sz w:val="18"/>
                <w:szCs w:val="18"/>
                <w:lang w:eastAsia="en-US"/>
              </w:rPr>
              <w:t>100%</w:t>
            </w:r>
          </w:p>
        </w:tc>
        <w:tc>
          <w:tcPr>
            <w:tcW w:w="494" w:type="pct"/>
            <w:tcBorders>
              <w:top w:val="single" w:sz="4" w:space="0" w:color="auto"/>
              <w:bottom w:val="nil"/>
            </w:tcBorders>
            <w:shd w:val="clear" w:color="auto" w:fill="auto"/>
            <w:vAlign w:val="center"/>
          </w:tcPr>
          <w:p w:rsidR="00E9058E" w:rsidRPr="00EA6851" w:rsidRDefault="00E9058E" w:rsidP="00E9058E">
            <w:pPr>
              <w:autoSpaceDE w:val="0"/>
              <w:autoSpaceDN w:val="0"/>
              <w:adjustRightInd w:val="0"/>
              <w:spacing w:after="0"/>
              <w:jc w:val="center"/>
              <w:rPr>
                <w:sz w:val="18"/>
                <w:szCs w:val="18"/>
                <w:lang w:eastAsia="en-US"/>
              </w:rPr>
            </w:pPr>
            <w:r w:rsidRPr="00EA6851">
              <w:rPr>
                <w:sz w:val="18"/>
                <w:szCs w:val="18"/>
                <w:lang w:eastAsia="en-US"/>
              </w:rPr>
              <w:t>100%</w:t>
            </w:r>
          </w:p>
        </w:tc>
        <w:tc>
          <w:tcPr>
            <w:tcW w:w="633" w:type="pct"/>
            <w:tcBorders>
              <w:top w:val="single" w:sz="4" w:space="0" w:color="auto"/>
              <w:bottom w:val="nil"/>
            </w:tcBorders>
            <w:shd w:val="clear" w:color="auto" w:fill="auto"/>
            <w:vAlign w:val="center"/>
          </w:tcPr>
          <w:p w:rsidR="00E9058E" w:rsidRPr="00EA6851" w:rsidRDefault="00E9058E" w:rsidP="00E9058E">
            <w:pPr>
              <w:autoSpaceDE w:val="0"/>
              <w:autoSpaceDN w:val="0"/>
              <w:adjustRightInd w:val="0"/>
              <w:spacing w:after="0"/>
              <w:jc w:val="center"/>
              <w:rPr>
                <w:sz w:val="18"/>
                <w:szCs w:val="18"/>
                <w:lang w:eastAsia="en-US"/>
              </w:rPr>
            </w:pPr>
            <w:r w:rsidRPr="00EA6851">
              <w:rPr>
                <w:sz w:val="18"/>
                <w:szCs w:val="18"/>
                <w:lang w:eastAsia="en-US"/>
              </w:rPr>
              <w:t>100%</w:t>
            </w:r>
          </w:p>
        </w:tc>
      </w:tr>
      <w:tr w:rsidR="00E9058E" w:rsidRPr="00EA6851" w:rsidTr="00960D92">
        <w:trPr>
          <w:trHeight w:val="313"/>
        </w:trPr>
        <w:tc>
          <w:tcPr>
            <w:tcW w:w="1689" w:type="pct"/>
            <w:tcBorders>
              <w:top w:val="nil"/>
              <w:bottom w:val="single" w:sz="4" w:space="0" w:color="auto"/>
            </w:tcBorders>
            <w:shd w:val="clear" w:color="auto" w:fill="auto"/>
            <w:vAlign w:val="center"/>
          </w:tcPr>
          <w:p w:rsidR="00E9058E" w:rsidRPr="00EA6851" w:rsidRDefault="00E9058E" w:rsidP="00E9058E">
            <w:pPr>
              <w:tabs>
                <w:tab w:val="left" w:pos="240"/>
              </w:tabs>
              <w:autoSpaceDE w:val="0"/>
              <w:autoSpaceDN w:val="0"/>
              <w:adjustRightInd w:val="0"/>
              <w:spacing w:after="0"/>
              <w:jc w:val="left"/>
              <w:rPr>
                <w:sz w:val="18"/>
                <w:szCs w:val="18"/>
                <w:lang w:eastAsia="en-US"/>
              </w:rPr>
            </w:pPr>
            <w:r w:rsidRPr="00EA6851">
              <w:rPr>
                <w:sz w:val="18"/>
                <w:szCs w:val="18"/>
                <w:lang w:eastAsia="en-US"/>
              </w:rPr>
              <w:t>2. Управление на българската помощ за развитие</w:t>
            </w:r>
          </w:p>
        </w:tc>
        <w:tc>
          <w:tcPr>
            <w:tcW w:w="1198" w:type="pct"/>
            <w:tcBorders>
              <w:top w:val="nil"/>
              <w:bottom w:val="single" w:sz="4" w:space="0" w:color="auto"/>
            </w:tcBorders>
            <w:shd w:val="clear" w:color="auto" w:fill="F2F2F2"/>
            <w:vAlign w:val="center"/>
          </w:tcPr>
          <w:p w:rsidR="00E9058E" w:rsidRPr="00EA6851" w:rsidRDefault="00E9058E" w:rsidP="00E9058E">
            <w:pPr>
              <w:spacing w:after="0"/>
              <w:jc w:val="center"/>
              <w:rPr>
                <w:sz w:val="18"/>
                <w:szCs w:val="18"/>
                <w:lang w:eastAsia="en-US"/>
              </w:rPr>
            </w:pPr>
            <w:r w:rsidRPr="00EA6851">
              <w:rPr>
                <w:sz w:val="18"/>
                <w:szCs w:val="18"/>
                <w:lang w:eastAsia="en-US"/>
              </w:rPr>
              <w:t>Степен на усвояемост при спазване стандартите на OECD/DAC и приоритетите на българската външна политика</w:t>
            </w:r>
          </w:p>
        </w:tc>
        <w:tc>
          <w:tcPr>
            <w:tcW w:w="493" w:type="pct"/>
            <w:tcBorders>
              <w:top w:val="nil"/>
              <w:bottom w:val="single" w:sz="4" w:space="0" w:color="auto"/>
            </w:tcBorders>
            <w:shd w:val="clear" w:color="auto" w:fill="auto"/>
            <w:vAlign w:val="center"/>
          </w:tcPr>
          <w:p w:rsidR="00E9058E" w:rsidRPr="00EA6851" w:rsidRDefault="00E9058E" w:rsidP="00E9058E">
            <w:pPr>
              <w:spacing w:after="0"/>
              <w:jc w:val="center"/>
              <w:rPr>
                <w:iCs/>
                <w:sz w:val="18"/>
                <w:szCs w:val="18"/>
                <w:lang w:eastAsia="en-US"/>
              </w:rPr>
            </w:pPr>
            <w:r w:rsidRPr="00EA6851">
              <w:rPr>
                <w:iCs/>
                <w:sz w:val="18"/>
                <w:szCs w:val="18"/>
                <w:lang w:eastAsia="en-US"/>
              </w:rPr>
              <w:t>100%</w:t>
            </w:r>
          </w:p>
        </w:tc>
        <w:tc>
          <w:tcPr>
            <w:tcW w:w="493" w:type="pct"/>
            <w:tcBorders>
              <w:top w:val="nil"/>
              <w:bottom w:val="single" w:sz="4" w:space="0" w:color="auto"/>
            </w:tcBorders>
            <w:shd w:val="clear" w:color="auto" w:fill="auto"/>
            <w:vAlign w:val="center"/>
          </w:tcPr>
          <w:p w:rsidR="00E9058E" w:rsidRPr="00EA6851" w:rsidRDefault="00E9058E" w:rsidP="00E9058E">
            <w:pPr>
              <w:spacing w:after="0"/>
              <w:jc w:val="center"/>
              <w:rPr>
                <w:iCs/>
                <w:sz w:val="18"/>
                <w:szCs w:val="18"/>
                <w:lang w:eastAsia="en-US"/>
              </w:rPr>
            </w:pPr>
            <w:r w:rsidRPr="00EA6851">
              <w:rPr>
                <w:iCs/>
                <w:sz w:val="18"/>
                <w:szCs w:val="18"/>
                <w:lang w:eastAsia="en-US"/>
              </w:rPr>
              <w:t>100%</w:t>
            </w:r>
          </w:p>
        </w:tc>
        <w:tc>
          <w:tcPr>
            <w:tcW w:w="494" w:type="pct"/>
            <w:tcBorders>
              <w:top w:val="nil"/>
              <w:bottom w:val="single" w:sz="4" w:space="0" w:color="auto"/>
            </w:tcBorders>
            <w:shd w:val="clear" w:color="auto" w:fill="auto"/>
            <w:vAlign w:val="center"/>
          </w:tcPr>
          <w:p w:rsidR="00E9058E" w:rsidRPr="00EA6851" w:rsidRDefault="00E9058E" w:rsidP="00E9058E">
            <w:pPr>
              <w:spacing w:after="0"/>
              <w:jc w:val="center"/>
              <w:rPr>
                <w:iCs/>
                <w:sz w:val="18"/>
                <w:szCs w:val="18"/>
                <w:lang w:eastAsia="en-US"/>
              </w:rPr>
            </w:pPr>
            <w:r w:rsidRPr="00EA6851">
              <w:rPr>
                <w:iCs/>
                <w:sz w:val="18"/>
                <w:szCs w:val="18"/>
                <w:lang w:eastAsia="en-US"/>
              </w:rPr>
              <w:t>100%</w:t>
            </w:r>
          </w:p>
        </w:tc>
        <w:tc>
          <w:tcPr>
            <w:tcW w:w="633" w:type="pct"/>
            <w:tcBorders>
              <w:top w:val="nil"/>
              <w:bottom w:val="single" w:sz="4" w:space="0" w:color="auto"/>
            </w:tcBorders>
            <w:shd w:val="clear" w:color="auto" w:fill="auto"/>
            <w:vAlign w:val="center"/>
          </w:tcPr>
          <w:p w:rsidR="00E9058E" w:rsidRPr="00EA6851" w:rsidRDefault="00E9058E" w:rsidP="00E9058E">
            <w:pPr>
              <w:spacing w:after="0"/>
              <w:jc w:val="center"/>
              <w:rPr>
                <w:iCs/>
                <w:sz w:val="18"/>
                <w:szCs w:val="18"/>
                <w:lang w:eastAsia="en-US"/>
              </w:rPr>
            </w:pPr>
            <w:r w:rsidRPr="00EA6851">
              <w:rPr>
                <w:iCs/>
                <w:sz w:val="18"/>
                <w:szCs w:val="18"/>
                <w:lang w:eastAsia="en-US"/>
              </w:rPr>
              <w:t>100%</w:t>
            </w:r>
          </w:p>
        </w:tc>
      </w:tr>
    </w:tbl>
    <w:p w:rsidR="00E9058E" w:rsidRPr="00EA6851" w:rsidRDefault="00E9058E" w:rsidP="00E9058E">
      <w:pPr>
        <w:rPr>
          <w:highlight w:val="yellow"/>
        </w:rPr>
      </w:pPr>
    </w:p>
    <w:p w:rsidR="00E9058E" w:rsidRPr="00EA6851" w:rsidRDefault="00E9058E" w:rsidP="00E9058E">
      <w:pPr>
        <w:pStyle w:val="Heading4"/>
        <w:spacing w:before="0" w:after="200"/>
      </w:pPr>
      <w:r w:rsidRPr="00EA6851">
        <w:t>Политика в областта на публичната дипломация и публичните дейности в подкрепа на целите на външната политика</w:t>
      </w:r>
    </w:p>
    <w:p w:rsidR="00E9058E" w:rsidRPr="00EA6851" w:rsidRDefault="00E9058E" w:rsidP="00E9058E">
      <w:pPr>
        <w:rPr>
          <w:noProof/>
          <w:szCs w:val="24"/>
        </w:rPr>
      </w:pPr>
      <w:r w:rsidRPr="00EA6851">
        <w:rPr>
          <w:noProof/>
          <w:szCs w:val="24"/>
        </w:rPr>
        <w:t>Стратегическа цел на политиката е създаване на благоприятна вътрешна и външна среда и обществена подкрепа, осигуряваща успешно изпълнение на външнополитическата програма и заложените в нея водещи цели и приоритети, част от които са повишаване на специализираните знания и умения на представителите на дипломатическата служба и държавната администрация, чиято дейност е свързана с планиране и провеждане на външната политика на Република България; насърчаване на публичната дискусия по актуални външнополитически теми и приобщаване на българското общество и гражданските институции към външнополитическите позиции и действия на България; развитие на положителен публичен образ в страната и в чужбина.</w:t>
      </w:r>
    </w:p>
    <w:p w:rsidR="00E9058E" w:rsidRPr="00EA6851" w:rsidRDefault="00E9058E" w:rsidP="00E9058E">
      <w:pPr>
        <w:rPr>
          <w:noProof/>
          <w:szCs w:val="24"/>
        </w:rPr>
      </w:pPr>
      <w:r w:rsidRPr="00EA6851">
        <w:rPr>
          <w:noProof/>
          <w:szCs w:val="24"/>
        </w:rPr>
        <w:t>Непосредствен ефект за обществото е получаването на навременна и надеждна информация, повишаване на степента на доверие към дипломатическата служба и изграждане на отношения на диалог между нея и гражданското общество, формиращо в значителна степен публичните нагласи към провежданата външна политика.</w:t>
      </w:r>
    </w:p>
    <w:p w:rsidR="00E9058E" w:rsidRPr="00EA6851" w:rsidRDefault="00E9058E" w:rsidP="00E9058E">
      <w:pPr>
        <w:rPr>
          <w:b/>
          <w:bCs/>
          <w:sz w:val="20"/>
          <w:szCs w:val="20"/>
        </w:rPr>
      </w:pPr>
      <w:r w:rsidRPr="00EA6851">
        <w:rPr>
          <w:b/>
          <w:bCs/>
          <w:sz w:val="20"/>
          <w:szCs w:val="20"/>
        </w:rPr>
        <w:t>КЛЮЧОВИ ИНДИКАТОРИ ЗА ИЗПЪЛНЕНИЕ И ЦЕЛЕВИ СТОЙНОСТИ</w:t>
      </w:r>
    </w:p>
    <w:tbl>
      <w:tblPr>
        <w:tblW w:w="5000" w:type="pct"/>
        <w:jc w:val="center"/>
        <w:tblBorders>
          <w:top w:val="single" w:sz="4" w:space="0" w:color="auto"/>
          <w:bottom w:val="single" w:sz="4" w:space="0" w:color="auto"/>
        </w:tblBorders>
        <w:tblLayout w:type="fixed"/>
        <w:tblLook w:val="0000" w:firstRow="0" w:lastRow="0" w:firstColumn="0" w:lastColumn="0" w:noHBand="0" w:noVBand="0"/>
      </w:tblPr>
      <w:tblGrid>
        <w:gridCol w:w="3286"/>
        <w:gridCol w:w="1005"/>
        <w:gridCol w:w="1226"/>
        <w:gridCol w:w="1226"/>
        <w:gridCol w:w="1226"/>
        <w:gridCol w:w="1101"/>
      </w:tblGrid>
      <w:tr w:rsidR="00E9058E" w:rsidRPr="00EA6851" w:rsidTr="00306D54">
        <w:trPr>
          <w:trHeight w:val="912"/>
          <w:tblHeader/>
          <w:jc w:val="center"/>
        </w:trPr>
        <w:tc>
          <w:tcPr>
            <w:tcW w:w="1811" w:type="pct"/>
            <w:tcBorders>
              <w:bottom w:val="nil"/>
            </w:tcBorders>
            <w:shd w:val="clear" w:color="auto" w:fill="auto"/>
          </w:tcPr>
          <w:p w:rsidR="00E9058E" w:rsidRPr="00EA6851" w:rsidRDefault="00E9058E" w:rsidP="00306D54">
            <w:pPr>
              <w:spacing w:after="0"/>
              <w:jc w:val="center"/>
              <w:rPr>
                <w:b/>
                <w:i/>
                <w:iCs/>
                <w:sz w:val="18"/>
                <w:szCs w:val="18"/>
                <w:lang w:eastAsia="en-US"/>
              </w:rPr>
            </w:pPr>
            <w:r w:rsidRPr="00EA6851">
              <w:rPr>
                <w:b/>
                <w:i/>
                <w:iCs/>
                <w:sz w:val="18"/>
                <w:szCs w:val="18"/>
                <w:lang w:eastAsia="en-US"/>
              </w:rPr>
              <w:t>Политика в областта на публичната дипломация и дейности в подкрепа</w:t>
            </w:r>
            <w:r w:rsidR="00306D54" w:rsidRPr="00EA6851">
              <w:rPr>
                <w:b/>
                <w:i/>
                <w:iCs/>
                <w:sz w:val="18"/>
                <w:szCs w:val="18"/>
                <w:lang w:eastAsia="en-US"/>
              </w:rPr>
              <w:t xml:space="preserve"> на целите на външната политика</w:t>
            </w:r>
          </w:p>
        </w:tc>
        <w:tc>
          <w:tcPr>
            <w:tcW w:w="554" w:type="pct"/>
            <w:vMerge w:val="restart"/>
            <w:tcBorders>
              <w:bottom w:val="nil"/>
            </w:tcBorders>
            <w:shd w:val="clear" w:color="auto" w:fill="F2F2F2"/>
          </w:tcPr>
          <w:p w:rsidR="00E9058E" w:rsidRPr="00EA6851" w:rsidRDefault="00E9058E" w:rsidP="00E9058E">
            <w:pPr>
              <w:spacing w:after="0"/>
              <w:jc w:val="left"/>
              <w:rPr>
                <w:sz w:val="18"/>
                <w:szCs w:val="18"/>
                <w:lang w:eastAsia="en-US"/>
              </w:rPr>
            </w:pPr>
            <w:r w:rsidRPr="00EA6851">
              <w:rPr>
                <w:sz w:val="18"/>
                <w:szCs w:val="18"/>
                <w:lang w:eastAsia="en-US"/>
              </w:rPr>
              <w:t> </w:t>
            </w:r>
          </w:p>
          <w:p w:rsidR="00E9058E" w:rsidRPr="00EA6851" w:rsidRDefault="00E9058E" w:rsidP="00E9058E">
            <w:pPr>
              <w:spacing w:after="0"/>
              <w:jc w:val="center"/>
              <w:rPr>
                <w:sz w:val="18"/>
                <w:szCs w:val="18"/>
                <w:lang w:eastAsia="en-US"/>
              </w:rPr>
            </w:pPr>
            <w:r w:rsidRPr="00EA6851">
              <w:rPr>
                <w:b/>
                <w:bCs/>
                <w:sz w:val="18"/>
                <w:szCs w:val="18"/>
                <w:lang w:eastAsia="en-US"/>
              </w:rPr>
              <w:t>Мерна единица</w:t>
            </w:r>
          </w:p>
        </w:tc>
        <w:tc>
          <w:tcPr>
            <w:tcW w:w="676" w:type="pct"/>
            <w:tcBorders>
              <w:bottom w:val="single" w:sz="4" w:space="0" w:color="auto"/>
            </w:tcBorders>
          </w:tcPr>
          <w:p w:rsidR="00E9058E" w:rsidRPr="00EA6851" w:rsidRDefault="00E9058E" w:rsidP="00E9058E">
            <w:pPr>
              <w:spacing w:after="0"/>
              <w:ind w:left="162"/>
              <w:jc w:val="center"/>
              <w:rPr>
                <w:b/>
                <w:bCs/>
                <w:sz w:val="18"/>
                <w:szCs w:val="18"/>
                <w:lang w:eastAsia="en-US"/>
              </w:rPr>
            </w:pPr>
          </w:p>
        </w:tc>
        <w:tc>
          <w:tcPr>
            <w:tcW w:w="1959" w:type="pct"/>
            <w:gridSpan w:val="3"/>
            <w:tcBorders>
              <w:bottom w:val="single" w:sz="4" w:space="0" w:color="auto"/>
            </w:tcBorders>
            <w:shd w:val="clear" w:color="auto" w:fill="auto"/>
          </w:tcPr>
          <w:p w:rsidR="00E9058E" w:rsidRPr="00EA6851" w:rsidRDefault="00E9058E" w:rsidP="00E9058E">
            <w:pPr>
              <w:spacing w:after="0"/>
              <w:ind w:left="162"/>
              <w:jc w:val="center"/>
              <w:rPr>
                <w:b/>
                <w:bCs/>
                <w:sz w:val="18"/>
                <w:szCs w:val="18"/>
                <w:lang w:eastAsia="en-US"/>
              </w:rPr>
            </w:pPr>
          </w:p>
          <w:p w:rsidR="00E9058E" w:rsidRPr="00EA6851" w:rsidRDefault="00E9058E" w:rsidP="00E9058E">
            <w:pPr>
              <w:spacing w:after="0"/>
              <w:ind w:left="162"/>
              <w:jc w:val="center"/>
              <w:rPr>
                <w:b/>
                <w:bCs/>
                <w:sz w:val="18"/>
                <w:szCs w:val="18"/>
                <w:lang w:eastAsia="en-US"/>
              </w:rPr>
            </w:pPr>
            <w:r w:rsidRPr="00EA6851">
              <w:rPr>
                <w:b/>
                <w:bCs/>
                <w:sz w:val="18"/>
                <w:szCs w:val="18"/>
                <w:lang w:eastAsia="en-US"/>
              </w:rPr>
              <w:t>Целева стойност</w:t>
            </w:r>
          </w:p>
        </w:tc>
      </w:tr>
      <w:tr w:rsidR="00E9058E" w:rsidRPr="00EA6851" w:rsidTr="00960D92">
        <w:trPr>
          <w:trHeight w:val="450"/>
          <w:tblHeader/>
          <w:jc w:val="center"/>
        </w:trPr>
        <w:tc>
          <w:tcPr>
            <w:tcW w:w="1811" w:type="pct"/>
            <w:tcBorders>
              <w:top w:val="nil"/>
              <w:bottom w:val="single" w:sz="4" w:space="0" w:color="auto"/>
            </w:tcBorders>
            <w:shd w:val="clear" w:color="auto" w:fill="auto"/>
          </w:tcPr>
          <w:p w:rsidR="00E9058E" w:rsidRPr="00EA6851" w:rsidRDefault="00E9058E" w:rsidP="00E9058E">
            <w:pPr>
              <w:spacing w:after="0"/>
              <w:jc w:val="center"/>
              <w:rPr>
                <w:b/>
                <w:bCs/>
                <w:sz w:val="18"/>
                <w:szCs w:val="18"/>
                <w:lang w:eastAsia="en-US"/>
              </w:rPr>
            </w:pPr>
            <w:r w:rsidRPr="00EA6851">
              <w:rPr>
                <w:b/>
                <w:bCs/>
                <w:sz w:val="18"/>
                <w:szCs w:val="18"/>
                <w:lang w:eastAsia="en-US"/>
              </w:rPr>
              <w:t>Наименование на индикатора</w:t>
            </w:r>
          </w:p>
        </w:tc>
        <w:tc>
          <w:tcPr>
            <w:tcW w:w="554" w:type="pct"/>
            <w:vMerge/>
            <w:tcBorders>
              <w:top w:val="nil"/>
              <w:bottom w:val="single" w:sz="4" w:space="0" w:color="auto"/>
            </w:tcBorders>
            <w:shd w:val="clear" w:color="auto" w:fill="F2F2F2"/>
          </w:tcPr>
          <w:p w:rsidR="00E9058E" w:rsidRPr="00EA6851" w:rsidRDefault="00E9058E" w:rsidP="00E9058E">
            <w:pPr>
              <w:spacing w:after="0"/>
              <w:jc w:val="center"/>
              <w:rPr>
                <w:b/>
                <w:bCs/>
                <w:sz w:val="18"/>
                <w:szCs w:val="18"/>
                <w:lang w:eastAsia="en-US"/>
              </w:rPr>
            </w:pPr>
          </w:p>
        </w:tc>
        <w:tc>
          <w:tcPr>
            <w:tcW w:w="676" w:type="pct"/>
            <w:tcBorders>
              <w:top w:val="single" w:sz="4" w:space="0" w:color="auto"/>
              <w:bottom w:val="single" w:sz="4" w:space="0" w:color="auto"/>
            </w:tcBorders>
            <w:shd w:val="clear" w:color="auto" w:fill="auto"/>
            <w:vAlign w:val="center"/>
          </w:tcPr>
          <w:p w:rsidR="00E9058E" w:rsidRPr="00EA6851" w:rsidRDefault="00E9058E" w:rsidP="00E9058E">
            <w:pPr>
              <w:spacing w:after="0"/>
              <w:jc w:val="center"/>
              <w:rPr>
                <w:b/>
                <w:bCs/>
                <w:i/>
                <w:iCs/>
                <w:sz w:val="18"/>
                <w:szCs w:val="18"/>
                <w:lang w:eastAsia="en-US"/>
              </w:rPr>
            </w:pPr>
            <w:r w:rsidRPr="00EA6851">
              <w:rPr>
                <w:b/>
                <w:bCs/>
                <w:i/>
                <w:iCs/>
                <w:sz w:val="18"/>
                <w:szCs w:val="18"/>
                <w:lang w:eastAsia="en-US"/>
              </w:rPr>
              <w:t>Програма</w:t>
            </w:r>
          </w:p>
          <w:p w:rsidR="00E9058E" w:rsidRPr="00EA6851" w:rsidRDefault="00E9058E" w:rsidP="00E9058E">
            <w:pPr>
              <w:spacing w:after="0"/>
              <w:jc w:val="center"/>
              <w:rPr>
                <w:b/>
                <w:bCs/>
                <w:i/>
                <w:iCs/>
                <w:sz w:val="18"/>
                <w:szCs w:val="18"/>
                <w:lang w:eastAsia="en-US"/>
              </w:rPr>
            </w:pPr>
            <w:r w:rsidRPr="00EA6851">
              <w:rPr>
                <w:b/>
                <w:bCs/>
                <w:i/>
                <w:iCs/>
                <w:sz w:val="18"/>
                <w:szCs w:val="18"/>
                <w:lang w:eastAsia="en-US"/>
              </w:rPr>
              <w:t xml:space="preserve"> 2023 г.</w:t>
            </w:r>
          </w:p>
        </w:tc>
        <w:tc>
          <w:tcPr>
            <w:tcW w:w="676" w:type="pct"/>
            <w:tcBorders>
              <w:top w:val="single" w:sz="4" w:space="0" w:color="auto"/>
              <w:bottom w:val="single" w:sz="4" w:space="0" w:color="auto"/>
            </w:tcBorders>
            <w:shd w:val="clear" w:color="auto" w:fill="auto"/>
            <w:vAlign w:val="center"/>
          </w:tcPr>
          <w:p w:rsidR="00E9058E" w:rsidRPr="00EA6851" w:rsidRDefault="00E9058E" w:rsidP="00E9058E">
            <w:pPr>
              <w:spacing w:after="0"/>
              <w:jc w:val="center"/>
              <w:rPr>
                <w:b/>
                <w:bCs/>
                <w:i/>
                <w:iCs/>
                <w:sz w:val="18"/>
                <w:szCs w:val="18"/>
                <w:lang w:eastAsia="en-US"/>
              </w:rPr>
            </w:pPr>
            <w:r w:rsidRPr="00EA6851">
              <w:rPr>
                <w:b/>
                <w:bCs/>
                <w:i/>
                <w:iCs/>
                <w:sz w:val="18"/>
                <w:szCs w:val="18"/>
                <w:lang w:eastAsia="en-US"/>
              </w:rPr>
              <w:t>Проект</w:t>
            </w:r>
          </w:p>
          <w:p w:rsidR="00E9058E" w:rsidRPr="00EA6851" w:rsidRDefault="00E9058E" w:rsidP="00E9058E">
            <w:pPr>
              <w:spacing w:after="0"/>
              <w:jc w:val="center"/>
              <w:rPr>
                <w:b/>
                <w:bCs/>
                <w:i/>
                <w:iCs/>
                <w:sz w:val="18"/>
                <w:szCs w:val="18"/>
                <w:lang w:eastAsia="en-US"/>
              </w:rPr>
            </w:pPr>
            <w:r w:rsidRPr="00EA6851">
              <w:rPr>
                <w:b/>
                <w:bCs/>
                <w:i/>
                <w:iCs/>
                <w:sz w:val="18"/>
                <w:szCs w:val="18"/>
                <w:lang w:eastAsia="en-US"/>
              </w:rPr>
              <w:t xml:space="preserve"> 2024 г.</w:t>
            </w:r>
          </w:p>
        </w:tc>
        <w:tc>
          <w:tcPr>
            <w:tcW w:w="676" w:type="pct"/>
            <w:tcBorders>
              <w:top w:val="single" w:sz="4" w:space="0" w:color="auto"/>
              <w:bottom w:val="single" w:sz="4" w:space="0" w:color="auto"/>
            </w:tcBorders>
            <w:shd w:val="clear" w:color="auto" w:fill="auto"/>
            <w:vAlign w:val="center"/>
          </w:tcPr>
          <w:p w:rsidR="00E9058E" w:rsidRPr="00EA6851" w:rsidRDefault="00E9058E" w:rsidP="00E9058E">
            <w:pPr>
              <w:spacing w:after="0"/>
              <w:jc w:val="center"/>
              <w:rPr>
                <w:b/>
                <w:bCs/>
                <w:i/>
                <w:iCs/>
                <w:sz w:val="18"/>
                <w:szCs w:val="18"/>
                <w:lang w:eastAsia="en-US"/>
              </w:rPr>
            </w:pPr>
            <w:r w:rsidRPr="00EA6851">
              <w:rPr>
                <w:b/>
                <w:bCs/>
                <w:i/>
                <w:iCs/>
                <w:sz w:val="18"/>
                <w:szCs w:val="18"/>
                <w:lang w:eastAsia="en-US"/>
              </w:rPr>
              <w:t xml:space="preserve">Прогноза </w:t>
            </w:r>
            <w:r w:rsidRPr="00EA6851">
              <w:rPr>
                <w:b/>
                <w:bCs/>
                <w:i/>
                <w:iCs/>
                <w:sz w:val="18"/>
                <w:szCs w:val="18"/>
                <w:lang w:eastAsia="en-US"/>
              </w:rPr>
              <w:br/>
              <w:t>2025 г.</w:t>
            </w:r>
          </w:p>
        </w:tc>
        <w:tc>
          <w:tcPr>
            <w:tcW w:w="607" w:type="pct"/>
            <w:tcBorders>
              <w:top w:val="single" w:sz="4" w:space="0" w:color="auto"/>
              <w:bottom w:val="single" w:sz="4" w:space="0" w:color="auto"/>
            </w:tcBorders>
            <w:shd w:val="clear" w:color="auto" w:fill="auto"/>
            <w:vAlign w:val="center"/>
          </w:tcPr>
          <w:p w:rsidR="00E9058E" w:rsidRPr="00EA6851" w:rsidRDefault="00E9058E" w:rsidP="00E9058E">
            <w:pPr>
              <w:spacing w:after="0"/>
              <w:jc w:val="center"/>
              <w:rPr>
                <w:b/>
                <w:bCs/>
                <w:i/>
                <w:iCs/>
                <w:sz w:val="18"/>
                <w:szCs w:val="18"/>
                <w:lang w:eastAsia="en-US"/>
              </w:rPr>
            </w:pPr>
            <w:r w:rsidRPr="00EA6851">
              <w:rPr>
                <w:b/>
                <w:bCs/>
                <w:i/>
                <w:iCs/>
                <w:sz w:val="18"/>
                <w:szCs w:val="18"/>
                <w:lang w:eastAsia="en-US"/>
              </w:rPr>
              <w:t xml:space="preserve">Прогноза </w:t>
            </w:r>
            <w:r w:rsidRPr="00EA6851">
              <w:rPr>
                <w:b/>
                <w:bCs/>
                <w:i/>
                <w:iCs/>
                <w:sz w:val="18"/>
                <w:szCs w:val="18"/>
                <w:lang w:eastAsia="en-US"/>
              </w:rPr>
              <w:br/>
              <w:t>2026 г.</w:t>
            </w:r>
          </w:p>
        </w:tc>
      </w:tr>
      <w:tr w:rsidR="00E9058E" w:rsidRPr="00EA6851" w:rsidTr="00960D92">
        <w:trPr>
          <w:trHeight w:val="746"/>
          <w:jc w:val="center"/>
        </w:trPr>
        <w:tc>
          <w:tcPr>
            <w:tcW w:w="1811" w:type="pct"/>
            <w:tcBorders>
              <w:top w:val="single" w:sz="4" w:space="0" w:color="auto"/>
              <w:bottom w:val="nil"/>
            </w:tcBorders>
            <w:shd w:val="clear" w:color="auto" w:fill="auto"/>
          </w:tcPr>
          <w:p w:rsidR="00E9058E" w:rsidRPr="00EA6851" w:rsidRDefault="00E9058E" w:rsidP="00E9058E">
            <w:pPr>
              <w:tabs>
                <w:tab w:val="left" w:pos="235"/>
              </w:tabs>
              <w:spacing w:after="0"/>
              <w:jc w:val="left"/>
              <w:rPr>
                <w:color w:val="000000"/>
                <w:sz w:val="18"/>
                <w:szCs w:val="18"/>
                <w:lang w:eastAsia="en-US"/>
              </w:rPr>
            </w:pPr>
            <w:r w:rsidRPr="00EA6851">
              <w:rPr>
                <w:color w:val="000000"/>
                <w:sz w:val="18"/>
                <w:szCs w:val="18"/>
                <w:lang w:eastAsia="en-US"/>
              </w:rPr>
              <w:t xml:space="preserve">1. Служители от МВнР, обучавани в програми на Дипломатическия институт </w:t>
            </w:r>
          </w:p>
        </w:tc>
        <w:tc>
          <w:tcPr>
            <w:tcW w:w="554" w:type="pct"/>
            <w:tcBorders>
              <w:top w:val="single" w:sz="4" w:space="0" w:color="auto"/>
              <w:bottom w:val="nil"/>
            </w:tcBorders>
            <w:shd w:val="clear" w:color="auto" w:fill="F2F2F2"/>
          </w:tcPr>
          <w:p w:rsidR="00E9058E" w:rsidRPr="00EA6851" w:rsidRDefault="00E9058E" w:rsidP="00E9058E">
            <w:pPr>
              <w:spacing w:after="0"/>
              <w:jc w:val="center"/>
              <w:rPr>
                <w:color w:val="000000"/>
                <w:sz w:val="18"/>
                <w:szCs w:val="18"/>
                <w:lang w:eastAsia="en-US"/>
              </w:rPr>
            </w:pPr>
            <w:r w:rsidRPr="00EA6851">
              <w:rPr>
                <w:color w:val="000000"/>
                <w:sz w:val="18"/>
                <w:szCs w:val="18"/>
                <w:lang w:eastAsia="en-US"/>
              </w:rPr>
              <w:t>Брой</w:t>
            </w:r>
          </w:p>
        </w:tc>
        <w:tc>
          <w:tcPr>
            <w:tcW w:w="676" w:type="pct"/>
            <w:tcBorders>
              <w:top w:val="single" w:sz="4" w:space="0" w:color="auto"/>
              <w:bottom w:val="nil"/>
            </w:tcBorders>
            <w:shd w:val="clear" w:color="auto" w:fill="auto"/>
          </w:tcPr>
          <w:p w:rsidR="00E9058E" w:rsidRPr="00EA6851" w:rsidRDefault="00E9058E" w:rsidP="00E9058E">
            <w:pPr>
              <w:spacing w:after="0"/>
              <w:jc w:val="center"/>
              <w:rPr>
                <w:color w:val="000000"/>
                <w:sz w:val="18"/>
                <w:szCs w:val="18"/>
                <w:lang w:eastAsia="en-US"/>
              </w:rPr>
            </w:pPr>
            <w:r w:rsidRPr="00EA6851">
              <w:rPr>
                <w:color w:val="000000"/>
                <w:sz w:val="18"/>
                <w:szCs w:val="18"/>
                <w:lang w:eastAsia="en-US"/>
              </w:rPr>
              <w:t>320</w:t>
            </w:r>
          </w:p>
        </w:tc>
        <w:tc>
          <w:tcPr>
            <w:tcW w:w="676" w:type="pct"/>
            <w:tcBorders>
              <w:top w:val="single" w:sz="4" w:space="0" w:color="auto"/>
              <w:bottom w:val="nil"/>
            </w:tcBorders>
            <w:shd w:val="clear" w:color="auto" w:fill="auto"/>
          </w:tcPr>
          <w:p w:rsidR="00E9058E" w:rsidRPr="00EA6851" w:rsidRDefault="00E9058E" w:rsidP="00E9058E">
            <w:pPr>
              <w:spacing w:after="0"/>
              <w:jc w:val="center"/>
              <w:rPr>
                <w:color w:val="000000"/>
                <w:sz w:val="18"/>
                <w:szCs w:val="18"/>
                <w:lang w:eastAsia="en-US"/>
              </w:rPr>
            </w:pPr>
            <w:r w:rsidRPr="00EA6851">
              <w:rPr>
                <w:color w:val="000000"/>
                <w:sz w:val="18"/>
                <w:szCs w:val="18"/>
                <w:lang w:eastAsia="en-US"/>
              </w:rPr>
              <w:t>320</w:t>
            </w:r>
          </w:p>
        </w:tc>
        <w:tc>
          <w:tcPr>
            <w:tcW w:w="676" w:type="pct"/>
            <w:tcBorders>
              <w:top w:val="single" w:sz="4" w:space="0" w:color="auto"/>
              <w:bottom w:val="nil"/>
            </w:tcBorders>
            <w:shd w:val="clear" w:color="auto" w:fill="auto"/>
          </w:tcPr>
          <w:p w:rsidR="00E9058E" w:rsidRPr="00EA6851" w:rsidRDefault="00E9058E" w:rsidP="00E9058E">
            <w:pPr>
              <w:spacing w:after="0"/>
              <w:jc w:val="center"/>
              <w:rPr>
                <w:color w:val="000000"/>
                <w:sz w:val="18"/>
                <w:szCs w:val="18"/>
                <w:lang w:eastAsia="en-US"/>
              </w:rPr>
            </w:pPr>
            <w:r w:rsidRPr="00EA6851">
              <w:rPr>
                <w:color w:val="000000"/>
                <w:sz w:val="18"/>
                <w:szCs w:val="18"/>
                <w:lang w:eastAsia="en-US"/>
              </w:rPr>
              <w:t>320</w:t>
            </w:r>
          </w:p>
        </w:tc>
        <w:tc>
          <w:tcPr>
            <w:tcW w:w="607" w:type="pct"/>
            <w:tcBorders>
              <w:top w:val="single" w:sz="4" w:space="0" w:color="auto"/>
              <w:bottom w:val="nil"/>
            </w:tcBorders>
            <w:shd w:val="clear" w:color="auto" w:fill="auto"/>
          </w:tcPr>
          <w:p w:rsidR="00E9058E" w:rsidRPr="00EA6851" w:rsidRDefault="00E9058E" w:rsidP="00E9058E">
            <w:pPr>
              <w:spacing w:after="0"/>
              <w:jc w:val="center"/>
              <w:rPr>
                <w:color w:val="000000"/>
                <w:sz w:val="18"/>
                <w:szCs w:val="18"/>
                <w:lang w:eastAsia="en-US"/>
              </w:rPr>
            </w:pPr>
            <w:r w:rsidRPr="00EA6851">
              <w:rPr>
                <w:color w:val="000000"/>
                <w:sz w:val="18"/>
                <w:szCs w:val="18"/>
                <w:lang w:eastAsia="en-US"/>
              </w:rPr>
              <w:t>320</w:t>
            </w:r>
          </w:p>
        </w:tc>
      </w:tr>
      <w:tr w:rsidR="00E9058E" w:rsidRPr="00EA6851" w:rsidTr="00960D92">
        <w:trPr>
          <w:trHeight w:val="718"/>
          <w:jc w:val="center"/>
        </w:trPr>
        <w:tc>
          <w:tcPr>
            <w:tcW w:w="1811" w:type="pct"/>
            <w:tcBorders>
              <w:top w:val="nil"/>
              <w:bottom w:val="nil"/>
            </w:tcBorders>
            <w:shd w:val="clear" w:color="auto" w:fill="auto"/>
          </w:tcPr>
          <w:p w:rsidR="00E9058E" w:rsidRPr="00EA6851" w:rsidRDefault="00E9058E" w:rsidP="00E9058E">
            <w:pPr>
              <w:tabs>
                <w:tab w:val="left" w:pos="235"/>
              </w:tabs>
              <w:spacing w:after="0"/>
              <w:rPr>
                <w:color w:val="000000"/>
                <w:sz w:val="18"/>
                <w:szCs w:val="18"/>
                <w:lang w:eastAsia="en-US"/>
              </w:rPr>
            </w:pPr>
            <w:r w:rsidRPr="00EA6851">
              <w:rPr>
                <w:color w:val="000000"/>
                <w:sz w:val="18"/>
                <w:szCs w:val="18"/>
                <w:lang w:eastAsia="en-US"/>
              </w:rPr>
              <w:t>2. Служители от държавната администрация, обучавани в програми на Дипломатическия институт</w:t>
            </w:r>
            <w:r w:rsidRPr="00EA6851">
              <w:rPr>
                <w:color w:val="000000"/>
                <w:sz w:val="18"/>
                <w:szCs w:val="18"/>
                <w:lang w:eastAsia="en-US"/>
              </w:rPr>
              <w:tab/>
            </w:r>
          </w:p>
        </w:tc>
        <w:tc>
          <w:tcPr>
            <w:tcW w:w="554" w:type="pct"/>
            <w:tcBorders>
              <w:top w:val="nil"/>
              <w:bottom w:val="nil"/>
            </w:tcBorders>
            <w:shd w:val="clear" w:color="auto" w:fill="F2F2F2"/>
          </w:tcPr>
          <w:p w:rsidR="00E9058E" w:rsidRPr="00EA6851" w:rsidRDefault="00E9058E" w:rsidP="00E9058E">
            <w:pPr>
              <w:spacing w:after="0"/>
              <w:jc w:val="center"/>
              <w:rPr>
                <w:color w:val="000000"/>
                <w:sz w:val="18"/>
                <w:szCs w:val="18"/>
                <w:lang w:eastAsia="en-US"/>
              </w:rPr>
            </w:pPr>
            <w:r w:rsidRPr="00EA6851">
              <w:rPr>
                <w:color w:val="000000"/>
                <w:sz w:val="18"/>
                <w:szCs w:val="18"/>
                <w:lang w:eastAsia="en-US"/>
              </w:rPr>
              <w:t>Брой</w:t>
            </w:r>
          </w:p>
        </w:tc>
        <w:tc>
          <w:tcPr>
            <w:tcW w:w="676" w:type="pct"/>
            <w:tcBorders>
              <w:top w:val="nil"/>
              <w:bottom w:val="nil"/>
            </w:tcBorders>
            <w:shd w:val="clear" w:color="auto" w:fill="auto"/>
          </w:tcPr>
          <w:p w:rsidR="00E9058E" w:rsidRPr="00EA6851" w:rsidRDefault="00E9058E" w:rsidP="00E9058E">
            <w:pPr>
              <w:spacing w:after="0"/>
              <w:jc w:val="center"/>
              <w:rPr>
                <w:color w:val="000000"/>
                <w:sz w:val="18"/>
                <w:szCs w:val="18"/>
                <w:lang w:eastAsia="en-US"/>
              </w:rPr>
            </w:pPr>
            <w:r w:rsidRPr="00EA6851">
              <w:rPr>
                <w:color w:val="000000"/>
                <w:sz w:val="18"/>
                <w:szCs w:val="18"/>
                <w:lang w:eastAsia="en-US"/>
              </w:rPr>
              <w:t>865</w:t>
            </w:r>
          </w:p>
        </w:tc>
        <w:tc>
          <w:tcPr>
            <w:tcW w:w="676" w:type="pct"/>
            <w:tcBorders>
              <w:top w:val="nil"/>
              <w:bottom w:val="nil"/>
            </w:tcBorders>
            <w:shd w:val="clear" w:color="auto" w:fill="auto"/>
          </w:tcPr>
          <w:p w:rsidR="00E9058E" w:rsidRPr="00EA6851" w:rsidRDefault="00E9058E" w:rsidP="00E9058E">
            <w:pPr>
              <w:spacing w:after="0"/>
              <w:jc w:val="center"/>
              <w:rPr>
                <w:color w:val="000000"/>
                <w:sz w:val="18"/>
                <w:szCs w:val="18"/>
                <w:lang w:eastAsia="en-US"/>
              </w:rPr>
            </w:pPr>
            <w:r w:rsidRPr="00EA6851">
              <w:rPr>
                <w:color w:val="000000"/>
                <w:sz w:val="18"/>
                <w:szCs w:val="18"/>
                <w:lang w:eastAsia="en-US"/>
              </w:rPr>
              <w:t>490</w:t>
            </w:r>
          </w:p>
        </w:tc>
        <w:tc>
          <w:tcPr>
            <w:tcW w:w="676" w:type="pct"/>
            <w:tcBorders>
              <w:top w:val="nil"/>
              <w:bottom w:val="nil"/>
            </w:tcBorders>
            <w:shd w:val="clear" w:color="auto" w:fill="auto"/>
          </w:tcPr>
          <w:p w:rsidR="00E9058E" w:rsidRPr="00EA6851" w:rsidRDefault="00E9058E" w:rsidP="00E9058E">
            <w:pPr>
              <w:spacing w:after="0"/>
              <w:jc w:val="center"/>
              <w:rPr>
                <w:color w:val="000000"/>
                <w:sz w:val="18"/>
                <w:szCs w:val="18"/>
                <w:lang w:eastAsia="en-US"/>
              </w:rPr>
            </w:pPr>
            <w:r w:rsidRPr="00EA6851">
              <w:rPr>
                <w:color w:val="000000"/>
                <w:sz w:val="18"/>
                <w:szCs w:val="18"/>
                <w:lang w:eastAsia="en-US"/>
              </w:rPr>
              <w:t>510</w:t>
            </w:r>
          </w:p>
        </w:tc>
        <w:tc>
          <w:tcPr>
            <w:tcW w:w="607" w:type="pct"/>
            <w:tcBorders>
              <w:top w:val="nil"/>
              <w:bottom w:val="nil"/>
            </w:tcBorders>
            <w:shd w:val="clear" w:color="auto" w:fill="auto"/>
          </w:tcPr>
          <w:p w:rsidR="00E9058E" w:rsidRPr="00EA6851" w:rsidRDefault="00E9058E" w:rsidP="00E9058E">
            <w:pPr>
              <w:spacing w:after="0"/>
              <w:jc w:val="center"/>
              <w:rPr>
                <w:color w:val="000000"/>
                <w:sz w:val="18"/>
                <w:szCs w:val="18"/>
                <w:lang w:eastAsia="en-US"/>
              </w:rPr>
            </w:pPr>
            <w:r w:rsidRPr="00EA6851">
              <w:rPr>
                <w:color w:val="000000"/>
                <w:sz w:val="18"/>
                <w:szCs w:val="18"/>
                <w:lang w:eastAsia="en-US"/>
              </w:rPr>
              <w:t>510</w:t>
            </w:r>
          </w:p>
        </w:tc>
      </w:tr>
      <w:tr w:rsidR="00E9058E" w:rsidRPr="00EA6851" w:rsidTr="00960D92">
        <w:trPr>
          <w:trHeight w:val="718"/>
          <w:jc w:val="center"/>
        </w:trPr>
        <w:tc>
          <w:tcPr>
            <w:tcW w:w="1811" w:type="pct"/>
            <w:tcBorders>
              <w:top w:val="nil"/>
            </w:tcBorders>
            <w:shd w:val="clear" w:color="auto" w:fill="auto"/>
          </w:tcPr>
          <w:p w:rsidR="00E9058E" w:rsidRPr="00EA6851" w:rsidRDefault="00E9058E" w:rsidP="00E9058E">
            <w:pPr>
              <w:tabs>
                <w:tab w:val="left" w:pos="235"/>
              </w:tabs>
              <w:spacing w:after="0"/>
              <w:jc w:val="left"/>
              <w:rPr>
                <w:color w:val="000000"/>
                <w:sz w:val="18"/>
                <w:szCs w:val="18"/>
                <w:lang w:eastAsia="en-US"/>
              </w:rPr>
            </w:pPr>
            <w:r w:rsidRPr="00EA6851">
              <w:rPr>
                <w:color w:val="000000"/>
                <w:sz w:val="18"/>
                <w:szCs w:val="18"/>
                <w:lang w:eastAsia="en-US"/>
              </w:rPr>
              <w:t>3. Брой реализирани инициативи на Държавния културен институт съвместно с дипломатическите мисии и други партньори</w:t>
            </w:r>
          </w:p>
        </w:tc>
        <w:tc>
          <w:tcPr>
            <w:tcW w:w="554" w:type="pct"/>
            <w:tcBorders>
              <w:top w:val="nil"/>
            </w:tcBorders>
            <w:shd w:val="clear" w:color="auto" w:fill="F2F2F2"/>
          </w:tcPr>
          <w:p w:rsidR="00E9058E" w:rsidRPr="00EA6851" w:rsidRDefault="00E9058E" w:rsidP="00E9058E">
            <w:pPr>
              <w:spacing w:after="0"/>
              <w:jc w:val="center"/>
              <w:rPr>
                <w:color w:val="000000"/>
                <w:sz w:val="18"/>
                <w:szCs w:val="18"/>
                <w:lang w:eastAsia="en-US"/>
              </w:rPr>
            </w:pPr>
            <w:r w:rsidRPr="00EA6851">
              <w:rPr>
                <w:color w:val="000000"/>
                <w:sz w:val="18"/>
                <w:szCs w:val="18"/>
                <w:lang w:eastAsia="en-US"/>
              </w:rPr>
              <w:t>Брой</w:t>
            </w:r>
          </w:p>
        </w:tc>
        <w:tc>
          <w:tcPr>
            <w:tcW w:w="676" w:type="pct"/>
            <w:tcBorders>
              <w:top w:val="nil"/>
            </w:tcBorders>
            <w:shd w:val="clear" w:color="auto" w:fill="auto"/>
          </w:tcPr>
          <w:p w:rsidR="00E9058E" w:rsidRPr="00EA6851" w:rsidRDefault="00E9058E" w:rsidP="00E9058E">
            <w:pPr>
              <w:spacing w:after="0"/>
              <w:jc w:val="center"/>
              <w:rPr>
                <w:color w:val="000000"/>
                <w:sz w:val="18"/>
                <w:szCs w:val="18"/>
                <w:lang w:eastAsia="en-US"/>
              </w:rPr>
            </w:pPr>
            <w:r w:rsidRPr="00EA6851">
              <w:rPr>
                <w:color w:val="000000"/>
                <w:sz w:val="18"/>
                <w:szCs w:val="18"/>
                <w:lang w:eastAsia="en-US"/>
              </w:rPr>
              <w:t>50</w:t>
            </w:r>
          </w:p>
        </w:tc>
        <w:tc>
          <w:tcPr>
            <w:tcW w:w="676" w:type="pct"/>
            <w:tcBorders>
              <w:top w:val="nil"/>
            </w:tcBorders>
            <w:shd w:val="clear" w:color="auto" w:fill="auto"/>
          </w:tcPr>
          <w:p w:rsidR="00E9058E" w:rsidRPr="00EA6851" w:rsidRDefault="00E9058E" w:rsidP="00E9058E">
            <w:pPr>
              <w:spacing w:after="0"/>
              <w:jc w:val="center"/>
              <w:rPr>
                <w:color w:val="000000"/>
                <w:sz w:val="18"/>
                <w:szCs w:val="18"/>
                <w:lang w:eastAsia="en-US"/>
              </w:rPr>
            </w:pPr>
            <w:r w:rsidRPr="00EA6851">
              <w:rPr>
                <w:color w:val="000000"/>
                <w:sz w:val="18"/>
                <w:szCs w:val="18"/>
                <w:lang w:eastAsia="en-US"/>
              </w:rPr>
              <w:t>56</w:t>
            </w:r>
          </w:p>
        </w:tc>
        <w:tc>
          <w:tcPr>
            <w:tcW w:w="676" w:type="pct"/>
            <w:tcBorders>
              <w:top w:val="nil"/>
            </w:tcBorders>
            <w:shd w:val="clear" w:color="auto" w:fill="auto"/>
          </w:tcPr>
          <w:p w:rsidR="00E9058E" w:rsidRPr="00EA6851" w:rsidRDefault="00E9058E" w:rsidP="00E9058E">
            <w:pPr>
              <w:spacing w:after="0"/>
              <w:jc w:val="center"/>
              <w:rPr>
                <w:color w:val="000000"/>
                <w:sz w:val="18"/>
                <w:szCs w:val="18"/>
                <w:lang w:eastAsia="en-US"/>
              </w:rPr>
            </w:pPr>
            <w:r w:rsidRPr="00EA6851">
              <w:rPr>
                <w:color w:val="000000"/>
                <w:sz w:val="18"/>
                <w:szCs w:val="18"/>
                <w:lang w:eastAsia="en-US"/>
              </w:rPr>
              <w:t>63</w:t>
            </w:r>
          </w:p>
        </w:tc>
        <w:tc>
          <w:tcPr>
            <w:tcW w:w="607" w:type="pct"/>
            <w:tcBorders>
              <w:top w:val="nil"/>
            </w:tcBorders>
            <w:shd w:val="clear" w:color="auto" w:fill="auto"/>
          </w:tcPr>
          <w:p w:rsidR="00E9058E" w:rsidRPr="00EA6851" w:rsidRDefault="00E9058E" w:rsidP="00E9058E">
            <w:pPr>
              <w:spacing w:after="0"/>
              <w:jc w:val="center"/>
              <w:rPr>
                <w:color w:val="000000"/>
                <w:sz w:val="18"/>
                <w:szCs w:val="18"/>
                <w:lang w:eastAsia="en-US"/>
              </w:rPr>
            </w:pPr>
            <w:r w:rsidRPr="00EA6851">
              <w:rPr>
                <w:color w:val="000000"/>
                <w:sz w:val="18"/>
                <w:szCs w:val="18"/>
                <w:lang w:eastAsia="en-US"/>
              </w:rPr>
              <w:t>70</w:t>
            </w:r>
          </w:p>
        </w:tc>
      </w:tr>
    </w:tbl>
    <w:p w:rsidR="00DB1648" w:rsidRPr="00EA6851" w:rsidRDefault="00DB1648" w:rsidP="00DB1648">
      <w:pPr>
        <w:pStyle w:val="Heading4"/>
        <w:numPr>
          <w:ilvl w:val="0"/>
          <w:numId w:val="0"/>
        </w:numPr>
        <w:spacing w:before="0" w:after="200"/>
        <w:ind w:left="864"/>
      </w:pPr>
    </w:p>
    <w:p w:rsidR="00E9058E" w:rsidRPr="00EA6851" w:rsidRDefault="00E9058E" w:rsidP="00E9058E">
      <w:pPr>
        <w:pStyle w:val="Heading4"/>
        <w:spacing w:before="0" w:after="200"/>
      </w:pPr>
      <w:r w:rsidRPr="00EA6851">
        <w:t>Политика в областта на подкрепата за българските общности и лицата с българско самосъзнание зад граница</w:t>
      </w:r>
    </w:p>
    <w:p w:rsidR="00E9058E" w:rsidRPr="00EA6851" w:rsidRDefault="00E9058E" w:rsidP="00E9058E">
      <w:pPr>
        <w:rPr>
          <w:noProof/>
          <w:szCs w:val="24"/>
        </w:rPr>
      </w:pPr>
      <w:r w:rsidRPr="00EA6851">
        <w:rPr>
          <w:noProof/>
          <w:szCs w:val="24"/>
        </w:rPr>
        <w:t xml:space="preserve">Основен приоритет в дейността на българската външна политика е съхраняването на българското етнокултурно пространство зад граница, приобщаване и включване на българските граждани зад граница към държавния и обществено политическия живот в България и изграждането на положителния образ на България по света. </w:t>
      </w:r>
    </w:p>
    <w:p w:rsidR="00E9058E" w:rsidRPr="00EA6851" w:rsidRDefault="00E9058E" w:rsidP="00E9058E">
      <w:pPr>
        <w:rPr>
          <w:noProof/>
          <w:szCs w:val="24"/>
        </w:rPr>
      </w:pPr>
      <w:r w:rsidRPr="00EA6851">
        <w:rPr>
          <w:noProof/>
          <w:szCs w:val="24"/>
        </w:rPr>
        <w:t>Чрез осъществяването на Политиката за подкрепата за българските общности</w:t>
      </w:r>
      <w:r w:rsidRPr="00EA6851">
        <w:t xml:space="preserve"> </w:t>
      </w:r>
      <w:r w:rsidRPr="00EA6851">
        <w:rPr>
          <w:noProof/>
          <w:szCs w:val="24"/>
        </w:rPr>
        <w:t>и лицата с българско самосъзнание зад граница се постигат външнополитическите приоритети  на страната с оглед опазване и възраждане на българското национално самосъзнание, етнокултурна и религиозна идентичност на българите и българските общности по света; защита на правата и свободите на лицата, принадлежащи към българските национални общности и малцинства, в съответствие с международно-правните норми в тази област и с интересите на страната; подкрепа на и разширяване на системата от работещи структури на българите и българските общности в чужбина; приобщаване на висококвалифицираната млада българска емиграция към България.</w:t>
      </w:r>
    </w:p>
    <w:p w:rsidR="00E9058E" w:rsidRPr="00EA6851" w:rsidRDefault="00E9058E" w:rsidP="00E9058E">
      <w:pPr>
        <w:spacing w:before="240" w:after="240"/>
        <w:rPr>
          <w:b/>
          <w:bCs/>
          <w:sz w:val="20"/>
          <w:szCs w:val="20"/>
        </w:rPr>
      </w:pPr>
      <w:r w:rsidRPr="00EA6851">
        <w:rPr>
          <w:b/>
          <w:bCs/>
          <w:sz w:val="20"/>
          <w:szCs w:val="20"/>
        </w:rPr>
        <w:t>КЛЮЧОВИ ИНДИКАТОРИ ЗА ИЗПЪЛНЕНИЕ И ЦЕЛЕВИ СТОЙНОСТИ</w:t>
      </w:r>
    </w:p>
    <w:tbl>
      <w:tblPr>
        <w:tblW w:w="5074" w:type="pct"/>
        <w:jc w:val="center"/>
        <w:tblBorders>
          <w:top w:val="single" w:sz="4" w:space="0" w:color="auto"/>
          <w:bottom w:val="single" w:sz="4" w:space="0" w:color="auto"/>
        </w:tblBorders>
        <w:tblLayout w:type="fixed"/>
        <w:tblLook w:val="0000" w:firstRow="0" w:lastRow="0" w:firstColumn="0" w:lastColumn="0" w:noHBand="0" w:noVBand="0"/>
      </w:tblPr>
      <w:tblGrid>
        <w:gridCol w:w="3357"/>
        <w:gridCol w:w="1367"/>
        <w:gridCol w:w="1127"/>
        <w:gridCol w:w="125"/>
        <w:gridCol w:w="992"/>
        <w:gridCol w:w="1117"/>
        <w:gridCol w:w="1119"/>
      </w:tblGrid>
      <w:tr w:rsidR="00E9058E" w:rsidRPr="00EA6851" w:rsidTr="00E04690">
        <w:trPr>
          <w:trHeight w:val="750"/>
          <w:tblHeader/>
          <w:jc w:val="center"/>
        </w:trPr>
        <w:tc>
          <w:tcPr>
            <w:tcW w:w="1823" w:type="pct"/>
            <w:tcBorders>
              <w:top w:val="single" w:sz="4" w:space="0" w:color="auto"/>
              <w:bottom w:val="nil"/>
            </w:tcBorders>
            <w:shd w:val="clear" w:color="auto" w:fill="auto"/>
          </w:tcPr>
          <w:p w:rsidR="00E9058E" w:rsidRPr="00EA6851" w:rsidRDefault="00E9058E" w:rsidP="00E9058E">
            <w:pPr>
              <w:spacing w:after="0"/>
              <w:jc w:val="center"/>
              <w:rPr>
                <w:b/>
                <w:i/>
                <w:iCs/>
                <w:sz w:val="18"/>
                <w:szCs w:val="18"/>
                <w:lang w:eastAsia="en-US"/>
              </w:rPr>
            </w:pPr>
            <w:r w:rsidRPr="00EA6851">
              <w:rPr>
                <w:b/>
                <w:i/>
                <w:iCs/>
                <w:sz w:val="18"/>
                <w:szCs w:val="18"/>
                <w:lang w:eastAsia="en-US"/>
              </w:rPr>
              <w:t>Политика в областта на подкрепата за българските общности и лицата с българско самосъзнание зад граница</w:t>
            </w:r>
          </w:p>
          <w:p w:rsidR="00E9058E" w:rsidRPr="00EA6851" w:rsidRDefault="00E9058E" w:rsidP="00E9058E">
            <w:pPr>
              <w:spacing w:after="0"/>
              <w:jc w:val="center"/>
              <w:rPr>
                <w:iCs/>
                <w:sz w:val="18"/>
                <w:szCs w:val="18"/>
                <w:lang w:eastAsia="en-US"/>
              </w:rPr>
            </w:pPr>
          </w:p>
        </w:tc>
        <w:tc>
          <w:tcPr>
            <w:tcW w:w="742" w:type="pct"/>
            <w:vMerge w:val="restart"/>
            <w:tcBorders>
              <w:top w:val="single" w:sz="4" w:space="0" w:color="auto"/>
              <w:bottom w:val="nil"/>
            </w:tcBorders>
            <w:shd w:val="clear" w:color="auto" w:fill="F2F2F2"/>
          </w:tcPr>
          <w:p w:rsidR="00E9058E" w:rsidRPr="00EA6851" w:rsidRDefault="00E9058E" w:rsidP="00E9058E">
            <w:pPr>
              <w:spacing w:after="0"/>
              <w:jc w:val="left"/>
              <w:rPr>
                <w:sz w:val="18"/>
                <w:szCs w:val="18"/>
                <w:lang w:eastAsia="en-US"/>
              </w:rPr>
            </w:pPr>
            <w:r w:rsidRPr="00EA6851">
              <w:rPr>
                <w:sz w:val="18"/>
                <w:szCs w:val="18"/>
                <w:lang w:eastAsia="en-US"/>
              </w:rPr>
              <w:t> </w:t>
            </w:r>
          </w:p>
          <w:p w:rsidR="00E9058E" w:rsidRPr="00EA6851" w:rsidRDefault="00E9058E" w:rsidP="00E9058E">
            <w:pPr>
              <w:spacing w:after="0"/>
              <w:jc w:val="center"/>
              <w:rPr>
                <w:sz w:val="18"/>
                <w:szCs w:val="18"/>
                <w:lang w:eastAsia="en-US"/>
              </w:rPr>
            </w:pPr>
            <w:r w:rsidRPr="00EA6851">
              <w:rPr>
                <w:b/>
                <w:bCs/>
                <w:sz w:val="18"/>
                <w:szCs w:val="18"/>
                <w:lang w:eastAsia="en-US"/>
              </w:rPr>
              <w:t>Мерна единица</w:t>
            </w:r>
          </w:p>
        </w:tc>
        <w:tc>
          <w:tcPr>
            <w:tcW w:w="680" w:type="pct"/>
            <w:gridSpan w:val="2"/>
            <w:tcBorders>
              <w:top w:val="single" w:sz="4" w:space="0" w:color="auto"/>
              <w:bottom w:val="single" w:sz="4" w:space="0" w:color="auto"/>
            </w:tcBorders>
          </w:tcPr>
          <w:p w:rsidR="00E9058E" w:rsidRPr="00EA6851" w:rsidRDefault="00E9058E" w:rsidP="00E9058E">
            <w:pPr>
              <w:spacing w:after="0"/>
              <w:ind w:left="162"/>
              <w:jc w:val="center"/>
              <w:rPr>
                <w:b/>
                <w:bCs/>
                <w:sz w:val="18"/>
                <w:szCs w:val="18"/>
                <w:lang w:eastAsia="en-US"/>
              </w:rPr>
            </w:pPr>
          </w:p>
        </w:tc>
        <w:tc>
          <w:tcPr>
            <w:tcW w:w="1754" w:type="pct"/>
            <w:gridSpan w:val="3"/>
            <w:tcBorders>
              <w:top w:val="single" w:sz="4" w:space="0" w:color="auto"/>
              <w:bottom w:val="single" w:sz="4" w:space="0" w:color="auto"/>
            </w:tcBorders>
            <w:shd w:val="clear" w:color="auto" w:fill="auto"/>
          </w:tcPr>
          <w:p w:rsidR="00E9058E" w:rsidRPr="00EA6851" w:rsidRDefault="00E9058E" w:rsidP="00E9058E">
            <w:pPr>
              <w:spacing w:after="0"/>
              <w:ind w:left="162"/>
              <w:jc w:val="center"/>
              <w:rPr>
                <w:b/>
                <w:bCs/>
                <w:sz w:val="18"/>
                <w:szCs w:val="18"/>
                <w:lang w:eastAsia="en-US"/>
              </w:rPr>
            </w:pPr>
          </w:p>
          <w:p w:rsidR="00E9058E" w:rsidRPr="00EA6851" w:rsidRDefault="00E9058E" w:rsidP="00E9058E">
            <w:pPr>
              <w:spacing w:after="0"/>
              <w:ind w:left="162"/>
              <w:jc w:val="center"/>
              <w:rPr>
                <w:b/>
                <w:bCs/>
                <w:sz w:val="18"/>
                <w:szCs w:val="18"/>
                <w:lang w:eastAsia="en-US"/>
              </w:rPr>
            </w:pPr>
            <w:r w:rsidRPr="00EA6851">
              <w:rPr>
                <w:b/>
                <w:bCs/>
                <w:sz w:val="18"/>
                <w:szCs w:val="18"/>
                <w:lang w:eastAsia="en-US"/>
              </w:rPr>
              <w:t>Целева стойност</w:t>
            </w:r>
          </w:p>
        </w:tc>
      </w:tr>
      <w:tr w:rsidR="00E9058E" w:rsidRPr="00EA6851" w:rsidTr="00DB1648">
        <w:trPr>
          <w:trHeight w:val="450"/>
          <w:tblHeader/>
          <w:jc w:val="center"/>
        </w:trPr>
        <w:tc>
          <w:tcPr>
            <w:tcW w:w="1823" w:type="pct"/>
            <w:tcBorders>
              <w:top w:val="nil"/>
              <w:bottom w:val="single" w:sz="4" w:space="0" w:color="auto"/>
            </w:tcBorders>
            <w:shd w:val="clear" w:color="auto" w:fill="auto"/>
          </w:tcPr>
          <w:p w:rsidR="00E9058E" w:rsidRPr="00EA6851" w:rsidRDefault="00E9058E" w:rsidP="00E9058E">
            <w:pPr>
              <w:spacing w:after="0"/>
              <w:jc w:val="center"/>
              <w:rPr>
                <w:b/>
                <w:bCs/>
                <w:sz w:val="18"/>
                <w:szCs w:val="18"/>
                <w:lang w:eastAsia="en-US"/>
              </w:rPr>
            </w:pPr>
            <w:r w:rsidRPr="00EA6851">
              <w:rPr>
                <w:b/>
                <w:bCs/>
                <w:sz w:val="18"/>
                <w:szCs w:val="18"/>
                <w:lang w:eastAsia="en-US"/>
              </w:rPr>
              <w:t>Наименование на индикатора</w:t>
            </w:r>
          </w:p>
        </w:tc>
        <w:tc>
          <w:tcPr>
            <w:tcW w:w="742" w:type="pct"/>
            <w:vMerge/>
            <w:tcBorders>
              <w:top w:val="nil"/>
              <w:bottom w:val="single" w:sz="4" w:space="0" w:color="auto"/>
            </w:tcBorders>
            <w:shd w:val="clear" w:color="auto" w:fill="F2F2F2"/>
          </w:tcPr>
          <w:p w:rsidR="00E9058E" w:rsidRPr="00EA6851" w:rsidRDefault="00E9058E" w:rsidP="00E9058E">
            <w:pPr>
              <w:spacing w:after="0"/>
              <w:jc w:val="center"/>
              <w:rPr>
                <w:b/>
                <w:bCs/>
                <w:sz w:val="18"/>
                <w:szCs w:val="18"/>
                <w:lang w:eastAsia="en-US"/>
              </w:rPr>
            </w:pPr>
          </w:p>
        </w:tc>
        <w:tc>
          <w:tcPr>
            <w:tcW w:w="612" w:type="pct"/>
            <w:tcBorders>
              <w:top w:val="single" w:sz="4" w:space="0" w:color="auto"/>
              <w:bottom w:val="single" w:sz="4" w:space="0" w:color="auto"/>
            </w:tcBorders>
            <w:shd w:val="clear" w:color="auto" w:fill="auto"/>
            <w:vAlign w:val="center"/>
          </w:tcPr>
          <w:p w:rsidR="00E9058E" w:rsidRPr="00EA6851" w:rsidRDefault="00E9058E" w:rsidP="00E9058E">
            <w:pPr>
              <w:spacing w:after="0"/>
              <w:jc w:val="center"/>
              <w:rPr>
                <w:b/>
                <w:bCs/>
                <w:i/>
                <w:iCs/>
                <w:sz w:val="18"/>
                <w:szCs w:val="18"/>
                <w:lang w:eastAsia="en-US"/>
              </w:rPr>
            </w:pPr>
            <w:r w:rsidRPr="00EA6851">
              <w:rPr>
                <w:b/>
                <w:bCs/>
                <w:i/>
                <w:iCs/>
                <w:sz w:val="18"/>
                <w:szCs w:val="18"/>
                <w:lang w:eastAsia="en-US"/>
              </w:rPr>
              <w:t>Програма  2023 г.</w:t>
            </w:r>
          </w:p>
        </w:tc>
        <w:tc>
          <w:tcPr>
            <w:tcW w:w="607" w:type="pct"/>
            <w:gridSpan w:val="2"/>
            <w:tcBorders>
              <w:top w:val="single" w:sz="4" w:space="0" w:color="auto"/>
              <w:bottom w:val="single" w:sz="4" w:space="0" w:color="auto"/>
            </w:tcBorders>
            <w:shd w:val="clear" w:color="auto" w:fill="auto"/>
            <w:vAlign w:val="center"/>
          </w:tcPr>
          <w:p w:rsidR="00E9058E" w:rsidRPr="00EA6851" w:rsidRDefault="00E9058E" w:rsidP="00E9058E">
            <w:pPr>
              <w:spacing w:after="0"/>
              <w:jc w:val="center"/>
              <w:rPr>
                <w:b/>
                <w:bCs/>
                <w:i/>
                <w:iCs/>
                <w:sz w:val="18"/>
                <w:szCs w:val="18"/>
                <w:lang w:eastAsia="en-US"/>
              </w:rPr>
            </w:pPr>
            <w:r w:rsidRPr="00EA6851">
              <w:rPr>
                <w:b/>
                <w:bCs/>
                <w:i/>
                <w:iCs/>
                <w:sz w:val="18"/>
                <w:szCs w:val="18"/>
                <w:lang w:eastAsia="en-US"/>
              </w:rPr>
              <w:t>Проект  2024 г.</w:t>
            </w:r>
          </w:p>
        </w:tc>
        <w:tc>
          <w:tcPr>
            <w:tcW w:w="607" w:type="pct"/>
            <w:tcBorders>
              <w:top w:val="single" w:sz="4" w:space="0" w:color="auto"/>
              <w:bottom w:val="single" w:sz="4" w:space="0" w:color="auto"/>
            </w:tcBorders>
            <w:shd w:val="clear" w:color="auto" w:fill="auto"/>
            <w:vAlign w:val="center"/>
          </w:tcPr>
          <w:p w:rsidR="00E9058E" w:rsidRPr="00EA6851" w:rsidRDefault="00E9058E" w:rsidP="00E9058E">
            <w:pPr>
              <w:spacing w:after="0"/>
              <w:jc w:val="center"/>
              <w:rPr>
                <w:b/>
                <w:bCs/>
                <w:i/>
                <w:iCs/>
                <w:sz w:val="18"/>
                <w:szCs w:val="18"/>
                <w:lang w:eastAsia="en-US"/>
              </w:rPr>
            </w:pPr>
            <w:r w:rsidRPr="00EA6851">
              <w:rPr>
                <w:b/>
                <w:bCs/>
                <w:i/>
                <w:iCs/>
                <w:sz w:val="18"/>
                <w:szCs w:val="18"/>
                <w:lang w:eastAsia="en-US"/>
              </w:rPr>
              <w:t xml:space="preserve">Прогноза </w:t>
            </w:r>
            <w:r w:rsidRPr="00EA6851">
              <w:rPr>
                <w:b/>
                <w:bCs/>
                <w:i/>
                <w:iCs/>
                <w:sz w:val="18"/>
                <w:szCs w:val="18"/>
                <w:lang w:eastAsia="en-US"/>
              </w:rPr>
              <w:br/>
              <w:t>2025 г.</w:t>
            </w:r>
          </w:p>
        </w:tc>
        <w:tc>
          <w:tcPr>
            <w:tcW w:w="608" w:type="pct"/>
            <w:tcBorders>
              <w:top w:val="single" w:sz="4" w:space="0" w:color="auto"/>
              <w:bottom w:val="single" w:sz="4" w:space="0" w:color="auto"/>
            </w:tcBorders>
            <w:shd w:val="clear" w:color="auto" w:fill="auto"/>
            <w:vAlign w:val="center"/>
          </w:tcPr>
          <w:p w:rsidR="00E9058E" w:rsidRPr="00EA6851" w:rsidRDefault="00E9058E" w:rsidP="00E9058E">
            <w:pPr>
              <w:spacing w:after="0"/>
              <w:jc w:val="center"/>
              <w:rPr>
                <w:b/>
                <w:bCs/>
                <w:i/>
                <w:iCs/>
                <w:sz w:val="18"/>
                <w:szCs w:val="18"/>
                <w:lang w:eastAsia="en-US"/>
              </w:rPr>
            </w:pPr>
            <w:r w:rsidRPr="00EA6851">
              <w:rPr>
                <w:b/>
                <w:bCs/>
                <w:i/>
                <w:iCs/>
                <w:sz w:val="18"/>
                <w:szCs w:val="18"/>
                <w:lang w:eastAsia="en-US"/>
              </w:rPr>
              <w:t>Прог</w:t>
            </w:r>
            <w:r w:rsidR="00DB1648" w:rsidRPr="00EA6851">
              <w:rPr>
                <w:b/>
                <w:bCs/>
                <w:i/>
                <w:iCs/>
                <w:sz w:val="18"/>
                <w:szCs w:val="18"/>
                <w:lang w:eastAsia="en-US"/>
              </w:rPr>
              <w:t>н</w:t>
            </w:r>
            <w:r w:rsidRPr="00EA6851">
              <w:rPr>
                <w:b/>
                <w:bCs/>
                <w:i/>
                <w:iCs/>
                <w:sz w:val="18"/>
                <w:szCs w:val="18"/>
                <w:lang w:eastAsia="en-US"/>
              </w:rPr>
              <w:t xml:space="preserve">оза </w:t>
            </w:r>
            <w:r w:rsidRPr="00EA6851">
              <w:rPr>
                <w:b/>
                <w:bCs/>
                <w:i/>
                <w:iCs/>
                <w:sz w:val="18"/>
                <w:szCs w:val="18"/>
                <w:lang w:eastAsia="en-US"/>
              </w:rPr>
              <w:br/>
              <w:t>2026 г.</w:t>
            </w:r>
          </w:p>
        </w:tc>
      </w:tr>
      <w:tr w:rsidR="00E9058E" w:rsidRPr="00EA6851" w:rsidTr="00DB1648">
        <w:trPr>
          <w:trHeight w:val="684"/>
          <w:jc w:val="center"/>
        </w:trPr>
        <w:tc>
          <w:tcPr>
            <w:tcW w:w="1823" w:type="pct"/>
            <w:tcBorders>
              <w:top w:val="single" w:sz="4" w:space="0" w:color="auto"/>
              <w:bottom w:val="single" w:sz="4" w:space="0" w:color="auto"/>
            </w:tcBorders>
            <w:shd w:val="clear" w:color="auto" w:fill="auto"/>
          </w:tcPr>
          <w:p w:rsidR="00E9058E" w:rsidRPr="00EA6851" w:rsidRDefault="00E9058E" w:rsidP="00E9058E">
            <w:pPr>
              <w:tabs>
                <w:tab w:val="left" w:pos="235"/>
              </w:tabs>
              <w:spacing w:after="0"/>
              <w:jc w:val="left"/>
              <w:rPr>
                <w:color w:val="000000"/>
                <w:sz w:val="18"/>
                <w:szCs w:val="18"/>
                <w:lang w:eastAsia="en-US"/>
              </w:rPr>
            </w:pPr>
            <w:r w:rsidRPr="00EA6851">
              <w:rPr>
                <w:color w:val="000000"/>
                <w:sz w:val="18"/>
                <w:szCs w:val="18"/>
                <w:lang w:eastAsia="en-US"/>
              </w:rPr>
              <w:t>1. Ефективност при оказване на подкрепа за българските общности и лицата с българско самосъзнание в чужбина</w:t>
            </w:r>
          </w:p>
        </w:tc>
        <w:tc>
          <w:tcPr>
            <w:tcW w:w="742" w:type="pct"/>
            <w:tcBorders>
              <w:top w:val="single" w:sz="4" w:space="0" w:color="auto"/>
              <w:bottom w:val="single" w:sz="4" w:space="0" w:color="auto"/>
            </w:tcBorders>
            <w:shd w:val="clear" w:color="auto" w:fill="F2F2F2"/>
          </w:tcPr>
          <w:p w:rsidR="00E9058E" w:rsidRPr="00EA6851" w:rsidRDefault="00E9058E" w:rsidP="00E9058E">
            <w:pPr>
              <w:spacing w:after="0"/>
              <w:jc w:val="center"/>
              <w:rPr>
                <w:color w:val="000000"/>
                <w:sz w:val="18"/>
                <w:szCs w:val="18"/>
                <w:lang w:eastAsia="en-US"/>
              </w:rPr>
            </w:pPr>
            <w:r w:rsidRPr="00EA6851">
              <w:rPr>
                <w:sz w:val="18"/>
                <w:szCs w:val="18"/>
                <w:lang w:eastAsia="en-US"/>
              </w:rPr>
              <w:t>Степен на ефективност</w:t>
            </w:r>
          </w:p>
        </w:tc>
        <w:tc>
          <w:tcPr>
            <w:tcW w:w="612" w:type="pct"/>
            <w:tcBorders>
              <w:top w:val="single" w:sz="4" w:space="0" w:color="auto"/>
              <w:bottom w:val="single" w:sz="4" w:space="0" w:color="auto"/>
            </w:tcBorders>
            <w:shd w:val="clear" w:color="auto" w:fill="auto"/>
          </w:tcPr>
          <w:p w:rsidR="00E9058E" w:rsidRPr="00EA6851" w:rsidRDefault="00E9058E" w:rsidP="00E9058E">
            <w:pPr>
              <w:spacing w:after="0"/>
              <w:jc w:val="center"/>
              <w:rPr>
                <w:color w:val="000000"/>
                <w:sz w:val="18"/>
                <w:szCs w:val="18"/>
                <w:lang w:eastAsia="en-US"/>
              </w:rPr>
            </w:pPr>
            <w:r w:rsidRPr="00EA6851">
              <w:rPr>
                <w:color w:val="000000"/>
                <w:sz w:val="18"/>
                <w:szCs w:val="18"/>
                <w:lang w:eastAsia="en-US"/>
              </w:rPr>
              <w:t>100%</w:t>
            </w:r>
          </w:p>
        </w:tc>
        <w:tc>
          <w:tcPr>
            <w:tcW w:w="607" w:type="pct"/>
            <w:gridSpan w:val="2"/>
            <w:tcBorders>
              <w:top w:val="single" w:sz="4" w:space="0" w:color="auto"/>
              <w:bottom w:val="single" w:sz="4" w:space="0" w:color="auto"/>
            </w:tcBorders>
            <w:shd w:val="clear" w:color="auto" w:fill="auto"/>
          </w:tcPr>
          <w:p w:rsidR="00E9058E" w:rsidRPr="00EA6851" w:rsidRDefault="00E9058E" w:rsidP="00E9058E">
            <w:pPr>
              <w:spacing w:after="0"/>
              <w:jc w:val="center"/>
              <w:rPr>
                <w:color w:val="000000"/>
                <w:sz w:val="18"/>
                <w:szCs w:val="18"/>
                <w:lang w:eastAsia="en-US"/>
              </w:rPr>
            </w:pPr>
            <w:r w:rsidRPr="00EA6851">
              <w:rPr>
                <w:color w:val="000000"/>
                <w:sz w:val="18"/>
                <w:szCs w:val="18"/>
                <w:lang w:eastAsia="en-US"/>
              </w:rPr>
              <w:t>100%</w:t>
            </w:r>
          </w:p>
        </w:tc>
        <w:tc>
          <w:tcPr>
            <w:tcW w:w="607" w:type="pct"/>
            <w:tcBorders>
              <w:top w:val="single" w:sz="4" w:space="0" w:color="auto"/>
              <w:bottom w:val="single" w:sz="4" w:space="0" w:color="auto"/>
            </w:tcBorders>
            <w:shd w:val="clear" w:color="auto" w:fill="auto"/>
          </w:tcPr>
          <w:p w:rsidR="00E9058E" w:rsidRPr="00EA6851" w:rsidRDefault="00E9058E" w:rsidP="00E9058E">
            <w:pPr>
              <w:spacing w:after="0"/>
              <w:jc w:val="center"/>
              <w:rPr>
                <w:color w:val="000000"/>
                <w:sz w:val="18"/>
                <w:szCs w:val="18"/>
                <w:lang w:eastAsia="en-US"/>
              </w:rPr>
            </w:pPr>
            <w:r w:rsidRPr="00EA6851">
              <w:rPr>
                <w:color w:val="000000"/>
                <w:sz w:val="18"/>
                <w:szCs w:val="18"/>
                <w:lang w:eastAsia="en-US"/>
              </w:rPr>
              <w:t>100%</w:t>
            </w:r>
          </w:p>
        </w:tc>
        <w:tc>
          <w:tcPr>
            <w:tcW w:w="608" w:type="pct"/>
            <w:tcBorders>
              <w:top w:val="single" w:sz="4" w:space="0" w:color="auto"/>
              <w:bottom w:val="single" w:sz="4" w:space="0" w:color="auto"/>
            </w:tcBorders>
            <w:shd w:val="clear" w:color="auto" w:fill="auto"/>
          </w:tcPr>
          <w:p w:rsidR="00E9058E" w:rsidRPr="00EA6851" w:rsidRDefault="00E9058E" w:rsidP="00E9058E">
            <w:pPr>
              <w:spacing w:after="0"/>
              <w:jc w:val="center"/>
              <w:rPr>
                <w:color w:val="000000"/>
                <w:sz w:val="18"/>
                <w:szCs w:val="18"/>
                <w:lang w:eastAsia="en-US"/>
              </w:rPr>
            </w:pPr>
            <w:r w:rsidRPr="00EA6851">
              <w:rPr>
                <w:color w:val="000000"/>
                <w:sz w:val="18"/>
                <w:szCs w:val="18"/>
                <w:lang w:eastAsia="en-US"/>
              </w:rPr>
              <w:t>100%</w:t>
            </w:r>
          </w:p>
        </w:tc>
      </w:tr>
    </w:tbl>
    <w:p w:rsidR="0033580A" w:rsidRPr="00EA6851" w:rsidRDefault="0033580A" w:rsidP="0033580A"/>
    <w:p w:rsidR="0033580A" w:rsidRPr="00EA6851" w:rsidRDefault="0033580A" w:rsidP="0033580A">
      <w:pPr>
        <w:pStyle w:val="Heading3"/>
        <w:ind w:left="0"/>
      </w:pPr>
      <w:r w:rsidRPr="00EA6851">
        <w:t>Политика в областта на енергетиката</w:t>
      </w:r>
    </w:p>
    <w:p w:rsidR="003A5772" w:rsidRPr="00EA6851" w:rsidRDefault="003A5772" w:rsidP="003A5772">
      <w:pPr>
        <w:rPr>
          <w:noProof/>
        </w:rPr>
      </w:pPr>
      <w:r w:rsidRPr="00EA6851">
        <w:rPr>
          <w:noProof/>
        </w:rPr>
        <w:t>Политиката в областта на енергетиката е насочена към устойчиво енергийно развитие на страната, ефективно използване на енергията и енергийните ресурси, задоволяване потребностите на обществото от електрическа и топлинна енергия, природен газ и горива, установяване на по-чисто и ефективно производство на енергия чрез рационално използване на конвенционалните и възобновяеми източници на енергия (ВИ), минимизиране влиянието на производството, преноса и използването на енергия върху околната среда, подобряване управлението на природните ресурси. Тенденцията е да се гарантира сигурно, безопасно и устойчиво снабдяване с енергия.</w:t>
      </w:r>
    </w:p>
    <w:p w:rsidR="003A5772" w:rsidRPr="00EA6851" w:rsidRDefault="003A5772" w:rsidP="003A5772">
      <w:pPr>
        <w:rPr>
          <w:noProof/>
        </w:rPr>
      </w:pPr>
      <w:r w:rsidRPr="00EA6851">
        <w:rPr>
          <w:noProof/>
        </w:rPr>
        <w:t xml:space="preserve">Националните цели в областта на енергетиката, механизмите и сроковете за тяхното изпълнение в горепосочените направления са определени в разработения съвместно с Министерството на околната среда и водите Интегриран план </w:t>
      </w:r>
      <w:r w:rsidR="00A3729C" w:rsidRPr="00EA6851">
        <w:rPr>
          <w:noProof/>
        </w:rPr>
        <w:t>„Енергетика</w:t>
      </w:r>
      <w:r w:rsidRPr="00EA6851">
        <w:rPr>
          <w:noProof/>
        </w:rPr>
        <w:t xml:space="preserve"> и климат“ 2021-2030 г., като са предприети действия за развитие на енергетиката на страната при условия на пълна либерализация на пазарите на електрическа енергия и природен газ и интеграцията им към Общия енергиен пазар на ЕС, в съответствие с установените европейски цели в областта на енергетиката и изменението на климата. Целта на енергийната политика на България е гарантиране на енергийната сигурност на страната чрез проучване на нови райони, от които да се извършва снабдяване с горива, проучване на нови технологии, по-нататъшно разработване на местните ресурси и подобряване на инфраструктурата за достъп до нови източници на снабдяване:</w:t>
      </w:r>
    </w:p>
    <w:p w:rsidR="003A5772" w:rsidRPr="00EA6851" w:rsidRDefault="003A5772" w:rsidP="00B30642">
      <w:pPr>
        <w:numPr>
          <w:ilvl w:val="0"/>
          <w:numId w:val="28"/>
        </w:numPr>
        <w:rPr>
          <w:rFonts w:eastAsia="Batang"/>
        </w:rPr>
      </w:pPr>
      <w:r w:rsidRPr="00EA6851">
        <w:rPr>
          <w:rFonts w:eastAsia="Batang"/>
        </w:rPr>
        <w:t>Изграждане на междусистемните газови връзки между България и съседните страни;</w:t>
      </w:r>
    </w:p>
    <w:p w:rsidR="003A5772" w:rsidRPr="00EA6851" w:rsidRDefault="003A5772" w:rsidP="00B30642">
      <w:pPr>
        <w:numPr>
          <w:ilvl w:val="0"/>
          <w:numId w:val="28"/>
        </w:numPr>
        <w:rPr>
          <w:rFonts w:eastAsia="Batang"/>
        </w:rPr>
      </w:pPr>
      <w:r w:rsidRPr="00EA6851">
        <w:rPr>
          <w:rFonts w:eastAsia="Batang"/>
        </w:rPr>
        <w:t>Пълна либерализация на пазарите на електроенергия и газ и интегрирането им в Общия европейски енергиен пазар. Защита на уязвимите потребители;</w:t>
      </w:r>
    </w:p>
    <w:p w:rsidR="003A5772" w:rsidRPr="00EA6851" w:rsidRDefault="003A5772" w:rsidP="00B30642">
      <w:pPr>
        <w:numPr>
          <w:ilvl w:val="0"/>
          <w:numId w:val="28"/>
        </w:numPr>
        <w:rPr>
          <w:rFonts w:eastAsia="Batang"/>
        </w:rPr>
      </w:pPr>
      <w:r w:rsidRPr="00EA6851">
        <w:rPr>
          <w:rFonts w:eastAsia="Batang"/>
        </w:rPr>
        <w:t>Установяване на по-чисто и ефективно производство на енергия чрез по-рационално използване на изкопаемите ресурси, минимизиране влиянието на производството, преноса, разпределението и потреблението на енергия върху околната среда, подобряване управлението на естествените ресурси;</w:t>
      </w:r>
    </w:p>
    <w:p w:rsidR="003A5772" w:rsidRPr="00EA6851" w:rsidRDefault="003A5772" w:rsidP="00B30642">
      <w:pPr>
        <w:numPr>
          <w:ilvl w:val="0"/>
          <w:numId w:val="28"/>
        </w:numPr>
        <w:rPr>
          <w:rFonts w:eastAsia="Batang"/>
        </w:rPr>
      </w:pPr>
      <w:r w:rsidRPr="00EA6851">
        <w:rPr>
          <w:rFonts w:eastAsia="Batang"/>
        </w:rPr>
        <w:t>Запазване и развитие капацитета на ядрената енергетика;</w:t>
      </w:r>
    </w:p>
    <w:p w:rsidR="003A5772" w:rsidRPr="00EA6851" w:rsidRDefault="003A5772" w:rsidP="00B30642">
      <w:pPr>
        <w:numPr>
          <w:ilvl w:val="0"/>
          <w:numId w:val="28"/>
        </w:numPr>
        <w:rPr>
          <w:rFonts w:eastAsia="Batang"/>
        </w:rPr>
      </w:pPr>
      <w:r w:rsidRPr="00EA6851">
        <w:rPr>
          <w:rFonts w:eastAsia="Batang"/>
        </w:rPr>
        <w:t>Развитие на нови икономически ефективни проекти, създаващи възможност за екологично нисковъглеродно производство на енергия, без предоставяне на държавни или корпоративни гаранции.</w:t>
      </w:r>
    </w:p>
    <w:p w:rsidR="003A5772" w:rsidRPr="00EA6851" w:rsidRDefault="003A5772" w:rsidP="003A5772">
      <w:pPr>
        <w:rPr>
          <w:noProof/>
        </w:rPr>
      </w:pPr>
      <w:r w:rsidRPr="00EA6851">
        <w:rPr>
          <w:noProof/>
        </w:rPr>
        <w:t>Енергетиката продължава да е изправена пред зависимостта от внос на ресурси и енергия, нарастващите цени на вносните енергийни ресурси и промените в климата. Това определя и приоритетните области, по които следва да се работи:</w:t>
      </w:r>
    </w:p>
    <w:p w:rsidR="003A5772" w:rsidRPr="00EA6851" w:rsidRDefault="003A5772" w:rsidP="00B30642">
      <w:pPr>
        <w:numPr>
          <w:ilvl w:val="0"/>
          <w:numId w:val="28"/>
        </w:numPr>
        <w:rPr>
          <w:rFonts w:eastAsia="Batang"/>
        </w:rPr>
      </w:pPr>
      <w:r w:rsidRPr="00EA6851">
        <w:rPr>
          <w:rFonts w:eastAsia="Batang"/>
        </w:rPr>
        <w:t>Ограничаване на външната зависимост от внос чрез диверсификация на енергийните доставки, енергоспестяване и насърчаване на използването на местни ресурси и енергията от ВИ;</w:t>
      </w:r>
    </w:p>
    <w:p w:rsidR="003A5772" w:rsidRPr="00EA6851" w:rsidRDefault="003A5772" w:rsidP="00B30642">
      <w:pPr>
        <w:numPr>
          <w:ilvl w:val="0"/>
          <w:numId w:val="28"/>
        </w:numPr>
        <w:rPr>
          <w:rFonts w:eastAsia="Batang"/>
        </w:rPr>
      </w:pPr>
      <w:r w:rsidRPr="00EA6851">
        <w:rPr>
          <w:rFonts w:eastAsia="Batang"/>
        </w:rPr>
        <w:t>Пълна либерализация на пазара на дребно на електрическа енергия и развитие на пазара на природен газ;</w:t>
      </w:r>
    </w:p>
    <w:p w:rsidR="003A5772" w:rsidRPr="00EA6851" w:rsidRDefault="003A5772" w:rsidP="00B30642">
      <w:pPr>
        <w:numPr>
          <w:ilvl w:val="0"/>
          <w:numId w:val="28"/>
        </w:numPr>
        <w:rPr>
          <w:rFonts w:eastAsia="Batang"/>
        </w:rPr>
      </w:pPr>
      <w:r w:rsidRPr="00EA6851">
        <w:rPr>
          <w:rFonts w:eastAsia="Batang"/>
        </w:rPr>
        <w:t>Изпълнението на политикат</w:t>
      </w:r>
      <w:r w:rsidR="00A3729C" w:rsidRPr="00EA6851">
        <w:rPr>
          <w:rFonts w:eastAsia="Batang"/>
        </w:rPr>
        <w:t xml:space="preserve">а по енергийна ефективност </w:t>
      </w:r>
      <w:r w:rsidRPr="00EA6851">
        <w:rPr>
          <w:rFonts w:eastAsia="Batang"/>
        </w:rPr>
        <w:t>е ключов елемент за устойчивото развитие. Енергийната ефективност е основна цел и е особено важна за постигане на дългосрочната ни енергийна стратегия и цели за климата. Тя е най-рентабилният начин за:</w:t>
      </w:r>
    </w:p>
    <w:p w:rsidR="003A5772" w:rsidRPr="00EA6851" w:rsidRDefault="003A5772" w:rsidP="003A5772">
      <w:pPr>
        <w:numPr>
          <w:ilvl w:val="0"/>
          <w:numId w:val="11"/>
        </w:numPr>
        <w:tabs>
          <w:tab w:val="num" w:pos="1440"/>
        </w:tabs>
        <w:ind w:left="993" w:hanging="284"/>
        <w:rPr>
          <w:noProof/>
        </w:rPr>
      </w:pPr>
      <w:r w:rsidRPr="00EA6851">
        <w:rPr>
          <w:noProof/>
        </w:rPr>
        <w:t>намаляване на емисиите;</w:t>
      </w:r>
    </w:p>
    <w:p w:rsidR="003A5772" w:rsidRPr="00EA6851" w:rsidRDefault="003A5772" w:rsidP="003A5772">
      <w:pPr>
        <w:numPr>
          <w:ilvl w:val="0"/>
          <w:numId w:val="11"/>
        </w:numPr>
        <w:tabs>
          <w:tab w:val="num" w:pos="1440"/>
        </w:tabs>
        <w:ind w:left="993" w:hanging="284"/>
        <w:rPr>
          <w:noProof/>
        </w:rPr>
      </w:pPr>
      <w:r w:rsidRPr="00EA6851">
        <w:rPr>
          <w:noProof/>
        </w:rPr>
        <w:t>подобряване на енергийната сигурност и конкурентоспособност;</w:t>
      </w:r>
    </w:p>
    <w:p w:rsidR="003A5772" w:rsidRPr="00EA6851" w:rsidRDefault="003A5772" w:rsidP="003A5772">
      <w:pPr>
        <w:numPr>
          <w:ilvl w:val="0"/>
          <w:numId w:val="11"/>
        </w:numPr>
        <w:tabs>
          <w:tab w:val="num" w:pos="1440"/>
        </w:tabs>
        <w:ind w:left="993" w:hanging="284"/>
        <w:rPr>
          <w:noProof/>
        </w:rPr>
      </w:pPr>
      <w:r w:rsidRPr="00EA6851">
        <w:rPr>
          <w:noProof/>
        </w:rPr>
        <w:t>поддържане на ниски енергийни разходи.</w:t>
      </w:r>
    </w:p>
    <w:p w:rsidR="003A5772" w:rsidRPr="00EA6851" w:rsidRDefault="003A5772" w:rsidP="003A5772">
      <w:pPr>
        <w:rPr>
          <w:noProof/>
        </w:rPr>
      </w:pPr>
      <w:r w:rsidRPr="00EA6851">
        <w:rPr>
          <w:noProof/>
        </w:rPr>
        <w:t>Предстои развитие на електрическата мобилност и на системите за съхранение на енергия. Засиленото използване на електрическа енергия от ВИ е средство за преодоляване на много от предизвикателствата в транспортния сектор, както и в други икономически сектори. Усилията ще бъдат насочени и към изграждане на необходимата за това инфраструктура и най-новите системи за управление – т.нар. „умни“ енергийни мрежи.</w:t>
      </w:r>
    </w:p>
    <w:p w:rsidR="003A5772" w:rsidRPr="00EA6851" w:rsidRDefault="003A5772" w:rsidP="003A5772">
      <w:pPr>
        <w:rPr>
          <w:noProof/>
        </w:rPr>
      </w:pPr>
      <w:r w:rsidRPr="00EA6851">
        <w:rPr>
          <w:noProof/>
        </w:rPr>
        <w:t>Усилията ще се насочат и към развитие на иновативни технологии в енергетиката, като съхранението на енергия, което се явява възможна алтернатива на инвестициите в мрежата. С помощта на системите за съхранение на енергия на място ще се спестят значителни инвестиции, необходими за изграждането ѝ.</w:t>
      </w:r>
    </w:p>
    <w:p w:rsidR="003A5772" w:rsidRPr="00EA6851" w:rsidRDefault="003A5772" w:rsidP="003A5772">
      <w:pPr>
        <w:rPr>
          <w:noProof/>
        </w:rPr>
      </w:pPr>
      <w:r w:rsidRPr="00EA6851">
        <w:rPr>
          <w:noProof/>
        </w:rPr>
        <w:t>Диверсификацията на газовите доставки и трасета и избягването на последствията от газови кризи обуславят ускоряване изграждането на междусистемните газови връзки със съседните държави. Тези проекти се изпълняват или ще бъдат изпълнени със собствени средства на енергийните компании, със средства от европейския план за икономическо възстановяване, от Оперативна програма „Иновации и конкурентоспособност 2014-2020“, както и с използване на възможностите за привличане на средства от Европейската банка за възстановяване и развитие (ЕБВР), Европейската инвестиционна банка (ЕИБ) и стандартни търговски кредити.</w:t>
      </w:r>
    </w:p>
    <w:p w:rsidR="003A5772" w:rsidRPr="00EA6851" w:rsidRDefault="003A5772" w:rsidP="003A5772">
      <w:pPr>
        <w:rPr>
          <w:noProof/>
        </w:rPr>
      </w:pPr>
      <w:r w:rsidRPr="00EA6851">
        <w:rPr>
          <w:noProof/>
        </w:rPr>
        <w:t>Формулирани са дългосрочните национални цели за развитието на енергийния сектор до 2030 г. с хоризонт 2050 г. в съответствие с европейските цели за:</w:t>
      </w:r>
    </w:p>
    <w:p w:rsidR="003A5772" w:rsidRPr="00EA6851" w:rsidRDefault="003A5772" w:rsidP="00B30642">
      <w:pPr>
        <w:numPr>
          <w:ilvl w:val="0"/>
          <w:numId w:val="28"/>
        </w:numPr>
        <w:rPr>
          <w:rFonts w:eastAsia="Batang"/>
        </w:rPr>
      </w:pPr>
      <w:r w:rsidRPr="00EA6851">
        <w:rPr>
          <w:rFonts w:eastAsia="Batang"/>
        </w:rPr>
        <w:t>най-малко 32,0% дял на енергията от ВИ в брутното крайно потребление на енергия в страната;</w:t>
      </w:r>
    </w:p>
    <w:p w:rsidR="003A5772" w:rsidRPr="00EA6851" w:rsidRDefault="003A5772" w:rsidP="00B30642">
      <w:pPr>
        <w:numPr>
          <w:ilvl w:val="0"/>
          <w:numId w:val="28"/>
        </w:numPr>
        <w:rPr>
          <w:rFonts w:eastAsia="Batang"/>
        </w:rPr>
      </w:pPr>
      <w:r w:rsidRPr="00EA6851">
        <w:rPr>
          <w:rFonts w:eastAsia="Batang"/>
        </w:rPr>
        <w:t>най-малко 32,5% подобряване на енергийната ефективност;</w:t>
      </w:r>
    </w:p>
    <w:p w:rsidR="003A5772" w:rsidRPr="00EA6851" w:rsidRDefault="003A5772" w:rsidP="00B30642">
      <w:pPr>
        <w:numPr>
          <w:ilvl w:val="0"/>
          <w:numId w:val="28"/>
        </w:numPr>
        <w:rPr>
          <w:rFonts w:eastAsia="Batang"/>
        </w:rPr>
      </w:pPr>
      <w:r w:rsidRPr="00EA6851">
        <w:rPr>
          <w:rFonts w:eastAsia="Batang"/>
        </w:rPr>
        <w:t>постигане на 15% междусистемна електроенергийна свързаност.</w:t>
      </w:r>
    </w:p>
    <w:p w:rsidR="003A5772" w:rsidRPr="00EA6851" w:rsidRDefault="003A5772" w:rsidP="003A5772">
      <w:pPr>
        <w:rPr>
          <w:noProof/>
        </w:rPr>
      </w:pPr>
      <w:r w:rsidRPr="00EA6851">
        <w:rPr>
          <w:noProof/>
        </w:rPr>
        <w:t>Конкретните национални цели са определени в Интегрирания план в областта на енергетиката и климата на България 2021-2030 г., в т.ч. достигането на:</w:t>
      </w:r>
    </w:p>
    <w:p w:rsidR="003A5772" w:rsidRPr="00EA6851" w:rsidRDefault="003A5772" w:rsidP="00B30642">
      <w:pPr>
        <w:numPr>
          <w:ilvl w:val="0"/>
          <w:numId w:val="28"/>
        </w:numPr>
        <w:rPr>
          <w:rFonts w:eastAsia="Batang"/>
        </w:rPr>
      </w:pPr>
      <w:r w:rsidRPr="00EA6851">
        <w:rPr>
          <w:rFonts w:eastAsia="Batang"/>
        </w:rPr>
        <w:t>27,09% дял на енергия от ВИ в брутното крайно потребление на енергия;</w:t>
      </w:r>
    </w:p>
    <w:p w:rsidR="003A5772" w:rsidRPr="00EA6851" w:rsidRDefault="003A5772" w:rsidP="00B30642">
      <w:pPr>
        <w:numPr>
          <w:ilvl w:val="0"/>
          <w:numId w:val="28"/>
        </w:numPr>
        <w:rPr>
          <w:rFonts w:eastAsia="Batang"/>
        </w:rPr>
      </w:pPr>
      <w:r w:rsidRPr="00EA6851">
        <w:rPr>
          <w:rFonts w:eastAsia="Batang"/>
        </w:rPr>
        <w:t>целта на енергийна ефективност, определена в Интегрирания план в областта на енергетиката и климата е, както следва: намаляване на първичното енергийно потребление в сравнение с базовата прогноза PRIMES</w:t>
      </w:r>
      <w:r w:rsidRPr="00EA6851">
        <w:rPr>
          <w:rFonts w:eastAsia="Batang" w:cs="Times New Roman"/>
          <w:position w:val="2"/>
          <w:sz w:val="18"/>
          <w:vertAlign w:val="superscript"/>
          <w:lang w:eastAsia="en-US"/>
        </w:rPr>
        <w:footnoteReference w:id="29"/>
      </w:r>
      <w:r w:rsidRPr="00EA6851">
        <w:rPr>
          <w:rFonts w:eastAsia="Batang"/>
        </w:rPr>
        <w:t xml:space="preserve"> 2007 в размер на 17 466 ktoe или 27,89%, намаляване на крайното енергийно потребление в сравнение с базовата прогноза PRIMES 2007 в размер на 10 318 ktoe или 31,67%.</w:t>
      </w:r>
    </w:p>
    <w:p w:rsidR="003A5772" w:rsidRPr="00EA6851" w:rsidRDefault="003A5772" w:rsidP="003A5772">
      <w:pPr>
        <w:spacing w:before="120" w:after="0"/>
        <w:ind w:left="720"/>
        <w:rPr>
          <w:noProof/>
          <w:szCs w:val="24"/>
          <w:highlight w:val="yellow"/>
        </w:rPr>
      </w:pPr>
    </w:p>
    <w:p w:rsidR="003A5772" w:rsidRPr="00EA6851" w:rsidRDefault="003A5772" w:rsidP="003A5772">
      <w:pPr>
        <w:rPr>
          <w:rFonts w:eastAsia="Batang"/>
          <w:b/>
          <w:sz w:val="20"/>
          <w:szCs w:val="20"/>
        </w:rPr>
      </w:pPr>
      <w:r w:rsidRPr="00EA6851">
        <w:rPr>
          <w:rFonts w:eastAsia="Batang"/>
          <w:b/>
          <w:sz w:val="20"/>
          <w:szCs w:val="20"/>
        </w:rPr>
        <w:t>КЛЮЧОВИ ИНДИКАТОРИ ЗА ИЗПЪЛНЕНИЕ И ЦЕЛЕВИ СТОЙНОСТИ</w:t>
      </w:r>
    </w:p>
    <w:tbl>
      <w:tblPr>
        <w:tblW w:w="5000" w:type="pct"/>
        <w:jc w:val="center"/>
        <w:tblBorders>
          <w:top w:val="single" w:sz="4" w:space="0" w:color="auto"/>
        </w:tblBorders>
        <w:tblCellMar>
          <w:left w:w="70" w:type="dxa"/>
          <w:right w:w="70" w:type="dxa"/>
        </w:tblCellMar>
        <w:tblLook w:val="04A0" w:firstRow="1" w:lastRow="0" w:firstColumn="1" w:lastColumn="0" w:noHBand="0" w:noVBand="1"/>
      </w:tblPr>
      <w:tblGrid>
        <w:gridCol w:w="3038"/>
        <w:gridCol w:w="936"/>
        <w:gridCol w:w="1156"/>
        <w:gridCol w:w="1295"/>
        <w:gridCol w:w="1315"/>
        <w:gridCol w:w="1330"/>
      </w:tblGrid>
      <w:tr w:rsidR="003A5772" w:rsidRPr="00EA6851" w:rsidTr="00960D92">
        <w:trPr>
          <w:trHeight w:val="70"/>
          <w:tblHeader/>
          <w:jc w:val="center"/>
        </w:trPr>
        <w:tc>
          <w:tcPr>
            <w:tcW w:w="1675" w:type="pct"/>
            <w:tcBorders>
              <w:top w:val="single" w:sz="4" w:space="0" w:color="auto"/>
              <w:left w:val="nil"/>
              <w:bottom w:val="nil"/>
              <w:right w:val="nil"/>
            </w:tcBorders>
            <w:vAlign w:val="center"/>
            <w:hideMark/>
          </w:tcPr>
          <w:p w:rsidR="003A5772" w:rsidRPr="00EA6851" w:rsidRDefault="003A5772" w:rsidP="003A5772">
            <w:pPr>
              <w:spacing w:after="0" w:line="276" w:lineRule="auto"/>
              <w:jc w:val="center"/>
              <w:rPr>
                <w:b/>
                <w:bCs/>
                <w:i/>
                <w:iCs/>
                <w:sz w:val="18"/>
                <w:szCs w:val="18"/>
              </w:rPr>
            </w:pPr>
            <w:r w:rsidRPr="00EA6851">
              <w:rPr>
                <w:b/>
                <w:bCs/>
                <w:i/>
                <w:iCs/>
                <w:sz w:val="18"/>
                <w:szCs w:val="18"/>
              </w:rPr>
              <w:t>Политика в областта на устойчивото и конкурентноспособно енергийно развитие</w:t>
            </w:r>
          </w:p>
        </w:tc>
        <w:tc>
          <w:tcPr>
            <w:tcW w:w="516" w:type="pct"/>
            <w:vMerge w:val="restart"/>
            <w:tcBorders>
              <w:top w:val="single" w:sz="4" w:space="0" w:color="auto"/>
              <w:left w:val="nil"/>
              <w:bottom w:val="single" w:sz="4" w:space="0" w:color="auto"/>
              <w:right w:val="nil"/>
            </w:tcBorders>
            <w:shd w:val="clear" w:color="auto" w:fill="F2F2F2"/>
            <w:vAlign w:val="center"/>
            <w:hideMark/>
          </w:tcPr>
          <w:p w:rsidR="003A5772" w:rsidRPr="00EA6851" w:rsidRDefault="003A5772" w:rsidP="003A5772">
            <w:pPr>
              <w:spacing w:line="276" w:lineRule="auto"/>
              <w:jc w:val="center"/>
              <w:rPr>
                <w:b/>
                <w:bCs/>
                <w:iCs/>
                <w:sz w:val="18"/>
                <w:szCs w:val="18"/>
              </w:rPr>
            </w:pPr>
            <w:r w:rsidRPr="00EA6851">
              <w:rPr>
                <w:b/>
                <w:bCs/>
                <w:iCs/>
                <w:sz w:val="18"/>
                <w:szCs w:val="18"/>
              </w:rPr>
              <w:t>Мерна единица</w:t>
            </w:r>
          </w:p>
        </w:tc>
        <w:tc>
          <w:tcPr>
            <w:tcW w:w="2809" w:type="pct"/>
            <w:gridSpan w:val="4"/>
            <w:tcBorders>
              <w:top w:val="single" w:sz="4" w:space="0" w:color="auto"/>
              <w:left w:val="nil"/>
              <w:bottom w:val="single" w:sz="4" w:space="0" w:color="auto"/>
              <w:right w:val="nil"/>
            </w:tcBorders>
            <w:vAlign w:val="center"/>
            <w:hideMark/>
          </w:tcPr>
          <w:p w:rsidR="003A5772" w:rsidRPr="00EA6851" w:rsidRDefault="003A5772" w:rsidP="003A5772">
            <w:pPr>
              <w:spacing w:after="0" w:line="276" w:lineRule="auto"/>
              <w:jc w:val="center"/>
              <w:rPr>
                <w:b/>
                <w:bCs/>
                <w:iCs/>
                <w:sz w:val="18"/>
                <w:szCs w:val="18"/>
              </w:rPr>
            </w:pPr>
            <w:r w:rsidRPr="00EA6851">
              <w:rPr>
                <w:b/>
                <w:bCs/>
                <w:iCs/>
                <w:sz w:val="18"/>
                <w:szCs w:val="18"/>
              </w:rPr>
              <w:t>Целева стойност</w:t>
            </w:r>
          </w:p>
        </w:tc>
      </w:tr>
      <w:tr w:rsidR="003A5772" w:rsidRPr="00EA6851" w:rsidTr="00960D92">
        <w:trPr>
          <w:trHeight w:val="70"/>
          <w:tblHeader/>
          <w:jc w:val="center"/>
        </w:trPr>
        <w:tc>
          <w:tcPr>
            <w:tcW w:w="1675" w:type="pct"/>
            <w:tcBorders>
              <w:top w:val="nil"/>
              <w:left w:val="nil"/>
              <w:bottom w:val="single" w:sz="4" w:space="0" w:color="auto"/>
              <w:right w:val="nil"/>
            </w:tcBorders>
            <w:vAlign w:val="center"/>
            <w:hideMark/>
          </w:tcPr>
          <w:p w:rsidR="003A5772" w:rsidRPr="00EA6851" w:rsidRDefault="003A5772" w:rsidP="003A5772">
            <w:pPr>
              <w:spacing w:after="0" w:line="276" w:lineRule="auto"/>
              <w:jc w:val="center"/>
              <w:rPr>
                <w:b/>
                <w:bCs/>
                <w:iCs/>
                <w:sz w:val="18"/>
                <w:szCs w:val="18"/>
              </w:rPr>
            </w:pPr>
            <w:r w:rsidRPr="00EA6851">
              <w:rPr>
                <w:b/>
                <w:bCs/>
                <w:iCs/>
                <w:sz w:val="18"/>
                <w:szCs w:val="18"/>
              </w:rPr>
              <w:t>Наименование на индикатора</w:t>
            </w:r>
          </w:p>
        </w:tc>
        <w:tc>
          <w:tcPr>
            <w:tcW w:w="0" w:type="auto"/>
            <w:vMerge/>
            <w:tcBorders>
              <w:top w:val="single" w:sz="4" w:space="0" w:color="auto"/>
              <w:left w:val="nil"/>
              <w:bottom w:val="single" w:sz="4" w:space="0" w:color="auto"/>
              <w:right w:val="nil"/>
            </w:tcBorders>
            <w:vAlign w:val="center"/>
            <w:hideMark/>
          </w:tcPr>
          <w:p w:rsidR="003A5772" w:rsidRPr="00EA6851" w:rsidRDefault="003A5772" w:rsidP="003A5772">
            <w:pPr>
              <w:spacing w:after="0" w:line="276" w:lineRule="auto"/>
              <w:jc w:val="left"/>
              <w:rPr>
                <w:b/>
                <w:bCs/>
                <w:iCs/>
                <w:sz w:val="18"/>
                <w:szCs w:val="18"/>
              </w:rPr>
            </w:pPr>
          </w:p>
        </w:tc>
        <w:tc>
          <w:tcPr>
            <w:tcW w:w="637" w:type="pct"/>
            <w:tcBorders>
              <w:top w:val="single" w:sz="4" w:space="0" w:color="auto"/>
              <w:left w:val="nil"/>
              <w:bottom w:val="single" w:sz="4" w:space="0" w:color="auto"/>
              <w:right w:val="nil"/>
            </w:tcBorders>
            <w:vAlign w:val="center"/>
            <w:hideMark/>
          </w:tcPr>
          <w:p w:rsidR="003A5772" w:rsidRPr="00EA6851" w:rsidRDefault="003A5772" w:rsidP="003A5772">
            <w:pPr>
              <w:spacing w:after="0" w:line="276" w:lineRule="auto"/>
              <w:jc w:val="center"/>
              <w:rPr>
                <w:b/>
                <w:bCs/>
                <w:i/>
                <w:iCs/>
                <w:sz w:val="18"/>
                <w:szCs w:val="18"/>
              </w:rPr>
            </w:pPr>
            <w:r w:rsidRPr="00EA6851">
              <w:rPr>
                <w:b/>
                <w:bCs/>
                <w:i/>
                <w:iCs/>
                <w:sz w:val="18"/>
                <w:szCs w:val="18"/>
              </w:rPr>
              <w:t>Програма</w:t>
            </w:r>
            <w:r w:rsidRPr="00EA6851">
              <w:rPr>
                <w:b/>
                <w:bCs/>
                <w:i/>
                <w:iCs/>
                <w:sz w:val="18"/>
                <w:szCs w:val="18"/>
              </w:rPr>
              <w:br/>
              <w:t>2023 г.</w:t>
            </w:r>
          </w:p>
        </w:tc>
        <w:tc>
          <w:tcPr>
            <w:tcW w:w="714" w:type="pct"/>
            <w:tcBorders>
              <w:top w:val="single" w:sz="4" w:space="0" w:color="auto"/>
              <w:left w:val="nil"/>
              <w:bottom w:val="single" w:sz="4" w:space="0" w:color="auto"/>
              <w:right w:val="nil"/>
            </w:tcBorders>
            <w:vAlign w:val="center"/>
            <w:hideMark/>
          </w:tcPr>
          <w:p w:rsidR="003A5772" w:rsidRPr="00EA6851" w:rsidRDefault="003A5772" w:rsidP="003A5772">
            <w:pPr>
              <w:spacing w:after="0" w:line="276" w:lineRule="auto"/>
              <w:jc w:val="center"/>
              <w:rPr>
                <w:b/>
                <w:bCs/>
                <w:i/>
                <w:iCs/>
                <w:sz w:val="18"/>
                <w:szCs w:val="18"/>
              </w:rPr>
            </w:pPr>
            <w:r w:rsidRPr="00EA6851">
              <w:rPr>
                <w:b/>
                <w:bCs/>
                <w:i/>
                <w:iCs/>
                <w:sz w:val="18"/>
                <w:szCs w:val="18"/>
              </w:rPr>
              <w:t>Проект</w:t>
            </w:r>
          </w:p>
          <w:p w:rsidR="003A5772" w:rsidRPr="00EA6851" w:rsidRDefault="003A5772" w:rsidP="003A5772">
            <w:pPr>
              <w:spacing w:after="0" w:line="276" w:lineRule="auto"/>
              <w:jc w:val="center"/>
              <w:rPr>
                <w:b/>
                <w:bCs/>
                <w:i/>
                <w:iCs/>
                <w:sz w:val="18"/>
                <w:szCs w:val="18"/>
              </w:rPr>
            </w:pPr>
            <w:r w:rsidRPr="00EA6851">
              <w:rPr>
                <w:b/>
                <w:bCs/>
                <w:i/>
                <w:iCs/>
                <w:sz w:val="18"/>
                <w:szCs w:val="18"/>
              </w:rPr>
              <w:t>2024 г.</w:t>
            </w:r>
          </w:p>
        </w:tc>
        <w:tc>
          <w:tcPr>
            <w:tcW w:w="725" w:type="pct"/>
            <w:tcBorders>
              <w:top w:val="single" w:sz="4" w:space="0" w:color="auto"/>
              <w:left w:val="nil"/>
              <w:bottom w:val="single" w:sz="4" w:space="0" w:color="auto"/>
              <w:right w:val="nil"/>
            </w:tcBorders>
            <w:vAlign w:val="center"/>
            <w:hideMark/>
          </w:tcPr>
          <w:p w:rsidR="003A5772" w:rsidRPr="00EA6851" w:rsidRDefault="003A5772" w:rsidP="003A5772">
            <w:pPr>
              <w:spacing w:after="0" w:line="276" w:lineRule="auto"/>
              <w:jc w:val="center"/>
              <w:rPr>
                <w:b/>
                <w:bCs/>
                <w:i/>
                <w:iCs/>
                <w:sz w:val="18"/>
                <w:szCs w:val="18"/>
              </w:rPr>
            </w:pPr>
            <w:r w:rsidRPr="00EA6851">
              <w:rPr>
                <w:b/>
                <w:bCs/>
                <w:i/>
                <w:iCs/>
                <w:sz w:val="18"/>
                <w:szCs w:val="18"/>
              </w:rPr>
              <w:t xml:space="preserve">Прогноза </w:t>
            </w:r>
          </w:p>
          <w:p w:rsidR="003A5772" w:rsidRPr="00EA6851" w:rsidRDefault="003A5772" w:rsidP="003A5772">
            <w:pPr>
              <w:spacing w:after="0" w:line="276" w:lineRule="auto"/>
              <w:jc w:val="center"/>
              <w:rPr>
                <w:b/>
                <w:bCs/>
                <w:i/>
                <w:iCs/>
                <w:sz w:val="18"/>
                <w:szCs w:val="18"/>
              </w:rPr>
            </w:pPr>
            <w:r w:rsidRPr="00EA6851">
              <w:rPr>
                <w:b/>
                <w:bCs/>
                <w:i/>
                <w:iCs/>
                <w:sz w:val="18"/>
                <w:szCs w:val="18"/>
              </w:rPr>
              <w:t>2025 г.</w:t>
            </w:r>
          </w:p>
        </w:tc>
        <w:tc>
          <w:tcPr>
            <w:tcW w:w="733" w:type="pct"/>
            <w:tcBorders>
              <w:top w:val="single" w:sz="4" w:space="0" w:color="auto"/>
              <w:left w:val="nil"/>
              <w:bottom w:val="single" w:sz="4" w:space="0" w:color="auto"/>
              <w:right w:val="nil"/>
            </w:tcBorders>
            <w:vAlign w:val="center"/>
            <w:hideMark/>
          </w:tcPr>
          <w:p w:rsidR="003A5772" w:rsidRPr="00EA6851" w:rsidRDefault="003A5772" w:rsidP="003A5772">
            <w:pPr>
              <w:spacing w:after="0" w:line="276" w:lineRule="auto"/>
              <w:jc w:val="center"/>
              <w:rPr>
                <w:b/>
                <w:bCs/>
                <w:i/>
                <w:iCs/>
                <w:sz w:val="18"/>
                <w:szCs w:val="18"/>
              </w:rPr>
            </w:pPr>
            <w:r w:rsidRPr="00EA6851">
              <w:rPr>
                <w:b/>
                <w:bCs/>
                <w:i/>
                <w:iCs/>
                <w:sz w:val="18"/>
                <w:szCs w:val="18"/>
              </w:rPr>
              <w:t xml:space="preserve">Прогноза </w:t>
            </w:r>
          </w:p>
          <w:p w:rsidR="003A5772" w:rsidRPr="00EA6851" w:rsidRDefault="003A5772" w:rsidP="003A5772">
            <w:pPr>
              <w:spacing w:after="0" w:line="276" w:lineRule="auto"/>
              <w:jc w:val="center"/>
              <w:rPr>
                <w:b/>
                <w:bCs/>
                <w:i/>
                <w:iCs/>
                <w:sz w:val="18"/>
                <w:szCs w:val="18"/>
              </w:rPr>
            </w:pPr>
            <w:r w:rsidRPr="00EA6851">
              <w:rPr>
                <w:b/>
                <w:bCs/>
                <w:i/>
                <w:iCs/>
                <w:sz w:val="18"/>
                <w:szCs w:val="18"/>
              </w:rPr>
              <w:t>2026 г.</w:t>
            </w:r>
          </w:p>
        </w:tc>
      </w:tr>
      <w:tr w:rsidR="003A5772" w:rsidRPr="00EA6851" w:rsidTr="00960D92">
        <w:trPr>
          <w:trHeight w:val="507"/>
          <w:jc w:val="center"/>
        </w:trPr>
        <w:tc>
          <w:tcPr>
            <w:tcW w:w="1675" w:type="pct"/>
            <w:tcBorders>
              <w:top w:val="single" w:sz="4" w:space="0" w:color="auto"/>
              <w:left w:val="nil"/>
              <w:bottom w:val="nil"/>
              <w:right w:val="nil"/>
            </w:tcBorders>
            <w:hideMark/>
          </w:tcPr>
          <w:p w:rsidR="003A5772" w:rsidRPr="00EA6851" w:rsidRDefault="003A5772" w:rsidP="003A5772">
            <w:pPr>
              <w:widowControl w:val="0"/>
              <w:autoSpaceDE w:val="0"/>
              <w:autoSpaceDN w:val="0"/>
              <w:adjustRightInd w:val="0"/>
              <w:spacing w:after="0" w:line="276" w:lineRule="auto"/>
              <w:jc w:val="left"/>
              <w:rPr>
                <w:sz w:val="18"/>
                <w:szCs w:val="18"/>
                <w:lang w:eastAsia="en-US"/>
              </w:rPr>
            </w:pPr>
            <w:r w:rsidRPr="00EA6851">
              <w:rPr>
                <w:sz w:val="18"/>
                <w:szCs w:val="18"/>
                <w:lang w:eastAsia="en-US"/>
              </w:rPr>
              <w:t>1. Дял на енергията от ВИ в брутното крайно енергийно потребление</w:t>
            </w:r>
          </w:p>
        </w:tc>
        <w:tc>
          <w:tcPr>
            <w:tcW w:w="516" w:type="pct"/>
            <w:tcBorders>
              <w:top w:val="single" w:sz="4" w:space="0" w:color="auto"/>
              <w:left w:val="nil"/>
              <w:bottom w:val="nil"/>
              <w:right w:val="nil"/>
            </w:tcBorders>
            <w:shd w:val="clear" w:color="auto" w:fill="F2F2F2"/>
            <w:hideMark/>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r w:rsidRPr="00EA6851">
              <w:rPr>
                <w:sz w:val="18"/>
                <w:szCs w:val="18"/>
                <w:lang w:eastAsia="en-US"/>
              </w:rPr>
              <w:t>%</w:t>
            </w:r>
          </w:p>
        </w:tc>
        <w:tc>
          <w:tcPr>
            <w:tcW w:w="637" w:type="pct"/>
            <w:tcBorders>
              <w:top w:val="single" w:sz="4" w:space="0" w:color="auto"/>
              <w:left w:val="nil"/>
              <w:bottom w:val="nil"/>
              <w:right w:val="nil"/>
            </w:tcBorders>
            <w:hideMark/>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r w:rsidRPr="00EA6851">
              <w:rPr>
                <w:sz w:val="18"/>
                <w:szCs w:val="18"/>
                <w:lang w:eastAsia="en-US"/>
              </w:rPr>
              <w:t>22,22</w:t>
            </w:r>
          </w:p>
        </w:tc>
        <w:tc>
          <w:tcPr>
            <w:tcW w:w="714" w:type="pct"/>
            <w:tcBorders>
              <w:top w:val="single" w:sz="4" w:space="0" w:color="auto"/>
              <w:left w:val="nil"/>
              <w:bottom w:val="nil"/>
              <w:right w:val="nil"/>
            </w:tcBorders>
            <w:hideMark/>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r w:rsidRPr="00EA6851">
              <w:rPr>
                <w:sz w:val="18"/>
                <w:szCs w:val="18"/>
                <w:lang w:eastAsia="en-US"/>
              </w:rPr>
              <w:t>22,89</w:t>
            </w:r>
          </w:p>
        </w:tc>
        <w:tc>
          <w:tcPr>
            <w:tcW w:w="725" w:type="pct"/>
            <w:tcBorders>
              <w:top w:val="single" w:sz="4" w:space="0" w:color="auto"/>
              <w:left w:val="nil"/>
              <w:bottom w:val="nil"/>
              <w:right w:val="nil"/>
            </w:tcBorders>
            <w:hideMark/>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r w:rsidRPr="00EA6851">
              <w:rPr>
                <w:sz w:val="18"/>
                <w:szCs w:val="18"/>
                <w:lang w:eastAsia="en-US"/>
              </w:rPr>
              <w:t>23,56</w:t>
            </w:r>
          </w:p>
        </w:tc>
        <w:tc>
          <w:tcPr>
            <w:tcW w:w="733" w:type="pct"/>
            <w:tcBorders>
              <w:top w:val="single" w:sz="4" w:space="0" w:color="auto"/>
              <w:left w:val="nil"/>
              <w:bottom w:val="nil"/>
              <w:right w:val="nil"/>
            </w:tcBorders>
            <w:hideMark/>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r w:rsidRPr="00EA6851">
              <w:rPr>
                <w:sz w:val="18"/>
                <w:szCs w:val="18"/>
                <w:lang w:eastAsia="en-US"/>
              </w:rPr>
              <w:t>24,27</w:t>
            </w:r>
          </w:p>
        </w:tc>
      </w:tr>
      <w:tr w:rsidR="003A5772" w:rsidRPr="00EA6851" w:rsidTr="00960D92">
        <w:trPr>
          <w:trHeight w:val="535"/>
          <w:jc w:val="center"/>
        </w:trPr>
        <w:tc>
          <w:tcPr>
            <w:tcW w:w="1675" w:type="pct"/>
            <w:tcBorders>
              <w:top w:val="nil"/>
              <w:left w:val="nil"/>
              <w:bottom w:val="nil"/>
              <w:right w:val="nil"/>
            </w:tcBorders>
            <w:hideMark/>
          </w:tcPr>
          <w:p w:rsidR="003A5772" w:rsidRPr="00EA6851" w:rsidRDefault="003A5772" w:rsidP="003A5772">
            <w:pPr>
              <w:widowControl w:val="0"/>
              <w:autoSpaceDE w:val="0"/>
              <w:autoSpaceDN w:val="0"/>
              <w:adjustRightInd w:val="0"/>
              <w:spacing w:after="0" w:line="276" w:lineRule="auto"/>
              <w:jc w:val="left"/>
              <w:rPr>
                <w:sz w:val="18"/>
                <w:szCs w:val="18"/>
                <w:lang w:eastAsia="en-US"/>
              </w:rPr>
            </w:pPr>
            <w:r w:rsidRPr="00EA6851">
              <w:rPr>
                <w:sz w:val="18"/>
                <w:szCs w:val="18"/>
                <w:lang w:eastAsia="en-US"/>
              </w:rPr>
              <w:t>2.Дял на енергията от ВИ в крайно потребление на енергия в транспорта</w:t>
            </w:r>
          </w:p>
        </w:tc>
        <w:tc>
          <w:tcPr>
            <w:tcW w:w="516" w:type="pct"/>
            <w:tcBorders>
              <w:top w:val="nil"/>
              <w:left w:val="nil"/>
              <w:bottom w:val="nil"/>
              <w:right w:val="nil"/>
            </w:tcBorders>
            <w:shd w:val="clear" w:color="auto" w:fill="F2F2F2"/>
            <w:hideMark/>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r w:rsidRPr="00EA6851">
              <w:rPr>
                <w:sz w:val="18"/>
                <w:szCs w:val="18"/>
                <w:lang w:eastAsia="en-US"/>
              </w:rPr>
              <w:t>%</w:t>
            </w:r>
          </w:p>
        </w:tc>
        <w:tc>
          <w:tcPr>
            <w:tcW w:w="637" w:type="pct"/>
            <w:tcBorders>
              <w:top w:val="nil"/>
              <w:left w:val="nil"/>
              <w:bottom w:val="nil"/>
              <w:right w:val="nil"/>
            </w:tcBorders>
            <w:hideMark/>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r w:rsidRPr="00EA6851">
              <w:rPr>
                <w:sz w:val="18"/>
                <w:szCs w:val="18"/>
                <w:lang w:eastAsia="en-US"/>
              </w:rPr>
              <w:t>9,94</w:t>
            </w:r>
          </w:p>
        </w:tc>
        <w:tc>
          <w:tcPr>
            <w:tcW w:w="714" w:type="pct"/>
            <w:tcBorders>
              <w:top w:val="nil"/>
              <w:left w:val="nil"/>
              <w:bottom w:val="nil"/>
              <w:right w:val="nil"/>
            </w:tcBorders>
            <w:hideMark/>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r w:rsidRPr="00EA6851">
              <w:rPr>
                <w:sz w:val="18"/>
                <w:szCs w:val="18"/>
                <w:lang w:eastAsia="en-US"/>
              </w:rPr>
              <w:t>9,95</w:t>
            </w:r>
          </w:p>
        </w:tc>
        <w:tc>
          <w:tcPr>
            <w:tcW w:w="725" w:type="pct"/>
            <w:tcBorders>
              <w:top w:val="nil"/>
              <w:left w:val="nil"/>
              <w:bottom w:val="nil"/>
              <w:right w:val="nil"/>
            </w:tcBorders>
            <w:hideMark/>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r w:rsidRPr="00EA6851">
              <w:rPr>
                <w:sz w:val="18"/>
                <w:szCs w:val="18"/>
                <w:lang w:eastAsia="en-US"/>
              </w:rPr>
              <w:t>9,97</w:t>
            </w:r>
          </w:p>
        </w:tc>
        <w:tc>
          <w:tcPr>
            <w:tcW w:w="733" w:type="pct"/>
            <w:tcBorders>
              <w:top w:val="nil"/>
              <w:left w:val="nil"/>
              <w:bottom w:val="nil"/>
              <w:right w:val="nil"/>
            </w:tcBorders>
            <w:hideMark/>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r w:rsidRPr="00EA6851">
              <w:rPr>
                <w:sz w:val="18"/>
                <w:szCs w:val="18"/>
                <w:lang w:eastAsia="en-US"/>
              </w:rPr>
              <w:t>10,80</w:t>
            </w:r>
          </w:p>
        </w:tc>
      </w:tr>
      <w:tr w:rsidR="003A5772" w:rsidRPr="00EA6851" w:rsidTr="00960D92">
        <w:trPr>
          <w:trHeight w:val="544"/>
          <w:jc w:val="center"/>
        </w:trPr>
        <w:tc>
          <w:tcPr>
            <w:tcW w:w="1675" w:type="pct"/>
            <w:tcBorders>
              <w:top w:val="nil"/>
              <w:left w:val="nil"/>
              <w:bottom w:val="nil"/>
              <w:right w:val="nil"/>
            </w:tcBorders>
            <w:hideMark/>
          </w:tcPr>
          <w:p w:rsidR="003A5772" w:rsidRPr="00EA6851" w:rsidRDefault="003A5772" w:rsidP="003A5772">
            <w:pPr>
              <w:widowControl w:val="0"/>
              <w:autoSpaceDE w:val="0"/>
              <w:autoSpaceDN w:val="0"/>
              <w:adjustRightInd w:val="0"/>
              <w:spacing w:after="0" w:line="276" w:lineRule="auto"/>
              <w:jc w:val="left"/>
              <w:rPr>
                <w:sz w:val="18"/>
                <w:szCs w:val="18"/>
                <w:lang w:eastAsia="en-US"/>
              </w:rPr>
            </w:pPr>
            <w:r w:rsidRPr="00EA6851">
              <w:rPr>
                <w:sz w:val="18"/>
                <w:szCs w:val="18"/>
                <w:lang w:eastAsia="en-US"/>
              </w:rPr>
              <w:t>3. Национална цел за енергийни спестявания в първичното потребление</w:t>
            </w:r>
          </w:p>
        </w:tc>
        <w:tc>
          <w:tcPr>
            <w:tcW w:w="516" w:type="pct"/>
            <w:tcBorders>
              <w:top w:val="nil"/>
              <w:left w:val="nil"/>
              <w:bottom w:val="nil"/>
              <w:right w:val="nil"/>
            </w:tcBorders>
            <w:shd w:val="clear" w:color="auto" w:fill="F2F2F2"/>
            <w:hideMark/>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r w:rsidRPr="00EA6851">
              <w:rPr>
                <w:sz w:val="18"/>
                <w:szCs w:val="18"/>
                <w:lang w:eastAsia="en-US"/>
              </w:rPr>
              <w:t xml:space="preserve">ktoe </w:t>
            </w:r>
          </w:p>
        </w:tc>
        <w:tc>
          <w:tcPr>
            <w:tcW w:w="637" w:type="pct"/>
            <w:tcBorders>
              <w:top w:val="nil"/>
              <w:left w:val="nil"/>
              <w:bottom w:val="nil"/>
              <w:right w:val="nil"/>
            </w:tcBorders>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p>
        </w:tc>
        <w:tc>
          <w:tcPr>
            <w:tcW w:w="714" w:type="pct"/>
            <w:tcBorders>
              <w:top w:val="nil"/>
              <w:left w:val="nil"/>
              <w:bottom w:val="nil"/>
              <w:right w:val="nil"/>
            </w:tcBorders>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p>
        </w:tc>
        <w:tc>
          <w:tcPr>
            <w:tcW w:w="725" w:type="pct"/>
            <w:tcBorders>
              <w:top w:val="nil"/>
              <w:left w:val="nil"/>
              <w:bottom w:val="nil"/>
              <w:right w:val="nil"/>
            </w:tcBorders>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p>
        </w:tc>
        <w:tc>
          <w:tcPr>
            <w:tcW w:w="733" w:type="pct"/>
            <w:tcBorders>
              <w:top w:val="nil"/>
              <w:left w:val="nil"/>
              <w:bottom w:val="nil"/>
              <w:right w:val="nil"/>
            </w:tcBorders>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p>
        </w:tc>
      </w:tr>
      <w:tr w:rsidR="003A5772" w:rsidRPr="00EA6851" w:rsidTr="00960D92">
        <w:trPr>
          <w:trHeight w:val="80"/>
          <w:jc w:val="center"/>
        </w:trPr>
        <w:tc>
          <w:tcPr>
            <w:tcW w:w="1675" w:type="pct"/>
            <w:tcBorders>
              <w:top w:val="nil"/>
              <w:left w:val="nil"/>
              <w:bottom w:val="nil"/>
              <w:right w:val="nil"/>
            </w:tcBorders>
            <w:hideMark/>
          </w:tcPr>
          <w:p w:rsidR="003A5772" w:rsidRPr="00EA6851" w:rsidRDefault="003A5772" w:rsidP="003A5772">
            <w:pPr>
              <w:widowControl w:val="0"/>
              <w:autoSpaceDE w:val="0"/>
              <w:autoSpaceDN w:val="0"/>
              <w:adjustRightInd w:val="0"/>
              <w:spacing w:after="0" w:line="276" w:lineRule="auto"/>
              <w:jc w:val="left"/>
              <w:rPr>
                <w:sz w:val="18"/>
                <w:szCs w:val="18"/>
                <w:lang w:eastAsia="en-US"/>
              </w:rPr>
            </w:pPr>
            <w:r w:rsidRPr="00EA6851">
              <w:rPr>
                <w:sz w:val="18"/>
                <w:szCs w:val="18"/>
                <w:lang w:eastAsia="en-US"/>
              </w:rPr>
              <w:t xml:space="preserve">3а. Първично енергийно потребление </w:t>
            </w:r>
          </w:p>
        </w:tc>
        <w:tc>
          <w:tcPr>
            <w:tcW w:w="516" w:type="pct"/>
            <w:tcBorders>
              <w:top w:val="nil"/>
              <w:left w:val="nil"/>
              <w:bottom w:val="nil"/>
              <w:right w:val="nil"/>
            </w:tcBorders>
            <w:shd w:val="clear" w:color="auto" w:fill="F2F2F2"/>
            <w:hideMark/>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r w:rsidRPr="00EA6851">
              <w:rPr>
                <w:sz w:val="18"/>
                <w:szCs w:val="18"/>
                <w:lang w:eastAsia="en-US"/>
              </w:rPr>
              <w:t xml:space="preserve">ktoe </w:t>
            </w:r>
          </w:p>
        </w:tc>
        <w:tc>
          <w:tcPr>
            <w:tcW w:w="637" w:type="pct"/>
            <w:tcBorders>
              <w:top w:val="nil"/>
              <w:left w:val="nil"/>
              <w:bottom w:val="nil"/>
              <w:right w:val="nil"/>
            </w:tcBorders>
            <w:hideMark/>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r w:rsidRPr="00EA6851">
              <w:rPr>
                <w:sz w:val="18"/>
                <w:szCs w:val="18"/>
                <w:lang w:eastAsia="en-US"/>
              </w:rPr>
              <w:t>18 480</w:t>
            </w:r>
          </w:p>
        </w:tc>
        <w:tc>
          <w:tcPr>
            <w:tcW w:w="714" w:type="pct"/>
            <w:tcBorders>
              <w:top w:val="nil"/>
              <w:left w:val="nil"/>
              <w:bottom w:val="nil"/>
              <w:right w:val="nil"/>
            </w:tcBorders>
            <w:hideMark/>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r w:rsidRPr="00EA6851">
              <w:rPr>
                <w:sz w:val="18"/>
                <w:szCs w:val="18"/>
                <w:lang w:eastAsia="en-US"/>
              </w:rPr>
              <w:t>18 467</w:t>
            </w:r>
          </w:p>
        </w:tc>
        <w:tc>
          <w:tcPr>
            <w:tcW w:w="725" w:type="pct"/>
            <w:tcBorders>
              <w:top w:val="nil"/>
              <w:left w:val="nil"/>
              <w:bottom w:val="nil"/>
              <w:right w:val="nil"/>
            </w:tcBorders>
            <w:hideMark/>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r w:rsidRPr="00EA6851">
              <w:rPr>
                <w:sz w:val="18"/>
                <w:szCs w:val="18"/>
                <w:lang w:eastAsia="en-US"/>
              </w:rPr>
              <w:t>18 455</w:t>
            </w:r>
          </w:p>
        </w:tc>
        <w:tc>
          <w:tcPr>
            <w:tcW w:w="733" w:type="pct"/>
            <w:tcBorders>
              <w:top w:val="nil"/>
              <w:left w:val="nil"/>
              <w:bottom w:val="nil"/>
              <w:right w:val="nil"/>
            </w:tcBorders>
            <w:hideMark/>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r w:rsidRPr="00EA6851">
              <w:rPr>
                <w:sz w:val="18"/>
                <w:szCs w:val="18"/>
                <w:lang w:eastAsia="en-US"/>
              </w:rPr>
              <w:t>18 455</w:t>
            </w:r>
          </w:p>
        </w:tc>
      </w:tr>
      <w:tr w:rsidR="003A5772" w:rsidRPr="00EA6851" w:rsidTr="00960D92">
        <w:trPr>
          <w:trHeight w:val="400"/>
          <w:jc w:val="center"/>
        </w:trPr>
        <w:tc>
          <w:tcPr>
            <w:tcW w:w="1675" w:type="pct"/>
            <w:tcBorders>
              <w:top w:val="nil"/>
              <w:left w:val="nil"/>
              <w:bottom w:val="nil"/>
              <w:right w:val="nil"/>
            </w:tcBorders>
            <w:hideMark/>
          </w:tcPr>
          <w:p w:rsidR="003A5772" w:rsidRPr="00EA6851" w:rsidRDefault="003A5772" w:rsidP="003A5772">
            <w:pPr>
              <w:widowControl w:val="0"/>
              <w:autoSpaceDE w:val="0"/>
              <w:autoSpaceDN w:val="0"/>
              <w:adjustRightInd w:val="0"/>
              <w:spacing w:after="0" w:line="276" w:lineRule="auto"/>
              <w:jc w:val="left"/>
              <w:rPr>
                <w:sz w:val="18"/>
                <w:szCs w:val="18"/>
                <w:lang w:eastAsia="en-US"/>
              </w:rPr>
            </w:pPr>
            <w:r w:rsidRPr="00EA6851">
              <w:rPr>
                <w:sz w:val="18"/>
                <w:szCs w:val="18"/>
                <w:lang w:eastAsia="en-US"/>
              </w:rPr>
              <w:t>4. Национална цел за енергийни спестявания в крайното потребление</w:t>
            </w:r>
          </w:p>
        </w:tc>
        <w:tc>
          <w:tcPr>
            <w:tcW w:w="516" w:type="pct"/>
            <w:tcBorders>
              <w:top w:val="nil"/>
              <w:left w:val="nil"/>
              <w:bottom w:val="nil"/>
              <w:right w:val="nil"/>
            </w:tcBorders>
            <w:shd w:val="clear" w:color="auto" w:fill="F2F2F2"/>
            <w:hideMark/>
          </w:tcPr>
          <w:p w:rsidR="003A5772" w:rsidRPr="00EA6851" w:rsidRDefault="003A5772" w:rsidP="003A5772">
            <w:pPr>
              <w:widowControl w:val="0"/>
              <w:autoSpaceDE w:val="0"/>
              <w:autoSpaceDN w:val="0"/>
              <w:adjustRightInd w:val="0"/>
              <w:spacing w:before="120" w:after="0" w:line="276" w:lineRule="auto"/>
              <w:ind w:left="-211" w:firstLine="211"/>
              <w:jc w:val="center"/>
              <w:rPr>
                <w:sz w:val="18"/>
                <w:szCs w:val="18"/>
                <w:lang w:eastAsia="en-US"/>
              </w:rPr>
            </w:pPr>
            <w:r w:rsidRPr="00EA6851">
              <w:rPr>
                <w:sz w:val="18"/>
                <w:szCs w:val="18"/>
                <w:lang w:eastAsia="en-US"/>
              </w:rPr>
              <w:t>ktoe</w:t>
            </w:r>
          </w:p>
        </w:tc>
        <w:tc>
          <w:tcPr>
            <w:tcW w:w="637" w:type="pct"/>
            <w:tcBorders>
              <w:top w:val="nil"/>
              <w:left w:val="nil"/>
              <w:bottom w:val="nil"/>
              <w:right w:val="nil"/>
            </w:tcBorders>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p>
        </w:tc>
        <w:tc>
          <w:tcPr>
            <w:tcW w:w="714" w:type="pct"/>
            <w:tcBorders>
              <w:top w:val="nil"/>
              <w:left w:val="nil"/>
              <w:bottom w:val="nil"/>
              <w:right w:val="nil"/>
            </w:tcBorders>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p>
        </w:tc>
        <w:tc>
          <w:tcPr>
            <w:tcW w:w="725" w:type="pct"/>
            <w:tcBorders>
              <w:top w:val="nil"/>
              <w:left w:val="nil"/>
              <w:bottom w:val="nil"/>
              <w:right w:val="nil"/>
            </w:tcBorders>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p>
        </w:tc>
        <w:tc>
          <w:tcPr>
            <w:tcW w:w="733" w:type="pct"/>
            <w:tcBorders>
              <w:top w:val="nil"/>
              <w:left w:val="nil"/>
              <w:bottom w:val="nil"/>
              <w:right w:val="nil"/>
            </w:tcBorders>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p>
        </w:tc>
      </w:tr>
      <w:tr w:rsidR="003A5772" w:rsidRPr="00EA6851" w:rsidTr="00960D92">
        <w:trPr>
          <w:trHeight w:val="80"/>
          <w:jc w:val="center"/>
        </w:trPr>
        <w:tc>
          <w:tcPr>
            <w:tcW w:w="1675" w:type="pct"/>
            <w:tcBorders>
              <w:top w:val="nil"/>
              <w:left w:val="nil"/>
              <w:bottom w:val="nil"/>
              <w:right w:val="nil"/>
            </w:tcBorders>
            <w:hideMark/>
          </w:tcPr>
          <w:p w:rsidR="003A5772" w:rsidRPr="00EA6851" w:rsidRDefault="003A5772" w:rsidP="003A5772">
            <w:pPr>
              <w:widowControl w:val="0"/>
              <w:autoSpaceDE w:val="0"/>
              <w:autoSpaceDN w:val="0"/>
              <w:adjustRightInd w:val="0"/>
              <w:spacing w:after="0" w:line="276" w:lineRule="auto"/>
              <w:jc w:val="left"/>
              <w:rPr>
                <w:sz w:val="18"/>
                <w:szCs w:val="18"/>
                <w:lang w:eastAsia="en-US"/>
              </w:rPr>
            </w:pPr>
            <w:r w:rsidRPr="00EA6851">
              <w:rPr>
                <w:sz w:val="18"/>
                <w:szCs w:val="18"/>
                <w:lang w:eastAsia="en-US"/>
              </w:rPr>
              <w:t>4а. Крайно потребление на енергия</w:t>
            </w:r>
          </w:p>
        </w:tc>
        <w:tc>
          <w:tcPr>
            <w:tcW w:w="516" w:type="pct"/>
            <w:tcBorders>
              <w:top w:val="nil"/>
              <w:left w:val="nil"/>
              <w:bottom w:val="nil"/>
              <w:right w:val="nil"/>
            </w:tcBorders>
            <w:shd w:val="clear" w:color="auto" w:fill="F2F2F2"/>
            <w:hideMark/>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r w:rsidRPr="00EA6851">
              <w:rPr>
                <w:sz w:val="18"/>
                <w:szCs w:val="18"/>
                <w:lang w:eastAsia="en-US"/>
              </w:rPr>
              <w:t>ktoe</w:t>
            </w:r>
          </w:p>
        </w:tc>
        <w:tc>
          <w:tcPr>
            <w:tcW w:w="637" w:type="pct"/>
            <w:tcBorders>
              <w:top w:val="nil"/>
              <w:left w:val="nil"/>
              <w:bottom w:val="nil"/>
              <w:right w:val="nil"/>
            </w:tcBorders>
            <w:hideMark/>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r w:rsidRPr="00EA6851">
              <w:rPr>
                <w:sz w:val="18"/>
                <w:szCs w:val="18"/>
                <w:lang w:eastAsia="en-US"/>
              </w:rPr>
              <w:t>10 163</w:t>
            </w:r>
          </w:p>
        </w:tc>
        <w:tc>
          <w:tcPr>
            <w:tcW w:w="714" w:type="pct"/>
            <w:tcBorders>
              <w:top w:val="nil"/>
              <w:left w:val="nil"/>
              <w:bottom w:val="nil"/>
              <w:right w:val="nil"/>
            </w:tcBorders>
            <w:hideMark/>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r w:rsidRPr="00EA6851">
              <w:rPr>
                <w:sz w:val="18"/>
                <w:szCs w:val="18"/>
                <w:lang w:eastAsia="en-US"/>
              </w:rPr>
              <w:t>10 223</w:t>
            </w:r>
          </w:p>
        </w:tc>
        <w:tc>
          <w:tcPr>
            <w:tcW w:w="725" w:type="pct"/>
            <w:tcBorders>
              <w:top w:val="nil"/>
              <w:left w:val="nil"/>
              <w:bottom w:val="nil"/>
              <w:right w:val="nil"/>
            </w:tcBorders>
            <w:hideMark/>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r w:rsidRPr="00EA6851">
              <w:rPr>
                <w:sz w:val="18"/>
                <w:szCs w:val="18"/>
                <w:lang w:eastAsia="en-US"/>
              </w:rPr>
              <w:t>10 282</w:t>
            </w:r>
          </w:p>
        </w:tc>
        <w:tc>
          <w:tcPr>
            <w:tcW w:w="733" w:type="pct"/>
            <w:tcBorders>
              <w:top w:val="nil"/>
              <w:left w:val="nil"/>
              <w:bottom w:val="nil"/>
              <w:right w:val="nil"/>
            </w:tcBorders>
            <w:hideMark/>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r w:rsidRPr="00EA6851">
              <w:rPr>
                <w:sz w:val="18"/>
                <w:szCs w:val="18"/>
                <w:lang w:eastAsia="en-US"/>
              </w:rPr>
              <w:t>10 282</w:t>
            </w:r>
          </w:p>
        </w:tc>
      </w:tr>
      <w:tr w:rsidR="003A5772" w:rsidRPr="00EA6851" w:rsidTr="00960D92">
        <w:trPr>
          <w:trHeight w:val="336"/>
          <w:jc w:val="center"/>
        </w:trPr>
        <w:tc>
          <w:tcPr>
            <w:tcW w:w="1675" w:type="pct"/>
            <w:tcBorders>
              <w:top w:val="nil"/>
              <w:left w:val="nil"/>
              <w:bottom w:val="single" w:sz="4" w:space="0" w:color="auto"/>
              <w:right w:val="nil"/>
            </w:tcBorders>
            <w:hideMark/>
          </w:tcPr>
          <w:p w:rsidR="003A5772" w:rsidRPr="00EA6851" w:rsidRDefault="003A5772" w:rsidP="003A5772">
            <w:pPr>
              <w:widowControl w:val="0"/>
              <w:autoSpaceDE w:val="0"/>
              <w:autoSpaceDN w:val="0"/>
              <w:adjustRightInd w:val="0"/>
              <w:spacing w:after="0" w:line="276" w:lineRule="auto"/>
              <w:jc w:val="left"/>
              <w:rPr>
                <w:sz w:val="18"/>
                <w:szCs w:val="18"/>
                <w:lang w:eastAsia="en-US"/>
              </w:rPr>
            </w:pPr>
            <w:r w:rsidRPr="00EA6851">
              <w:rPr>
                <w:sz w:val="18"/>
                <w:szCs w:val="18"/>
                <w:lang w:eastAsia="en-US"/>
              </w:rPr>
              <w:t>5. Степен на осигуряване на минерално-суровинния баланс на държавата</w:t>
            </w:r>
          </w:p>
        </w:tc>
        <w:tc>
          <w:tcPr>
            <w:tcW w:w="516" w:type="pct"/>
            <w:tcBorders>
              <w:top w:val="nil"/>
              <w:left w:val="nil"/>
              <w:bottom w:val="single" w:sz="4" w:space="0" w:color="auto"/>
              <w:right w:val="nil"/>
            </w:tcBorders>
            <w:shd w:val="clear" w:color="auto" w:fill="F2F2F2"/>
            <w:hideMark/>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r w:rsidRPr="00EA6851">
              <w:rPr>
                <w:sz w:val="18"/>
                <w:szCs w:val="18"/>
                <w:lang w:eastAsia="en-US"/>
              </w:rPr>
              <w:t>%</w:t>
            </w:r>
          </w:p>
        </w:tc>
        <w:tc>
          <w:tcPr>
            <w:tcW w:w="637" w:type="pct"/>
            <w:tcBorders>
              <w:top w:val="nil"/>
              <w:left w:val="nil"/>
              <w:bottom w:val="single" w:sz="4" w:space="0" w:color="auto"/>
              <w:right w:val="nil"/>
            </w:tcBorders>
            <w:hideMark/>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r w:rsidRPr="00EA6851">
              <w:rPr>
                <w:sz w:val="18"/>
                <w:szCs w:val="18"/>
                <w:lang w:eastAsia="en-US"/>
              </w:rPr>
              <w:t>5</w:t>
            </w:r>
          </w:p>
        </w:tc>
        <w:tc>
          <w:tcPr>
            <w:tcW w:w="714" w:type="pct"/>
            <w:tcBorders>
              <w:top w:val="nil"/>
              <w:left w:val="nil"/>
              <w:bottom w:val="single" w:sz="4" w:space="0" w:color="auto"/>
              <w:right w:val="nil"/>
            </w:tcBorders>
            <w:hideMark/>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r w:rsidRPr="00EA6851">
              <w:rPr>
                <w:sz w:val="18"/>
                <w:szCs w:val="18"/>
                <w:lang w:eastAsia="en-US"/>
              </w:rPr>
              <w:t>5</w:t>
            </w:r>
          </w:p>
        </w:tc>
        <w:tc>
          <w:tcPr>
            <w:tcW w:w="725" w:type="pct"/>
            <w:tcBorders>
              <w:top w:val="nil"/>
              <w:left w:val="nil"/>
              <w:bottom w:val="single" w:sz="4" w:space="0" w:color="auto"/>
              <w:right w:val="nil"/>
            </w:tcBorders>
            <w:hideMark/>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r w:rsidRPr="00EA6851">
              <w:rPr>
                <w:sz w:val="18"/>
                <w:szCs w:val="18"/>
                <w:lang w:eastAsia="en-US"/>
              </w:rPr>
              <w:t>5</w:t>
            </w:r>
          </w:p>
        </w:tc>
        <w:tc>
          <w:tcPr>
            <w:tcW w:w="733" w:type="pct"/>
            <w:tcBorders>
              <w:top w:val="nil"/>
              <w:left w:val="nil"/>
              <w:bottom w:val="single" w:sz="4" w:space="0" w:color="auto"/>
              <w:right w:val="nil"/>
            </w:tcBorders>
            <w:hideMark/>
          </w:tcPr>
          <w:p w:rsidR="003A5772" w:rsidRPr="00EA6851" w:rsidRDefault="003A5772" w:rsidP="003A5772">
            <w:pPr>
              <w:widowControl w:val="0"/>
              <w:autoSpaceDE w:val="0"/>
              <w:autoSpaceDN w:val="0"/>
              <w:adjustRightInd w:val="0"/>
              <w:spacing w:before="120" w:after="0" w:line="276" w:lineRule="auto"/>
              <w:jc w:val="center"/>
              <w:rPr>
                <w:sz w:val="18"/>
                <w:szCs w:val="18"/>
                <w:lang w:eastAsia="en-US"/>
              </w:rPr>
            </w:pPr>
            <w:r w:rsidRPr="00EA6851">
              <w:rPr>
                <w:sz w:val="18"/>
                <w:szCs w:val="18"/>
                <w:lang w:eastAsia="en-US"/>
              </w:rPr>
              <w:t>5</w:t>
            </w:r>
          </w:p>
        </w:tc>
      </w:tr>
    </w:tbl>
    <w:p w:rsidR="003A5772" w:rsidRPr="00EA6851" w:rsidRDefault="003A5772" w:rsidP="003A5772">
      <w:pPr>
        <w:spacing w:before="120" w:after="0"/>
        <w:rPr>
          <w:rFonts w:eastAsia="Batang"/>
          <w:b/>
          <w:i/>
          <w:sz w:val="18"/>
          <w:szCs w:val="18"/>
        </w:rPr>
      </w:pPr>
      <w:r w:rsidRPr="00EA6851">
        <w:rPr>
          <w:rFonts w:eastAsia="Batang"/>
          <w:b/>
          <w:i/>
          <w:sz w:val="18"/>
          <w:szCs w:val="18"/>
        </w:rPr>
        <w:t>Забележка:</w:t>
      </w:r>
      <w:r w:rsidRPr="00EA6851">
        <w:rPr>
          <w:rFonts w:eastAsia="Batang"/>
          <w:b/>
          <w:bCs/>
          <w:i/>
          <w:sz w:val="18"/>
          <w:szCs w:val="18"/>
        </w:rPr>
        <w:t xml:space="preserve"> </w:t>
      </w:r>
      <w:r w:rsidRPr="00EA6851">
        <w:rPr>
          <w:rFonts w:eastAsia="Batang"/>
          <w:bCs/>
          <w:i/>
          <w:sz w:val="18"/>
          <w:szCs w:val="18"/>
        </w:rPr>
        <w:t>Ktoe (Кilotonne of oil equivalent) - килотон нефтен еквивалент; килотон (kt) = 1000 тона (t).</w:t>
      </w:r>
    </w:p>
    <w:p w:rsidR="003A5772" w:rsidRPr="00EA6851" w:rsidRDefault="003A5772" w:rsidP="003A5772">
      <w:pPr>
        <w:spacing w:after="120"/>
        <w:ind w:left="927"/>
        <w:rPr>
          <w:rFonts w:eastAsia="Batang"/>
          <w:b/>
          <w:sz w:val="20"/>
          <w:szCs w:val="20"/>
        </w:rPr>
      </w:pPr>
    </w:p>
    <w:p w:rsidR="003A5772" w:rsidRPr="00EA6851" w:rsidRDefault="003A5772" w:rsidP="003A5772">
      <w:pPr>
        <w:rPr>
          <w:rFonts w:eastAsia="Batang"/>
        </w:rPr>
      </w:pPr>
      <w:r w:rsidRPr="00EA6851">
        <w:rPr>
          <w:rFonts w:eastAsia="Batang"/>
        </w:rPr>
        <w:t>Показателите „Първично енергийно потребление“ и „Крайно енергийно потребление“ са определени и са включени в Интегрирания план в областта на енергетиката и климата на Република България 2021-2030 г.</w:t>
      </w:r>
    </w:p>
    <w:p w:rsidR="003A5772" w:rsidRPr="00EA6851" w:rsidRDefault="003A5772" w:rsidP="003A5772">
      <w:pPr>
        <w:rPr>
          <w:rFonts w:eastAsia="Batang"/>
        </w:rPr>
      </w:pPr>
      <w:r w:rsidRPr="00EA6851">
        <w:rPr>
          <w:rFonts w:eastAsia="Batang"/>
        </w:rPr>
        <w:t>Основните цели, заложени в Интегрирания план в областта на енергетиката и климата на Република България 2021-2030 г., са свързани с изпълнението на Европейските цели до 2030 г., като в същото време са взети предвид и националните специфики на българската енергийна система. В съответствие с приоритетите на ЕС енергийната ефективност е първият приоритет в енергийната политика и е от основно значение за изпълнението на целите за периода 2021-2030 г.</w:t>
      </w:r>
    </w:p>
    <w:p w:rsidR="003A5772" w:rsidRPr="00EA6851" w:rsidRDefault="003A5772" w:rsidP="003A5772">
      <w:pPr>
        <w:rPr>
          <w:rFonts w:eastAsia="Batang"/>
        </w:rPr>
      </w:pPr>
      <w:r w:rsidRPr="00EA6851">
        <w:rPr>
          <w:rFonts w:eastAsia="Batang"/>
          <w:b/>
        </w:rPr>
        <w:t>Министерството на енергетиката</w:t>
      </w:r>
      <w:r w:rsidRPr="00EA6851">
        <w:rPr>
          <w:rFonts w:eastAsia="Batang"/>
        </w:rPr>
        <w:t xml:space="preserve"> изпълнява </w:t>
      </w:r>
      <w:r w:rsidRPr="0030405E">
        <w:rPr>
          <w:rFonts w:eastAsia="Batang"/>
          <w:i/>
        </w:rPr>
        <w:t xml:space="preserve">политиката в областта на </w:t>
      </w:r>
      <w:r w:rsidR="00B8300B" w:rsidRPr="00B8300B">
        <w:rPr>
          <w:rFonts w:eastAsia="Batang"/>
          <w:bCs/>
          <w:i/>
          <w:iCs/>
        </w:rPr>
        <w:t>устойчивото и конкурентноспособно енергийно развитие</w:t>
      </w:r>
      <w:r w:rsidRPr="00EA6851">
        <w:rPr>
          <w:rFonts w:eastAsia="Batang"/>
        </w:rPr>
        <w:t>.</w:t>
      </w:r>
    </w:p>
    <w:p w:rsidR="00A73BF9" w:rsidRPr="00EA6851" w:rsidRDefault="00A73BF9" w:rsidP="00A73BF9">
      <w:pPr>
        <w:rPr>
          <w:rFonts w:eastAsia="Batang"/>
        </w:rPr>
      </w:pPr>
      <w:r w:rsidRPr="00EA6851">
        <w:rPr>
          <w:rFonts w:eastAsia="Batang"/>
        </w:rPr>
        <w:t xml:space="preserve">В бюджетната прогноза за периода 2024-2026 г. на Министерството на енергетиката са включени разходи </w:t>
      </w:r>
      <w:r>
        <w:rPr>
          <w:rFonts w:eastAsia="Batang"/>
          <w:lang w:val="en-US"/>
        </w:rPr>
        <w:t>(</w:t>
      </w:r>
      <w:r>
        <w:rPr>
          <w:rFonts w:eastAsia="Batang"/>
        </w:rPr>
        <w:t>субсидии</w:t>
      </w:r>
      <w:r>
        <w:rPr>
          <w:rFonts w:eastAsia="Batang"/>
          <w:lang w:val="en-US"/>
        </w:rPr>
        <w:t>)</w:t>
      </w:r>
      <w:r>
        <w:rPr>
          <w:rFonts w:eastAsia="Batang"/>
        </w:rPr>
        <w:t xml:space="preserve"> в размер на 51,1 млн. лв. годишно с цел</w:t>
      </w:r>
      <w:r w:rsidRPr="00EA6851">
        <w:rPr>
          <w:rFonts w:eastAsia="Batang"/>
        </w:rPr>
        <w:t xml:space="preserve"> финансиране на дейностите по извеждане от експлоатация на ядрени съоръжения и на дейностите, свързани с управление на радиоактивни отпадъци (дейността на Държавно предприятие „Радиоактивни отпадъци“)</w:t>
      </w:r>
      <w:r>
        <w:rPr>
          <w:rFonts w:eastAsia="Batang"/>
        </w:rPr>
        <w:t xml:space="preserve">. В областта на енергетиката и по-точно за </w:t>
      </w:r>
      <w:r w:rsidRPr="00EA6851">
        <w:rPr>
          <w:rFonts w:eastAsia="Batang"/>
        </w:rPr>
        <w:t>Държавно предприятие „Радиоактивни отпадъци“</w:t>
      </w:r>
      <w:r>
        <w:rPr>
          <w:rFonts w:eastAsia="Batang"/>
        </w:rPr>
        <w:t xml:space="preserve"> се предвиждат и капиталови трансфери в индикативен размер </w:t>
      </w:r>
      <w:r w:rsidR="00313BCB">
        <w:rPr>
          <w:rFonts w:eastAsia="Batang"/>
        </w:rPr>
        <w:t xml:space="preserve">на </w:t>
      </w:r>
      <w:r>
        <w:rPr>
          <w:rFonts w:eastAsia="Batang"/>
        </w:rPr>
        <w:t>4,7 млн. лв. за 2024 г. и по 6,1 млн. лв. годишно за 2025 г. и 2026 г.</w:t>
      </w:r>
    </w:p>
    <w:p w:rsidR="003A5772" w:rsidRPr="00EA6851" w:rsidRDefault="003A5772" w:rsidP="003A5772">
      <w:pPr>
        <w:rPr>
          <w:rFonts w:eastAsia="Batang"/>
        </w:rPr>
      </w:pPr>
      <w:r w:rsidRPr="00EA6851">
        <w:rPr>
          <w:rFonts w:eastAsia="Batang"/>
        </w:rPr>
        <w:t xml:space="preserve">Предвидените в бюджетната прогноза за 2024-2026 г. разходи на </w:t>
      </w:r>
      <w:r w:rsidR="00472C16" w:rsidRPr="00EA6851">
        <w:rPr>
          <w:rFonts w:eastAsia="Batang"/>
        </w:rPr>
        <w:t>Ф</w:t>
      </w:r>
      <w:r w:rsidRPr="00EA6851">
        <w:rPr>
          <w:rFonts w:eastAsia="Batang"/>
        </w:rPr>
        <w:t xml:space="preserve">онд „Сигурност на електроенергийната система“ (ФСЕС) са, както следва: по 2 609,6 млн. лв. за 2024 г. и 2025 г. и 3 131,3 млн. лв. за 2026 г., в т.ч. по 2 603,7 млн. лв. за 2024 г. и 2025 г. и 3 125,4 млн. лв. за 2026 г. за покриване на разходите, извършени от обществения доставчик, произтичащи от задълженията му по чл. 93а и 94 от Закона за енергетиката и за предоставяне на премия на производител по чл. 162а от Закона за енергетиката и производител с обща мощност 500 </w:t>
      </w:r>
      <w:r w:rsidR="00472C16" w:rsidRPr="00EA6851">
        <w:rPr>
          <w:rFonts w:eastAsia="Batang"/>
        </w:rPr>
        <w:t>КВт</w:t>
      </w:r>
      <w:r w:rsidR="00472C16" w:rsidRPr="00EA6851">
        <w:rPr>
          <w:rStyle w:val="FootnoteReference"/>
          <w:rFonts w:eastAsia="Batang"/>
        </w:rPr>
        <w:footnoteReference w:id="30"/>
      </w:r>
      <w:r w:rsidRPr="00EA6851">
        <w:rPr>
          <w:rFonts w:eastAsia="Batang"/>
        </w:rPr>
        <w:t xml:space="preserve"> и над 500 </w:t>
      </w:r>
      <w:r w:rsidR="00472C16" w:rsidRPr="00EA6851">
        <w:rPr>
          <w:rFonts w:eastAsia="Batang"/>
        </w:rPr>
        <w:t>КВт</w:t>
      </w:r>
      <w:r w:rsidRPr="00EA6851">
        <w:rPr>
          <w:rFonts w:eastAsia="Batang"/>
        </w:rPr>
        <w:t xml:space="preserve"> по Закона за енергията от възобновяеми източници, определени с решение на </w:t>
      </w:r>
      <w:r w:rsidR="00A3729C" w:rsidRPr="00EA6851">
        <w:rPr>
          <w:rFonts w:eastAsia="Batang"/>
        </w:rPr>
        <w:t>Комисията за енергийно и водно регулиране</w:t>
      </w:r>
      <w:r w:rsidRPr="00EA6851">
        <w:rPr>
          <w:rFonts w:eastAsia="Batang"/>
        </w:rPr>
        <w:t>, включително за минали регулаторни периоди, за лихви, договорени с рамково споразумение между фонда и кредитна или друга финансираща институция за финансиране на проекти за енергийна ефективност и за финансиране изпълнението на приети от Министерския съвет програми за предоставяне на компенсации, свързани с цените на електрическата енергия и/или природния газ.</w:t>
      </w:r>
    </w:p>
    <w:p w:rsidR="003A5772" w:rsidRPr="00EA6851" w:rsidRDefault="003A5772" w:rsidP="003A5772">
      <w:pPr>
        <w:rPr>
          <w:rFonts w:eastAsia="Batang"/>
        </w:rPr>
      </w:pPr>
      <w:r w:rsidRPr="00EA6851">
        <w:rPr>
          <w:rFonts w:eastAsia="Batang"/>
        </w:rPr>
        <w:t>Вследствие на правилното администриране на дейностите по набиране и разходване на средства във ФСЕС, като част от заложения компенсаторен механизъм, допринасящ за по-пълна либерализация в сектора, се отчита доверие между участниците в него. Образуващите се във ФСЕС финансови буфери дават предпоставки за допълнителни възможности, в т.ч. от страна на регулаторния орган да се компенсират възникнали през изминали регулаторни периоди финансови дефицити в електроенергийната системата и за компенсации, свързани с цените на електрическата енергия и/или природен газ.</w:t>
      </w:r>
    </w:p>
    <w:p w:rsidR="003A5772" w:rsidRPr="00EA6851" w:rsidRDefault="003A5772" w:rsidP="003A5772">
      <w:pPr>
        <w:rPr>
          <w:rFonts w:eastAsia="Batang"/>
          <w:b/>
        </w:rPr>
      </w:pPr>
      <w:r w:rsidRPr="00EA6851">
        <w:rPr>
          <w:rFonts w:eastAsia="Batang"/>
          <w:b/>
        </w:rPr>
        <w:t>Комисия за енергийно и водно регулиране</w:t>
      </w:r>
    </w:p>
    <w:p w:rsidR="003A5772" w:rsidRPr="00EA6851" w:rsidRDefault="003A5772" w:rsidP="003A5772">
      <w:pPr>
        <w:rPr>
          <w:rFonts w:eastAsia="Batang"/>
        </w:rPr>
      </w:pPr>
      <w:r w:rsidRPr="00EA6851">
        <w:rPr>
          <w:rFonts w:eastAsia="Batang"/>
        </w:rPr>
        <w:t xml:space="preserve">Комисията за енергийно и водно регулиране е независим специализиран държавен орган за регулиране на дейностите в енергетиката и във водоснабдяването и канализацията. При осъществяване на своите правомощия </w:t>
      </w:r>
      <w:r w:rsidR="00841FBD" w:rsidRPr="00EA6851">
        <w:rPr>
          <w:rFonts w:eastAsia="Batang"/>
        </w:rPr>
        <w:t>К</w:t>
      </w:r>
      <w:r w:rsidRPr="00EA6851">
        <w:rPr>
          <w:rFonts w:eastAsia="Batang"/>
        </w:rPr>
        <w:t>омисията е независима от изпълнителната власт и дейността ѝ се осъществява въз основа на независимост, безпристрастност, професионализъм, почтеност, последователност, публичност и прозрачност.</w:t>
      </w:r>
    </w:p>
    <w:p w:rsidR="003A5772" w:rsidRPr="00EA6851" w:rsidRDefault="003A5772" w:rsidP="003A5772">
      <w:pPr>
        <w:rPr>
          <w:rFonts w:eastAsia="Batang"/>
        </w:rPr>
      </w:pPr>
      <w:r w:rsidRPr="00EA6851">
        <w:rPr>
          <w:rFonts w:eastAsia="Batang"/>
        </w:rPr>
        <w:t>Визията за развитието на политиката в енергетиката и ВиК сектора е подобряване на регулаторната рамка чрез усъвършенстване на съществуващите регулаторни подходи и принципи въз основа на международния опит и добрите европейски практики; насърчаване на доверието в енергийния пазар чрез спазване на основните принципи за равнопоставеност, прозрачност и справедливост за постигане на последователна и предвидима регулаторна политика; минимизиране на регулаторната тежест; съкращаване на времето при вземането на решения; подобряване на ефективността на административните процеси; ефективен контрол по изпълнение на условията на издадените лицензии на дружествата в подсектори „Електроенергетика“, „топлоенергетика“ и „природен газ“; ефективен контрол по изпълнение на одобрените бизнес планове на ВиК</w:t>
      </w:r>
      <w:r w:rsidR="004D2E00" w:rsidRPr="00EA6851">
        <w:rPr>
          <w:rStyle w:val="FootnoteReference"/>
          <w:rFonts w:eastAsia="Batang"/>
        </w:rPr>
        <w:footnoteReference w:id="31"/>
      </w:r>
      <w:r w:rsidRPr="00EA6851">
        <w:rPr>
          <w:rFonts w:eastAsia="Batang"/>
        </w:rPr>
        <w:t xml:space="preserve"> операторите и по прилагането на утвърдените цени на предоставяните ВиК услуги на потребителите; предприемане на мерки за съществено подобряване на работата на регулираните дружества с потребителите и разрешаване на спорове; активно сътрудничество с други регулатори и участие в процеса на формиране на добри регулаторни практики.</w:t>
      </w:r>
    </w:p>
    <w:p w:rsidR="003A5772" w:rsidRPr="00EA6851" w:rsidRDefault="003A5772" w:rsidP="003A5772">
      <w:pPr>
        <w:rPr>
          <w:rFonts w:eastAsia="Batang"/>
        </w:rPr>
      </w:pPr>
      <w:r w:rsidRPr="00EA6851">
        <w:rPr>
          <w:rFonts w:eastAsia="Batang"/>
        </w:rPr>
        <w:t>Ползата/ефектът за обществото от провежданата политика и/или очакваните резултати от изпълняваните задачи е въвеждане на ясни и прозрачни правила за функциониране на енергийните дружествата и ВиК операторите; гаранции за получаване на качествени доставки и предоставяни услуги; ефективно работещ енергиен пазар чрез усъвършенстване на пазарния модел за свободен избор на доставчик; равнопоставен достъп до мрежите и създаване условия за конкуренция; чрез ефективна защита правата на потребителите да намаляват жалбите в двата сектора.</w:t>
      </w:r>
    </w:p>
    <w:p w:rsidR="003A5772" w:rsidRPr="00EA6851" w:rsidRDefault="003A5772" w:rsidP="003A5772">
      <w:pPr>
        <w:rPr>
          <w:rFonts w:eastAsia="Batang"/>
          <w:b/>
        </w:rPr>
      </w:pPr>
      <w:r w:rsidRPr="00EA6851">
        <w:rPr>
          <w:rFonts w:eastAsia="Batang"/>
          <w:b/>
        </w:rPr>
        <w:t>Агенция за ядрено регулиране</w:t>
      </w:r>
    </w:p>
    <w:p w:rsidR="003A5772" w:rsidRPr="00EA6851" w:rsidRDefault="003A5772" w:rsidP="003A5772">
      <w:pPr>
        <w:rPr>
          <w:rFonts w:eastAsia="Batang"/>
        </w:rPr>
      </w:pPr>
      <w:r w:rsidRPr="00EA6851">
        <w:rPr>
          <w:rFonts w:eastAsia="Batang"/>
        </w:rPr>
        <w:t>Агенцията за ядрено регулиране е независим специализиран орган на изпълнителната власт и председателят на агенцията осъществява държавното регулиране на безопасното използване на ядрената енергия и йонизиращите лъчения и на безопасното управление на радиоактивните отпадъци и отработеното гориво.</w:t>
      </w:r>
    </w:p>
    <w:p w:rsidR="003A5772" w:rsidRPr="00EA6851" w:rsidRDefault="003A5772" w:rsidP="003A5772">
      <w:pPr>
        <w:rPr>
          <w:rFonts w:eastAsia="Batang"/>
        </w:rPr>
      </w:pPr>
      <w:r w:rsidRPr="00EA6851">
        <w:rPr>
          <w:rFonts w:eastAsia="Batang"/>
        </w:rPr>
        <w:t>Мисията на Агенцията за ядрено регулиране (АЯР) е „Защита на човека, обществото, бъдещите поколения и околната среда от вредното въздействие на йонизиращите лъчения”.</w:t>
      </w:r>
    </w:p>
    <w:p w:rsidR="003A5772" w:rsidRPr="00EA6851" w:rsidRDefault="003A5772" w:rsidP="003A5772">
      <w:pPr>
        <w:rPr>
          <w:rFonts w:eastAsia="Batang"/>
        </w:rPr>
      </w:pPr>
      <w:r w:rsidRPr="00EA6851">
        <w:rPr>
          <w:rFonts w:eastAsia="Batang"/>
        </w:rPr>
        <w:t>Основната цел на дейността на АЯР е да осигури използването на ядрената енергия и източниците на йонизиращи лъчения (ИЙЛ) само за мирни цели и в съответствие със Закона за безопасно използване на ядрената енергия (ЗБИЯЕ) и актовете по неговото прилагане.</w:t>
      </w:r>
    </w:p>
    <w:p w:rsidR="003A5772" w:rsidRPr="00EA6851" w:rsidRDefault="003A5772" w:rsidP="003A5772">
      <w:pPr>
        <w:rPr>
          <w:rFonts w:eastAsia="Batang"/>
        </w:rPr>
      </w:pPr>
      <w:r w:rsidRPr="00EA6851">
        <w:rPr>
          <w:rFonts w:eastAsia="Batang"/>
        </w:rPr>
        <w:t>Основните дейности извършвани от АЯР са, както следва:</w:t>
      </w:r>
    </w:p>
    <w:p w:rsidR="003A5772" w:rsidRPr="00EA6851" w:rsidRDefault="003A5772" w:rsidP="00B30642">
      <w:pPr>
        <w:numPr>
          <w:ilvl w:val="0"/>
          <w:numId w:val="28"/>
        </w:numPr>
        <w:rPr>
          <w:rFonts w:eastAsia="Batang"/>
        </w:rPr>
      </w:pPr>
      <w:r w:rsidRPr="00EA6851">
        <w:rPr>
          <w:rFonts w:eastAsia="Batang"/>
        </w:rPr>
        <w:t>Издаване на лицензии и разрешения за дейности в ядрени съоръжения с ИЙЛ, както и издаване на лицензии за специализирано обучение;</w:t>
      </w:r>
    </w:p>
    <w:p w:rsidR="003A5772" w:rsidRPr="00EA6851" w:rsidRDefault="003A5772" w:rsidP="00B30642">
      <w:pPr>
        <w:numPr>
          <w:ilvl w:val="0"/>
          <w:numId w:val="28"/>
        </w:numPr>
        <w:rPr>
          <w:rFonts w:eastAsia="Batang"/>
        </w:rPr>
      </w:pPr>
      <w:r w:rsidRPr="00EA6851">
        <w:rPr>
          <w:rFonts w:eastAsia="Batang"/>
        </w:rPr>
        <w:t>Издаване на удостоверения за регистрация на дейности по чл. 56, ал. 3 от ЗБИЯЕ и удостоверения за правоспособност за работа в ядрени съоръжения или с източници на йонизиращи лъчения;</w:t>
      </w:r>
    </w:p>
    <w:p w:rsidR="003A5772" w:rsidRPr="00EA6851" w:rsidRDefault="003A5772" w:rsidP="00B30642">
      <w:pPr>
        <w:numPr>
          <w:ilvl w:val="0"/>
          <w:numId w:val="28"/>
        </w:numPr>
        <w:rPr>
          <w:rFonts w:eastAsia="Batang"/>
        </w:rPr>
      </w:pPr>
      <w:r w:rsidRPr="00EA6851">
        <w:rPr>
          <w:rFonts w:eastAsia="Batang"/>
        </w:rPr>
        <w:t>Регулаторен контрол за безопасно използване на ядрени съоръжения и източници на йонизиращи лъчения;</w:t>
      </w:r>
    </w:p>
    <w:p w:rsidR="003A5772" w:rsidRPr="00EA6851" w:rsidRDefault="003A5772" w:rsidP="00B30642">
      <w:pPr>
        <w:numPr>
          <w:ilvl w:val="0"/>
          <w:numId w:val="28"/>
        </w:numPr>
        <w:rPr>
          <w:rFonts w:eastAsia="Batang"/>
        </w:rPr>
      </w:pPr>
      <w:r w:rsidRPr="00EA6851">
        <w:rPr>
          <w:rFonts w:eastAsia="Batang"/>
        </w:rPr>
        <w:t>Поддържане на аварийна готовност;</w:t>
      </w:r>
    </w:p>
    <w:p w:rsidR="003A5772" w:rsidRPr="00EA6851" w:rsidRDefault="003A5772" w:rsidP="00B30642">
      <w:pPr>
        <w:numPr>
          <w:ilvl w:val="0"/>
          <w:numId w:val="28"/>
        </w:numPr>
        <w:rPr>
          <w:rFonts w:eastAsia="Batang"/>
        </w:rPr>
      </w:pPr>
      <w:r w:rsidRPr="00EA6851">
        <w:rPr>
          <w:rFonts w:eastAsia="Batang"/>
        </w:rPr>
        <w:t>Развитие на нормативната уредба по безопасно използване на ядрената енергия;</w:t>
      </w:r>
    </w:p>
    <w:p w:rsidR="003A5772" w:rsidRPr="00EA6851" w:rsidRDefault="003A5772" w:rsidP="00B30642">
      <w:pPr>
        <w:numPr>
          <w:ilvl w:val="0"/>
          <w:numId w:val="28"/>
        </w:numPr>
        <w:rPr>
          <w:rFonts w:eastAsia="Batang"/>
        </w:rPr>
      </w:pPr>
      <w:r w:rsidRPr="00EA6851">
        <w:rPr>
          <w:rFonts w:eastAsia="Batang"/>
        </w:rPr>
        <w:t>Осигуряване на международното сътрудничество на Република България в тази област и изпълнение на международните конвенции и договори;</w:t>
      </w:r>
    </w:p>
    <w:p w:rsidR="003A5772" w:rsidRPr="00EA6851" w:rsidRDefault="003A5772" w:rsidP="00B30642">
      <w:pPr>
        <w:numPr>
          <w:ilvl w:val="0"/>
          <w:numId w:val="28"/>
        </w:numPr>
        <w:rPr>
          <w:rFonts w:eastAsia="Batang"/>
        </w:rPr>
      </w:pPr>
      <w:r w:rsidRPr="00EA6851">
        <w:rPr>
          <w:rFonts w:eastAsia="Batang"/>
        </w:rPr>
        <w:t>Информиране на обществеността за състоянието на ядрената безопасност и радиационната защита в страната;</w:t>
      </w:r>
    </w:p>
    <w:p w:rsidR="003A5772" w:rsidRPr="00EA6851" w:rsidRDefault="003A5772" w:rsidP="003A5772">
      <w:pPr>
        <w:rPr>
          <w:rFonts w:eastAsia="Batang"/>
        </w:rPr>
      </w:pPr>
      <w:r w:rsidRPr="00EA6851">
        <w:rPr>
          <w:rFonts w:eastAsia="Batang"/>
        </w:rPr>
        <w:t xml:space="preserve">За всяка от дейностите си АЯР е определила стратегическа цел и очаквани резултати, като е направен опит за създаване на система от измерими показатели за постигането на целта. </w:t>
      </w:r>
    </w:p>
    <w:p w:rsidR="003A5772" w:rsidRPr="00EA6851" w:rsidRDefault="003A5772" w:rsidP="003A5772">
      <w:pPr>
        <w:rPr>
          <w:rFonts w:eastAsia="Batang"/>
        </w:rPr>
      </w:pPr>
      <w:r w:rsidRPr="00EA6851">
        <w:rPr>
          <w:rFonts w:eastAsia="Batang"/>
        </w:rPr>
        <w:t>Ползата/ефектът за обществото от дейността на АЯР е компетентното и ефективно провеждане на политиките и постигането на резултати, което да доведе до осигуряване на безопасно използване на ядрената енергия и йонизиращите лъчения и безопасното управление на радиоактивните отпадъци и отработеното гориво.</w:t>
      </w:r>
    </w:p>
    <w:p w:rsidR="003A5772" w:rsidRPr="00EA6851" w:rsidRDefault="003A5772" w:rsidP="004957B8">
      <w:pPr>
        <w:rPr>
          <w:rFonts w:eastAsia="Batang"/>
        </w:rPr>
      </w:pPr>
      <w:r w:rsidRPr="00EA6851">
        <w:rPr>
          <w:rFonts w:eastAsia="Batang"/>
        </w:rPr>
        <w:t>Дейността на Агенцията за ядрено регулиране попада в обхвата на функционална област „Регулация на ядрената безопасност и радиационната</w:t>
      </w:r>
      <w:r w:rsidR="00AD3C6A" w:rsidRPr="00EA6851">
        <w:rPr>
          <w:rFonts w:eastAsia="Batang"/>
        </w:rPr>
        <w:t xml:space="preserve"> защита на Република България“.</w:t>
      </w:r>
    </w:p>
    <w:p w:rsidR="0033580A" w:rsidRPr="00EA6851" w:rsidRDefault="0033580A" w:rsidP="0033580A">
      <w:pPr>
        <w:pStyle w:val="Heading3"/>
        <w:ind w:left="0"/>
      </w:pPr>
      <w:r w:rsidRPr="00EA6851">
        <w:t>Политика в областта на опазване на околната среда и водите</w:t>
      </w:r>
    </w:p>
    <w:p w:rsidR="003A5772" w:rsidRPr="00EA6851" w:rsidRDefault="003A5772" w:rsidP="003A5772">
      <w:pPr>
        <w:rPr>
          <w:noProof/>
        </w:rPr>
      </w:pPr>
      <w:r w:rsidRPr="00EA6851">
        <w:rPr>
          <w:noProof/>
        </w:rPr>
        <w:t xml:space="preserve">С провежданата политика в областта на опазването на околната среда и водите се цели съхраняване на уникалната българска природа и подобряване на екологичната устойчивост, като се следи за баланса между развитието на бизнеса и опазването на биоразнообразието и ресурсите за постигане на максималните възможни ползи за икономиката и обществото. Акцент ще бъде поставен върху цели, които укрепват връзките между ресурсната ефективност, издръжливостта на екосистемите и човешкото благополучие, като усилията ще бъдат насочени към подобряване на взаимодействието с бизнеса, национални и регионални органи, местни власти, неправителствени и научни организации. </w:t>
      </w:r>
    </w:p>
    <w:p w:rsidR="003A5772" w:rsidRPr="00EA6851" w:rsidRDefault="003A5772" w:rsidP="003A5772">
      <w:pPr>
        <w:rPr>
          <w:noProof/>
        </w:rPr>
      </w:pPr>
      <w:r w:rsidRPr="00EA6851">
        <w:rPr>
          <w:noProof/>
        </w:rPr>
        <w:t xml:space="preserve">За провеждането на политиката в областта на опазването на околната среда </w:t>
      </w:r>
      <w:r w:rsidR="007F443F" w:rsidRPr="00EA6851">
        <w:rPr>
          <w:noProof/>
        </w:rPr>
        <w:t xml:space="preserve">и водите </w:t>
      </w:r>
      <w:r w:rsidRPr="00EA6851">
        <w:rPr>
          <w:noProof/>
        </w:rPr>
        <w:t xml:space="preserve">отговорна институция е </w:t>
      </w:r>
      <w:r w:rsidRPr="0030405E">
        <w:rPr>
          <w:b/>
          <w:noProof/>
        </w:rPr>
        <w:t>Министерството на околната среда и водите</w:t>
      </w:r>
      <w:r w:rsidRPr="00EA6851">
        <w:rPr>
          <w:noProof/>
        </w:rPr>
        <w:t xml:space="preserve">, както и </w:t>
      </w:r>
      <w:r w:rsidRPr="0030405E">
        <w:rPr>
          <w:b/>
          <w:noProof/>
        </w:rPr>
        <w:t>Предприятието за управление на дейностите по опазване на околната среда (ПУДООС)</w:t>
      </w:r>
      <w:r w:rsidRPr="00EA6851">
        <w:rPr>
          <w:noProof/>
        </w:rPr>
        <w:t xml:space="preserve"> за реализацията на проекти и дейности в изпълнение на национални и общински програми в областта на околната среда. С преминаването на Националния институт по метеорология и хидрология (НИМХ) към Министерство</w:t>
      </w:r>
      <w:r w:rsidR="00335720" w:rsidRPr="00EA6851">
        <w:rPr>
          <w:noProof/>
        </w:rPr>
        <w:t>то</w:t>
      </w:r>
      <w:r w:rsidRPr="00EA6851">
        <w:rPr>
          <w:noProof/>
        </w:rPr>
        <w:t xml:space="preserve"> на околната среда и водите се цели по-добра взаимовръзка с оглед изпълнението на дейностите по Закона за водите.</w:t>
      </w:r>
    </w:p>
    <w:p w:rsidR="003A5772" w:rsidRPr="00EA6851" w:rsidRDefault="003A5772" w:rsidP="003A5772">
      <w:pPr>
        <w:pStyle w:val="Heading4"/>
      </w:pPr>
      <w:r w:rsidRPr="00EA6851">
        <w:t xml:space="preserve">Политика в областта на опазването и ползването на компонентите на околната среда </w:t>
      </w:r>
    </w:p>
    <w:p w:rsidR="003A5772" w:rsidRPr="00EA6851" w:rsidRDefault="003A5772" w:rsidP="003A5772">
      <w:pPr>
        <w:rPr>
          <w:noProof/>
        </w:rPr>
      </w:pPr>
      <w:r w:rsidRPr="00EA6851">
        <w:rPr>
          <w:noProof/>
        </w:rPr>
        <w:t xml:space="preserve">Политиката в областта на опазването и ползването на компонентите на околната среда е насочена към опазване, съхранение и увеличаване на природния капитал, подобряване на управлението на отпадъците, преход към ефективна кръгова и конкурентоспособна нисковъглеродна икономика от гледна точка на използването на ресурсите и провеждане на устойчива политика за постигане на здравословна околна среда и защита на населението от свързани с околната среда въздействия. Тя обхваща прилагането и развиването на комплекс от инструменти, които допринасят във висока степен за опазване чистотата на водите, почвите и въздуха, предотвратяване образуването на отпадъците и увеличаване на оползотворяването на отпадъците, адаптиране към измененията на климата и ефективно използване на ресурсите в икономическия цикъл на страната. </w:t>
      </w:r>
    </w:p>
    <w:p w:rsidR="003A5772" w:rsidRPr="00EA6851" w:rsidRDefault="003A5772" w:rsidP="003A5772">
      <w:pPr>
        <w:rPr>
          <w:noProof/>
        </w:rPr>
      </w:pPr>
      <w:r w:rsidRPr="00EA6851">
        <w:rPr>
          <w:noProof/>
        </w:rPr>
        <w:t>В рамките на тази политика чрез бюджета на Предприятието за управление на дейностите по опазване на околната среда ще бъдат безвъзмездно финансирани екологични проекти на общините, неинвестиционни проекти и дейности, способстващи за осъществяване на политиката, насочени в секторите: управление на водите, управление на отпадъците и ограничаване загубата на биологичното разнообразие и запазване на естествените екосистеми. Проектите са насочени към изграждането на малки водоснабдителни мрежи и съорежения</w:t>
      </w:r>
      <w:r w:rsidR="007F443F" w:rsidRPr="00EA6851">
        <w:rPr>
          <w:noProof/>
        </w:rPr>
        <w:t>,</w:t>
      </w:r>
      <w:r w:rsidRPr="00EA6851">
        <w:rPr>
          <w:noProof/>
        </w:rPr>
        <w:t xml:space="preserve"> пречиствателни станции за отпадъчни и канализационни мрежи и довеждащи колектори, както и проекти за изгарждане на нови или реконструкция на съществуващи обекти.</w:t>
      </w:r>
    </w:p>
    <w:p w:rsidR="003A5772" w:rsidRPr="00EA6851" w:rsidRDefault="003A5772" w:rsidP="003A5772">
      <w:pPr>
        <w:spacing w:before="120" w:after="0"/>
        <w:rPr>
          <w:b/>
          <w:noProof/>
          <w:sz w:val="20"/>
          <w:szCs w:val="20"/>
          <w:highlight w:val="yellow"/>
        </w:rPr>
      </w:pPr>
    </w:p>
    <w:p w:rsidR="003A5772" w:rsidRPr="00EA6851" w:rsidRDefault="003A5772" w:rsidP="003A5772">
      <w:pPr>
        <w:rPr>
          <w:b/>
          <w:noProof/>
          <w:sz w:val="20"/>
          <w:szCs w:val="20"/>
        </w:rPr>
      </w:pPr>
      <w:r w:rsidRPr="00EA6851">
        <w:rPr>
          <w:b/>
          <w:noProof/>
          <w:sz w:val="20"/>
          <w:szCs w:val="20"/>
        </w:rPr>
        <w:t>КЛЮЧОВИ ИНДИКАТОРИ ЗА ИЗПЪЛНЕНИЕ И ЦЕЛЕВИ СТОЙНОСТИ</w:t>
      </w:r>
    </w:p>
    <w:tbl>
      <w:tblPr>
        <w:tblW w:w="5000" w:type="pct"/>
        <w:tblBorders>
          <w:top w:val="single" w:sz="4" w:space="0" w:color="auto"/>
          <w:bottom w:val="single" w:sz="4" w:space="0" w:color="auto"/>
        </w:tblBorders>
        <w:tblLook w:val="04A0" w:firstRow="1" w:lastRow="0" w:firstColumn="1" w:lastColumn="0" w:noHBand="0" w:noVBand="1"/>
      </w:tblPr>
      <w:tblGrid>
        <w:gridCol w:w="3710"/>
        <w:gridCol w:w="1074"/>
        <w:gridCol w:w="1067"/>
        <w:gridCol w:w="1079"/>
        <w:gridCol w:w="1081"/>
        <w:gridCol w:w="1059"/>
      </w:tblGrid>
      <w:tr w:rsidR="003A5772" w:rsidRPr="00EA6851" w:rsidTr="00306D54">
        <w:trPr>
          <w:trHeight w:val="60"/>
          <w:tblHeader/>
        </w:trPr>
        <w:tc>
          <w:tcPr>
            <w:tcW w:w="2045" w:type="pct"/>
            <w:tcBorders>
              <w:bottom w:val="nil"/>
            </w:tcBorders>
            <w:shd w:val="clear" w:color="auto" w:fill="auto"/>
            <w:vAlign w:val="center"/>
            <w:hideMark/>
          </w:tcPr>
          <w:p w:rsidR="003A5772" w:rsidRPr="00EA6851" w:rsidRDefault="003A5772" w:rsidP="003A5772">
            <w:pPr>
              <w:jc w:val="center"/>
              <w:rPr>
                <w:b/>
                <w:i/>
                <w:iCs/>
                <w:sz w:val="18"/>
                <w:szCs w:val="18"/>
                <w:lang w:eastAsia="en-US"/>
              </w:rPr>
            </w:pPr>
            <w:r w:rsidRPr="00EA6851">
              <w:rPr>
                <w:b/>
                <w:i/>
                <w:iCs/>
                <w:sz w:val="18"/>
                <w:szCs w:val="18"/>
                <w:lang w:eastAsia="en-US"/>
              </w:rPr>
              <w:t>Политика в областта на опазването и ползването на компонентите на околната среда</w:t>
            </w:r>
          </w:p>
        </w:tc>
        <w:tc>
          <w:tcPr>
            <w:tcW w:w="592" w:type="pct"/>
            <w:vMerge w:val="restart"/>
            <w:tcBorders>
              <w:bottom w:val="nil"/>
            </w:tcBorders>
            <w:shd w:val="clear" w:color="auto" w:fill="F2F2F2" w:themeFill="background1" w:themeFillShade="F2"/>
            <w:vAlign w:val="center"/>
            <w:hideMark/>
          </w:tcPr>
          <w:p w:rsidR="003A5772" w:rsidRPr="00EA6851" w:rsidRDefault="003A5772" w:rsidP="003A5772">
            <w:pPr>
              <w:jc w:val="center"/>
              <w:rPr>
                <w:sz w:val="18"/>
                <w:szCs w:val="18"/>
                <w:lang w:eastAsia="en-US"/>
              </w:rPr>
            </w:pPr>
            <w:r w:rsidRPr="00EA6851">
              <w:rPr>
                <w:b/>
                <w:bCs/>
                <w:sz w:val="18"/>
                <w:szCs w:val="18"/>
                <w:lang w:eastAsia="en-US"/>
              </w:rPr>
              <w:t>Мерна единица</w:t>
            </w:r>
          </w:p>
        </w:tc>
        <w:tc>
          <w:tcPr>
            <w:tcW w:w="2363" w:type="pct"/>
            <w:gridSpan w:val="4"/>
            <w:tcBorders>
              <w:bottom w:val="single" w:sz="4" w:space="0" w:color="auto"/>
            </w:tcBorders>
            <w:shd w:val="clear" w:color="auto" w:fill="auto"/>
            <w:vAlign w:val="center"/>
            <w:hideMark/>
          </w:tcPr>
          <w:p w:rsidR="003A5772" w:rsidRPr="00EA6851" w:rsidRDefault="003A5772" w:rsidP="003A5772">
            <w:pPr>
              <w:ind w:left="162" w:hanging="162"/>
              <w:jc w:val="center"/>
              <w:rPr>
                <w:b/>
                <w:bCs/>
                <w:sz w:val="18"/>
                <w:szCs w:val="18"/>
                <w:lang w:eastAsia="en-US"/>
              </w:rPr>
            </w:pPr>
            <w:r w:rsidRPr="00EA6851">
              <w:rPr>
                <w:b/>
                <w:bCs/>
                <w:sz w:val="18"/>
                <w:szCs w:val="18"/>
                <w:lang w:eastAsia="en-US"/>
              </w:rPr>
              <w:t>Целева стойност</w:t>
            </w:r>
          </w:p>
        </w:tc>
      </w:tr>
      <w:tr w:rsidR="003A5772" w:rsidRPr="00EA6851" w:rsidTr="00306D54">
        <w:trPr>
          <w:trHeight w:val="70"/>
          <w:tblHeader/>
        </w:trPr>
        <w:tc>
          <w:tcPr>
            <w:tcW w:w="2045" w:type="pct"/>
            <w:tcBorders>
              <w:top w:val="nil"/>
              <w:bottom w:val="single" w:sz="4" w:space="0" w:color="auto"/>
            </w:tcBorders>
            <w:shd w:val="clear" w:color="auto" w:fill="auto"/>
            <w:vAlign w:val="center"/>
            <w:hideMark/>
          </w:tcPr>
          <w:p w:rsidR="003A5772" w:rsidRPr="00EA6851" w:rsidRDefault="003A5772" w:rsidP="003A5772">
            <w:pPr>
              <w:jc w:val="center"/>
              <w:rPr>
                <w:b/>
                <w:bCs/>
                <w:sz w:val="18"/>
                <w:szCs w:val="18"/>
                <w:lang w:eastAsia="en-US"/>
              </w:rPr>
            </w:pPr>
            <w:r w:rsidRPr="00EA6851">
              <w:rPr>
                <w:b/>
                <w:bCs/>
                <w:sz w:val="18"/>
                <w:szCs w:val="18"/>
                <w:lang w:eastAsia="en-US"/>
              </w:rPr>
              <w:t>Наименование на индикатора</w:t>
            </w:r>
          </w:p>
        </w:tc>
        <w:tc>
          <w:tcPr>
            <w:tcW w:w="592" w:type="pct"/>
            <w:vMerge/>
            <w:tcBorders>
              <w:top w:val="nil"/>
              <w:bottom w:val="single" w:sz="4" w:space="0" w:color="auto"/>
            </w:tcBorders>
            <w:shd w:val="clear" w:color="auto" w:fill="F2F2F2" w:themeFill="background1" w:themeFillShade="F2"/>
            <w:vAlign w:val="center"/>
            <w:hideMark/>
          </w:tcPr>
          <w:p w:rsidR="003A5772" w:rsidRPr="00EA6851" w:rsidRDefault="003A5772" w:rsidP="003A5772">
            <w:pPr>
              <w:spacing w:after="0"/>
              <w:jc w:val="left"/>
              <w:rPr>
                <w:sz w:val="18"/>
                <w:szCs w:val="18"/>
                <w:lang w:eastAsia="en-US"/>
              </w:rPr>
            </w:pPr>
          </w:p>
        </w:tc>
        <w:tc>
          <w:tcPr>
            <w:tcW w:w="588" w:type="pct"/>
            <w:tcBorders>
              <w:top w:val="single" w:sz="4" w:space="0" w:color="auto"/>
              <w:bottom w:val="single" w:sz="4" w:space="0" w:color="auto"/>
            </w:tcBorders>
            <w:shd w:val="clear" w:color="auto" w:fill="auto"/>
            <w:vAlign w:val="center"/>
            <w:hideMark/>
          </w:tcPr>
          <w:p w:rsidR="003A5772" w:rsidRPr="00EA6851" w:rsidRDefault="003A5772" w:rsidP="003A5772">
            <w:pPr>
              <w:spacing w:after="0"/>
              <w:jc w:val="center"/>
              <w:rPr>
                <w:b/>
                <w:i/>
                <w:iCs/>
                <w:sz w:val="18"/>
                <w:szCs w:val="18"/>
                <w:lang w:eastAsia="en-US"/>
              </w:rPr>
            </w:pPr>
            <w:r w:rsidRPr="00EA6851">
              <w:rPr>
                <w:b/>
                <w:i/>
                <w:iCs/>
                <w:sz w:val="18"/>
                <w:szCs w:val="18"/>
                <w:lang w:eastAsia="en-US"/>
              </w:rPr>
              <w:t>Програма 2023 г.</w:t>
            </w:r>
          </w:p>
        </w:tc>
        <w:tc>
          <w:tcPr>
            <w:tcW w:w="595" w:type="pct"/>
            <w:tcBorders>
              <w:top w:val="single" w:sz="4" w:space="0" w:color="auto"/>
              <w:bottom w:val="single" w:sz="4" w:space="0" w:color="auto"/>
            </w:tcBorders>
            <w:shd w:val="clear" w:color="auto" w:fill="auto"/>
            <w:vAlign w:val="center"/>
            <w:hideMark/>
          </w:tcPr>
          <w:p w:rsidR="003A5772" w:rsidRPr="00EA6851" w:rsidRDefault="003A5772" w:rsidP="003A5772">
            <w:pPr>
              <w:spacing w:after="0"/>
              <w:jc w:val="center"/>
              <w:rPr>
                <w:b/>
                <w:i/>
                <w:iCs/>
                <w:sz w:val="18"/>
                <w:szCs w:val="18"/>
                <w:lang w:eastAsia="en-US"/>
              </w:rPr>
            </w:pPr>
            <w:r w:rsidRPr="00EA6851">
              <w:rPr>
                <w:b/>
                <w:i/>
                <w:iCs/>
                <w:sz w:val="18"/>
                <w:szCs w:val="18"/>
                <w:lang w:eastAsia="en-US"/>
              </w:rPr>
              <w:t>Проект</w:t>
            </w:r>
          </w:p>
          <w:p w:rsidR="003A5772" w:rsidRPr="00EA6851" w:rsidRDefault="003A5772" w:rsidP="003A5772">
            <w:pPr>
              <w:spacing w:after="0"/>
              <w:jc w:val="center"/>
              <w:rPr>
                <w:b/>
                <w:i/>
                <w:iCs/>
                <w:sz w:val="18"/>
                <w:szCs w:val="18"/>
                <w:lang w:eastAsia="en-US"/>
              </w:rPr>
            </w:pPr>
            <w:r w:rsidRPr="00EA6851">
              <w:rPr>
                <w:b/>
                <w:i/>
                <w:iCs/>
                <w:sz w:val="18"/>
                <w:szCs w:val="18"/>
                <w:lang w:eastAsia="en-US"/>
              </w:rPr>
              <w:t xml:space="preserve"> 2024 г.</w:t>
            </w:r>
          </w:p>
        </w:tc>
        <w:tc>
          <w:tcPr>
            <w:tcW w:w="596" w:type="pct"/>
            <w:tcBorders>
              <w:top w:val="single" w:sz="4" w:space="0" w:color="auto"/>
              <w:bottom w:val="single" w:sz="4" w:space="0" w:color="auto"/>
            </w:tcBorders>
            <w:shd w:val="clear" w:color="auto" w:fill="auto"/>
            <w:vAlign w:val="center"/>
            <w:hideMark/>
          </w:tcPr>
          <w:p w:rsidR="003A5772" w:rsidRPr="00EA6851" w:rsidRDefault="003A5772" w:rsidP="003A5772">
            <w:pPr>
              <w:spacing w:after="0"/>
              <w:jc w:val="center"/>
              <w:rPr>
                <w:b/>
                <w:i/>
                <w:iCs/>
                <w:sz w:val="18"/>
                <w:szCs w:val="18"/>
                <w:lang w:eastAsia="en-US"/>
              </w:rPr>
            </w:pPr>
            <w:r w:rsidRPr="00EA6851">
              <w:rPr>
                <w:b/>
                <w:i/>
                <w:iCs/>
                <w:sz w:val="18"/>
                <w:szCs w:val="18"/>
                <w:lang w:eastAsia="en-US"/>
              </w:rPr>
              <w:t>Прогноза 2025 г.</w:t>
            </w:r>
          </w:p>
        </w:tc>
        <w:tc>
          <w:tcPr>
            <w:tcW w:w="584" w:type="pct"/>
            <w:tcBorders>
              <w:top w:val="single" w:sz="4" w:space="0" w:color="auto"/>
              <w:bottom w:val="single" w:sz="4" w:space="0" w:color="auto"/>
            </w:tcBorders>
            <w:shd w:val="clear" w:color="auto" w:fill="auto"/>
            <w:vAlign w:val="center"/>
            <w:hideMark/>
          </w:tcPr>
          <w:p w:rsidR="003A5772" w:rsidRPr="00EA6851" w:rsidRDefault="003A5772" w:rsidP="003A5772">
            <w:pPr>
              <w:spacing w:after="0"/>
              <w:jc w:val="center"/>
              <w:rPr>
                <w:b/>
                <w:i/>
                <w:iCs/>
                <w:sz w:val="18"/>
                <w:szCs w:val="18"/>
                <w:lang w:eastAsia="en-US"/>
              </w:rPr>
            </w:pPr>
            <w:r w:rsidRPr="00EA6851">
              <w:rPr>
                <w:b/>
                <w:i/>
                <w:iCs/>
                <w:sz w:val="18"/>
                <w:szCs w:val="18"/>
                <w:lang w:eastAsia="en-US"/>
              </w:rPr>
              <w:t>Прогноза 2026 г.</w:t>
            </w:r>
          </w:p>
        </w:tc>
      </w:tr>
      <w:tr w:rsidR="003A5772" w:rsidRPr="00EA6851" w:rsidTr="00306D54">
        <w:trPr>
          <w:trHeight w:val="831"/>
        </w:trPr>
        <w:tc>
          <w:tcPr>
            <w:tcW w:w="2045" w:type="pct"/>
            <w:tcBorders>
              <w:top w:val="single" w:sz="4" w:space="0" w:color="auto"/>
            </w:tcBorders>
            <w:shd w:val="clear" w:color="auto" w:fill="auto"/>
            <w:hideMark/>
          </w:tcPr>
          <w:p w:rsidR="003A5772" w:rsidRPr="00EA6851" w:rsidRDefault="003A5772" w:rsidP="003A5772">
            <w:pPr>
              <w:widowControl w:val="0"/>
              <w:autoSpaceDE w:val="0"/>
              <w:autoSpaceDN w:val="0"/>
              <w:adjustRightInd w:val="0"/>
              <w:spacing w:after="0"/>
              <w:jc w:val="left"/>
              <w:rPr>
                <w:sz w:val="18"/>
                <w:szCs w:val="18"/>
                <w:lang w:eastAsia="en-US"/>
              </w:rPr>
            </w:pPr>
            <w:r w:rsidRPr="00EA6851">
              <w:rPr>
                <w:sz w:val="18"/>
                <w:szCs w:val="18"/>
                <w:lang w:eastAsia="en-US"/>
              </w:rPr>
              <w:t xml:space="preserve">1. Население, обхванато от изпълнени мерки за подобряване състоянието на водите и за защита от наводнения*: </w:t>
            </w:r>
          </w:p>
          <w:p w:rsidR="003A5772" w:rsidRPr="00EA6851" w:rsidRDefault="003A5772" w:rsidP="003A5772">
            <w:pPr>
              <w:widowControl w:val="0"/>
              <w:autoSpaceDE w:val="0"/>
              <w:autoSpaceDN w:val="0"/>
              <w:adjustRightInd w:val="0"/>
              <w:spacing w:after="0"/>
              <w:jc w:val="left"/>
              <w:rPr>
                <w:sz w:val="18"/>
                <w:szCs w:val="18"/>
                <w:lang w:eastAsia="en-US"/>
              </w:rPr>
            </w:pPr>
            <w:r w:rsidRPr="00EA6851">
              <w:rPr>
                <w:sz w:val="18"/>
                <w:szCs w:val="18"/>
                <w:lang w:eastAsia="en-US"/>
              </w:rPr>
              <w:t>подобрено водоснабдяване;</w:t>
            </w:r>
          </w:p>
          <w:p w:rsidR="003A5772" w:rsidRPr="00EA6851" w:rsidRDefault="003A5772" w:rsidP="003A5772">
            <w:pPr>
              <w:widowControl w:val="0"/>
              <w:autoSpaceDE w:val="0"/>
              <w:autoSpaceDN w:val="0"/>
              <w:adjustRightInd w:val="0"/>
              <w:spacing w:after="0"/>
              <w:jc w:val="left"/>
              <w:rPr>
                <w:sz w:val="18"/>
                <w:szCs w:val="18"/>
                <w:lang w:eastAsia="en-US"/>
              </w:rPr>
            </w:pPr>
            <w:r w:rsidRPr="00EA6851">
              <w:rPr>
                <w:sz w:val="18"/>
                <w:szCs w:val="18"/>
                <w:lang w:eastAsia="en-US"/>
              </w:rPr>
              <w:t>подобрено пречистване на отпадъчни води;</w:t>
            </w:r>
          </w:p>
          <w:p w:rsidR="003A5772" w:rsidRPr="00EA6851" w:rsidRDefault="003A5772" w:rsidP="003A5772">
            <w:pPr>
              <w:widowControl w:val="0"/>
              <w:autoSpaceDE w:val="0"/>
              <w:autoSpaceDN w:val="0"/>
              <w:adjustRightInd w:val="0"/>
              <w:spacing w:after="0"/>
              <w:jc w:val="left"/>
              <w:rPr>
                <w:sz w:val="18"/>
                <w:szCs w:val="18"/>
                <w:lang w:eastAsia="en-US"/>
              </w:rPr>
            </w:pPr>
            <w:r w:rsidRPr="00EA6851">
              <w:rPr>
                <w:sz w:val="18"/>
                <w:szCs w:val="18"/>
                <w:lang w:eastAsia="en-US"/>
              </w:rPr>
              <w:t>защита от наводнения</w:t>
            </w:r>
          </w:p>
        </w:tc>
        <w:tc>
          <w:tcPr>
            <w:tcW w:w="592" w:type="pct"/>
            <w:tcBorders>
              <w:top w:val="single" w:sz="4" w:space="0" w:color="auto"/>
            </w:tcBorders>
            <w:shd w:val="clear" w:color="auto" w:fill="F2F2F2" w:themeFill="background1" w:themeFillShade="F2"/>
            <w:vAlign w:val="center"/>
            <w:hideMark/>
          </w:tcPr>
          <w:p w:rsidR="003A5772" w:rsidRPr="00EA6851" w:rsidRDefault="003A5772" w:rsidP="003A5772">
            <w:pPr>
              <w:widowControl w:val="0"/>
              <w:autoSpaceDE w:val="0"/>
              <w:autoSpaceDN w:val="0"/>
              <w:adjustRightInd w:val="0"/>
              <w:spacing w:after="0"/>
              <w:jc w:val="center"/>
              <w:rPr>
                <w:sz w:val="18"/>
                <w:szCs w:val="18"/>
                <w:lang w:eastAsia="en-US"/>
              </w:rPr>
            </w:pPr>
          </w:p>
          <w:p w:rsidR="003A5772" w:rsidRPr="00EA6851" w:rsidRDefault="003A5772" w:rsidP="003A5772">
            <w:pPr>
              <w:widowControl w:val="0"/>
              <w:autoSpaceDE w:val="0"/>
              <w:autoSpaceDN w:val="0"/>
              <w:adjustRightInd w:val="0"/>
              <w:spacing w:after="0"/>
              <w:jc w:val="center"/>
              <w:rPr>
                <w:sz w:val="18"/>
                <w:szCs w:val="18"/>
                <w:lang w:eastAsia="en-US"/>
              </w:rPr>
            </w:pPr>
          </w:p>
          <w:p w:rsidR="003A5772" w:rsidRPr="00EA6851" w:rsidRDefault="003A5772" w:rsidP="003A5772">
            <w:pPr>
              <w:widowControl w:val="0"/>
              <w:autoSpaceDE w:val="0"/>
              <w:autoSpaceDN w:val="0"/>
              <w:adjustRightInd w:val="0"/>
              <w:spacing w:after="0"/>
              <w:jc w:val="center"/>
              <w:rPr>
                <w:sz w:val="18"/>
                <w:szCs w:val="18"/>
                <w:lang w:eastAsia="en-US"/>
              </w:rPr>
            </w:pPr>
            <w:r w:rsidRPr="00EA6851">
              <w:rPr>
                <w:sz w:val="18"/>
                <w:szCs w:val="18"/>
                <w:lang w:eastAsia="en-US"/>
              </w:rPr>
              <w:t>Бр. жители</w:t>
            </w:r>
          </w:p>
        </w:tc>
        <w:tc>
          <w:tcPr>
            <w:tcW w:w="588" w:type="pct"/>
            <w:tcBorders>
              <w:top w:val="single" w:sz="4" w:space="0" w:color="auto"/>
            </w:tcBorders>
            <w:shd w:val="clear" w:color="auto" w:fill="auto"/>
            <w:vAlign w:val="center"/>
          </w:tcPr>
          <w:p w:rsidR="003A5772" w:rsidRPr="00EA6851" w:rsidRDefault="003A5772" w:rsidP="00960D92">
            <w:pPr>
              <w:widowControl w:val="0"/>
              <w:autoSpaceDE w:val="0"/>
              <w:autoSpaceDN w:val="0"/>
              <w:adjustRightInd w:val="0"/>
              <w:spacing w:after="0"/>
              <w:jc w:val="center"/>
              <w:rPr>
                <w:sz w:val="18"/>
                <w:szCs w:val="18"/>
                <w:lang w:eastAsia="en-US"/>
              </w:rPr>
            </w:pPr>
          </w:p>
        </w:tc>
        <w:tc>
          <w:tcPr>
            <w:tcW w:w="595" w:type="pct"/>
            <w:tcBorders>
              <w:top w:val="single" w:sz="4" w:space="0" w:color="auto"/>
            </w:tcBorders>
            <w:shd w:val="clear" w:color="auto" w:fill="auto"/>
            <w:vAlign w:val="center"/>
          </w:tcPr>
          <w:p w:rsidR="003A5772" w:rsidRPr="00EA6851" w:rsidRDefault="003A5772" w:rsidP="00960D92">
            <w:pPr>
              <w:widowControl w:val="0"/>
              <w:autoSpaceDE w:val="0"/>
              <w:autoSpaceDN w:val="0"/>
              <w:adjustRightInd w:val="0"/>
              <w:spacing w:after="0"/>
              <w:jc w:val="center"/>
              <w:rPr>
                <w:sz w:val="18"/>
                <w:szCs w:val="18"/>
                <w:lang w:eastAsia="en-US"/>
              </w:rPr>
            </w:pPr>
          </w:p>
        </w:tc>
        <w:tc>
          <w:tcPr>
            <w:tcW w:w="596" w:type="pct"/>
            <w:tcBorders>
              <w:top w:val="single" w:sz="4" w:space="0" w:color="auto"/>
            </w:tcBorders>
            <w:shd w:val="clear" w:color="auto" w:fill="auto"/>
            <w:vAlign w:val="center"/>
          </w:tcPr>
          <w:p w:rsidR="003A5772" w:rsidRPr="00EA6851" w:rsidRDefault="003A5772" w:rsidP="00960D92">
            <w:pPr>
              <w:widowControl w:val="0"/>
              <w:autoSpaceDE w:val="0"/>
              <w:autoSpaceDN w:val="0"/>
              <w:adjustRightInd w:val="0"/>
              <w:spacing w:after="0"/>
              <w:jc w:val="center"/>
              <w:rPr>
                <w:sz w:val="18"/>
                <w:szCs w:val="18"/>
                <w:lang w:eastAsia="en-US"/>
              </w:rPr>
            </w:pPr>
          </w:p>
        </w:tc>
        <w:tc>
          <w:tcPr>
            <w:tcW w:w="584" w:type="pct"/>
            <w:tcBorders>
              <w:top w:val="single" w:sz="4" w:space="0" w:color="auto"/>
            </w:tcBorders>
            <w:shd w:val="clear" w:color="auto" w:fill="auto"/>
            <w:vAlign w:val="center"/>
          </w:tcPr>
          <w:p w:rsidR="003A5772" w:rsidRPr="00EA6851" w:rsidRDefault="003A5772" w:rsidP="00960D92">
            <w:pPr>
              <w:widowControl w:val="0"/>
              <w:autoSpaceDE w:val="0"/>
              <w:autoSpaceDN w:val="0"/>
              <w:adjustRightInd w:val="0"/>
              <w:spacing w:after="0"/>
              <w:jc w:val="center"/>
              <w:rPr>
                <w:sz w:val="18"/>
                <w:szCs w:val="18"/>
                <w:lang w:eastAsia="en-US"/>
              </w:rPr>
            </w:pPr>
          </w:p>
        </w:tc>
      </w:tr>
      <w:tr w:rsidR="003A5772" w:rsidRPr="00EA6851" w:rsidTr="007945B3">
        <w:trPr>
          <w:trHeight w:val="364"/>
        </w:trPr>
        <w:tc>
          <w:tcPr>
            <w:tcW w:w="2045" w:type="pct"/>
            <w:shd w:val="clear" w:color="auto" w:fill="auto"/>
          </w:tcPr>
          <w:p w:rsidR="003A5772" w:rsidRPr="00EA6851" w:rsidRDefault="003A5772" w:rsidP="003A5772">
            <w:pPr>
              <w:autoSpaceDE w:val="0"/>
              <w:autoSpaceDN w:val="0"/>
              <w:rPr>
                <w:sz w:val="18"/>
                <w:szCs w:val="18"/>
                <w:lang w:eastAsia="en-US"/>
              </w:rPr>
            </w:pPr>
            <w:r w:rsidRPr="00EA6851">
              <w:rPr>
                <w:sz w:val="18"/>
                <w:szCs w:val="18"/>
              </w:rPr>
              <w:t>- подобрено водоснабдяване;</w:t>
            </w:r>
          </w:p>
        </w:tc>
        <w:tc>
          <w:tcPr>
            <w:tcW w:w="592" w:type="pct"/>
            <w:shd w:val="clear" w:color="auto" w:fill="F2F2F2" w:themeFill="background1" w:themeFillShade="F2"/>
            <w:vAlign w:val="center"/>
          </w:tcPr>
          <w:p w:rsidR="003A5772" w:rsidRPr="00EA6851" w:rsidRDefault="003A5772" w:rsidP="003A5772">
            <w:pPr>
              <w:widowControl w:val="0"/>
              <w:autoSpaceDE w:val="0"/>
              <w:autoSpaceDN w:val="0"/>
              <w:adjustRightInd w:val="0"/>
              <w:spacing w:after="0"/>
              <w:jc w:val="center"/>
              <w:rPr>
                <w:sz w:val="18"/>
                <w:szCs w:val="18"/>
                <w:lang w:eastAsia="en-US"/>
              </w:rPr>
            </w:pPr>
          </w:p>
        </w:tc>
        <w:tc>
          <w:tcPr>
            <w:tcW w:w="588" w:type="pct"/>
            <w:shd w:val="clear" w:color="auto" w:fill="auto"/>
          </w:tcPr>
          <w:p w:rsidR="003A5772" w:rsidRPr="00EA6851" w:rsidRDefault="003A5772" w:rsidP="00960D92">
            <w:pPr>
              <w:widowControl w:val="0"/>
              <w:autoSpaceDE w:val="0"/>
              <w:autoSpaceDN w:val="0"/>
              <w:adjustRightInd w:val="0"/>
              <w:spacing w:after="0"/>
              <w:jc w:val="center"/>
              <w:rPr>
                <w:sz w:val="18"/>
                <w:szCs w:val="18"/>
                <w:lang w:eastAsia="en-US"/>
              </w:rPr>
            </w:pPr>
            <w:r w:rsidRPr="00EA6851">
              <w:rPr>
                <w:sz w:val="18"/>
                <w:szCs w:val="18"/>
                <w:lang w:eastAsia="en-US"/>
              </w:rPr>
              <w:t>219 712</w:t>
            </w:r>
          </w:p>
        </w:tc>
        <w:tc>
          <w:tcPr>
            <w:tcW w:w="595" w:type="pct"/>
            <w:shd w:val="clear" w:color="auto" w:fill="auto"/>
          </w:tcPr>
          <w:p w:rsidR="003A5772" w:rsidRPr="00EA6851" w:rsidRDefault="003A5772" w:rsidP="00960D92">
            <w:pPr>
              <w:widowControl w:val="0"/>
              <w:autoSpaceDE w:val="0"/>
              <w:autoSpaceDN w:val="0"/>
              <w:adjustRightInd w:val="0"/>
              <w:spacing w:after="0"/>
              <w:jc w:val="center"/>
              <w:rPr>
                <w:sz w:val="18"/>
                <w:szCs w:val="18"/>
                <w:lang w:eastAsia="en-US"/>
              </w:rPr>
            </w:pPr>
            <w:r w:rsidRPr="00EA6851">
              <w:rPr>
                <w:sz w:val="18"/>
                <w:szCs w:val="18"/>
                <w:lang w:eastAsia="en-US"/>
              </w:rPr>
              <w:t>202 070</w:t>
            </w:r>
          </w:p>
        </w:tc>
        <w:tc>
          <w:tcPr>
            <w:tcW w:w="596" w:type="pct"/>
            <w:shd w:val="clear" w:color="auto" w:fill="auto"/>
          </w:tcPr>
          <w:p w:rsidR="003A5772" w:rsidRPr="00EA6851" w:rsidRDefault="003A5772" w:rsidP="00960D92">
            <w:pPr>
              <w:widowControl w:val="0"/>
              <w:autoSpaceDE w:val="0"/>
              <w:autoSpaceDN w:val="0"/>
              <w:adjustRightInd w:val="0"/>
              <w:spacing w:after="0"/>
              <w:jc w:val="center"/>
              <w:rPr>
                <w:sz w:val="18"/>
                <w:szCs w:val="18"/>
                <w:lang w:eastAsia="en-US"/>
              </w:rPr>
            </w:pPr>
            <w:r w:rsidRPr="00EA6851">
              <w:rPr>
                <w:sz w:val="18"/>
                <w:szCs w:val="18"/>
                <w:lang w:eastAsia="en-US"/>
              </w:rPr>
              <w:t>202 070</w:t>
            </w:r>
          </w:p>
        </w:tc>
        <w:tc>
          <w:tcPr>
            <w:tcW w:w="584" w:type="pct"/>
            <w:shd w:val="clear" w:color="auto" w:fill="auto"/>
          </w:tcPr>
          <w:p w:rsidR="003A5772" w:rsidRPr="00EA6851" w:rsidRDefault="003A5772" w:rsidP="00960D92">
            <w:pPr>
              <w:widowControl w:val="0"/>
              <w:autoSpaceDE w:val="0"/>
              <w:autoSpaceDN w:val="0"/>
              <w:adjustRightInd w:val="0"/>
              <w:spacing w:after="0"/>
              <w:jc w:val="center"/>
              <w:rPr>
                <w:sz w:val="18"/>
                <w:szCs w:val="18"/>
                <w:lang w:eastAsia="en-US"/>
              </w:rPr>
            </w:pPr>
            <w:r w:rsidRPr="00EA6851">
              <w:rPr>
                <w:sz w:val="18"/>
                <w:szCs w:val="18"/>
                <w:lang w:eastAsia="en-US"/>
              </w:rPr>
              <w:t>202 070</w:t>
            </w:r>
          </w:p>
        </w:tc>
      </w:tr>
      <w:tr w:rsidR="003A5772" w:rsidRPr="00EA6851" w:rsidTr="007945B3">
        <w:trPr>
          <w:trHeight w:val="229"/>
        </w:trPr>
        <w:tc>
          <w:tcPr>
            <w:tcW w:w="2045" w:type="pct"/>
            <w:shd w:val="clear" w:color="auto" w:fill="auto"/>
          </w:tcPr>
          <w:p w:rsidR="003A5772" w:rsidRPr="00EA6851" w:rsidRDefault="003A5772" w:rsidP="003A5772">
            <w:pPr>
              <w:autoSpaceDE w:val="0"/>
              <w:autoSpaceDN w:val="0"/>
              <w:rPr>
                <w:sz w:val="18"/>
                <w:szCs w:val="18"/>
                <w:lang w:eastAsia="en-US"/>
              </w:rPr>
            </w:pPr>
            <w:r w:rsidRPr="00EA6851">
              <w:rPr>
                <w:sz w:val="18"/>
                <w:szCs w:val="18"/>
              </w:rPr>
              <w:t>- подобрено пречистване на отпадъчни води;</w:t>
            </w:r>
          </w:p>
        </w:tc>
        <w:tc>
          <w:tcPr>
            <w:tcW w:w="592" w:type="pct"/>
            <w:shd w:val="clear" w:color="auto" w:fill="F2F2F2" w:themeFill="background1" w:themeFillShade="F2"/>
            <w:vAlign w:val="center"/>
          </w:tcPr>
          <w:p w:rsidR="003A5772" w:rsidRPr="00EA6851" w:rsidRDefault="003A5772" w:rsidP="003A5772">
            <w:pPr>
              <w:widowControl w:val="0"/>
              <w:autoSpaceDE w:val="0"/>
              <w:autoSpaceDN w:val="0"/>
              <w:adjustRightInd w:val="0"/>
              <w:spacing w:after="0"/>
              <w:jc w:val="center"/>
              <w:rPr>
                <w:sz w:val="18"/>
                <w:szCs w:val="18"/>
                <w:lang w:eastAsia="en-US"/>
              </w:rPr>
            </w:pPr>
          </w:p>
        </w:tc>
        <w:tc>
          <w:tcPr>
            <w:tcW w:w="588" w:type="pct"/>
            <w:shd w:val="clear" w:color="auto" w:fill="auto"/>
          </w:tcPr>
          <w:p w:rsidR="003A5772" w:rsidRPr="00EA6851" w:rsidRDefault="003A5772" w:rsidP="00960D92">
            <w:pPr>
              <w:widowControl w:val="0"/>
              <w:autoSpaceDE w:val="0"/>
              <w:autoSpaceDN w:val="0"/>
              <w:adjustRightInd w:val="0"/>
              <w:spacing w:after="0"/>
              <w:jc w:val="center"/>
              <w:rPr>
                <w:sz w:val="18"/>
                <w:szCs w:val="18"/>
                <w:lang w:eastAsia="en-US"/>
              </w:rPr>
            </w:pPr>
            <w:r w:rsidRPr="00EA6851">
              <w:rPr>
                <w:sz w:val="18"/>
                <w:szCs w:val="18"/>
                <w:lang w:eastAsia="en-US"/>
              </w:rPr>
              <w:t>121 690</w:t>
            </w:r>
          </w:p>
        </w:tc>
        <w:tc>
          <w:tcPr>
            <w:tcW w:w="595" w:type="pct"/>
            <w:shd w:val="clear" w:color="auto" w:fill="auto"/>
          </w:tcPr>
          <w:p w:rsidR="003A5772" w:rsidRPr="00EA6851" w:rsidRDefault="003A5772" w:rsidP="00960D92">
            <w:pPr>
              <w:widowControl w:val="0"/>
              <w:autoSpaceDE w:val="0"/>
              <w:autoSpaceDN w:val="0"/>
              <w:adjustRightInd w:val="0"/>
              <w:spacing w:after="0"/>
              <w:jc w:val="center"/>
              <w:rPr>
                <w:sz w:val="18"/>
                <w:szCs w:val="18"/>
                <w:lang w:eastAsia="en-US"/>
              </w:rPr>
            </w:pPr>
            <w:r w:rsidRPr="00EA6851">
              <w:rPr>
                <w:sz w:val="18"/>
                <w:szCs w:val="18"/>
                <w:lang w:eastAsia="en-US"/>
              </w:rPr>
              <w:t>121 000</w:t>
            </w:r>
          </w:p>
        </w:tc>
        <w:tc>
          <w:tcPr>
            <w:tcW w:w="596" w:type="pct"/>
            <w:shd w:val="clear" w:color="auto" w:fill="auto"/>
          </w:tcPr>
          <w:p w:rsidR="003A5772" w:rsidRPr="00EA6851" w:rsidRDefault="003A5772" w:rsidP="00960D92">
            <w:pPr>
              <w:widowControl w:val="0"/>
              <w:autoSpaceDE w:val="0"/>
              <w:autoSpaceDN w:val="0"/>
              <w:adjustRightInd w:val="0"/>
              <w:spacing w:after="0"/>
              <w:jc w:val="center"/>
              <w:rPr>
                <w:sz w:val="18"/>
                <w:szCs w:val="18"/>
                <w:lang w:eastAsia="en-US"/>
              </w:rPr>
            </w:pPr>
            <w:r w:rsidRPr="00EA6851">
              <w:rPr>
                <w:sz w:val="18"/>
                <w:szCs w:val="18"/>
                <w:lang w:eastAsia="en-US"/>
              </w:rPr>
              <w:t>121 000</w:t>
            </w:r>
          </w:p>
        </w:tc>
        <w:tc>
          <w:tcPr>
            <w:tcW w:w="584" w:type="pct"/>
            <w:shd w:val="clear" w:color="auto" w:fill="auto"/>
          </w:tcPr>
          <w:p w:rsidR="003A5772" w:rsidRPr="00EA6851" w:rsidRDefault="003A5772" w:rsidP="00960D92">
            <w:pPr>
              <w:widowControl w:val="0"/>
              <w:autoSpaceDE w:val="0"/>
              <w:autoSpaceDN w:val="0"/>
              <w:adjustRightInd w:val="0"/>
              <w:spacing w:after="0"/>
              <w:jc w:val="center"/>
              <w:rPr>
                <w:sz w:val="18"/>
                <w:szCs w:val="18"/>
                <w:lang w:eastAsia="en-US"/>
              </w:rPr>
            </w:pPr>
            <w:r w:rsidRPr="00EA6851">
              <w:rPr>
                <w:sz w:val="18"/>
                <w:szCs w:val="18"/>
                <w:lang w:eastAsia="en-US"/>
              </w:rPr>
              <w:t>121 000</w:t>
            </w:r>
          </w:p>
        </w:tc>
      </w:tr>
      <w:tr w:rsidR="003A5772" w:rsidRPr="00EA6851" w:rsidTr="00306D54">
        <w:trPr>
          <w:trHeight w:val="319"/>
        </w:trPr>
        <w:tc>
          <w:tcPr>
            <w:tcW w:w="2045" w:type="pct"/>
            <w:shd w:val="clear" w:color="auto" w:fill="auto"/>
          </w:tcPr>
          <w:p w:rsidR="003A5772" w:rsidRPr="00EA6851" w:rsidRDefault="003A5772" w:rsidP="003A5772">
            <w:pPr>
              <w:rPr>
                <w:lang w:eastAsia="en-US"/>
              </w:rPr>
            </w:pPr>
            <w:r w:rsidRPr="00EA6851">
              <w:rPr>
                <w:sz w:val="18"/>
                <w:szCs w:val="18"/>
              </w:rPr>
              <w:t>- защита от наводнения</w:t>
            </w:r>
          </w:p>
        </w:tc>
        <w:tc>
          <w:tcPr>
            <w:tcW w:w="592" w:type="pct"/>
            <w:shd w:val="clear" w:color="auto" w:fill="F2F2F2" w:themeFill="background1" w:themeFillShade="F2"/>
            <w:vAlign w:val="center"/>
          </w:tcPr>
          <w:p w:rsidR="003A5772" w:rsidRPr="00EA6851" w:rsidRDefault="003A5772" w:rsidP="003A5772">
            <w:pPr>
              <w:widowControl w:val="0"/>
              <w:autoSpaceDE w:val="0"/>
              <w:autoSpaceDN w:val="0"/>
              <w:adjustRightInd w:val="0"/>
              <w:spacing w:after="0"/>
              <w:jc w:val="center"/>
              <w:rPr>
                <w:sz w:val="18"/>
                <w:szCs w:val="18"/>
                <w:lang w:eastAsia="en-US"/>
              </w:rPr>
            </w:pPr>
          </w:p>
        </w:tc>
        <w:tc>
          <w:tcPr>
            <w:tcW w:w="588" w:type="pct"/>
            <w:shd w:val="clear" w:color="auto" w:fill="auto"/>
          </w:tcPr>
          <w:p w:rsidR="003A5772" w:rsidRPr="00EA6851" w:rsidRDefault="003A5772" w:rsidP="00960D92">
            <w:pPr>
              <w:jc w:val="center"/>
              <w:rPr>
                <w:lang w:eastAsia="en-US"/>
              </w:rPr>
            </w:pPr>
            <w:r w:rsidRPr="00EA6851">
              <w:rPr>
                <w:sz w:val="18"/>
                <w:szCs w:val="18"/>
                <w:lang w:eastAsia="en-US"/>
              </w:rPr>
              <w:t>323 470</w:t>
            </w:r>
          </w:p>
        </w:tc>
        <w:tc>
          <w:tcPr>
            <w:tcW w:w="595" w:type="pct"/>
            <w:shd w:val="clear" w:color="auto" w:fill="auto"/>
          </w:tcPr>
          <w:p w:rsidR="003A5772" w:rsidRPr="00EA6851" w:rsidRDefault="003A5772" w:rsidP="00960D92">
            <w:pPr>
              <w:jc w:val="center"/>
              <w:rPr>
                <w:lang w:eastAsia="en-US"/>
              </w:rPr>
            </w:pPr>
            <w:r w:rsidRPr="00EA6851">
              <w:rPr>
                <w:sz w:val="18"/>
                <w:szCs w:val="18"/>
                <w:lang w:eastAsia="en-US"/>
              </w:rPr>
              <w:t>255 660</w:t>
            </w:r>
          </w:p>
        </w:tc>
        <w:tc>
          <w:tcPr>
            <w:tcW w:w="596" w:type="pct"/>
            <w:shd w:val="clear" w:color="auto" w:fill="auto"/>
          </w:tcPr>
          <w:p w:rsidR="003A5772" w:rsidRPr="00EA6851" w:rsidRDefault="003A5772" w:rsidP="00960D92">
            <w:pPr>
              <w:widowControl w:val="0"/>
              <w:autoSpaceDE w:val="0"/>
              <w:autoSpaceDN w:val="0"/>
              <w:adjustRightInd w:val="0"/>
              <w:spacing w:after="0"/>
              <w:jc w:val="center"/>
              <w:rPr>
                <w:sz w:val="18"/>
                <w:szCs w:val="18"/>
                <w:lang w:eastAsia="en-US"/>
              </w:rPr>
            </w:pPr>
            <w:r w:rsidRPr="00EA6851">
              <w:rPr>
                <w:sz w:val="18"/>
                <w:szCs w:val="18"/>
                <w:lang w:eastAsia="en-US"/>
              </w:rPr>
              <w:t>255 660</w:t>
            </w:r>
          </w:p>
        </w:tc>
        <w:tc>
          <w:tcPr>
            <w:tcW w:w="584" w:type="pct"/>
            <w:shd w:val="clear" w:color="auto" w:fill="auto"/>
          </w:tcPr>
          <w:p w:rsidR="003A5772" w:rsidRPr="00EA6851" w:rsidRDefault="003A5772" w:rsidP="00960D92">
            <w:pPr>
              <w:widowControl w:val="0"/>
              <w:autoSpaceDE w:val="0"/>
              <w:autoSpaceDN w:val="0"/>
              <w:adjustRightInd w:val="0"/>
              <w:spacing w:after="0"/>
              <w:jc w:val="center"/>
              <w:rPr>
                <w:sz w:val="18"/>
                <w:szCs w:val="18"/>
                <w:lang w:eastAsia="en-US"/>
              </w:rPr>
            </w:pPr>
            <w:r w:rsidRPr="00EA6851">
              <w:rPr>
                <w:sz w:val="18"/>
                <w:szCs w:val="18"/>
                <w:lang w:eastAsia="en-US"/>
              </w:rPr>
              <w:t>255 660</w:t>
            </w:r>
          </w:p>
        </w:tc>
      </w:tr>
      <w:tr w:rsidR="003A5772" w:rsidRPr="00EA6851" w:rsidTr="007945B3">
        <w:trPr>
          <w:trHeight w:val="760"/>
        </w:trPr>
        <w:tc>
          <w:tcPr>
            <w:tcW w:w="2045" w:type="pct"/>
            <w:shd w:val="clear" w:color="auto" w:fill="auto"/>
            <w:hideMark/>
          </w:tcPr>
          <w:p w:rsidR="003A5772" w:rsidRPr="00EA6851" w:rsidRDefault="003A5772" w:rsidP="003A5772">
            <w:pPr>
              <w:widowControl w:val="0"/>
              <w:autoSpaceDE w:val="0"/>
              <w:autoSpaceDN w:val="0"/>
              <w:adjustRightInd w:val="0"/>
              <w:spacing w:after="0"/>
              <w:jc w:val="left"/>
              <w:rPr>
                <w:sz w:val="18"/>
                <w:szCs w:val="18"/>
                <w:lang w:eastAsia="en-US"/>
              </w:rPr>
            </w:pPr>
            <w:r w:rsidRPr="00EA6851">
              <w:rPr>
                <w:sz w:val="18"/>
                <w:szCs w:val="18"/>
                <w:lang w:eastAsia="en-US"/>
              </w:rPr>
              <w:t>2. Допълнителен капацитет за оползотворяване/рециклиране на отпадъци**</w:t>
            </w:r>
          </w:p>
        </w:tc>
        <w:tc>
          <w:tcPr>
            <w:tcW w:w="592" w:type="pct"/>
            <w:shd w:val="clear" w:color="auto" w:fill="F2F2F2" w:themeFill="background1" w:themeFillShade="F2"/>
            <w:vAlign w:val="center"/>
            <w:hideMark/>
          </w:tcPr>
          <w:p w:rsidR="003A5772" w:rsidRPr="00EA6851" w:rsidRDefault="003A5772" w:rsidP="003A5772">
            <w:pPr>
              <w:widowControl w:val="0"/>
              <w:autoSpaceDE w:val="0"/>
              <w:autoSpaceDN w:val="0"/>
              <w:adjustRightInd w:val="0"/>
              <w:spacing w:after="0"/>
              <w:jc w:val="center"/>
              <w:rPr>
                <w:sz w:val="18"/>
                <w:szCs w:val="18"/>
                <w:lang w:eastAsia="en-US"/>
              </w:rPr>
            </w:pPr>
            <w:r w:rsidRPr="00EA6851">
              <w:rPr>
                <w:sz w:val="18"/>
                <w:szCs w:val="18"/>
                <w:lang w:eastAsia="en-US"/>
              </w:rPr>
              <w:t>Тона</w:t>
            </w:r>
          </w:p>
        </w:tc>
        <w:tc>
          <w:tcPr>
            <w:tcW w:w="588" w:type="pct"/>
            <w:shd w:val="clear" w:color="auto" w:fill="auto"/>
            <w:vAlign w:val="center"/>
          </w:tcPr>
          <w:p w:rsidR="003A5772" w:rsidRPr="00EA6851" w:rsidRDefault="003A5772" w:rsidP="00960D92">
            <w:pPr>
              <w:widowControl w:val="0"/>
              <w:autoSpaceDE w:val="0"/>
              <w:autoSpaceDN w:val="0"/>
              <w:adjustRightInd w:val="0"/>
              <w:spacing w:after="0"/>
              <w:jc w:val="center"/>
              <w:rPr>
                <w:sz w:val="18"/>
                <w:szCs w:val="18"/>
                <w:lang w:eastAsia="en-US"/>
              </w:rPr>
            </w:pPr>
            <w:r w:rsidRPr="00EA6851">
              <w:rPr>
                <w:sz w:val="18"/>
                <w:szCs w:val="18"/>
                <w:lang w:eastAsia="en-US"/>
              </w:rPr>
              <w:t>150 000</w:t>
            </w:r>
          </w:p>
        </w:tc>
        <w:tc>
          <w:tcPr>
            <w:tcW w:w="595" w:type="pct"/>
            <w:shd w:val="clear" w:color="auto" w:fill="auto"/>
            <w:vAlign w:val="center"/>
          </w:tcPr>
          <w:p w:rsidR="003A5772" w:rsidRPr="00EA6851" w:rsidRDefault="003A5772" w:rsidP="00960D92">
            <w:pPr>
              <w:widowControl w:val="0"/>
              <w:autoSpaceDE w:val="0"/>
              <w:autoSpaceDN w:val="0"/>
              <w:adjustRightInd w:val="0"/>
              <w:spacing w:after="0"/>
              <w:jc w:val="center"/>
              <w:rPr>
                <w:sz w:val="18"/>
                <w:szCs w:val="18"/>
                <w:lang w:eastAsia="en-US"/>
              </w:rPr>
            </w:pPr>
            <w:r w:rsidRPr="00EA6851">
              <w:rPr>
                <w:sz w:val="18"/>
                <w:szCs w:val="18"/>
                <w:lang w:eastAsia="en-US"/>
              </w:rPr>
              <w:t>55 000</w:t>
            </w:r>
          </w:p>
        </w:tc>
        <w:tc>
          <w:tcPr>
            <w:tcW w:w="596" w:type="pct"/>
            <w:shd w:val="clear" w:color="auto" w:fill="auto"/>
            <w:vAlign w:val="center"/>
          </w:tcPr>
          <w:p w:rsidR="003A5772" w:rsidRPr="00EA6851" w:rsidRDefault="003A5772" w:rsidP="00960D92">
            <w:pPr>
              <w:widowControl w:val="0"/>
              <w:autoSpaceDE w:val="0"/>
              <w:autoSpaceDN w:val="0"/>
              <w:adjustRightInd w:val="0"/>
              <w:spacing w:after="0"/>
              <w:jc w:val="center"/>
              <w:rPr>
                <w:sz w:val="18"/>
                <w:szCs w:val="18"/>
                <w:lang w:eastAsia="en-US"/>
              </w:rPr>
            </w:pPr>
            <w:r w:rsidRPr="00EA6851">
              <w:rPr>
                <w:sz w:val="18"/>
                <w:szCs w:val="18"/>
                <w:lang w:eastAsia="en-US"/>
              </w:rPr>
              <w:t>55 000</w:t>
            </w:r>
          </w:p>
        </w:tc>
        <w:tc>
          <w:tcPr>
            <w:tcW w:w="584" w:type="pct"/>
            <w:shd w:val="clear" w:color="auto" w:fill="auto"/>
            <w:vAlign w:val="center"/>
          </w:tcPr>
          <w:p w:rsidR="003A5772" w:rsidRPr="00EA6851" w:rsidRDefault="003A5772" w:rsidP="00960D92">
            <w:pPr>
              <w:widowControl w:val="0"/>
              <w:autoSpaceDE w:val="0"/>
              <w:autoSpaceDN w:val="0"/>
              <w:adjustRightInd w:val="0"/>
              <w:spacing w:after="0"/>
              <w:jc w:val="center"/>
              <w:rPr>
                <w:sz w:val="18"/>
                <w:szCs w:val="18"/>
                <w:lang w:eastAsia="en-US"/>
              </w:rPr>
            </w:pPr>
            <w:r w:rsidRPr="00EA6851">
              <w:rPr>
                <w:sz w:val="18"/>
                <w:szCs w:val="18"/>
                <w:lang w:eastAsia="en-US"/>
              </w:rPr>
              <w:t>55 000</w:t>
            </w:r>
          </w:p>
        </w:tc>
      </w:tr>
      <w:tr w:rsidR="003A5772" w:rsidRPr="00EA6851" w:rsidTr="007945B3">
        <w:trPr>
          <w:trHeight w:val="544"/>
        </w:trPr>
        <w:tc>
          <w:tcPr>
            <w:tcW w:w="2045" w:type="pct"/>
            <w:shd w:val="clear" w:color="auto" w:fill="auto"/>
            <w:hideMark/>
          </w:tcPr>
          <w:p w:rsidR="003A5772" w:rsidRPr="00EA6851" w:rsidRDefault="003A5772" w:rsidP="003A5772">
            <w:pPr>
              <w:widowControl w:val="0"/>
              <w:autoSpaceDE w:val="0"/>
              <w:autoSpaceDN w:val="0"/>
              <w:adjustRightInd w:val="0"/>
              <w:spacing w:after="0"/>
              <w:jc w:val="left"/>
              <w:rPr>
                <w:sz w:val="18"/>
                <w:szCs w:val="18"/>
                <w:lang w:eastAsia="en-US"/>
              </w:rPr>
            </w:pPr>
            <w:r w:rsidRPr="00EA6851">
              <w:rPr>
                <w:sz w:val="18"/>
                <w:szCs w:val="18"/>
                <w:lang w:eastAsia="en-US"/>
              </w:rPr>
              <w:t>3. Население с подобрено качество на атмосферния въздух (за замърсител ФПЧ10)</w:t>
            </w:r>
          </w:p>
        </w:tc>
        <w:tc>
          <w:tcPr>
            <w:tcW w:w="592" w:type="pct"/>
            <w:shd w:val="clear" w:color="auto" w:fill="F2F2F2" w:themeFill="background1" w:themeFillShade="F2"/>
            <w:vAlign w:val="center"/>
            <w:hideMark/>
          </w:tcPr>
          <w:p w:rsidR="003A5772" w:rsidRPr="00EA6851" w:rsidRDefault="003A5772" w:rsidP="003A5772">
            <w:pPr>
              <w:widowControl w:val="0"/>
              <w:autoSpaceDE w:val="0"/>
              <w:autoSpaceDN w:val="0"/>
              <w:adjustRightInd w:val="0"/>
              <w:spacing w:after="0"/>
              <w:jc w:val="center"/>
              <w:rPr>
                <w:sz w:val="18"/>
                <w:szCs w:val="18"/>
                <w:lang w:eastAsia="en-US"/>
              </w:rPr>
            </w:pPr>
            <w:r w:rsidRPr="00EA6851">
              <w:rPr>
                <w:sz w:val="18"/>
                <w:szCs w:val="18"/>
                <w:lang w:eastAsia="en-US"/>
              </w:rPr>
              <w:t>Бр. жители</w:t>
            </w:r>
          </w:p>
        </w:tc>
        <w:tc>
          <w:tcPr>
            <w:tcW w:w="588" w:type="pct"/>
            <w:shd w:val="clear" w:color="auto" w:fill="auto"/>
            <w:vAlign w:val="center"/>
          </w:tcPr>
          <w:p w:rsidR="003A5772" w:rsidRPr="00EA6851" w:rsidRDefault="003A5772" w:rsidP="00960D92">
            <w:pPr>
              <w:widowControl w:val="0"/>
              <w:autoSpaceDE w:val="0"/>
              <w:autoSpaceDN w:val="0"/>
              <w:adjustRightInd w:val="0"/>
              <w:spacing w:after="0"/>
              <w:jc w:val="center"/>
              <w:rPr>
                <w:sz w:val="18"/>
                <w:szCs w:val="18"/>
                <w:lang w:eastAsia="en-US"/>
              </w:rPr>
            </w:pPr>
            <w:r w:rsidRPr="00EA6851">
              <w:rPr>
                <w:sz w:val="18"/>
                <w:szCs w:val="18"/>
                <w:lang w:eastAsia="en-US"/>
              </w:rPr>
              <w:t>728 205</w:t>
            </w:r>
          </w:p>
        </w:tc>
        <w:tc>
          <w:tcPr>
            <w:tcW w:w="595" w:type="pct"/>
            <w:shd w:val="clear" w:color="auto" w:fill="auto"/>
            <w:vAlign w:val="center"/>
          </w:tcPr>
          <w:p w:rsidR="003A5772" w:rsidRPr="00EA6851" w:rsidRDefault="003A5772" w:rsidP="00960D92">
            <w:pPr>
              <w:widowControl w:val="0"/>
              <w:autoSpaceDE w:val="0"/>
              <w:autoSpaceDN w:val="0"/>
              <w:adjustRightInd w:val="0"/>
              <w:spacing w:after="0"/>
              <w:jc w:val="center"/>
              <w:rPr>
                <w:sz w:val="18"/>
                <w:szCs w:val="18"/>
                <w:lang w:eastAsia="en-US"/>
              </w:rPr>
            </w:pPr>
            <w:r w:rsidRPr="00EA6851">
              <w:rPr>
                <w:sz w:val="18"/>
                <w:szCs w:val="18"/>
                <w:lang w:eastAsia="en-US"/>
              </w:rPr>
              <w:t>788 713</w:t>
            </w:r>
          </w:p>
        </w:tc>
        <w:tc>
          <w:tcPr>
            <w:tcW w:w="596" w:type="pct"/>
            <w:shd w:val="clear" w:color="auto" w:fill="auto"/>
            <w:vAlign w:val="center"/>
          </w:tcPr>
          <w:p w:rsidR="003A5772" w:rsidRPr="00EA6851" w:rsidRDefault="003A5772" w:rsidP="00960D92">
            <w:pPr>
              <w:widowControl w:val="0"/>
              <w:autoSpaceDE w:val="0"/>
              <w:autoSpaceDN w:val="0"/>
              <w:adjustRightInd w:val="0"/>
              <w:spacing w:after="0"/>
              <w:jc w:val="center"/>
              <w:rPr>
                <w:sz w:val="18"/>
                <w:szCs w:val="18"/>
                <w:lang w:eastAsia="en-US"/>
              </w:rPr>
            </w:pPr>
            <w:r w:rsidRPr="00EA6851">
              <w:rPr>
                <w:sz w:val="18"/>
                <w:szCs w:val="18"/>
                <w:lang w:eastAsia="en-US"/>
              </w:rPr>
              <w:t>2 929 749*</w:t>
            </w:r>
          </w:p>
        </w:tc>
        <w:tc>
          <w:tcPr>
            <w:tcW w:w="584" w:type="pct"/>
            <w:shd w:val="clear" w:color="auto" w:fill="auto"/>
            <w:vAlign w:val="center"/>
          </w:tcPr>
          <w:p w:rsidR="003A5772" w:rsidRPr="00EA6851" w:rsidRDefault="003A5772" w:rsidP="00960D92">
            <w:pPr>
              <w:widowControl w:val="0"/>
              <w:autoSpaceDE w:val="0"/>
              <w:autoSpaceDN w:val="0"/>
              <w:adjustRightInd w:val="0"/>
              <w:spacing w:after="0"/>
              <w:jc w:val="center"/>
              <w:rPr>
                <w:sz w:val="18"/>
                <w:szCs w:val="18"/>
                <w:lang w:eastAsia="en-US"/>
              </w:rPr>
            </w:pPr>
            <w:r w:rsidRPr="00EA6851">
              <w:rPr>
                <w:sz w:val="18"/>
                <w:szCs w:val="18"/>
                <w:lang w:eastAsia="en-US"/>
              </w:rPr>
              <w:t>2 929 749*</w:t>
            </w:r>
          </w:p>
        </w:tc>
      </w:tr>
      <w:tr w:rsidR="003A5772" w:rsidRPr="00EA6851" w:rsidTr="00306D54">
        <w:trPr>
          <w:trHeight w:val="270"/>
        </w:trPr>
        <w:tc>
          <w:tcPr>
            <w:tcW w:w="2045" w:type="pct"/>
            <w:shd w:val="clear" w:color="auto" w:fill="auto"/>
            <w:hideMark/>
          </w:tcPr>
          <w:p w:rsidR="003A5772" w:rsidRPr="00EA6851" w:rsidRDefault="003A5772" w:rsidP="003A5772">
            <w:pPr>
              <w:widowControl w:val="0"/>
              <w:autoSpaceDE w:val="0"/>
              <w:autoSpaceDN w:val="0"/>
              <w:adjustRightInd w:val="0"/>
              <w:spacing w:after="0"/>
              <w:jc w:val="left"/>
              <w:rPr>
                <w:sz w:val="18"/>
                <w:szCs w:val="18"/>
                <w:lang w:eastAsia="en-US"/>
              </w:rPr>
            </w:pPr>
            <w:r w:rsidRPr="00EA6851">
              <w:rPr>
                <w:sz w:val="18"/>
                <w:szCs w:val="18"/>
                <w:lang w:eastAsia="en-US"/>
              </w:rPr>
              <w:t>4. Спестени емисии на парникови газове от подкрепени проекти, подпомагащи смекчаването на неблагоприятните климатични промени</w:t>
            </w:r>
          </w:p>
        </w:tc>
        <w:tc>
          <w:tcPr>
            <w:tcW w:w="592" w:type="pct"/>
            <w:shd w:val="clear" w:color="auto" w:fill="F2F2F2" w:themeFill="background1" w:themeFillShade="F2"/>
            <w:vAlign w:val="center"/>
            <w:hideMark/>
          </w:tcPr>
          <w:p w:rsidR="003A5772" w:rsidRPr="00EA6851" w:rsidRDefault="003A5772" w:rsidP="003A5772">
            <w:pPr>
              <w:widowControl w:val="0"/>
              <w:autoSpaceDE w:val="0"/>
              <w:autoSpaceDN w:val="0"/>
              <w:adjustRightInd w:val="0"/>
              <w:spacing w:after="0"/>
              <w:jc w:val="center"/>
              <w:rPr>
                <w:sz w:val="18"/>
                <w:szCs w:val="18"/>
                <w:lang w:eastAsia="en-US"/>
              </w:rPr>
            </w:pPr>
            <w:r w:rsidRPr="00EA6851">
              <w:rPr>
                <w:sz w:val="18"/>
                <w:szCs w:val="18"/>
                <w:lang w:eastAsia="en-US"/>
              </w:rPr>
              <w:t>tCO2eq*</w:t>
            </w:r>
            <w:r w:rsidRPr="00EA6851">
              <w:rPr>
                <w:bCs/>
                <w:sz w:val="18"/>
                <w:szCs w:val="18"/>
                <w:lang w:eastAsia="en-US"/>
              </w:rPr>
              <w:t>*</w:t>
            </w:r>
          </w:p>
        </w:tc>
        <w:tc>
          <w:tcPr>
            <w:tcW w:w="588" w:type="pct"/>
            <w:shd w:val="clear" w:color="auto" w:fill="auto"/>
            <w:vAlign w:val="center"/>
          </w:tcPr>
          <w:p w:rsidR="003A5772" w:rsidRPr="00EA6851" w:rsidRDefault="003A5772" w:rsidP="00960D92">
            <w:pPr>
              <w:widowControl w:val="0"/>
              <w:autoSpaceDE w:val="0"/>
              <w:autoSpaceDN w:val="0"/>
              <w:adjustRightInd w:val="0"/>
              <w:spacing w:after="0"/>
              <w:jc w:val="center"/>
              <w:rPr>
                <w:sz w:val="18"/>
                <w:szCs w:val="18"/>
                <w:lang w:eastAsia="en-US"/>
              </w:rPr>
            </w:pPr>
            <w:r w:rsidRPr="00EA6851">
              <w:rPr>
                <w:sz w:val="18"/>
                <w:szCs w:val="18"/>
                <w:lang w:eastAsia="en-US"/>
              </w:rPr>
              <w:t>660 000</w:t>
            </w:r>
          </w:p>
        </w:tc>
        <w:tc>
          <w:tcPr>
            <w:tcW w:w="595" w:type="pct"/>
            <w:shd w:val="clear" w:color="auto" w:fill="auto"/>
            <w:vAlign w:val="center"/>
          </w:tcPr>
          <w:p w:rsidR="003A5772" w:rsidRPr="00EA6851" w:rsidRDefault="003A5772" w:rsidP="00960D92">
            <w:pPr>
              <w:widowControl w:val="0"/>
              <w:autoSpaceDE w:val="0"/>
              <w:autoSpaceDN w:val="0"/>
              <w:adjustRightInd w:val="0"/>
              <w:spacing w:after="0"/>
              <w:jc w:val="center"/>
              <w:rPr>
                <w:sz w:val="18"/>
                <w:szCs w:val="18"/>
                <w:lang w:eastAsia="en-US"/>
              </w:rPr>
            </w:pPr>
            <w:r w:rsidRPr="00EA6851">
              <w:rPr>
                <w:sz w:val="18"/>
                <w:szCs w:val="18"/>
                <w:lang w:eastAsia="en-US"/>
              </w:rPr>
              <w:t>670 000</w:t>
            </w:r>
          </w:p>
        </w:tc>
        <w:tc>
          <w:tcPr>
            <w:tcW w:w="596" w:type="pct"/>
            <w:shd w:val="clear" w:color="auto" w:fill="auto"/>
            <w:vAlign w:val="center"/>
          </w:tcPr>
          <w:p w:rsidR="003A5772" w:rsidRPr="00EA6851" w:rsidRDefault="003A5772" w:rsidP="00960D92">
            <w:pPr>
              <w:widowControl w:val="0"/>
              <w:autoSpaceDE w:val="0"/>
              <w:autoSpaceDN w:val="0"/>
              <w:adjustRightInd w:val="0"/>
              <w:spacing w:after="0"/>
              <w:jc w:val="center"/>
              <w:rPr>
                <w:sz w:val="18"/>
                <w:szCs w:val="18"/>
                <w:lang w:eastAsia="en-US"/>
              </w:rPr>
            </w:pPr>
            <w:r w:rsidRPr="00EA6851">
              <w:rPr>
                <w:sz w:val="18"/>
                <w:szCs w:val="18"/>
                <w:lang w:eastAsia="en-US"/>
              </w:rPr>
              <w:t>680 000</w:t>
            </w:r>
          </w:p>
        </w:tc>
        <w:tc>
          <w:tcPr>
            <w:tcW w:w="584" w:type="pct"/>
            <w:shd w:val="clear" w:color="auto" w:fill="auto"/>
            <w:vAlign w:val="center"/>
          </w:tcPr>
          <w:p w:rsidR="003A5772" w:rsidRPr="00EA6851" w:rsidRDefault="003A5772" w:rsidP="00960D92">
            <w:pPr>
              <w:widowControl w:val="0"/>
              <w:autoSpaceDE w:val="0"/>
              <w:autoSpaceDN w:val="0"/>
              <w:adjustRightInd w:val="0"/>
              <w:spacing w:after="0"/>
              <w:jc w:val="center"/>
              <w:rPr>
                <w:sz w:val="18"/>
                <w:szCs w:val="18"/>
                <w:lang w:eastAsia="en-US"/>
              </w:rPr>
            </w:pPr>
            <w:r w:rsidRPr="00EA6851">
              <w:rPr>
                <w:sz w:val="18"/>
                <w:szCs w:val="18"/>
                <w:lang w:eastAsia="en-US"/>
              </w:rPr>
              <w:t>690 000</w:t>
            </w:r>
          </w:p>
        </w:tc>
      </w:tr>
    </w:tbl>
    <w:p w:rsidR="003A5772" w:rsidRPr="00EA6851" w:rsidRDefault="003A5772" w:rsidP="003A5772">
      <w:pPr>
        <w:rPr>
          <w:i/>
          <w:sz w:val="20"/>
          <w:szCs w:val="20"/>
        </w:rPr>
      </w:pPr>
      <w:r w:rsidRPr="00EA6851">
        <w:rPr>
          <w:noProof/>
          <w:sz w:val="18"/>
          <w:szCs w:val="18"/>
        </w:rPr>
        <w:t xml:space="preserve">* </w:t>
      </w:r>
      <w:r w:rsidRPr="00EA6851">
        <w:rPr>
          <w:i/>
          <w:sz w:val="20"/>
          <w:szCs w:val="20"/>
        </w:rPr>
        <w:t>Целевата стойност е актуализирана въз основа на данни за населението от НСИ към 31.12.2022 г.</w:t>
      </w:r>
    </w:p>
    <w:p w:rsidR="003A5772" w:rsidRPr="00EA6851" w:rsidRDefault="003A5772" w:rsidP="003A5772">
      <w:pPr>
        <w:rPr>
          <w:noProof/>
          <w:sz w:val="18"/>
          <w:szCs w:val="18"/>
        </w:rPr>
      </w:pPr>
      <w:r w:rsidRPr="00EA6851">
        <w:rPr>
          <w:noProof/>
          <w:sz w:val="18"/>
          <w:szCs w:val="18"/>
        </w:rPr>
        <w:t>*</w:t>
      </w:r>
      <w:r w:rsidRPr="00EA6851">
        <w:rPr>
          <w:bCs/>
          <w:noProof/>
          <w:sz w:val="18"/>
          <w:szCs w:val="18"/>
        </w:rPr>
        <w:t>**</w:t>
      </w:r>
      <w:r w:rsidRPr="00EA6851">
        <w:rPr>
          <w:noProof/>
          <w:sz w:val="18"/>
          <w:szCs w:val="18"/>
        </w:rPr>
        <w:t xml:space="preserve"> tCO2eq - тон еквивалент въглероден диоксид.</w:t>
      </w:r>
    </w:p>
    <w:p w:rsidR="003A5772" w:rsidRPr="00EA6851" w:rsidRDefault="003A5772" w:rsidP="003A5772">
      <w:pPr>
        <w:pStyle w:val="Heading4"/>
      </w:pPr>
      <w:r w:rsidRPr="00EA6851">
        <w:t xml:space="preserve">Политика в областта на Националната система за мониторинг на околната среда и информационна обезпеченост </w:t>
      </w:r>
    </w:p>
    <w:p w:rsidR="003A5772" w:rsidRPr="00EA6851" w:rsidRDefault="003A5772" w:rsidP="003A5772">
      <w:pPr>
        <w:rPr>
          <w:szCs w:val="24"/>
        </w:rPr>
      </w:pPr>
      <w:r w:rsidRPr="00EA6851">
        <w:rPr>
          <w:noProof/>
        </w:rPr>
        <w:t xml:space="preserve">Политиката в областта на Националната система за мониторинг на околната среда и информационна обезпеченост е насочена към осигуряване на мониторинг на околната среда, анализ и оценка на състоянието на компонентите и факторите на околната среда за изготвяне и предоставяне на информация, която да служи за основа за вземане на решения относно ефективността и целесъобразността на провежданите политики в областта на околната среда. </w:t>
      </w:r>
      <w:r w:rsidRPr="00EA6851">
        <w:rPr>
          <w:szCs w:val="24"/>
        </w:rPr>
        <w:t>Основен инструмент на политиката е Националната система за мониторинг на околната среда (НСМОС), чието развитие е насочено към цялостно осигуряване на актуална и достоверна информация за състоянието на околната среда, с което да се гарантира вземането на навременни и ефективни управленски решения, както и към непрекъснато разширяване на обхвата на предоставяната публична информация.</w:t>
      </w:r>
    </w:p>
    <w:p w:rsidR="003A5772" w:rsidRPr="00EA6851" w:rsidRDefault="003A5772" w:rsidP="003A5772">
      <w:pPr>
        <w:spacing w:before="120"/>
        <w:rPr>
          <w:b/>
          <w:noProof/>
          <w:sz w:val="20"/>
          <w:szCs w:val="20"/>
        </w:rPr>
      </w:pPr>
      <w:r w:rsidRPr="00EA6851">
        <w:rPr>
          <w:b/>
          <w:noProof/>
          <w:sz w:val="20"/>
          <w:szCs w:val="20"/>
        </w:rPr>
        <w:t>КЛЮЧОВИ ИНДИКАТОРИ ЗА ИЗПЪЛНЕНИЕ И ЦЕЛЕВИ СТОЙНОСТИ</w:t>
      </w:r>
    </w:p>
    <w:tbl>
      <w:tblPr>
        <w:tblW w:w="5000" w:type="pct"/>
        <w:tblBorders>
          <w:top w:val="single" w:sz="4" w:space="0" w:color="auto"/>
          <w:bottom w:val="single" w:sz="4" w:space="0" w:color="auto"/>
        </w:tblBorders>
        <w:tblLook w:val="04A0" w:firstRow="1" w:lastRow="0" w:firstColumn="1" w:lastColumn="0" w:noHBand="0" w:noVBand="1"/>
      </w:tblPr>
      <w:tblGrid>
        <w:gridCol w:w="3689"/>
        <w:gridCol w:w="1272"/>
        <w:gridCol w:w="996"/>
        <w:gridCol w:w="996"/>
        <w:gridCol w:w="989"/>
        <w:gridCol w:w="1128"/>
      </w:tblGrid>
      <w:tr w:rsidR="003A5772" w:rsidRPr="00EA6851" w:rsidTr="00306D54">
        <w:trPr>
          <w:trHeight w:val="69"/>
          <w:tblHeader/>
        </w:trPr>
        <w:tc>
          <w:tcPr>
            <w:tcW w:w="2034" w:type="pct"/>
            <w:tcBorders>
              <w:top w:val="single" w:sz="4" w:space="0" w:color="auto"/>
              <w:left w:val="nil"/>
              <w:bottom w:val="nil"/>
              <w:right w:val="nil"/>
            </w:tcBorders>
            <w:shd w:val="clear" w:color="auto" w:fill="auto"/>
            <w:vAlign w:val="center"/>
            <w:hideMark/>
          </w:tcPr>
          <w:p w:rsidR="003A5772" w:rsidRPr="00EA6851" w:rsidRDefault="003A5772" w:rsidP="003A5772">
            <w:pPr>
              <w:jc w:val="center"/>
              <w:rPr>
                <w:b/>
                <w:i/>
                <w:iCs/>
                <w:sz w:val="18"/>
                <w:szCs w:val="18"/>
                <w:lang w:eastAsia="en-US"/>
              </w:rPr>
            </w:pPr>
            <w:r w:rsidRPr="00EA6851">
              <w:rPr>
                <w:b/>
                <w:i/>
                <w:iCs/>
                <w:sz w:val="18"/>
                <w:szCs w:val="18"/>
                <w:lang w:eastAsia="en-US"/>
              </w:rPr>
              <w:t>Политика в областта на Националната система за мониторинг на околната среда и информационна обезпеченост</w:t>
            </w:r>
          </w:p>
        </w:tc>
        <w:tc>
          <w:tcPr>
            <w:tcW w:w="701" w:type="pct"/>
            <w:vMerge w:val="restart"/>
            <w:tcBorders>
              <w:top w:val="single" w:sz="4" w:space="0" w:color="auto"/>
              <w:left w:val="nil"/>
              <w:bottom w:val="single" w:sz="4" w:space="0" w:color="auto"/>
              <w:right w:val="nil"/>
            </w:tcBorders>
            <w:shd w:val="clear" w:color="auto" w:fill="F2F2F2" w:themeFill="background1" w:themeFillShade="F2"/>
            <w:vAlign w:val="center"/>
          </w:tcPr>
          <w:p w:rsidR="003A5772" w:rsidRPr="00EA6851" w:rsidRDefault="003A5772" w:rsidP="003A5772">
            <w:pPr>
              <w:jc w:val="center"/>
              <w:rPr>
                <w:sz w:val="18"/>
                <w:szCs w:val="18"/>
                <w:lang w:eastAsia="en-US"/>
              </w:rPr>
            </w:pPr>
          </w:p>
          <w:p w:rsidR="003A5772" w:rsidRPr="00EA6851" w:rsidRDefault="003A5772" w:rsidP="003A5772">
            <w:pPr>
              <w:jc w:val="center"/>
              <w:rPr>
                <w:sz w:val="18"/>
                <w:szCs w:val="18"/>
                <w:lang w:eastAsia="en-US"/>
              </w:rPr>
            </w:pPr>
            <w:r w:rsidRPr="00EA6851">
              <w:rPr>
                <w:b/>
                <w:bCs/>
                <w:sz w:val="18"/>
                <w:szCs w:val="18"/>
                <w:lang w:eastAsia="en-US"/>
              </w:rPr>
              <w:t>Мерна единица</w:t>
            </w:r>
          </w:p>
        </w:tc>
        <w:tc>
          <w:tcPr>
            <w:tcW w:w="2265" w:type="pct"/>
            <w:gridSpan w:val="4"/>
            <w:tcBorders>
              <w:top w:val="single" w:sz="4" w:space="0" w:color="auto"/>
              <w:left w:val="nil"/>
              <w:bottom w:val="single" w:sz="4" w:space="0" w:color="auto"/>
              <w:right w:val="nil"/>
            </w:tcBorders>
            <w:shd w:val="clear" w:color="auto" w:fill="auto"/>
            <w:vAlign w:val="center"/>
            <w:hideMark/>
          </w:tcPr>
          <w:p w:rsidR="003A5772" w:rsidRPr="00EA6851" w:rsidRDefault="003A5772" w:rsidP="003A5772">
            <w:pPr>
              <w:ind w:left="162" w:hanging="162"/>
              <w:jc w:val="center"/>
              <w:rPr>
                <w:b/>
                <w:bCs/>
                <w:sz w:val="18"/>
                <w:szCs w:val="18"/>
                <w:lang w:eastAsia="en-US"/>
              </w:rPr>
            </w:pPr>
            <w:r w:rsidRPr="00EA6851">
              <w:rPr>
                <w:b/>
                <w:bCs/>
                <w:sz w:val="18"/>
                <w:szCs w:val="18"/>
                <w:lang w:eastAsia="en-US"/>
              </w:rPr>
              <w:t>Целева стойност</w:t>
            </w:r>
          </w:p>
        </w:tc>
      </w:tr>
      <w:tr w:rsidR="003A5772" w:rsidRPr="00EA6851" w:rsidTr="00306D54">
        <w:trPr>
          <w:trHeight w:val="60"/>
          <w:tblHeader/>
        </w:trPr>
        <w:tc>
          <w:tcPr>
            <w:tcW w:w="2034" w:type="pct"/>
            <w:tcBorders>
              <w:top w:val="nil"/>
              <w:left w:val="nil"/>
              <w:bottom w:val="single" w:sz="4" w:space="0" w:color="auto"/>
              <w:right w:val="nil"/>
            </w:tcBorders>
            <w:shd w:val="clear" w:color="auto" w:fill="auto"/>
            <w:vAlign w:val="center"/>
            <w:hideMark/>
          </w:tcPr>
          <w:p w:rsidR="003A5772" w:rsidRPr="00EA6851" w:rsidRDefault="003A5772" w:rsidP="003A5772">
            <w:pPr>
              <w:jc w:val="center"/>
              <w:rPr>
                <w:b/>
                <w:bCs/>
                <w:sz w:val="18"/>
                <w:szCs w:val="18"/>
                <w:lang w:eastAsia="en-US"/>
              </w:rPr>
            </w:pPr>
            <w:r w:rsidRPr="00EA6851">
              <w:rPr>
                <w:b/>
                <w:bCs/>
                <w:sz w:val="18"/>
                <w:szCs w:val="18"/>
                <w:lang w:eastAsia="en-US"/>
              </w:rPr>
              <w:t>Наименование на индикатора</w:t>
            </w:r>
          </w:p>
        </w:tc>
        <w:tc>
          <w:tcPr>
            <w:tcW w:w="701" w:type="pct"/>
            <w:vMerge/>
            <w:tcBorders>
              <w:top w:val="single" w:sz="4" w:space="0" w:color="auto"/>
              <w:left w:val="nil"/>
              <w:bottom w:val="single" w:sz="4" w:space="0" w:color="auto"/>
              <w:right w:val="nil"/>
            </w:tcBorders>
            <w:shd w:val="clear" w:color="auto" w:fill="F2F2F2" w:themeFill="background1" w:themeFillShade="F2"/>
            <w:vAlign w:val="center"/>
            <w:hideMark/>
          </w:tcPr>
          <w:p w:rsidR="003A5772" w:rsidRPr="00EA6851" w:rsidRDefault="003A5772" w:rsidP="003A5772">
            <w:pPr>
              <w:spacing w:after="0"/>
              <w:jc w:val="center"/>
              <w:rPr>
                <w:sz w:val="18"/>
                <w:szCs w:val="18"/>
                <w:lang w:eastAsia="en-US"/>
              </w:rPr>
            </w:pPr>
          </w:p>
        </w:tc>
        <w:tc>
          <w:tcPr>
            <w:tcW w:w="549" w:type="pct"/>
            <w:tcBorders>
              <w:top w:val="single" w:sz="4" w:space="0" w:color="auto"/>
              <w:left w:val="nil"/>
              <w:bottom w:val="single" w:sz="4" w:space="0" w:color="auto"/>
              <w:right w:val="nil"/>
            </w:tcBorders>
            <w:shd w:val="clear" w:color="auto" w:fill="auto"/>
            <w:vAlign w:val="center"/>
            <w:hideMark/>
          </w:tcPr>
          <w:p w:rsidR="003A5772" w:rsidRPr="00EA6851" w:rsidRDefault="003A5772" w:rsidP="003A5772">
            <w:pPr>
              <w:spacing w:after="0"/>
              <w:jc w:val="center"/>
              <w:rPr>
                <w:b/>
                <w:i/>
                <w:iCs/>
                <w:sz w:val="18"/>
                <w:szCs w:val="18"/>
                <w:lang w:eastAsia="en-US"/>
              </w:rPr>
            </w:pPr>
            <w:r w:rsidRPr="00EA6851">
              <w:rPr>
                <w:b/>
                <w:i/>
                <w:iCs/>
                <w:sz w:val="18"/>
                <w:szCs w:val="18"/>
                <w:lang w:eastAsia="en-US"/>
              </w:rPr>
              <w:t>Програма 2023 г.</w:t>
            </w:r>
          </w:p>
        </w:tc>
        <w:tc>
          <w:tcPr>
            <w:tcW w:w="549" w:type="pct"/>
            <w:tcBorders>
              <w:top w:val="single" w:sz="4" w:space="0" w:color="auto"/>
              <w:left w:val="nil"/>
              <w:bottom w:val="single" w:sz="4" w:space="0" w:color="auto"/>
              <w:right w:val="nil"/>
            </w:tcBorders>
            <w:shd w:val="clear" w:color="auto" w:fill="auto"/>
            <w:vAlign w:val="center"/>
            <w:hideMark/>
          </w:tcPr>
          <w:p w:rsidR="003A5772" w:rsidRPr="00EA6851" w:rsidRDefault="003A5772" w:rsidP="003A5772">
            <w:pPr>
              <w:spacing w:after="0"/>
              <w:jc w:val="center"/>
              <w:rPr>
                <w:b/>
                <w:i/>
                <w:iCs/>
                <w:sz w:val="18"/>
                <w:szCs w:val="18"/>
                <w:lang w:eastAsia="en-US"/>
              </w:rPr>
            </w:pPr>
            <w:r w:rsidRPr="00EA6851">
              <w:rPr>
                <w:b/>
                <w:i/>
                <w:iCs/>
                <w:sz w:val="18"/>
                <w:szCs w:val="18"/>
                <w:lang w:eastAsia="en-US"/>
              </w:rPr>
              <w:t>Проект</w:t>
            </w:r>
          </w:p>
          <w:p w:rsidR="003A5772" w:rsidRPr="00EA6851" w:rsidRDefault="003A5772" w:rsidP="003A5772">
            <w:pPr>
              <w:spacing w:after="0"/>
              <w:jc w:val="center"/>
              <w:rPr>
                <w:b/>
                <w:i/>
                <w:iCs/>
                <w:sz w:val="18"/>
                <w:szCs w:val="18"/>
                <w:lang w:eastAsia="en-US"/>
              </w:rPr>
            </w:pPr>
            <w:r w:rsidRPr="00EA6851">
              <w:rPr>
                <w:b/>
                <w:i/>
                <w:iCs/>
                <w:sz w:val="18"/>
                <w:szCs w:val="18"/>
                <w:lang w:eastAsia="en-US"/>
              </w:rPr>
              <w:t xml:space="preserve"> 2024 г.</w:t>
            </w:r>
          </w:p>
        </w:tc>
        <w:tc>
          <w:tcPr>
            <w:tcW w:w="545" w:type="pct"/>
            <w:tcBorders>
              <w:top w:val="single" w:sz="4" w:space="0" w:color="auto"/>
              <w:left w:val="nil"/>
              <w:bottom w:val="single" w:sz="4" w:space="0" w:color="auto"/>
              <w:right w:val="nil"/>
            </w:tcBorders>
            <w:shd w:val="clear" w:color="auto" w:fill="auto"/>
            <w:vAlign w:val="center"/>
            <w:hideMark/>
          </w:tcPr>
          <w:p w:rsidR="003A5772" w:rsidRPr="00EA6851" w:rsidRDefault="003A5772" w:rsidP="003A5772">
            <w:pPr>
              <w:spacing w:after="0"/>
              <w:jc w:val="center"/>
              <w:rPr>
                <w:b/>
                <w:i/>
                <w:iCs/>
                <w:sz w:val="18"/>
                <w:szCs w:val="18"/>
                <w:lang w:eastAsia="en-US"/>
              </w:rPr>
            </w:pPr>
            <w:r w:rsidRPr="00EA6851">
              <w:rPr>
                <w:b/>
                <w:i/>
                <w:iCs/>
                <w:sz w:val="18"/>
                <w:szCs w:val="18"/>
                <w:lang w:eastAsia="en-US"/>
              </w:rPr>
              <w:t>Прогноза 2025 г.</w:t>
            </w:r>
          </w:p>
        </w:tc>
        <w:tc>
          <w:tcPr>
            <w:tcW w:w="622" w:type="pct"/>
            <w:tcBorders>
              <w:top w:val="single" w:sz="4" w:space="0" w:color="auto"/>
              <w:left w:val="nil"/>
              <w:bottom w:val="single" w:sz="4" w:space="0" w:color="auto"/>
              <w:right w:val="nil"/>
            </w:tcBorders>
            <w:shd w:val="clear" w:color="auto" w:fill="auto"/>
            <w:vAlign w:val="center"/>
            <w:hideMark/>
          </w:tcPr>
          <w:p w:rsidR="003A5772" w:rsidRPr="00EA6851" w:rsidRDefault="003A5772" w:rsidP="003A5772">
            <w:pPr>
              <w:spacing w:after="0"/>
              <w:jc w:val="center"/>
              <w:rPr>
                <w:b/>
                <w:i/>
                <w:iCs/>
                <w:sz w:val="18"/>
                <w:szCs w:val="18"/>
                <w:lang w:eastAsia="en-US"/>
              </w:rPr>
            </w:pPr>
            <w:r w:rsidRPr="00EA6851">
              <w:rPr>
                <w:b/>
                <w:i/>
                <w:iCs/>
                <w:sz w:val="18"/>
                <w:szCs w:val="18"/>
                <w:lang w:eastAsia="en-US"/>
              </w:rPr>
              <w:t>Прогноза 2026 г.</w:t>
            </w:r>
          </w:p>
        </w:tc>
      </w:tr>
      <w:tr w:rsidR="003A5772" w:rsidRPr="00EA6851" w:rsidTr="00960D92">
        <w:trPr>
          <w:trHeight w:val="70"/>
        </w:trPr>
        <w:tc>
          <w:tcPr>
            <w:tcW w:w="2034" w:type="pct"/>
            <w:tcBorders>
              <w:top w:val="single" w:sz="4" w:space="0" w:color="auto"/>
              <w:left w:val="nil"/>
              <w:bottom w:val="nil"/>
              <w:right w:val="nil"/>
            </w:tcBorders>
            <w:shd w:val="clear" w:color="auto" w:fill="auto"/>
            <w:hideMark/>
          </w:tcPr>
          <w:p w:rsidR="003A5772" w:rsidRPr="00EA6851" w:rsidRDefault="003A5772" w:rsidP="003A5772">
            <w:pPr>
              <w:widowControl w:val="0"/>
              <w:autoSpaceDE w:val="0"/>
              <w:autoSpaceDN w:val="0"/>
              <w:adjustRightInd w:val="0"/>
              <w:spacing w:after="0"/>
              <w:jc w:val="left"/>
              <w:rPr>
                <w:sz w:val="18"/>
                <w:szCs w:val="18"/>
                <w:lang w:eastAsia="en-US"/>
              </w:rPr>
            </w:pPr>
            <w:r w:rsidRPr="00EA6851">
              <w:rPr>
                <w:sz w:val="18"/>
                <w:szCs w:val="18"/>
                <w:lang w:eastAsia="en-US"/>
              </w:rPr>
              <w:t>1. Изпълнени програми за мониторинг на компонентите и факторите на околната среда</w:t>
            </w:r>
          </w:p>
        </w:tc>
        <w:tc>
          <w:tcPr>
            <w:tcW w:w="701" w:type="pct"/>
            <w:tcBorders>
              <w:top w:val="single" w:sz="4" w:space="0" w:color="auto"/>
              <w:left w:val="nil"/>
              <w:bottom w:val="nil"/>
              <w:right w:val="nil"/>
            </w:tcBorders>
            <w:shd w:val="clear" w:color="auto" w:fill="F2F2F2" w:themeFill="background1" w:themeFillShade="F2"/>
            <w:hideMark/>
          </w:tcPr>
          <w:p w:rsidR="003A5772" w:rsidRPr="00EA6851" w:rsidRDefault="003A5772" w:rsidP="003A5772">
            <w:pPr>
              <w:widowControl w:val="0"/>
              <w:autoSpaceDE w:val="0"/>
              <w:autoSpaceDN w:val="0"/>
              <w:adjustRightInd w:val="0"/>
              <w:spacing w:after="0"/>
              <w:jc w:val="center"/>
              <w:rPr>
                <w:sz w:val="18"/>
                <w:szCs w:val="18"/>
                <w:lang w:eastAsia="en-US"/>
              </w:rPr>
            </w:pPr>
            <w:r w:rsidRPr="00EA6851">
              <w:rPr>
                <w:sz w:val="18"/>
                <w:szCs w:val="18"/>
                <w:lang w:eastAsia="en-US"/>
              </w:rPr>
              <w:t>Брой</w:t>
            </w:r>
          </w:p>
        </w:tc>
        <w:tc>
          <w:tcPr>
            <w:tcW w:w="549" w:type="pct"/>
            <w:tcBorders>
              <w:top w:val="single" w:sz="4" w:space="0" w:color="auto"/>
              <w:left w:val="nil"/>
              <w:bottom w:val="nil"/>
              <w:right w:val="nil"/>
            </w:tcBorders>
            <w:shd w:val="clear" w:color="auto" w:fill="auto"/>
            <w:hideMark/>
          </w:tcPr>
          <w:p w:rsidR="003A5772" w:rsidRPr="00EA6851" w:rsidRDefault="003A5772" w:rsidP="003A5772">
            <w:pPr>
              <w:widowControl w:val="0"/>
              <w:autoSpaceDE w:val="0"/>
              <w:autoSpaceDN w:val="0"/>
              <w:adjustRightInd w:val="0"/>
              <w:spacing w:after="0"/>
              <w:jc w:val="center"/>
              <w:rPr>
                <w:sz w:val="18"/>
                <w:szCs w:val="18"/>
                <w:lang w:eastAsia="en-US"/>
              </w:rPr>
            </w:pPr>
            <w:r w:rsidRPr="00EA6851">
              <w:rPr>
                <w:sz w:val="18"/>
                <w:szCs w:val="18"/>
                <w:lang w:eastAsia="en-US"/>
              </w:rPr>
              <w:t>12</w:t>
            </w:r>
          </w:p>
        </w:tc>
        <w:tc>
          <w:tcPr>
            <w:tcW w:w="549" w:type="pct"/>
            <w:tcBorders>
              <w:top w:val="single" w:sz="4" w:space="0" w:color="auto"/>
              <w:left w:val="nil"/>
              <w:bottom w:val="nil"/>
              <w:right w:val="nil"/>
            </w:tcBorders>
            <w:shd w:val="clear" w:color="auto" w:fill="auto"/>
            <w:hideMark/>
          </w:tcPr>
          <w:p w:rsidR="003A5772" w:rsidRPr="00EA6851" w:rsidRDefault="003A5772" w:rsidP="003A5772">
            <w:pPr>
              <w:widowControl w:val="0"/>
              <w:autoSpaceDE w:val="0"/>
              <w:autoSpaceDN w:val="0"/>
              <w:adjustRightInd w:val="0"/>
              <w:spacing w:after="0"/>
              <w:jc w:val="center"/>
              <w:rPr>
                <w:sz w:val="18"/>
                <w:szCs w:val="18"/>
                <w:lang w:eastAsia="en-US"/>
              </w:rPr>
            </w:pPr>
            <w:r w:rsidRPr="00EA6851">
              <w:rPr>
                <w:sz w:val="18"/>
                <w:szCs w:val="18"/>
                <w:lang w:eastAsia="en-US"/>
              </w:rPr>
              <w:t>12</w:t>
            </w:r>
          </w:p>
        </w:tc>
        <w:tc>
          <w:tcPr>
            <w:tcW w:w="545" w:type="pct"/>
            <w:tcBorders>
              <w:top w:val="single" w:sz="4" w:space="0" w:color="auto"/>
              <w:left w:val="nil"/>
              <w:bottom w:val="nil"/>
              <w:right w:val="nil"/>
            </w:tcBorders>
            <w:shd w:val="clear" w:color="auto" w:fill="auto"/>
            <w:hideMark/>
          </w:tcPr>
          <w:p w:rsidR="003A5772" w:rsidRPr="00EA6851" w:rsidRDefault="003A5772" w:rsidP="003A5772">
            <w:pPr>
              <w:widowControl w:val="0"/>
              <w:autoSpaceDE w:val="0"/>
              <w:autoSpaceDN w:val="0"/>
              <w:adjustRightInd w:val="0"/>
              <w:spacing w:after="0"/>
              <w:jc w:val="center"/>
              <w:rPr>
                <w:sz w:val="18"/>
                <w:szCs w:val="18"/>
                <w:lang w:eastAsia="en-US"/>
              </w:rPr>
            </w:pPr>
            <w:r w:rsidRPr="00EA6851">
              <w:rPr>
                <w:sz w:val="18"/>
                <w:szCs w:val="18"/>
                <w:lang w:eastAsia="en-US"/>
              </w:rPr>
              <w:t>12</w:t>
            </w:r>
          </w:p>
        </w:tc>
        <w:tc>
          <w:tcPr>
            <w:tcW w:w="622" w:type="pct"/>
            <w:tcBorders>
              <w:top w:val="single" w:sz="4" w:space="0" w:color="auto"/>
              <w:left w:val="nil"/>
              <w:bottom w:val="nil"/>
              <w:right w:val="nil"/>
            </w:tcBorders>
            <w:shd w:val="clear" w:color="auto" w:fill="auto"/>
            <w:hideMark/>
          </w:tcPr>
          <w:p w:rsidR="003A5772" w:rsidRPr="00EA6851" w:rsidRDefault="003A5772" w:rsidP="003A5772">
            <w:pPr>
              <w:widowControl w:val="0"/>
              <w:autoSpaceDE w:val="0"/>
              <w:autoSpaceDN w:val="0"/>
              <w:adjustRightInd w:val="0"/>
              <w:spacing w:after="0"/>
              <w:jc w:val="center"/>
              <w:rPr>
                <w:sz w:val="18"/>
                <w:szCs w:val="18"/>
                <w:highlight w:val="yellow"/>
                <w:lang w:eastAsia="en-US"/>
              </w:rPr>
            </w:pPr>
            <w:r w:rsidRPr="00EA6851">
              <w:rPr>
                <w:sz w:val="18"/>
                <w:szCs w:val="18"/>
                <w:lang w:eastAsia="en-US"/>
              </w:rPr>
              <w:t>12</w:t>
            </w:r>
          </w:p>
        </w:tc>
      </w:tr>
      <w:tr w:rsidR="003A5772" w:rsidRPr="00EA6851" w:rsidTr="00960D92">
        <w:trPr>
          <w:trHeight w:val="454"/>
        </w:trPr>
        <w:tc>
          <w:tcPr>
            <w:tcW w:w="2034" w:type="pct"/>
            <w:tcBorders>
              <w:top w:val="nil"/>
              <w:left w:val="nil"/>
              <w:bottom w:val="nil"/>
              <w:right w:val="nil"/>
            </w:tcBorders>
            <w:shd w:val="clear" w:color="auto" w:fill="auto"/>
            <w:hideMark/>
          </w:tcPr>
          <w:p w:rsidR="003A5772" w:rsidRPr="00EA6851" w:rsidRDefault="003A5772" w:rsidP="003A5772">
            <w:pPr>
              <w:widowControl w:val="0"/>
              <w:autoSpaceDE w:val="0"/>
              <w:autoSpaceDN w:val="0"/>
              <w:adjustRightInd w:val="0"/>
              <w:spacing w:after="0"/>
              <w:jc w:val="left"/>
              <w:rPr>
                <w:sz w:val="18"/>
                <w:szCs w:val="18"/>
                <w:lang w:eastAsia="en-US"/>
              </w:rPr>
            </w:pPr>
            <w:r w:rsidRPr="00EA6851">
              <w:rPr>
                <w:sz w:val="18"/>
                <w:szCs w:val="18"/>
                <w:lang w:eastAsia="en-US"/>
              </w:rPr>
              <w:t>2. Поддържани информационни системи/ системи с публичен достъп на НСМОС</w:t>
            </w:r>
          </w:p>
        </w:tc>
        <w:tc>
          <w:tcPr>
            <w:tcW w:w="701" w:type="pct"/>
            <w:tcBorders>
              <w:top w:val="nil"/>
              <w:left w:val="nil"/>
              <w:bottom w:val="nil"/>
              <w:right w:val="nil"/>
            </w:tcBorders>
            <w:shd w:val="clear" w:color="auto" w:fill="F2F2F2" w:themeFill="background1" w:themeFillShade="F2"/>
            <w:hideMark/>
          </w:tcPr>
          <w:p w:rsidR="003A5772" w:rsidRPr="00EA6851" w:rsidRDefault="003A5772" w:rsidP="003A5772">
            <w:pPr>
              <w:widowControl w:val="0"/>
              <w:autoSpaceDE w:val="0"/>
              <w:autoSpaceDN w:val="0"/>
              <w:adjustRightInd w:val="0"/>
              <w:spacing w:after="0"/>
              <w:jc w:val="center"/>
              <w:rPr>
                <w:sz w:val="18"/>
                <w:szCs w:val="18"/>
                <w:lang w:eastAsia="en-US"/>
              </w:rPr>
            </w:pPr>
            <w:r w:rsidRPr="00EA6851">
              <w:rPr>
                <w:sz w:val="18"/>
                <w:szCs w:val="18"/>
                <w:lang w:eastAsia="en-US"/>
              </w:rPr>
              <w:t>Брой</w:t>
            </w:r>
          </w:p>
        </w:tc>
        <w:tc>
          <w:tcPr>
            <w:tcW w:w="549" w:type="pct"/>
            <w:tcBorders>
              <w:top w:val="nil"/>
              <w:left w:val="nil"/>
              <w:bottom w:val="nil"/>
              <w:right w:val="nil"/>
            </w:tcBorders>
            <w:shd w:val="clear" w:color="auto" w:fill="auto"/>
            <w:hideMark/>
          </w:tcPr>
          <w:p w:rsidR="003A5772" w:rsidRPr="00EA6851" w:rsidRDefault="003A5772" w:rsidP="003A5772">
            <w:pPr>
              <w:widowControl w:val="0"/>
              <w:autoSpaceDE w:val="0"/>
              <w:autoSpaceDN w:val="0"/>
              <w:adjustRightInd w:val="0"/>
              <w:spacing w:after="0"/>
              <w:jc w:val="center"/>
              <w:rPr>
                <w:sz w:val="18"/>
                <w:szCs w:val="18"/>
                <w:lang w:eastAsia="en-US"/>
              </w:rPr>
            </w:pPr>
            <w:r w:rsidRPr="00EA6851">
              <w:rPr>
                <w:sz w:val="18"/>
                <w:szCs w:val="18"/>
                <w:lang w:eastAsia="en-US"/>
              </w:rPr>
              <w:t>20/12</w:t>
            </w:r>
          </w:p>
        </w:tc>
        <w:tc>
          <w:tcPr>
            <w:tcW w:w="549" w:type="pct"/>
            <w:tcBorders>
              <w:top w:val="nil"/>
              <w:left w:val="nil"/>
              <w:bottom w:val="nil"/>
              <w:right w:val="nil"/>
            </w:tcBorders>
            <w:shd w:val="clear" w:color="auto" w:fill="auto"/>
            <w:hideMark/>
          </w:tcPr>
          <w:p w:rsidR="003A5772" w:rsidRPr="00EA6851" w:rsidRDefault="003A5772" w:rsidP="003A5772">
            <w:pPr>
              <w:widowControl w:val="0"/>
              <w:autoSpaceDE w:val="0"/>
              <w:autoSpaceDN w:val="0"/>
              <w:adjustRightInd w:val="0"/>
              <w:spacing w:after="0"/>
              <w:jc w:val="center"/>
              <w:rPr>
                <w:sz w:val="18"/>
                <w:szCs w:val="18"/>
                <w:lang w:eastAsia="en-US"/>
              </w:rPr>
            </w:pPr>
            <w:r w:rsidRPr="00EA6851">
              <w:rPr>
                <w:sz w:val="18"/>
                <w:szCs w:val="18"/>
                <w:lang w:eastAsia="en-US"/>
              </w:rPr>
              <w:t>20/12</w:t>
            </w:r>
          </w:p>
        </w:tc>
        <w:tc>
          <w:tcPr>
            <w:tcW w:w="545" w:type="pct"/>
            <w:tcBorders>
              <w:top w:val="nil"/>
              <w:left w:val="nil"/>
              <w:bottom w:val="nil"/>
              <w:right w:val="nil"/>
            </w:tcBorders>
            <w:shd w:val="clear" w:color="auto" w:fill="auto"/>
            <w:hideMark/>
          </w:tcPr>
          <w:p w:rsidR="003A5772" w:rsidRPr="00EA6851" w:rsidRDefault="003A5772" w:rsidP="003A5772">
            <w:pPr>
              <w:widowControl w:val="0"/>
              <w:autoSpaceDE w:val="0"/>
              <w:autoSpaceDN w:val="0"/>
              <w:adjustRightInd w:val="0"/>
              <w:spacing w:after="0"/>
              <w:jc w:val="center"/>
              <w:rPr>
                <w:sz w:val="18"/>
                <w:szCs w:val="18"/>
                <w:lang w:eastAsia="en-US"/>
              </w:rPr>
            </w:pPr>
            <w:r w:rsidRPr="00EA6851">
              <w:rPr>
                <w:sz w:val="18"/>
                <w:szCs w:val="18"/>
                <w:lang w:eastAsia="en-US"/>
              </w:rPr>
              <w:t>20/12</w:t>
            </w:r>
          </w:p>
        </w:tc>
        <w:tc>
          <w:tcPr>
            <w:tcW w:w="622" w:type="pct"/>
            <w:tcBorders>
              <w:top w:val="nil"/>
              <w:left w:val="nil"/>
              <w:bottom w:val="nil"/>
              <w:right w:val="nil"/>
            </w:tcBorders>
            <w:shd w:val="clear" w:color="auto" w:fill="auto"/>
            <w:hideMark/>
          </w:tcPr>
          <w:p w:rsidR="003A5772" w:rsidRPr="00EA6851" w:rsidRDefault="003A5772" w:rsidP="003A5772">
            <w:pPr>
              <w:widowControl w:val="0"/>
              <w:autoSpaceDE w:val="0"/>
              <w:autoSpaceDN w:val="0"/>
              <w:adjustRightInd w:val="0"/>
              <w:spacing w:after="0"/>
              <w:jc w:val="center"/>
              <w:rPr>
                <w:sz w:val="18"/>
                <w:szCs w:val="18"/>
                <w:highlight w:val="yellow"/>
                <w:lang w:eastAsia="en-US"/>
              </w:rPr>
            </w:pPr>
            <w:r w:rsidRPr="00EA6851">
              <w:rPr>
                <w:sz w:val="18"/>
                <w:szCs w:val="18"/>
                <w:lang w:eastAsia="en-US"/>
              </w:rPr>
              <w:t>20/12</w:t>
            </w:r>
          </w:p>
        </w:tc>
      </w:tr>
      <w:tr w:rsidR="003A5772" w:rsidRPr="00EA6851" w:rsidTr="00960D92">
        <w:trPr>
          <w:trHeight w:val="80"/>
        </w:trPr>
        <w:tc>
          <w:tcPr>
            <w:tcW w:w="2034" w:type="pct"/>
            <w:tcBorders>
              <w:top w:val="nil"/>
              <w:left w:val="nil"/>
              <w:bottom w:val="single" w:sz="4" w:space="0" w:color="auto"/>
              <w:right w:val="nil"/>
            </w:tcBorders>
            <w:shd w:val="clear" w:color="auto" w:fill="auto"/>
            <w:hideMark/>
          </w:tcPr>
          <w:p w:rsidR="003A5772" w:rsidRPr="00EA6851" w:rsidRDefault="003A5772" w:rsidP="003A5772">
            <w:pPr>
              <w:widowControl w:val="0"/>
              <w:autoSpaceDE w:val="0"/>
              <w:autoSpaceDN w:val="0"/>
              <w:adjustRightInd w:val="0"/>
              <w:spacing w:after="0"/>
              <w:jc w:val="left"/>
              <w:rPr>
                <w:sz w:val="18"/>
                <w:szCs w:val="18"/>
                <w:lang w:eastAsia="en-US"/>
              </w:rPr>
            </w:pPr>
            <w:r w:rsidRPr="00EA6851">
              <w:rPr>
                <w:sz w:val="18"/>
                <w:szCs w:val="18"/>
                <w:lang w:eastAsia="en-US"/>
              </w:rPr>
              <w:t>3. Поддържани регистри с публичен достъп</w:t>
            </w:r>
          </w:p>
        </w:tc>
        <w:tc>
          <w:tcPr>
            <w:tcW w:w="701" w:type="pct"/>
            <w:tcBorders>
              <w:top w:val="nil"/>
              <w:left w:val="nil"/>
              <w:bottom w:val="single" w:sz="4" w:space="0" w:color="auto"/>
              <w:right w:val="nil"/>
            </w:tcBorders>
            <w:shd w:val="clear" w:color="auto" w:fill="F2F2F2" w:themeFill="background1" w:themeFillShade="F2"/>
            <w:hideMark/>
          </w:tcPr>
          <w:p w:rsidR="003A5772" w:rsidRPr="00EA6851" w:rsidRDefault="003A5772" w:rsidP="003A5772">
            <w:pPr>
              <w:widowControl w:val="0"/>
              <w:autoSpaceDE w:val="0"/>
              <w:autoSpaceDN w:val="0"/>
              <w:adjustRightInd w:val="0"/>
              <w:spacing w:after="0"/>
              <w:jc w:val="center"/>
              <w:rPr>
                <w:sz w:val="18"/>
                <w:szCs w:val="18"/>
                <w:lang w:eastAsia="en-US"/>
              </w:rPr>
            </w:pPr>
            <w:r w:rsidRPr="00EA6851">
              <w:rPr>
                <w:sz w:val="18"/>
                <w:szCs w:val="18"/>
                <w:lang w:eastAsia="en-US"/>
              </w:rPr>
              <w:t>Брой</w:t>
            </w:r>
          </w:p>
        </w:tc>
        <w:tc>
          <w:tcPr>
            <w:tcW w:w="549" w:type="pct"/>
            <w:tcBorders>
              <w:top w:val="nil"/>
              <w:left w:val="nil"/>
              <w:bottom w:val="single" w:sz="4" w:space="0" w:color="auto"/>
              <w:right w:val="nil"/>
            </w:tcBorders>
            <w:shd w:val="clear" w:color="auto" w:fill="auto"/>
            <w:hideMark/>
          </w:tcPr>
          <w:p w:rsidR="003A5772" w:rsidRPr="00EA6851" w:rsidRDefault="003A5772" w:rsidP="003A5772">
            <w:pPr>
              <w:widowControl w:val="0"/>
              <w:autoSpaceDE w:val="0"/>
              <w:autoSpaceDN w:val="0"/>
              <w:adjustRightInd w:val="0"/>
              <w:spacing w:after="0"/>
              <w:jc w:val="center"/>
              <w:rPr>
                <w:sz w:val="18"/>
                <w:szCs w:val="18"/>
                <w:lang w:eastAsia="en-US"/>
              </w:rPr>
            </w:pPr>
            <w:r w:rsidRPr="00EA6851">
              <w:rPr>
                <w:sz w:val="18"/>
                <w:szCs w:val="18"/>
                <w:lang w:eastAsia="en-US"/>
              </w:rPr>
              <w:t>21</w:t>
            </w:r>
          </w:p>
        </w:tc>
        <w:tc>
          <w:tcPr>
            <w:tcW w:w="549" w:type="pct"/>
            <w:tcBorders>
              <w:top w:val="nil"/>
              <w:left w:val="nil"/>
              <w:bottom w:val="single" w:sz="4" w:space="0" w:color="auto"/>
              <w:right w:val="nil"/>
            </w:tcBorders>
            <w:shd w:val="clear" w:color="auto" w:fill="auto"/>
            <w:hideMark/>
          </w:tcPr>
          <w:p w:rsidR="003A5772" w:rsidRPr="00EA6851" w:rsidRDefault="003A5772" w:rsidP="003A5772">
            <w:pPr>
              <w:widowControl w:val="0"/>
              <w:autoSpaceDE w:val="0"/>
              <w:autoSpaceDN w:val="0"/>
              <w:adjustRightInd w:val="0"/>
              <w:spacing w:after="0"/>
              <w:jc w:val="center"/>
              <w:rPr>
                <w:sz w:val="18"/>
                <w:szCs w:val="18"/>
                <w:lang w:eastAsia="en-US"/>
              </w:rPr>
            </w:pPr>
            <w:r w:rsidRPr="00EA6851">
              <w:rPr>
                <w:sz w:val="18"/>
                <w:szCs w:val="18"/>
                <w:lang w:eastAsia="en-US"/>
              </w:rPr>
              <w:t>20*</w:t>
            </w:r>
          </w:p>
        </w:tc>
        <w:tc>
          <w:tcPr>
            <w:tcW w:w="545" w:type="pct"/>
            <w:tcBorders>
              <w:top w:val="nil"/>
              <w:left w:val="nil"/>
              <w:bottom w:val="single" w:sz="4" w:space="0" w:color="auto"/>
              <w:right w:val="nil"/>
            </w:tcBorders>
            <w:shd w:val="clear" w:color="auto" w:fill="auto"/>
            <w:hideMark/>
          </w:tcPr>
          <w:p w:rsidR="003A5772" w:rsidRPr="00EA6851" w:rsidRDefault="003A5772" w:rsidP="003A5772">
            <w:pPr>
              <w:widowControl w:val="0"/>
              <w:autoSpaceDE w:val="0"/>
              <w:autoSpaceDN w:val="0"/>
              <w:adjustRightInd w:val="0"/>
              <w:spacing w:after="0"/>
              <w:jc w:val="center"/>
              <w:rPr>
                <w:sz w:val="18"/>
                <w:szCs w:val="18"/>
                <w:lang w:eastAsia="en-US"/>
              </w:rPr>
            </w:pPr>
            <w:r w:rsidRPr="00EA6851">
              <w:rPr>
                <w:sz w:val="18"/>
                <w:szCs w:val="18"/>
                <w:lang w:eastAsia="en-US"/>
              </w:rPr>
              <w:t>20*</w:t>
            </w:r>
          </w:p>
        </w:tc>
        <w:tc>
          <w:tcPr>
            <w:tcW w:w="622" w:type="pct"/>
            <w:tcBorders>
              <w:top w:val="nil"/>
              <w:left w:val="nil"/>
              <w:bottom w:val="single" w:sz="4" w:space="0" w:color="auto"/>
              <w:right w:val="nil"/>
            </w:tcBorders>
            <w:shd w:val="clear" w:color="auto" w:fill="auto"/>
            <w:hideMark/>
          </w:tcPr>
          <w:p w:rsidR="003A5772" w:rsidRPr="00EA6851" w:rsidRDefault="003A5772" w:rsidP="003A5772">
            <w:pPr>
              <w:widowControl w:val="0"/>
              <w:autoSpaceDE w:val="0"/>
              <w:autoSpaceDN w:val="0"/>
              <w:adjustRightInd w:val="0"/>
              <w:spacing w:after="0"/>
              <w:jc w:val="center"/>
              <w:rPr>
                <w:sz w:val="18"/>
                <w:szCs w:val="18"/>
                <w:highlight w:val="yellow"/>
                <w:lang w:eastAsia="en-US"/>
              </w:rPr>
            </w:pPr>
            <w:r w:rsidRPr="00EA6851">
              <w:rPr>
                <w:sz w:val="18"/>
                <w:szCs w:val="18"/>
                <w:lang w:eastAsia="en-US"/>
              </w:rPr>
              <w:t>20</w:t>
            </w:r>
          </w:p>
        </w:tc>
      </w:tr>
    </w:tbl>
    <w:p w:rsidR="003A5772" w:rsidRPr="00EA6851" w:rsidRDefault="003A5772" w:rsidP="003A5772">
      <w:pPr>
        <w:spacing w:before="120" w:after="0"/>
        <w:rPr>
          <w:bCs/>
          <w:i/>
          <w:sz w:val="20"/>
          <w:szCs w:val="20"/>
        </w:rPr>
      </w:pPr>
      <w:r w:rsidRPr="00EA6851">
        <w:rPr>
          <w:bCs/>
          <w:i/>
          <w:sz w:val="18"/>
          <w:szCs w:val="18"/>
        </w:rPr>
        <w:t>*</w:t>
      </w:r>
      <w:r w:rsidRPr="00EA6851">
        <w:rPr>
          <w:bCs/>
          <w:i/>
          <w:sz w:val="20"/>
          <w:szCs w:val="20"/>
        </w:rPr>
        <w:t xml:space="preserve"> Прекратена е поддръжката на Таксономичния регистър на видовете и местообитанията, тъй като не отговаря на понятието „регистър“ по смисъла на Наредбата за общите изисквания към информационните системи, регистрите и електронните административни услуги, поради което целевата стойност на индикатора е намалена.</w:t>
      </w:r>
    </w:p>
    <w:p w:rsidR="003A5772" w:rsidRPr="00EA6851" w:rsidRDefault="003A5772" w:rsidP="003A5772">
      <w:pPr>
        <w:spacing w:before="60" w:after="120"/>
        <w:rPr>
          <w:i/>
          <w:sz w:val="18"/>
          <w:szCs w:val="18"/>
        </w:rPr>
      </w:pPr>
    </w:p>
    <w:p w:rsidR="003A5772" w:rsidRPr="00EA6851" w:rsidRDefault="003A5772" w:rsidP="003A5772">
      <w:pPr>
        <w:pStyle w:val="Heading4"/>
      </w:pPr>
      <w:r w:rsidRPr="00EA6851">
        <w:t>Политика за подобряване на инвестиционния процес, поддържане, модернизация и изграждане на техническата инфраструктура</w:t>
      </w:r>
    </w:p>
    <w:p w:rsidR="003A5772" w:rsidRPr="00EA6851" w:rsidRDefault="003A5772" w:rsidP="003A5772">
      <w:pPr>
        <w:rPr>
          <w:noProof/>
        </w:rPr>
      </w:pPr>
      <w:r w:rsidRPr="00EA6851">
        <w:rPr>
          <w:noProof/>
        </w:rPr>
        <w:t>Политиката в областта на околната среда, обвързана с изпълнението на геозащитните мерки и дейности за ограничаване на свлачищата, ерозионните процеси по Дунавското крайбрежие и абразионните процеси по Черноморското крайбрежие и за предотвратяване на аварии и щети, както и дейностите по регистрирането и мониторинга на свлачищните райони в Република България се изпълнява от Министерството на регионалното развитие и благоустройството. Свлачищата, ерозията по Дунавското крайбрежие и абразията по Черноморското крайбрежие са част от общите геодинамични процеси, които представляват основни елементи на геоложката опасност на страната. Разрушителният ефект на тези процеси и явления се увеличава рязко през последните години поради комплексното взаимодействие на природни и техногенни фактори, включващи промените в климата, урбанизиране на териториите, незаконно строителство и др.</w:t>
      </w:r>
    </w:p>
    <w:p w:rsidR="003A5772" w:rsidRPr="00EA6851" w:rsidRDefault="003A5772" w:rsidP="003A5772">
      <w:pPr>
        <w:rPr>
          <w:b/>
          <w:noProof/>
          <w:sz w:val="20"/>
          <w:szCs w:val="20"/>
        </w:rPr>
      </w:pPr>
      <w:r w:rsidRPr="00EA6851">
        <w:rPr>
          <w:b/>
          <w:noProof/>
          <w:sz w:val="20"/>
          <w:szCs w:val="20"/>
        </w:rPr>
        <w:t>КЛЮЧОВИ ИНДИКАТОРИ ЗА ИЗПЪЛНЕНИЕ И ЦЕЛЕВИ СТОЙНОСТИ</w:t>
      </w:r>
    </w:p>
    <w:tbl>
      <w:tblPr>
        <w:tblW w:w="9178" w:type="dxa"/>
        <w:tblInd w:w="2" w:type="dxa"/>
        <w:tblBorders>
          <w:top w:val="single" w:sz="4" w:space="0" w:color="auto"/>
          <w:bottom w:val="single" w:sz="4" w:space="0" w:color="auto"/>
        </w:tblBorders>
        <w:tblLayout w:type="fixed"/>
        <w:tblLook w:val="04A0" w:firstRow="1" w:lastRow="0" w:firstColumn="1" w:lastColumn="0" w:noHBand="0" w:noVBand="1"/>
      </w:tblPr>
      <w:tblGrid>
        <w:gridCol w:w="3688"/>
        <w:gridCol w:w="1080"/>
        <w:gridCol w:w="1260"/>
        <w:gridCol w:w="990"/>
        <w:gridCol w:w="1080"/>
        <w:gridCol w:w="1080"/>
      </w:tblGrid>
      <w:tr w:rsidR="003A5772" w:rsidRPr="00EA6851" w:rsidTr="00FA2E91">
        <w:trPr>
          <w:trHeight w:val="746"/>
          <w:tblHeader/>
        </w:trPr>
        <w:tc>
          <w:tcPr>
            <w:tcW w:w="3688" w:type="dxa"/>
            <w:tcBorders>
              <w:top w:val="single" w:sz="4" w:space="0" w:color="auto"/>
              <w:bottom w:val="nil"/>
            </w:tcBorders>
            <w:shd w:val="clear" w:color="auto" w:fill="auto"/>
            <w:hideMark/>
          </w:tcPr>
          <w:p w:rsidR="003A5772" w:rsidRPr="00EA6851" w:rsidRDefault="003A5772" w:rsidP="003A5772">
            <w:pPr>
              <w:spacing w:after="60"/>
              <w:jc w:val="center"/>
              <w:rPr>
                <w:b/>
                <w:bCs/>
                <w:i/>
                <w:sz w:val="18"/>
                <w:szCs w:val="18"/>
                <w:lang w:eastAsia="en-US"/>
              </w:rPr>
            </w:pPr>
            <w:r w:rsidRPr="00EA6851">
              <w:rPr>
                <w:b/>
                <w:i/>
                <w:color w:val="000000"/>
                <w:sz w:val="18"/>
                <w:szCs w:val="18"/>
                <w:lang w:eastAsia="en-US"/>
              </w:rPr>
              <w:t>Политика за подобряване на инвестиционния процес, поддържане, модернизация и изграждане на техническата инфраструктура</w:t>
            </w:r>
          </w:p>
        </w:tc>
        <w:tc>
          <w:tcPr>
            <w:tcW w:w="1080" w:type="dxa"/>
            <w:vMerge w:val="restart"/>
            <w:tcBorders>
              <w:top w:val="single" w:sz="4" w:space="0" w:color="auto"/>
              <w:bottom w:val="nil"/>
            </w:tcBorders>
            <w:shd w:val="clear" w:color="auto" w:fill="F2F2F2"/>
            <w:vAlign w:val="center"/>
            <w:hideMark/>
          </w:tcPr>
          <w:p w:rsidR="003A5772" w:rsidRPr="00EA6851" w:rsidRDefault="003A5772" w:rsidP="003A5772">
            <w:pPr>
              <w:spacing w:after="60"/>
              <w:jc w:val="center"/>
              <w:rPr>
                <w:b/>
                <w:bCs/>
                <w:sz w:val="18"/>
                <w:szCs w:val="18"/>
                <w:lang w:eastAsia="en-US"/>
              </w:rPr>
            </w:pPr>
            <w:r w:rsidRPr="00EA6851">
              <w:rPr>
                <w:b/>
                <w:bCs/>
                <w:sz w:val="18"/>
                <w:szCs w:val="18"/>
                <w:lang w:eastAsia="en-US"/>
              </w:rPr>
              <w:t>Мерна единица</w:t>
            </w:r>
          </w:p>
        </w:tc>
        <w:tc>
          <w:tcPr>
            <w:tcW w:w="1260" w:type="dxa"/>
            <w:tcBorders>
              <w:top w:val="single" w:sz="4" w:space="0" w:color="auto"/>
              <w:bottom w:val="single" w:sz="4" w:space="0" w:color="auto"/>
            </w:tcBorders>
            <w:shd w:val="clear" w:color="auto" w:fill="auto"/>
          </w:tcPr>
          <w:p w:rsidR="003A5772" w:rsidRPr="00EA6851" w:rsidRDefault="003A5772" w:rsidP="003A5772">
            <w:pPr>
              <w:spacing w:after="60"/>
              <w:jc w:val="center"/>
              <w:rPr>
                <w:b/>
                <w:bCs/>
                <w:sz w:val="18"/>
                <w:szCs w:val="18"/>
                <w:lang w:eastAsia="en-US"/>
              </w:rPr>
            </w:pPr>
          </w:p>
        </w:tc>
        <w:tc>
          <w:tcPr>
            <w:tcW w:w="3150" w:type="dxa"/>
            <w:gridSpan w:val="3"/>
            <w:tcBorders>
              <w:top w:val="single" w:sz="4" w:space="0" w:color="auto"/>
              <w:bottom w:val="single" w:sz="4" w:space="0" w:color="auto"/>
            </w:tcBorders>
            <w:shd w:val="clear" w:color="auto" w:fill="auto"/>
          </w:tcPr>
          <w:p w:rsidR="003A5772" w:rsidRPr="00EA6851" w:rsidRDefault="003A5772" w:rsidP="003A5772">
            <w:pPr>
              <w:spacing w:after="60"/>
              <w:rPr>
                <w:b/>
                <w:bCs/>
                <w:sz w:val="18"/>
                <w:szCs w:val="18"/>
                <w:lang w:eastAsia="en-US"/>
              </w:rPr>
            </w:pPr>
          </w:p>
          <w:p w:rsidR="003A5772" w:rsidRPr="00EA6851" w:rsidRDefault="003A5772" w:rsidP="003A5772">
            <w:pPr>
              <w:spacing w:after="60"/>
              <w:rPr>
                <w:b/>
                <w:bCs/>
                <w:sz w:val="18"/>
                <w:szCs w:val="18"/>
                <w:lang w:eastAsia="en-US"/>
              </w:rPr>
            </w:pPr>
            <w:r w:rsidRPr="00EA6851">
              <w:rPr>
                <w:b/>
                <w:bCs/>
                <w:sz w:val="18"/>
                <w:szCs w:val="18"/>
                <w:lang w:eastAsia="en-US"/>
              </w:rPr>
              <w:t>Целева стойност</w:t>
            </w:r>
          </w:p>
        </w:tc>
      </w:tr>
      <w:tr w:rsidR="003A5772" w:rsidRPr="00EA6851" w:rsidTr="00FA2E91">
        <w:trPr>
          <w:trHeight w:val="64"/>
          <w:tblHeader/>
        </w:trPr>
        <w:tc>
          <w:tcPr>
            <w:tcW w:w="3688" w:type="dxa"/>
            <w:tcBorders>
              <w:top w:val="nil"/>
              <w:bottom w:val="single" w:sz="4" w:space="0" w:color="auto"/>
            </w:tcBorders>
            <w:shd w:val="clear" w:color="auto" w:fill="auto"/>
            <w:hideMark/>
          </w:tcPr>
          <w:p w:rsidR="003A5772" w:rsidRPr="00EA6851" w:rsidRDefault="003A5772" w:rsidP="003A5772">
            <w:pPr>
              <w:spacing w:after="60"/>
              <w:jc w:val="center"/>
              <w:rPr>
                <w:b/>
                <w:bCs/>
                <w:sz w:val="18"/>
                <w:szCs w:val="18"/>
                <w:lang w:eastAsia="en-US"/>
              </w:rPr>
            </w:pPr>
            <w:r w:rsidRPr="00EA6851">
              <w:rPr>
                <w:b/>
                <w:bCs/>
                <w:sz w:val="18"/>
                <w:szCs w:val="18"/>
                <w:lang w:eastAsia="en-US"/>
              </w:rPr>
              <w:t>Наименование на индикатора</w:t>
            </w:r>
          </w:p>
        </w:tc>
        <w:tc>
          <w:tcPr>
            <w:tcW w:w="1080" w:type="dxa"/>
            <w:vMerge/>
            <w:tcBorders>
              <w:top w:val="nil"/>
              <w:bottom w:val="single" w:sz="4" w:space="0" w:color="auto"/>
            </w:tcBorders>
            <w:shd w:val="clear" w:color="auto" w:fill="auto"/>
            <w:vAlign w:val="center"/>
            <w:hideMark/>
          </w:tcPr>
          <w:p w:rsidR="003A5772" w:rsidRPr="00EA6851" w:rsidRDefault="003A5772" w:rsidP="003A5772">
            <w:pPr>
              <w:spacing w:after="0"/>
              <w:rPr>
                <w:b/>
                <w:bCs/>
                <w:sz w:val="18"/>
                <w:szCs w:val="18"/>
                <w:lang w:eastAsia="en-US"/>
              </w:rPr>
            </w:pPr>
          </w:p>
        </w:tc>
        <w:tc>
          <w:tcPr>
            <w:tcW w:w="1260" w:type="dxa"/>
            <w:tcBorders>
              <w:top w:val="single" w:sz="4" w:space="0" w:color="auto"/>
              <w:bottom w:val="single" w:sz="4" w:space="0" w:color="auto"/>
            </w:tcBorders>
            <w:shd w:val="clear" w:color="auto" w:fill="auto"/>
            <w:hideMark/>
          </w:tcPr>
          <w:p w:rsidR="003A5772" w:rsidRPr="00EA6851" w:rsidRDefault="003A5772" w:rsidP="003A5772">
            <w:pPr>
              <w:spacing w:after="60"/>
              <w:jc w:val="center"/>
              <w:rPr>
                <w:b/>
                <w:bCs/>
                <w:i/>
                <w:iCs/>
                <w:sz w:val="18"/>
                <w:szCs w:val="18"/>
                <w:lang w:eastAsia="en-US"/>
              </w:rPr>
            </w:pPr>
            <w:r w:rsidRPr="00EA6851">
              <w:rPr>
                <w:b/>
                <w:bCs/>
                <w:i/>
                <w:iCs/>
                <w:sz w:val="18"/>
                <w:szCs w:val="18"/>
                <w:lang w:eastAsia="en-US"/>
              </w:rPr>
              <w:t>Програма 2023 г.</w:t>
            </w:r>
          </w:p>
        </w:tc>
        <w:tc>
          <w:tcPr>
            <w:tcW w:w="990" w:type="dxa"/>
            <w:tcBorders>
              <w:top w:val="single" w:sz="4" w:space="0" w:color="auto"/>
              <w:bottom w:val="single" w:sz="4" w:space="0" w:color="auto"/>
            </w:tcBorders>
            <w:shd w:val="clear" w:color="auto" w:fill="auto"/>
            <w:hideMark/>
          </w:tcPr>
          <w:p w:rsidR="003A5772" w:rsidRPr="00EA6851" w:rsidRDefault="003A5772" w:rsidP="003A5772">
            <w:pPr>
              <w:spacing w:after="60"/>
              <w:jc w:val="center"/>
              <w:rPr>
                <w:b/>
                <w:bCs/>
                <w:i/>
                <w:iCs/>
                <w:sz w:val="18"/>
                <w:szCs w:val="18"/>
                <w:lang w:eastAsia="en-US"/>
              </w:rPr>
            </w:pPr>
            <w:r w:rsidRPr="00EA6851">
              <w:rPr>
                <w:b/>
                <w:bCs/>
                <w:i/>
                <w:iCs/>
                <w:sz w:val="18"/>
                <w:szCs w:val="18"/>
                <w:lang w:eastAsia="en-US"/>
              </w:rPr>
              <w:t>Проект 2024 г.</w:t>
            </w:r>
          </w:p>
        </w:tc>
        <w:tc>
          <w:tcPr>
            <w:tcW w:w="1080" w:type="dxa"/>
            <w:tcBorders>
              <w:top w:val="single" w:sz="4" w:space="0" w:color="auto"/>
              <w:bottom w:val="single" w:sz="4" w:space="0" w:color="auto"/>
            </w:tcBorders>
            <w:shd w:val="clear" w:color="auto" w:fill="auto"/>
            <w:hideMark/>
          </w:tcPr>
          <w:p w:rsidR="003A5772" w:rsidRPr="00EA6851" w:rsidRDefault="003A5772" w:rsidP="003A5772">
            <w:pPr>
              <w:spacing w:after="60"/>
              <w:jc w:val="center"/>
              <w:rPr>
                <w:b/>
                <w:bCs/>
                <w:i/>
                <w:iCs/>
                <w:sz w:val="18"/>
                <w:szCs w:val="18"/>
                <w:lang w:eastAsia="en-US"/>
              </w:rPr>
            </w:pPr>
            <w:r w:rsidRPr="00EA6851">
              <w:rPr>
                <w:b/>
                <w:bCs/>
                <w:i/>
                <w:iCs/>
                <w:sz w:val="18"/>
                <w:szCs w:val="18"/>
                <w:lang w:eastAsia="en-US"/>
              </w:rPr>
              <w:t>Прогноза</w:t>
            </w:r>
          </w:p>
          <w:p w:rsidR="003A5772" w:rsidRPr="00EA6851" w:rsidRDefault="003A5772" w:rsidP="003A5772">
            <w:pPr>
              <w:spacing w:after="60"/>
              <w:jc w:val="center"/>
              <w:rPr>
                <w:b/>
                <w:bCs/>
                <w:sz w:val="18"/>
                <w:szCs w:val="18"/>
                <w:lang w:eastAsia="en-US"/>
              </w:rPr>
            </w:pPr>
            <w:r w:rsidRPr="00EA6851">
              <w:rPr>
                <w:b/>
                <w:bCs/>
                <w:i/>
                <w:iCs/>
                <w:sz w:val="18"/>
                <w:szCs w:val="18"/>
                <w:lang w:eastAsia="en-US"/>
              </w:rPr>
              <w:t>2025 г.</w:t>
            </w:r>
          </w:p>
        </w:tc>
        <w:tc>
          <w:tcPr>
            <w:tcW w:w="1080" w:type="dxa"/>
            <w:tcBorders>
              <w:top w:val="single" w:sz="4" w:space="0" w:color="auto"/>
              <w:bottom w:val="single" w:sz="4" w:space="0" w:color="auto"/>
            </w:tcBorders>
            <w:shd w:val="clear" w:color="auto" w:fill="auto"/>
            <w:hideMark/>
          </w:tcPr>
          <w:p w:rsidR="003A5772" w:rsidRPr="00EA6851" w:rsidRDefault="003A5772" w:rsidP="003A5772">
            <w:pPr>
              <w:spacing w:after="60"/>
              <w:jc w:val="center"/>
              <w:rPr>
                <w:b/>
                <w:bCs/>
                <w:i/>
                <w:iCs/>
                <w:sz w:val="18"/>
                <w:szCs w:val="18"/>
                <w:lang w:eastAsia="en-US"/>
              </w:rPr>
            </w:pPr>
            <w:r w:rsidRPr="00EA6851">
              <w:rPr>
                <w:b/>
                <w:bCs/>
                <w:i/>
                <w:iCs/>
                <w:sz w:val="18"/>
                <w:szCs w:val="18"/>
                <w:lang w:eastAsia="en-US"/>
              </w:rPr>
              <w:t>Прогноза</w:t>
            </w:r>
          </w:p>
          <w:p w:rsidR="003A5772" w:rsidRPr="00EA6851" w:rsidRDefault="003A5772" w:rsidP="003A5772">
            <w:pPr>
              <w:spacing w:after="60"/>
              <w:jc w:val="center"/>
              <w:rPr>
                <w:b/>
                <w:bCs/>
                <w:sz w:val="18"/>
                <w:szCs w:val="18"/>
                <w:lang w:eastAsia="en-US"/>
              </w:rPr>
            </w:pPr>
            <w:r w:rsidRPr="00EA6851">
              <w:rPr>
                <w:b/>
                <w:bCs/>
                <w:i/>
                <w:iCs/>
                <w:sz w:val="18"/>
                <w:szCs w:val="18"/>
                <w:lang w:eastAsia="en-US"/>
              </w:rPr>
              <w:t>2026 г.</w:t>
            </w:r>
          </w:p>
        </w:tc>
      </w:tr>
      <w:tr w:rsidR="003A5772" w:rsidRPr="00EA6851" w:rsidTr="00FA2E91">
        <w:trPr>
          <w:trHeight w:val="216"/>
        </w:trPr>
        <w:tc>
          <w:tcPr>
            <w:tcW w:w="3688" w:type="dxa"/>
            <w:shd w:val="clear" w:color="auto" w:fill="auto"/>
            <w:vAlign w:val="center"/>
            <w:hideMark/>
          </w:tcPr>
          <w:p w:rsidR="003A5772" w:rsidRPr="00EA6851" w:rsidRDefault="00FA2E91" w:rsidP="003A5772">
            <w:pPr>
              <w:spacing w:after="60"/>
              <w:rPr>
                <w:b/>
                <w:sz w:val="18"/>
                <w:szCs w:val="18"/>
                <w:lang w:eastAsia="en-US"/>
              </w:rPr>
            </w:pPr>
            <w:r w:rsidRPr="00EA6851">
              <w:rPr>
                <w:sz w:val="18"/>
                <w:szCs w:val="18"/>
                <w:lang w:eastAsia="en-US"/>
              </w:rPr>
              <w:t>1</w:t>
            </w:r>
            <w:r w:rsidR="003A5772" w:rsidRPr="00EA6851">
              <w:rPr>
                <w:sz w:val="18"/>
                <w:szCs w:val="18"/>
                <w:lang w:eastAsia="en-US"/>
              </w:rPr>
              <w:t>. Контролирана свлачищна територия</w:t>
            </w:r>
          </w:p>
        </w:tc>
        <w:tc>
          <w:tcPr>
            <w:tcW w:w="1080" w:type="dxa"/>
            <w:shd w:val="clear" w:color="auto" w:fill="F2F2F2"/>
            <w:vAlign w:val="center"/>
            <w:hideMark/>
          </w:tcPr>
          <w:p w:rsidR="003A5772" w:rsidRPr="00EA6851" w:rsidRDefault="003A5772" w:rsidP="003A5772">
            <w:pPr>
              <w:spacing w:after="60"/>
              <w:jc w:val="center"/>
              <w:rPr>
                <w:sz w:val="18"/>
                <w:szCs w:val="18"/>
                <w:lang w:eastAsia="en-US"/>
              </w:rPr>
            </w:pPr>
            <w:r w:rsidRPr="00EA6851">
              <w:rPr>
                <w:sz w:val="18"/>
                <w:szCs w:val="18"/>
                <w:lang w:eastAsia="en-US"/>
              </w:rPr>
              <w:t>ха</w:t>
            </w:r>
          </w:p>
        </w:tc>
        <w:tc>
          <w:tcPr>
            <w:tcW w:w="1260" w:type="dxa"/>
            <w:shd w:val="clear" w:color="auto" w:fill="auto"/>
            <w:vAlign w:val="center"/>
            <w:hideMark/>
          </w:tcPr>
          <w:p w:rsidR="003A5772" w:rsidRPr="00EA6851" w:rsidRDefault="003A5772" w:rsidP="003A5772">
            <w:pPr>
              <w:spacing w:after="60"/>
              <w:jc w:val="center"/>
              <w:rPr>
                <w:sz w:val="18"/>
                <w:szCs w:val="18"/>
                <w:lang w:eastAsia="en-US"/>
              </w:rPr>
            </w:pPr>
            <w:r w:rsidRPr="00EA6851">
              <w:rPr>
                <w:sz w:val="18"/>
                <w:szCs w:val="18"/>
                <w:lang w:eastAsia="en-US"/>
              </w:rPr>
              <w:t>1 000</w:t>
            </w:r>
          </w:p>
        </w:tc>
        <w:tc>
          <w:tcPr>
            <w:tcW w:w="990" w:type="dxa"/>
            <w:shd w:val="clear" w:color="auto" w:fill="auto"/>
            <w:vAlign w:val="center"/>
            <w:hideMark/>
          </w:tcPr>
          <w:p w:rsidR="003A5772" w:rsidRPr="00EA6851" w:rsidRDefault="003A5772" w:rsidP="003A5772">
            <w:pPr>
              <w:spacing w:after="60"/>
              <w:jc w:val="center"/>
              <w:rPr>
                <w:color w:val="000000"/>
                <w:sz w:val="18"/>
                <w:szCs w:val="18"/>
                <w:lang w:eastAsia="en-US"/>
              </w:rPr>
            </w:pPr>
            <w:r w:rsidRPr="00EA6851">
              <w:rPr>
                <w:color w:val="000000"/>
                <w:sz w:val="18"/>
                <w:szCs w:val="18"/>
                <w:lang w:eastAsia="en-US"/>
              </w:rPr>
              <w:t>1 000</w:t>
            </w:r>
          </w:p>
        </w:tc>
        <w:tc>
          <w:tcPr>
            <w:tcW w:w="1080" w:type="dxa"/>
            <w:shd w:val="clear" w:color="auto" w:fill="auto"/>
            <w:vAlign w:val="center"/>
            <w:hideMark/>
          </w:tcPr>
          <w:p w:rsidR="003A5772" w:rsidRPr="00EA6851" w:rsidRDefault="003A5772" w:rsidP="003A5772">
            <w:pPr>
              <w:spacing w:after="60"/>
              <w:jc w:val="center"/>
              <w:rPr>
                <w:color w:val="000000"/>
                <w:sz w:val="18"/>
                <w:szCs w:val="18"/>
                <w:lang w:eastAsia="en-US"/>
              </w:rPr>
            </w:pPr>
            <w:r w:rsidRPr="00EA6851">
              <w:rPr>
                <w:color w:val="000000"/>
                <w:sz w:val="18"/>
                <w:szCs w:val="18"/>
                <w:lang w:eastAsia="en-US"/>
              </w:rPr>
              <w:t>1 000</w:t>
            </w:r>
          </w:p>
        </w:tc>
        <w:tc>
          <w:tcPr>
            <w:tcW w:w="1080" w:type="dxa"/>
            <w:shd w:val="clear" w:color="auto" w:fill="auto"/>
            <w:vAlign w:val="center"/>
            <w:hideMark/>
          </w:tcPr>
          <w:p w:rsidR="003A5772" w:rsidRPr="00EA6851" w:rsidRDefault="003A5772" w:rsidP="003A5772">
            <w:pPr>
              <w:spacing w:after="60"/>
              <w:jc w:val="center"/>
              <w:rPr>
                <w:color w:val="000000"/>
                <w:sz w:val="18"/>
                <w:szCs w:val="18"/>
                <w:lang w:eastAsia="en-US"/>
              </w:rPr>
            </w:pPr>
            <w:r w:rsidRPr="00EA6851">
              <w:rPr>
                <w:color w:val="000000"/>
                <w:sz w:val="18"/>
                <w:szCs w:val="18"/>
                <w:lang w:eastAsia="en-US"/>
              </w:rPr>
              <w:t>1 000</w:t>
            </w:r>
          </w:p>
        </w:tc>
      </w:tr>
    </w:tbl>
    <w:p w:rsidR="007945B3" w:rsidRPr="00EA6851" w:rsidRDefault="007945B3" w:rsidP="003A5772">
      <w:pPr>
        <w:tabs>
          <w:tab w:val="left" w:pos="851"/>
        </w:tabs>
        <w:spacing w:before="120"/>
        <w:rPr>
          <w:rFonts w:eastAsia="Calibri"/>
        </w:rPr>
      </w:pPr>
    </w:p>
    <w:p w:rsidR="003A5772" w:rsidRPr="00EA6851" w:rsidRDefault="003A5772" w:rsidP="003A5772">
      <w:pPr>
        <w:tabs>
          <w:tab w:val="left" w:pos="851"/>
        </w:tabs>
        <w:spacing w:before="120"/>
        <w:rPr>
          <w:rFonts w:eastAsia="Calibri"/>
        </w:rPr>
      </w:pPr>
      <w:r w:rsidRPr="00EA6851">
        <w:rPr>
          <w:rFonts w:eastAsia="Calibri"/>
        </w:rPr>
        <w:t xml:space="preserve">С оглед изпълнение на нормативно възложените функции на МРРБ за извършване на превантивни дейности по регистриране и мониторинг на свлачищни райони на територията на Република България съгласно чл. 95, ал. 1 от Закона за устройство на територията (ЗУТ), в т.ч. на абразионните и ерозионните процеси по Черноморското и Дунавското крайбрежие, като превантивни мерки за предотвратяване на аварии и щети, които се осъществяват от МРРБ. </w:t>
      </w:r>
    </w:p>
    <w:p w:rsidR="003A5772" w:rsidRPr="00EA6851" w:rsidRDefault="003A5772" w:rsidP="003A5772">
      <w:pPr>
        <w:spacing w:before="120"/>
        <w:rPr>
          <w:noProof/>
        </w:rPr>
      </w:pPr>
      <w:r w:rsidRPr="00EA6851">
        <w:rPr>
          <w:noProof/>
        </w:rPr>
        <w:t xml:space="preserve">Комплексното управление на язовирите – публична и частна държавна собственост е възложено на </w:t>
      </w:r>
      <w:r w:rsidRPr="00EA6851">
        <w:rPr>
          <w:b/>
          <w:i/>
          <w:noProof/>
        </w:rPr>
        <w:t>Държавно предприятие „Управление и стопанисване на язовири“ (ДПУСЯ)</w:t>
      </w:r>
      <w:r w:rsidRPr="00EA6851">
        <w:rPr>
          <w:noProof/>
        </w:rPr>
        <w:t xml:space="preserve">. Министърът на икономиката и индустрията упражнява правомощията на държавата като собственик на ДПУСЯ. Държавното предприятие е инструмент за провеждането на държавната политика, свързана с дейностите по поддържане в изправно техническо състояние на язовирните стени и съоръженията им, безопасната им експлоатация и контрола по спазването на мерките за предотвратяване или намаляване на вредните последици за човешкия живот и здраве, околната среда, културното наследство и стопанската дейност, свързани с вредното въздействие на водите, което може да настъпи при евентуално разрушаване на язовирни стени. </w:t>
      </w:r>
    </w:p>
    <w:p w:rsidR="003A5772" w:rsidRPr="00EA6851" w:rsidRDefault="003A5772" w:rsidP="003A5772">
      <w:pPr>
        <w:spacing w:before="120"/>
        <w:rPr>
          <w:noProof/>
        </w:rPr>
      </w:pPr>
      <w:r w:rsidRPr="00EA6851">
        <w:rPr>
          <w:noProof/>
        </w:rPr>
        <w:t>Основна цел на предприятието е приемането на язовири, тяхното класифициране, поддържане, стопанисване, осигуряване на оперативната надеждност на съществуващите язовири по отношение на баланса на водните ресурси и на техническото състояние на съоръженията. Във връзка с основните си дейности, предприятието осъществява:</w:t>
      </w:r>
    </w:p>
    <w:p w:rsidR="003A5772" w:rsidRPr="00EA6851" w:rsidRDefault="003A5772" w:rsidP="00B30642">
      <w:pPr>
        <w:numPr>
          <w:ilvl w:val="0"/>
          <w:numId w:val="28"/>
        </w:numPr>
        <w:spacing w:before="120"/>
        <w:rPr>
          <w:rFonts w:eastAsia="Batang"/>
        </w:rPr>
      </w:pPr>
      <w:r w:rsidRPr="00EA6851">
        <w:rPr>
          <w:rFonts w:eastAsia="Batang"/>
        </w:rPr>
        <w:t>Системен непрекъснат технически мониторинг на всички хидротехнически съоръжения;</w:t>
      </w:r>
    </w:p>
    <w:p w:rsidR="003A5772" w:rsidRPr="00EA6851" w:rsidRDefault="003A5772" w:rsidP="00B30642">
      <w:pPr>
        <w:numPr>
          <w:ilvl w:val="0"/>
          <w:numId w:val="28"/>
        </w:numPr>
        <w:spacing w:before="120"/>
        <w:rPr>
          <w:rFonts w:eastAsia="Batang"/>
        </w:rPr>
      </w:pPr>
      <w:r w:rsidRPr="00EA6851">
        <w:rPr>
          <w:rFonts w:eastAsia="Batang"/>
        </w:rPr>
        <w:t>Поддръжката и ремонтно-възстановителните дейности на язовири, хидротехнически и защитни съоръжения;</w:t>
      </w:r>
    </w:p>
    <w:p w:rsidR="003A5772" w:rsidRPr="00EA6851" w:rsidRDefault="003A5772" w:rsidP="00B30642">
      <w:pPr>
        <w:numPr>
          <w:ilvl w:val="0"/>
          <w:numId w:val="28"/>
        </w:numPr>
        <w:spacing w:before="120"/>
        <w:rPr>
          <w:rFonts w:eastAsia="Batang"/>
        </w:rPr>
      </w:pPr>
      <w:r w:rsidRPr="00EA6851">
        <w:rPr>
          <w:rFonts w:eastAsia="Batang"/>
        </w:rPr>
        <w:t xml:space="preserve">Регулиране на водните нива в язовирите с цел намаляване на риска от наводнения; </w:t>
      </w:r>
    </w:p>
    <w:p w:rsidR="003A5772" w:rsidRPr="00EA6851" w:rsidRDefault="003A5772" w:rsidP="00B30642">
      <w:pPr>
        <w:numPr>
          <w:ilvl w:val="0"/>
          <w:numId w:val="28"/>
        </w:numPr>
        <w:spacing w:before="120"/>
        <w:rPr>
          <w:rFonts w:eastAsia="Batang"/>
        </w:rPr>
      </w:pPr>
      <w:r w:rsidRPr="00EA6851">
        <w:rPr>
          <w:rFonts w:eastAsia="Batang"/>
        </w:rPr>
        <w:t>Осигуряване на оператори за язовирите според Закона за водите и Наредбата за условията и реда за осъществяване на техническата и безопасната експлоатация на язовирните стени и на съоръженията към тях и на контрол за техническото им състояние;</w:t>
      </w:r>
    </w:p>
    <w:p w:rsidR="003A5772" w:rsidRPr="00EA6851" w:rsidRDefault="003A5772" w:rsidP="00B30642">
      <w:pPr>
        <w:numPr>
          <w:ilvl w:val="0"/>
          <w:numId w:val="28"/>
        </w:numPr>
        <w:spacing w:before="120"/>
        <w:rPr>
          <w:rFonts w:eastAsia="Batang"/>
        </w:rPr>
      </w:pPr>
      <w:r w:rsidRPr="00EA6851">
        <w:rPr>
          <w:rFonts w:eastAsia="Batang"/>
        </w:rPr>
        <w:t>Дейности по опазване на околната среда.</w:t>
      </w:r>
    </w:p>
    <w:p w:rsidR="003A5772" w:rsidRPr="00EA6851" w:rsidRDefault="003A5772" w:rsidP="003A5772">
      <w:pPr>
        <w:autoSpaceDE w:val="0"/>
        <w:autoSpaceDN w:val="0"/>
        <w:adjustRightInd w:val="0"/>
        <w:spacing w:after="120"/>
        <w:rPr>
          <w:b/>
          <w:i/>
          <w:color w:val="852010" w:themeColor="accent3" w:themeShade="BF"/>
        </w:rPr>
      </w:pPr>
      <w:r w:rsidRPr="00EA6851">
        <w:rPr>
          <w:b/>
          <w:i/>
          <w:color w:val="852010" w:themeColor="accent3" w:themeShade="BF"/>
        </w:rPr>
        <w:t>Финансиране на програми за отстраняване на нанесените щети върху околната среда, настъпили от минали действия или бездействия, при приватизация</w:t>
      </w:r>
    </w:p>
    <w:p w:rsidR="003A5772" w:rsidRPr="00EA6851" w:rsidRDefault="003A5772" w:rsidP="003A5772">
      <w:pPr>
        <w:tabs>
          <w:tab w:val="left" w:pos="741"/>
          <w:tab w:val="center" w:pos="4153"/>
          <w:tab w:val="right" w:pos="8306"/>
        </w:tabs>
        <w:spacing w:after="120"/>
        <w:rPr>
          <w:szCs w:val="24"/>
          <w:lang w:eastAsia="zh-CN"/>
        </w:rPr>
      </w:pPr>
      <w:r w:rsidRPr="00EA6851">
        <w:rPr>
          <w:szCs w:val="24"/>
          <w:lang w:eastAsia="zh-CN"/>
        </w:rPr>
        <w:t xml:space="preserve">През периода 2024-2025 г. ще продължи изпълнението на програмите за отстраняване на нанесените щети върху околната среда, настъпили от минали действия или бездействия при приватизация (програмите). Финансирането от държавния бюджет на тези програми е на основание чл. 3 от Наредбата за условията и реда за определяне на отговорността на държавата и за отстраняване на нанесените щети върху околната среда, настъпили от минали действия или бездействия, при приватизация. С изпълнението на програмите се цели трайно отстраняване на замърсяването от промишлената дейност на повърхностните и подземни води и почви, с оглед подобряване на работната и околната среда на работещите в предприятията и населените места в района на дружествата. </w:t>
      </w:r>
    </w:p>
    <w:p w:rsidR="003A5772" w:rsidRPr="00EA6851" w:rsidRDefault="003A5772" w:rsidP="003A5772">
      <w:pPr>
        <w:tabs>
          <w:tab w:val="left" w:pos="741"/>
          <w:tab w:val="center" w:pos="4153"/>
          <w:tab w:val="right" w:pos="8306"/>
        </w:tabs>
        <w:spacing w:after="120"/>
        <w:rPr>
          <w:szCs w:val="24"/>
          <w:lang w:eastAsia="zh-CN"/>
        </w:rPr>
      </w:pPr>
      <w:r w:rsidRPr="00EA6851">
        <w:rPr>
          <w:szCs w:val="24"/>
          <w:lang w:eastAsia="zh-CN"/>
        </w:rPr>
        <w:t>Съгласно § 9 от преходните и заключителните разпоредби на Закона за опазване на околната среда, срокът за изпълнение на програмите е 31.12.2025 г., като максималната стойност на оставащите разходи е в размер на 54,0</w:t>
      </w:r>
      <w:r w:rsidR="00960D92" w:rsidRPr="00EA6851">
        <w:rPr>
          <w:szCs w:val="24"/>
          <w:lang w:eastAsia="zh-CN"/>
        </w:rPr>
        <w:t xml:space="preserve"> млн. лв</w:t>
      </w:r>
      <w:r w:rsidRPr="00EA6851">
        <w:rPr>
          <w:szCs w:val="24"/>
          <w:lang w:eastAsia="zh-CN"/>
        </w:rPr>
        <w:t>. Одобрени са инвестиционните проекти за три програми на „Хармони 2012“ ЕООД и две на „Лукойл Нефтохим Бургас“ АД и предстои провеждане на процедури по реда на Закона за обществените поръчки за избор на изпълнител и строителен надзор за програмата на „Агрополихим“ АД – гр. Девня. Максималният размер на средствата, необходими за изпълнение на програмите</w:t>
      </w:r>
      <w:r w:rsidR="007F443F" w:rsidRPr="00EA6851">
        <w:rPr>
          <w:szCs w:val="24"/>
          <w:lang w:eastAsia="zh-CN"/>
        </w:rPr>
        <w:t>,</w:t>
      </w:r>
      <w:r w:rsidRPr="00EA6851">
        <w:rPr>
          <w:szCs w:val="24"/>
          <w:lang w:eastAsia="zh-CN"/>
        </w:rPr>
        <w:t xml:space="preserve"> е определен с Решение на Висшия експертен екологичен съвет към Министерството на околната среда и водите, след извършена оценка по ОВОС</w:t>
      </w:r>
      <w:r w:rsidR="00E213D6" w:rsidRPr="00EA6851">
        <w:rPr>
          <w:rStyle w:val="FootnoteReference"/>
          <w:szCs w:val="24"/>
        </w:rPr>
        <w:footnoteReference w:id="32"/>
      </w:r>
      <w:r w:rsidRPr="00EA6851">
        <w:rPr>
          <w:szCs w:val="24"/>
          <w:lang w:eastAsia="zh-CN"/>
        </w:rPr>
        <w:t xml:space="preserve">. </w:t>
      </w:r>
    </w:p>
    <w:p w:rsidR="00A73BF9" w:rsidRPr="00A73BF9" w:rsidRDefault="00A73BF9" w:rsidP="00A73BF9">
      <w:pPr>
        <w:tabs>
          <w:tab w:val="left" w:pos="741"/>
          <w:tab w:val="center" w:pos="4153"/>
          <w:tab w:val="right" w:pos="8306"/>
        </w:tabs>
        <w:spacing w:after="120"/>
        <w:rPr>
          <w:szCs w:val="24"/>
          <w:lang w:eastAsia="zh-CN"/>
        </w:rPr>
      </w:pPr>
      <w:r w:rsidRPr="00A73BF9">
        <w:rPr>
          <w:szCs w:val="24"/>
          <w:lang w:eastAsia="zh-CN"/>
        </w:rPr>
        <w:t xml:space="preserve">Проектното разпределение на средствата за изпълнение на програмите е съобразено с възможностите за стартиране изпълнението на одобрените инвестиционни проекти, както и с индикативните разходи, предвидени във времевите графици за всеки конкретен обект от програмите, както следва: за 2024 г. –  15,9 млн. лв. и за 2025 г. – 18,7 млн. лв. С оглед законовия срок за приключване изпълнението на програмите не са определени прогнозни средства за 2026 г. </w:t>
      </w:r>
    </w:p>
    <w:p w:rsidR="0033580A" w:rsidRPr="00EA6851" w:rsidRDefault="0033580A" w:rsidP="0033580A">
      <w:pPr>
        <w:pStyle w:val="Heading3"/>
        <w:ind w:left="0"/>
      </w:pPr>
      <w:r w:rsidRPr="00EA6851">
        <w:t>Политика в областта на регионалното развитие</w:t>
      </w:r>
    </w:p>
    <w:p w:rsidR="00960D92" w:rsidRPr="00EA6851" w:rsidRDefault="00960D92" w:rsidP="00960D92">
      <w:r w:rsidRPr="00EA6851">
        <w:t>Провежданата политика в областта на регионалното развитие е насочена към създаването на условия за балансирано и устойчиво интегрирано развитие на регионите, целящо общо икономическо и социално развитие на страната, както и развитие на териториалното сътрудничество. Политиката е насочена и към подобряване качеството на жизнената среда на българските граждани и превръщането на българските региони в привлекателно място за инвестиции и бизнес.</w:t>
      </w:r>
    </w:p>
    <w:p w:rsidR="00960D92" w:rsidRPr="00EA6851" w:rsidRDefault="00960D92" w:rsidP="00960D92">
      <w:r w:rsidRPr="00EA6851">
        <w:t>Поставените цели в областта на регионалното развитие се осъществяват от Министерството на регионалното развитие и благоустройството посредством изпълнението на посочените по-долу политики, като към тях са определени и съответните ключови индикатори за измерване на постигнатите резултати в периода 2024-2026 г.</w:t>
      </w:r>
    </w:p>
    <w:p w:rsidR="00960D92" w:rsidRPr="00EA6851" w:rsidRDefault="00960D92" w:rsidP="00960D92">
      <w:pPr>
        <w:pStyle w:val="Heading4"/>
        <w:spacing w:before="0" w:after="200"/>
      </w:pPr>
      <w:r w:rsidRPr="00EA6851">
        <w:t>Политика за интегрирано развитие на регионите за постигане на растеж и подобряване качеството на жизнената среда</w:t>
      </w:r>
    </w:p>
    <w:p w:rsidR="00960D92" w:rsidRPr="00EA6851" w:rsidRDefault="00960D92" w:rsidP="00960D92">
      <w:r w:rsidRPr="00EA6851">
        <w:t>Основен акцент на тази политика е създаването на условия за постигане на устойчиво интегрирано развитие на районите и общините в страната, подпомагане на икономическото и социално развитие на трансграничните региони и намаляване на регионалните различия посредством подобряване на инфраструктурата в граничните райони, насърчаване на сътрудничеството между регионите, както и насърчаване на съвместното трансгранично сътрудничество и балансирано териториално развитие чрез укрепване на мрежата от градове-центрове, подобряване свързаността в районите и качеството на средата в населените места.</w:t>
      </w:r>
    </w:p>
    <w:p w:rsidR="00960D92" w:rsidRPr="00EA6851" w:rsidRDefault="00960D92" w:rsidP="00960D92">
      <w:r w:rsidRPr="00EA6851">
        <w:t>Тази политика е насочена към подобряване качеството на жизнената среда и превръщането на регионите в привлекателно място за инвестиции и бизнес, както и прилагане на целенасочени мерки за подпомагане на регионите</w:t>
      </w:r>
      <w:r w:rsidR="004D2E00" w:rsidRPr="00EA6851">
        <w:t>,</w:t>
      </w:r>
      <w:r w:rsidRPr="00EA6851">
        <w:t xml:space="preserve"> изоставащи с развитието си, като се отчитат специфичните им нужди и местния потенциал за развитие. Целта е насочена към сближаване в три аспекта – икономическо, социално и териториално сближаване, както и три нива – европейско – с регионите на ЕС, национално – между българските райони и вътрешно регионално – между общините в отделните райони.</w:t>
      </w:r>
    </w:p>
    <w:p w:rsidR="00960D92" w:rsidRPr="00EA6851" w:rsidRDefault="00960D92" w:rsidP="00960D92">
      <w:r w:rsidRPr="00EA6851">
        <w:t>Сред основните приоритети е и създаването на балансирана, съразмерно развиваща се и устойчива жилищна система.</w:t>
      </w:r>
    </w:p>
    <w:p w:rsidR="00960D92" w:rsidRPr="00EA6851" w:rsidRDefault="00960D92" w:rsidP="00960D92">
      <w:r w:rsidRPr="00EA6851">
        <w:t>В рамките на политиката се координира изпълнението на Националната програма за енергийна ефективност на многофамилни жилищни сгради.</w:t>
      </w:r>
    </w:p>
    <w:p w:rsidR="00960D92" w:rsidRPr="00EA6851" w:rsidRDefault="00960D92" w:rsidP="00960D92">
      <w:pPr>
        <w:rPr>
          <w:b/>
          <w:sz w:val="20"/>
          <w:szCs w:val="20"/>
        </w:rPr>
      </w:pPr>
      <w:r w:rsidRPr="00EA6851">
        <w:rPr>
          <w:b/>
          <w:sz w:val="20"/>
          <w:szCs w:val="20"/>
        </w:rPr>
        <w:t>КЛЮЧОВИ ИНДИКАТОРИ ЗА ИЗПЪЛНЕНИЕ И ЦЕЛЕВИ СТОЙНОСТИ</w:t>
      </w:r>
    </w:p>
    <w:tbl>
      <w:tblPr>
        <w:tblW w:w="9270" w:type="dxa"/>
        <w:tblBorders>
          <w:top w:val="single" w:sz="4" w:space="0" w:color="auto"/>
          <w:bottom w:val="single" w:sz="4" w:space="0" w:color="auto"/>
        </w:tblBorders>
        <w:tblLayout w:type="fixed"/>
        <w:tblLook w:val="04A0" w:firstRow="1" w:lastRow="0" w:firstColumn="1" w:lastColumn="0" w:noHBand="0" w:noVBand="1"/>
      </w:tblPr>
      <w:tblGrid>
        <w:gridCol w:w="3780"/>
        <w:gridCol w:w="1080"/>
        <w:gridCol w:w="1170"/>
        <w:gridCol w:w="1080"/>
        <w:gridCol w:w="1080"/>
        <w:gridCol w:w="1080"/>
      </w:tblGrid>
      <w:tr w:rsidR="00960D92" w:rsidRPr="00EB28A6" w:rsidTr="00FA2E91">
        <w:trPr>
          <w:trHeight w:val="801"/>
          <w:tblHeader/>
        </w:trPr>
        <w:tc>
          <w:tcPr>
            <w:tcW w:w="3780" w:type="dxa"/>
            <w:tcBorders>
              <w:top w:val="single" w:sz="4" w:space="0" w:color="auto"/>
            </w:tcBorders>
            <w:shd w:val="clear" w:color="auto" w:fill="auto"/>
            <w:hideMark/>
          </w:tcPr>
          <w:p w:rsidR="00960D92" w:rsidRPr="00EB28A6" w:rsidRDefault="00960D92" w:rsidP="00960D92">
            <w:pPr>
              <w:spacing w:after="60"/>
              <w:jc w:val="center"/>
              <w:rPr>
                <w:b/>
                <w:bCs/>
                <w:i/>
                <w:sz w:val="18"/>
                <w:szCs w:val="18"/>
                <w:lang w:eastAsia="en-US"/>
              </w:rPr>
            </w:pPr>
            <w:r w:rsidRPr="00EB28A6">
              <w:rPr>
                <w:b/>
                <w:i/>
                <w:color w:val="000000"/>
                <w:sz w:val="18"/>
                <w:szCs w:val="18"/>
                <w:lang w:eastAsia="en-US"/>
              </w:rPr>
              <w:t>Политика за интегрирано развитие на регионите за постигане на растеж и подобряване качеството на жизнената среда</w:t>
            </w:r>
          </w:p>
        </w:tc>
        <w:tc>
          <w:tcPr>
            <w:tcW w:w="1080" w:type="dxa"/>
            <w:vMerge w:val="restart"/>
            <w:tcBorders>
              <w:top w:val="single" w:sz="4" w:space="0" w:color="auto"/>
            </w:tcBorders>
            <w:shd w:val="clear" w:color="auto" w:fill="F2F2F2"/>
            <w:vAlign w:val="center"/>
            <w:hideMark/>
          </w:tcPr>
          <w:p w:rsidR="00960D92" w:rsidRPr="00EB28A6" w:rsidRDefault="00960D92" w:rsidP="00960D92">
            <w:pPr>
              <w:spacing w:after="60"/>
              <w:jc w:val="center"/>
              <w:rPr>
                <w:b/>
                <w:bCs/>
                <w:sz w:val="18"/>
                <w:szCs w:val="18"/>
                <w:lang w:eastAsia="en-US"/>
              </w:rPr>
            </w:pPr>
            <w:r w:rsidRPr="00EB28A6">
              <w:rPr>
                <w:b/>
                <w:bCs/>
                <w:sz w:val="18"/>
                <w:szCs w:val="18"/>
                <w:lang w:eastAsia="en-US"/>
              </w:rPr>
              <w:t>Мерна единица</w:t>
            </w:r>
          </w:p>
        </w:tc>
        <w:tc>
          <w:tcPr>
            <w:tcW w:w="1170" w:type="dxa"/>
            <w:tcBorders>
              <w:top w:val="single" w:sz="4" w:space="0" w:color="auto"/>
            </w:tcBorders>
            <w:shd w:val="clear" w:color="auto" w:fill="auto"/>
          </w:tcPr>
          <w:p w:rsidR="00960D92" w:rsidRPr="00EB28A6" w:rsidRDefault="00960D92" w:rsidP="00960D92">
            <w:pPr>
              <w:spacing w:after="60"/>
              <w:jc w:val="center"/>
              <w:rPr>
                <w:b/>
                <w:bCs/>
                <w:sz w:val="18"/>
                <w:szCs w:val="18"/>
                <w:lang w:eastAsia="en-US"/>
              </w:rPr>
            </w:pPr>
          </w:p>
        </w:tc>
        <w:tc>
          <w:tcPr>
            <w:tcW w:w="3240" w:type="dxa"/>
            <w:gridSpan w:val="3"/>
            <w:tcBorders>
              <w:top w:val="single" w:sz="4" w:space="0" w:color="auto"/>
            </w:tcBorders>
            <w:shd w:val="clear" w:color="auto" w:fill="auto"/>
          </w:tcPr>
          <w:p w:rsidR="00960D92" w:rsidRPr="00EB28A6" w:rsidRDefault="00960D92" w:rsidP="00960D92">
            <w:pPr>
              <w:spacing w:after="60"/>
              <w:rPr>
                <w:b/>
                <w:bCs/>
                <w:sz w:val="18"/>
                <w:szCs w:val="18"/>
                <w:lang w:eastAsia="en-US"/>
              </w:rPr>
            </w:pPr>
          </w:p>
          <w:p w:rsidR="00960D92" w:rsidRPr="00EB28A6" w:rsidRDefault="00960D92" w:rsidP="00960D92">
            <w:pPr>
              <w:spacing w:after="60"/>
              <w:rPr>
                <w:b/>
                <w:bCs/>
                <w:sz w:val="18"/>
                <w:szCs w:val="18"/>
                <w:lang w:eastAsia="en-US"/>
              </w:rPr>
            </w:pPr>
            <w:r w:rsidRPr="00EB28A6">
              <w:rPr>
                <w:b/>
                <w:bCs/>
                <w:sz w:val="18"/>
                <w:szCs w:val="18"/>
                <w:lang w:eastAsia="en-US"/>
              </w:rPr>
              <w:t>Целева стойност</w:t>
            </w:r>
          </w:p>
        </w:tc>
      </w:tr>
      <w:tr w:rsidR="00960D92" w:rsidRPr="00EB28A6" w:rsidTr="00FA2E91">
        <w:trPr>
          <w:trHeight w:val="200"/>
          <w:tblHeader/>
        </w:trPr>
        <w:tc>
          <w:tcPr>
            <w:tcW w:w="3780" w:type="dxa"/>
            <w:tcBorders>
              <w:bottom w:val="single" w:sz="4" w:space="0" w:color="auto"/>
            </w:tcBorders>
            <w:shd w:val="clear" w:color="auto" w:fill="auto"/>
            <w:hideMark/>
          </w:tcPr>
          <w:p w:rsidR="00960D92" w:rsidRPr="00EB28A6" w:rsidRDefault="00960D92" w:rsidP="00960D92">
            <w:pPr>
              <w:spacing w:after="60"/>
              <w:jc w:val="center"/>
              <w:rPr>
                <w:b/>
                <w:bCs/>
                <w:sz w:val="18"/>
                <w:szCs w:val="18"/>
                <w:lang w:eastAsia="en-US"/>
              </w:rPr>
            </w:pPr>
            <w:r w:rsidRPr="00EB28A6">
              <w:rPr>
                <w:b/>
                <w:bCs/>
                <w:sz w:val="18"/>
                <w:szCs w:val="18"/>
                <w:lang w:eastAsia="en-US"/>
              </w:rPr>
              <w:t>Наименование на индикатора</w:t>
            </w:r>
          </w:p>
        </w:tc>
        <w:tc>
          <w:tcPr>
            <w:tcW w:w="1080" w:type="dxa"/>
            <w:vMerge/>
            <w:tcBorders>
              <w:bottom w:val="single" w:sz="4" w:space="0" w:color="auto"/>
            </w:tcBorders>
            <w:shd w:val="clear" w:color="auto" w:fill="auto"/>
            <w:vAlign w:val="center"/>
            <w:hideMark/>
          </w:tcPr>
          <w:p w:rsidR="00960D92" w:rsidRPr="00EB28A6" w:rsidRDefault="00960D92" w:rsidP="00960D92">
            <w:pPr>
              <w:spacing w:after="0"/>
              <w:rPr>
                <w:b/>
                <w:bCs/>
                <w:sz w:val="18"/>
                <w:szCs w:val="18"/>
                <w:lang w:eastAsia="en-US"/>
              </w:rPr>
            </w:pPr>
          </w:p>
        </w:tc>
        <w:tc>
          <w:tcPr>
            <w:tcW w:w="1170" w:type="dxa"/>
            <w:tcBorders>
              <w:top w:val="single" w:sz="4" w:space="0" w:color="auto"/>
              <w:bottom w:val="single" w:sz="4" w:space="0" w:color="auto"/>
            </w:tcBorders>
            <w:shd w:val="clear" w:color="auto" w:fill="auto"/>
            <w:hideMark/>
          </w:tcPr>
          <w:p w:rsidR="00960D92" w:rsidRPr="00EB28A6" w:rsidRDefault="00960D92" w:rsidP="00960D92">
            <w:pPr>
              <w:spacing w:after="60"/>
              <w:jc w:val="center"/>
              <w:rPr>
                <w:b/>
                <w:bCs/>
                <w:i/>
                <w:iCs/>
                <w:sz w:val="18"/>
                <w:szCs w:val="18"/>
                <w:lang w:eastAsia="en-US"/>
              </w:rPr>
            </w:pPr>
            <w:r w:rsidRPr="00EB28A6">
              <w:rPr>
                <w:b/>
                <w:bCs/>
                <w:i/>
                <w:iCs/>
                <w:sz w:val="18"/>
                <w:szCs w:val="18"/>
                <w:lang w:eastAsia="en-US"/>
              </w:rPr>
              <w:t>Програма 2023 г.</w:t>
            </w:r>
          </w:p>
        </w:tc>
        <w:tc>
          <w:tcPr>
            <w:tcW w:w="1080" w:type="dxa"/>
            <w:tcBorders>
              <w:top w:val="single" w:sz="4" w:space="0" w:color="auto"/>
              <w:bottom w:val="single" w:sz="4" w:space="0" w:color="auto"/>
            </w:tcBorders>
            <w:shd w:val="clear" w:color="auto" w:fill="auto"/>
            <w:hideMark/>
          </w:tcPr>
          <w:p w:rsidR="00960D92" w:rsidRPr="00EB28A6" w:rsidRDefault="00960D92" w:rsidP="00960D92">
            <w:pPr>
              <w:spacing w:after="60"/>
              <w:jc w:val="center"/>
              <w:rPr>
                <w:b/>
                <w:bCs/>
                <w:i/>
                <w:iCs/>
                <w:sz w:val="18"/>
                <w:szCs w:val="18"/>
                <w:lang w:eastAsia="en-US"/>
              </w:rPr>
            </w:pPr>
            <w:r w:rsidRPr="00EB28A6">
              <w:rPr>
                <w:b/>
                <w:bCs/>
                <w:i/>
                <w:iCs/>
                <w:sz w:val="18"/>
                <w:szCs w:val="18"/>
                <w:lang w:eastAsia="en-US"/>
              </w:rPr>
              <w:t>Проект 2024 г.</w:t>
            </w:r>
          </w:p>
        </w:tc>
        <w:tc>
          <w:tcPr>
            <w:tcW w:w="1080" w:type="dxa"/>
            <w:tcBorders>
              <w:top w:val="single" w:sz="4" w:space="0" w:color="auto"/>
              <w:bottom w:val="single" w:sz="4" w:space="0" w:color="auto"/>
            </w:tcBorders>
            <w:shd w:val="clear" w:color="auto" w:fill="auto"/>
            <w:hideMark/>
          </w:tcPr>
          <w:p w:rsidR="00960D92" w:rsidRPr="00EB28A6" w:rsidRDefault="00960D92" w:rsidP="00960D92">
            <w:pPr>
              <w:spacing w:after="60"/>
              <w:jc w:val="center"/>
              <w:rPr>
                <w:b/>
                <w:bCs/>
                <w:i/>
                <w:iCs/>
                <w:sz w:val="18"/>
                <w:szCs w:val="18"/>
                <w:lang w:eastAsia="en-US"/>
              </w:rPr>
            </w:pPr>
            <w:r w:rsidRPr="00EB28A6">
              <w:rPr>
                <w:b/>
                <w:bCs/>
                <w:i/>
                <w:iCs/>
                <w:sz w:val="18"/>
                <w:szCs w:val="18"/>
                <w:lang w:eastAsia="en-US"/>
              </w:rPr>
              <w:t>Прогноза</w:t>
            </w:r>
            <w:r w:rsidR="007945B3" w:rsidRPr="00EB28A6">
              <w:rPr>
                <w:b/>
                <w:bCs/>
                <w:i/>
                <w:iCs/>
                <w:sz w:val="18"/>
                <w:szCs w:val="18"/>
                <w:lang w:eastAsia="en-US"/>
              </w:rPr>
              <w:t xml:space="preserve"> </w:t>
            </w:r>
            <w:r w:rsidRPr="00EB28A6">
              <w:rPr>
                <w:b/>
                <w:bCs/>
                <w:i/>
                <w:iCs/>
                <w:sz w:val="18"/>
                <w:szCs w:val="18"/>
                <w:lang w:eastAsia="en-US"/>
              </w:rPr>
              <w:t>2025 г.</w:t>
            </w:r>
          </w:p>
        </w:tc>
        <w:tc>
          <w:tcPr>
            <w:tcW w:w="1080" w:type="dxa"/>
            <w:tcBorders>
              <w:top w:val="single" w:sz="4" w:space="0" w:color="auto"/>
              <w:bottom w:val="single" w:sz="4" w:space="0" w:color="auto"/>
            </w:tcBorders>
            <w:shd w:val="clear" w:color="auto" w:fill="auto"/>
            <w:hideMark/>
          </w:tcPr>
          <w:p w:rsidR="00960D92" w:rsidRPr="00EB28A6" w:rsidRDefault="00960D92" w:rsidP="00960D92">
            <w:pPr>
              <w:spacing w:after="60"/>
              <w:jc w:val="center"/>
              <w:rPr>
                <w:b/>
                <w:bCs/>
                <w:i/>
                <w:iCs/>
                <w:sz w:val="18"/>
                <w:szCs w:val="18"/>
                <w:lang w:eastAsia="en-US"/>
              </w:rPr>
            </w:pPr>
            <w:r w:rsidRPr="00EB28A6">
              <w:rPr>
                <w:b/>
                <w:bCs/>
                <w:i/>
                <w:iCs/>
                <w:sz w:val="18"/>
                <w:szCs w:val="18"/>
                <w:lang w:eastAsia="en-US"/>
              </w:rPr>
              <w:t>Прогноза  2026 г.</w:t>
            </w:r>
          </w:p>
        </w:tc>
      </w:tr>
      <w:tr w:rsidR="00960D92" w:rsidRPr="00EB28A6" w:rsidTr="00FA2E91">
        <w:trPr>
          <w:trHeight w:val="834"/>
        </w:trPr>
        <w:tc>
          <w:tcPr>
            <w:tcW w:w="3780" w:type="dxa"/>
            <w:tcBorders>
              <w:top w:val="single" w:sz="4" w:space="0" w:color="auto"/>
            </w:tcBorders>
            <w:shd w:val="clear" w:color="auto" w:fill="auto"/>
            <w:vAlign w:val="center"/>
            <w:hideMark/>
          </w:tcPr>
          <w:p w:rsidR="00960D92" w:rsidRPr="00EB28A6" w:rsidRDefault="00960D92" w:rsidP="00960D92">
            <w:pPr>
              <w:spacing w:after="60"/>
              <w:rPr>
                <w:sz w:val="18"/>
                <w:szCs w:val="18"/>
                <w:lang w:eastAsia="en-US"/>
              </w:rPr>
            </w:pPr>
            <w:r w:rsidRPr="00EB28A6">
              <w:rPr>
                <w:sz w:val="18"/>
                <w:szCs w:val="18"/>
                <w:lang w:eastAsia="en-US"/>
              </w:rPr>
              <w:t>1.</w:t>
            </w:r>
            <w:r w:rsidRPr="00EB28A6">
              <w:rPr>
                <w:b/>
                <w:sz w:val="18"/>
                <w:szCs w:val="18"/>
                <w:lang w:eastAsia="en-US"/>
              </w:rPr>
              <w:t xml:space="preserve"> </w:t>
            </w:r>
            <w:r w:rsidRPr="00EB28A6">
              <w:rPr>
                <w:sz w:val="18"/>
                <w:szCs w:val="18"/>
                <w:lang w:eastAsia="en-US"/>
              </w:rPr>
              <w:t xml:space="preserve">Изпълнение на Пътна карта за </w:t>
            </w:r>
            <w:r w:rsidR="00D152DF" w:rsidRPr="00EB28A6">
              <w:rPr>
                <w:sz w:val="18"/>
                <w:szCs w:val="18"/>
                <w:lang w:eastAsia="en-US"/>
              </w:rPr>
              <w:t xml:space="preserve">реализиране на </w:t>
            </w:r>
            <w:r w:rsidRPr="00EB28A6">
              <w:rPr>
                <w:sz w:val="18"/>
                <w:szCs w:val="18"/>
                <w:lang w:eastAsia="en-US"/>
              </w:rPr>
              <w:t xml:space="preserve">регионалната политика с цел създаване на условия за балансирано териториално развитие </w:t>
            </w:r>
            <w:r w:rsidR="00D152DF" w:rsidRPr="00EB28A6">
              <w:rPr>
                <w:sz w:val="18"/>
                <w:szCs w:val="18"/>
                <w:lang w:eastAsia="en-US"/>
              </w:rPr>
              <w:t>с изпълнение до 2025 г. при прилагане на разпоредбите на Закона за регионалното развитие</w:t>
            </w:r>
          </w:p>
        </w:tc>
        <w:tc>
          <w:tcPr>
            <w:tcW w:w="1080" w:type="dxa"/>
            <w:tcBorders>
              <w:top w:val="single" w:sz="4" w:space="0" w:color="auto"/>
            </w:tcBorders>
            <w:shd w:val="clear" w:color="auto" w:fill="F2F2F2"/>
            <w:vAlign w:val="center"/>
            <w:hideMark/>
          </w:tcPr>
          <w:p w:rsidR="00960D92" w:rsidRPr="00EB28A6" w:rsidRDefault="00960D92" w:rsidP="00960D92">
            <w:pPr>
              <w:spacing w:after="60"/>
              <w:jc w:val="center"/>
              <w:rPr>
                <w:sz w:val="18"/>
                <w:szCs w:val="18"/>
                <w:lang w:eastAsia="en-US"/>
              </w:rPr>
            </w:pPr>
            <w:r w:rsidRPr="00EB28A6">
              <w:rPr>
                <w:sz w:val="18"/>
                <w:szCs w:val="18"/>
                <w:lang w:eastAsia="en-US"/>
              </w:rPr>
              <w:t>%</w:t>
            </w:r>
          </w:p>
        </w:tc>
        <w:tc>
          <w:tcPr>
            <w:tcW w:w="1170" w:type="dxa"/>
            <w:tcBorders>
              <w:top w:val="single" w:sz="4" w:space="0" w:color="auto"/>
            </w:tcBorders>
            <w:shd w:val="clear" w:color="auto" w:fill="auto"/>
            <w:vAlign w:val="center"/>
            <w:hideMark/>
          </w:tcPr>
          <w:p w:rsidR="00960D92" w:rsidRPr="00EB28A6" w:rsidRDefault="00960D92" w:rsidP="00960D92">
            <w:pPr>
              <w:spacing w:after="60"/>
              <w:jc w:val="center"/>
              <w:rPr>
                <w:sz w:val="18"/>
                <w:szCs w:val="18"/>
                <w:lang w:eastAsia="en-US"/>
              </w:rPr>
            </w:pPr>
            <w:r w:rsidRPr="00EB28A6">
              <w:rPr>
                <w:sz w:val="18"/>
                <w:szCs w:val="18"/>
                <w:lang w:eastAsia="en-US"/>
              </w:rPr>
              <w:t>10</w:t>
            </w:r>
          </w:p>
        </w:tc>
        <w:tc>
          <w:tcPr>
            <w:tcW w:w="1080" w:type="dxa"/>
            <w:tcBorders>
              <w:top w:val="single" w:sz="4" w:space="0" w:color="auto"/>
            </w:tcBorders>
            <w:shd w:val="clear" w:color="auto" w:fill="auto"/>
            <w:vAlign w:val="center"/>
            <w:hideMark/>
          </w:tcPr>
          <w:p w:rsidR="00960D92" w:rsidRPr="00EB28A6" w:rsidRDefault="00960D92" w:rsidP="00960D92">
            <w:pPr>
              <w:spacing w:after="60"/>
              <w:jc w:val="center"/>
              <w:rPr>
                <w:sz w:val="18"/>
                <w:szCs w:val="18"/>
                <w:lang w:eastAsia="en-US"/>
              </w:rPr>
            </w:pPr>
            <w:r w:rsidRPr="00EB28A6">
              <w:rPr>
                <w:sz w:val="18"/>
                <w:szCs w:val="18"/>
                <w:lang w:eastAsia="en-US"/>
              </w:rPr>
              <w:t>30</w:t>
            </w:r>
          </w:p>
        </w:tc>
        <w:tc>
          <w:tcPr>
            <w:tcW w:w="1080" w:type="dxa"/>
            <w:tcBorders>
              <w:top w:val="single" w:sz="4" w:space="0" w:color="auto"/>
            </w:tcBorders>
            <w:shd w:val="clear" w:color="auto" w:fill="auto"/>
            <w:vAlign w:val="center"/>
            <w:hideMark/>
          </w:tcPr>
          <w:p w:rsidR="00960D92" w:rsidRPr="00EB28A6" w:rsidRDefault="00960D92" w:rsidP="00960D92">
            <w:pPr>
              <w:spacing w:after="60"/>
              <w:jc w:val="center"/>
              <w:rPr>
                <w:sz w:val="18"/>
                <w:szCs w:val="18"/>
                <w:lang w:eastAsia="en-US"/>
              </w:rPr>
            </w:pPr>
            <w:r w:rsidRPr="00EB28A6">
              <w:rPr>
                <w:sz w:val="18"/>
                <w:szCs w:val="18"/>
                <w:lang w:eastAsia="en-US"/>
              </w:rPr>
              <w:t>60</w:t>
            </w:r>
          </w:p>
        </w:tc>
        <w:tc>
          <w:tcPr>
            <w:tcW w:w="1080" w:type="dxa"/>
            <w:tcBorders>
              <w:top w:val="single" w:sz="4" w:space="0" w:color="auto"/>
            </w:tcBorders>
            <w:shd w:val="clear" w:color="auto" w:fill="auto"/>
            <w:vAlign w:val="center"/>
            <w:hideMark/>
          </w:tcPr>
          <w:p w:rsidR="00960D92" w:rsidRPr="00EB28A6" w:rsidRDefault="00960D92" w:rsidP="00960D92">
            <w:pPr>
              <w:spacing w:after="60"/>
              <w:jc w:val="center"/>
              <w:rPr>
                <w:sz w:val="18"/>
                <w:szCs w:val="18"/>
                <w:lang w:eastAsia="en-US"/>
              </w:rPr>
            </w:pPr>
            <w:r w:rsidRPr="00EB28A6">
              <w:rPr>
                <w:sz w:val="18"/>
                <w:szCs w:val="18"/>
                <w:lang w:eastAsia="en-US"/>
              </w:rPr>
              <w:t>20</w:t>
            </w:r>
            <w:r w:rsidR="00D152DF" w:rsidRPr="00EB28A6">
              <w:rPr>
                <w:i/>
                <w:sz w:val="18"/>
                <w:szCs w:val="18"/>
                <w:lang w:eastAsia="en-US"/>
              </w:rPr>
              <w:t>*</w:t>
            </w:r>
          </w:p>
        </w:tc>
      </w:tr>
      <w:tr w:rsidR="00960D92" w:rsidRPr="00EB28A6" w:rsidTr="00FA2E91">
        <w:trPr>
          <w:trHeight w:val="232"/>
        </w:trPr>
        <w:tc>
          <w:tcPr>
            <w:tcW w:w="3780" w:type="dxa"/>
            <w:shd w:val="clear" w:color="auto" w:fill="auto"/>
            <w:vAlign w:val="center"/>
            <w:hideMark/>
          </w:tcPr>
          <w:p w:rsidR="00960D92" w:rsidRPr="00EB28A6" w:rsidRDefault="00960D92" w:rsidP="00960D92">
            <w:pPr>
              <w:spacing w:after="60"/>
              <w:rPr>
                <w:b/>
                <w:sz w:val="18"/>
                <w:szCs w:val="18"/>
                <w:lang w:eastAsia="en-US"/>
              </w:rPr>
            </w:pPr>
            <w:r w:rsidRPr="00EB28A6">
              <w:rPr>
                <w:sz w:val="18"/>
                <w:szCs w:val="18"/>
                <w:lang w:eastAsia="en-US"/>
              </w:rPr>
              <w:t>2. Намаляване на дела на мигриралото население (вътрешна миграция)</w:t>
            </w:r>
          </w:p>
        </w:tc>
        <w:tc>
          <w:tcPr>
            <w:tcW w:w="1080" w:type="dxa"/>
            <w:shd w:val="clear" w:color="auto" w:fill="F2F2F2"/>
            <w:vAlign w:val="center"/>
            <w:hideMark/>
          </w:tcPr>
          <w:p w:rsidR="00960D92" w:rsidRPr="00EB28A6" w:rsidRDefault="00960D92" w:rsidP="00960D92">
            <w:pPr>
              <w:spacing w:after="60"/>
              <w:jc w:val="center"/>
              <w:rPr>
                <w:sz w:val="18"/>
                <w:szCs w:val="18"/>
                <w:lang w:eastAsia="en-US"/>
              </w:rPr>
            </w:pPr>
            <w:r w:rsidRPr="00EB28A6">
              <w:rPr>
                <w:sz w:val="18"/>
                <w:szCs w:val="18"/>
                <w:lang w:eastAsia="en-US"/>
              </w:rPr>
              <w:t>%</w:t>
            </w:r>
          </w:p>
        </w:tc>
        <w:tc>
          <w:tcPr>
            <w:tcW w:w="1170" w:type="dxa"/>
            <w:shd w:val="clear" w:color="auto" w:fill="auto"/>
            <w:vAlign w:val="center"/>
            <w:hideMark/>
          </w:tcPr>
          <w:p w:rsidR="00960D92" w:rsidRPr="00EB28A6" w:rsidRDefault="00960D92" w:rsidP="00960D92">
            <w:pPr>
              <w:spacing w:after="60"/>
              <w:jc w:val="center"/>
              <w:rPr>
                <w:sz w:val="18"/>
                <w:szCs w:val="18"/>
                <w:lang w:eastAsia="en-US"/>
              </w:rPr>
            </w:pPr>
            <w:r w:rsidRPr="00EB28A6">
              <w:rPr>
                <w:sz w:val="18"/>
                <w:szCs w:val="18"/>
                <w:lang w:eastAsia="en-US"/>
              </w:rPr>
              <w:t>2,02</w:t>
            </w:r>
          </w:p>
        </w:tc>
        <w:tc>
          <w:tcPr>
            <w:tcW w:w="1080" w:type="dxa"/>
            <w:shd w:val="clear" w:color="auto" w:fill="auto"/>
            <w:vAlign w:val="center"/>
            <w:hideMark/>
          </w:tcPr>
          <w:p w:rsidR="00960D92" w:rsidRPr="00EB28A6" w:rsidRDefault="00960D92" w:rsidP="00960D92">
            <w:pPr>
              <w:spacing w:after="60"/>
              <w:jc w:val="center"/>
              <w:rPr>
                <w:sz w:val="18"/>
                <w:szCs w:val="18"/>
                <w:lang w:eastAsia="en-US"/>
              </w:rPr>
            </w:pPr>
            <w:r w:rsidRPr="00EB28A6">
              <w:rPr>
                <w:sz w:val="18"/>
                <w:szCs w:val="18"/>
                <w:lang w:eastAsia="en-US"/>
              </w:rPr>
              <w:t>2,01</w:t>
            </w:r>
          </w:p>
        </w:tc>
        <w:tc>
          <w:tcPr>
            <w:tcW w:w="1080" w:type="dxa"/>
            <w:shd w:val="clear" w:color="auto" w:fill="auto"/>
            <w:vAlign w:val="center"/>
            <w:hideMark/>
          </w:tcPr>
          <w:p w:rsidR="00960D92" w:rsidRPr="00EB28A6" w:rsidRDefault="00960D92" w:rsidP="00960D92">
            <w:pPr>
              <w:spacing w:after="60"/>
              <w:jc w:val="center"/>
              <w:rPr>
                <w:sz w:val="18"/>
                <w:szCs w:val="18"/>
                <w:lang w:eastAsia="en-US"/>
              </w:rPr>
            </w:pPr>
            <w:r w:rsidRPr="00EB28A6">
              <w:rPr>
                <w:sz w:val="18"/>
                <w:szCs w:val="18"/>
                <w:lang w:eastAsia="en-US"/>
              </w:rPr>
              <w:t>2,01</w:t>
            </w:r>
          </w:p>
        </w:tc>
        <w:tc>
          <w:tcPr>
            <w:tcW w:w="1080" w:type="dxa"/>
            <w:shd w:val="clear" w:color="auto" w:fill="auto"/>
            <w:vAlign w:val="center"/>
            <w:hideMark/>
          </w:tcPr>
          <w:p w:rsidR="00960D92" w:rsidRPr="00EB28A6" w:rsidRDefault="00960D92" w:rsidP="00960D92">
            <w:pPr>
              <w:spacing w:after="60"/>
              <w:jc w:val="center"/>
              <w:rPr>
                <w:sz w:val="18"/>
                <w:szCs w:val="18"/>
                <w:lang w:eastAsia="en-US"/>
              </w:rPr>
            </w:pPr>
            <w:r w:rsidRPr="00EB28A6">
              <w:rPr>
                <w:sz w:val="18"/>
                <w:szCs w:val="18"/>
                <w:lang w:eastAsia="en-US"/>
              </w:rPr>
              <w:t>2,01</w:t>
            </w:r>
          </w:p>
        </w:tc>
      </w:tr>
      <w:tr w:rsidR="00960D92" w:rsidRPr="00EA6851" w:rsidTr="00FA2E91">
        <w:trPr>
          <w:trHeight w:val="196"/>
        </w:trPr>
        <w:tc>
          <w:tcPr>
            <w:tcW w:w="3780" w:type="dxa"/>
            <w:shd w:val="clear" w:color="auto" w:fill="auto"/>
            <w:vAlign w:val="center"/>
            <w:hideMark/>
          </w:tcPr>
          <w:p w:rsidR="00960D92" w:rsidRPr="00EB28A6" w:rsidRDefault="00960D92" w:rsidP="00960D92">
            <w:pPr>
              <w:spacing w:after="60"/>
              <w:rPr>
                <w:color w:val="000000"/>
                <w:sz w:val="18"/>
                <w:szCs w:val="18"/>
                <w:lang w:eastAsia="en-US"/>
              </w:rPr>
            </w:pPr>
            <w:r w:rsidRPr="00EB28A6">
              <w:rPr>
                <w:color w:val="000000"/>
                <w:sz w:val="18"/>
                <w:szCs w:val="18"/>
                <w:lang w:eastAsia="en-US"/>
              </w:rPr>
              <w:t>3. Нарастване потенциала на АТЕ</w:t>
            </w:r>
            <w:r w:rsidRPr="00EB28A6">
              <w:rPr>
                <w:i/>
                <w:color w:val="000000"/>
                <w:sz w:val="18"/>
                <w:szCs w:val="18"/>
                <w:lang w:eastAsia="en-US"/>
              </w:rPr>
              <w:t>*</w:t>
            </w:r>
            <w:r w:rsidR="00D152DF" w:rsidRPr="00EB28A6">
              <w:rPr>
                <w:i/>
                <w:color w:val="000000"/>
                <w:sz w:val="18"/>
                <w:szCs w:val="18"/>
                <w:lang w:eastAsia="en-US"/>
              </w:rPr>
              <w:t>*</w:t>
            </w:r>
            <w:r w:rsidRPr="00EB28A6">
              <w:rPr>
                <w:color w:val="000000"/>
                <w:sz w:val="18"/>
                <w:szCs w:val="18"/>
                <w:lang w:eastAsia="en-US"/>
              </w:rPr>
              <w:t xml:space="preserve"> за ефективно и ефикасно планиране, управление и използване на ресурсите за устойчиво местно развитие </w:t>
            </w:r>
          </w:p>
          <w:p w:rsidR="00960D92" w:rsidRPr="00EB28A6" w:rsidRDefault="00960D92" w:rsidP="00960D92">
            <w:pPr>
              <w:tabs>
                <w:tab w:val="left" w:pos="690"/>
              </w:tabs>
              <w:spacing w:after="60"/>
              <w:rPr>
                <w:color w:val="000000"/>
                <w:sz w:val="18"/>
                <w:szCs w:val="18"/>
                <w:lang w:eastAsia="en-US"/>
              </w:rPr>
            </w:pPr>
            <w:r w:rsidRPr="00EB28A6">
              <w:rPr>
                <w:i/>
                <w:color w:val="000000"/>
                <w:sz w:val="18"/>
                <w:szCs w:val="18"/>
                <w:lang w:eastAsia="en-US"/>
              </w:rPr>
              <w:t>(нарастване дела на общините, отчитащи резултати над средните за страната по показатели за финансова самостоятелност и инвестиционна активност</w:t>
            </w:r>
            <w:r w:rsidRPr="00EB28A6">
              <w:rPr>
                <w:color w:val="000000"/>
                <w:sz w:val="18"/>
                <w:szCs w:val="18"/>
                <w:lang w:eastAsia="en-US"/>
              </w:rPr>
              <w:t>)</w:t>
            </w:r>
          </w:p>
        </w:tc>
        <w:tc>
          <w:tcPr>
            <w:tcW w:w="1080" w:type="dxa"/>
            <w:shd w:val="clear" w:color="auto" w:fill="F2F2F2"/>
            <w:vAlign w:val="center"/>
            <w:hideMark/>
          </w:tcPr>
          <w:p w:rsidR="00960D92" w:rsidRPr="00EB28A6" w:rsidRDefault="00960D92" w:rsidP="00960D92">
            <w:pPr>
              <w:spacing w:after="60"/>
              <w:jc w:val="center"/>
              <w:rPr>
                <w:color w:val="000000"/>
                <w:sz w:val="18"/>
                <w:szCs w:val="18"/>
                <w:lang w:eastAsia="en-US"/>
              </w:rPr>
            </w:pPr>
            <w:r w:rsidRPr="00EB28A6">
              <w:rPr>
                <w:sz w:val="18"/>
                <w:szCs w:val="18"/>
                <w:lang w:eastAsia="en-US"/>
              </w:rPr>
              <w:t>%</w:t>
            </w:r>
          </w:p>
        </w:tc>
        <w:tc>
          <w:tcPr>
            <w:tcW w:w="1170" w:type="dxa"/>
            <w:shd w:val="clear" w:color="auto" w:fill="auto"/>
            <w:vAlign w:val="center"/>
            <w:hideMark/>
          </w:tcPr>
          <w:p w:rsidR="00960D92" w:rsidRPr="00EB28A6" w:rsidRDefault="00960D92" w:rsidP="00960D92">
            <w:pPr>
              <w:spacing w:after="60"/>
              <w:jc w:val="center"/>
              <w:rPr>
                <w:sz w:val="18"/>
                <w:szCs w:val="18"/>
                <w:lang w:eastAsia="en-US"/>
              </w:rPr>
            </w:pPr>
            <w:r w:rsidRPr="00EB28A6">
              <w:rPr>
                <w:sz w:val="18"/>
                <w:szCs w:val="18"/>
                <w:lang w:eastAsia="en-US"/>
              </w:rPr>
              <w:t>1,1</w:t>
            </w:r>
          </w:p>
        </w:tc>
        <w:tc>
          <w:tcPr>
            <w:tcW w:w="1080" w:type="dxa"/>
            <w:shd w:val="clear" w:color="auto" w:fill="auto"/>
            <w:vAlign w:val="center"/>
            <w:hideMark/>
          </w:tcPr>
          <w:p w:rsidR="00960D92" w:rsidRPr="00EB28A6" w:rsidRDefault="00960D92" w:rsidP="00960D92">
            <w:pPr>
              <w:spacing w:after="60"/>
              <w:jc w:val="center"/>
              <w:rPr>
                <w:sz w:val="18"/>
                <w:szCs w:val="18"/>
                <w:lang w:eastAsia="en-US"/>
              </w:rPr>
            </w:pPr>
            <w:r w:rsidRPr="00EB28A6">
              <w:rPr>
                <w:sz w:val="18"/>
                <w:szCs w:val="18"/>
                <w:lang w:eastAsia="en-US"/>
              </w:rPr>
              <w:t>1,2</w:t>
            </w:r>
          </w:p>
        </w:tc>
        <w:tc>
          <w:tcPr>
            <w:tcW w:w="1080" w:type="dxa"/>
            <w:shd w:val="clear" w:color="auto" w:fill="auto"/>
            <w:vAlign w:val="center"/>
            <w:hideMark/>
          </w:tcPr>
          <w:p w:rsidR="00960D92" w:rsidRPr="00EB28A6" w:rsidRDefault="00960D92" w:rsidP="00960D92">
            <w:pPr>
              <w:spacing w:after="60"/>
              <w:jc w:val="center"/>
              <w:rPr>
                <w:sz w:val="18"/>
                <w:szCs w:val="18"/>
                <w:lang w:eastAsia="en-US"/>
              </w:rPr>
            </w:pPr>
            <w:r w:rsidRPr="00EB28A6">
              <w:rPr>
                <w:sz w:val="18"/>
                <w:szCs w:val="18"/>
                <w:lang w:eastAsia="en-US"/>
              </w:rPr>
              <w:t>1,3</w:t>
            </w:r>
          </w:p>
        </w:tc>
        <w:tc>
          <w:tcPr>
            <w:tcW w:w="1080" w:type="dxa"/>
            <w:shd w:val="clear" w:color="auto" w:fill="auto"/>
            <w:vAlign w:val="center"/>
            <w:hideMark/>
          </w:tcPr>
          <w:p w:rsidR="00960D92" w:rsidRPr="00EA6851" w:rsidRDefault="00960D92" w:rsidP="00960D92">
            <w:pPr>
              <w:spacing w:after="60"/>
              <w:jc w:val="center"/>
              <w:rPr>
                <w:sz w:val="18"/>
                <w:szCs w:val="18"/>
                <w:lang w:eastAsia="en-US"/>
              </w:rPr>
            </w:pPr>
            <w:r w:rsidRPr="00EB28A6">
              <w:rPr>
                <w:sz w:val="18"/>
                <w:szCs w:val="18"/>
                <w:lang w:eastAsia="en-US"/>
              </w:rPr>
              <w:t>1,4</w:t>
            </w:r>
          </w:p>
        </w:tc>
      </w:tr>
    </w:tbl>
    <w:p w:rsidR="00D152DF" w:rsidRDefault="00D152DF" w:rsidP="00960D92">
      <w:pPr>
        <w:spacing w:before="120" w:after="0"/>
        <w:rPr>
          <w:rFonts w:eastAsia="Calibri"/>
          <w:i/>
          <w:sz w:val="18"/>
          <w:szCs w:val="18"/>
        </w:rPr>
      </w:pPr>
      <w:r w:rsidRPr="00EB28A6">
        <w:rPr>
          <w:rFonts w:eastAsia="Calibri"/>
          <w:i/>
          <w:sz w:val="18"/>
          <w:szCs w:val="18"/>
        </w:rPr>
        <w:t>* Предвижда се през 2025 г. да бъде разработена нова пътна карта за реализиране на регионалната политика с цел създаване на условия за балансирано териториално развитие с изпълнение до 2025 г. при прилагане на разпоредбите на Закона за регионалното развитие, чието изпълнение стартира през 2026 г.</w:t>
      </w:r>
    </w:p>
    <w:p w:rsidR="00960D92" w:rsidRPr="00EA6851" w:rsidRDefault="00960D92" w:rsidP="00960D92">
      <w:pPr>
        <w:spacing w:before="120" w:after="0"/>
        <w:rPr>
          <w:rFonts w:eastAsia="Calibri"/>
          <w:i/>
          <w:sz w:val="18"/>
          <w:szCs w:val="18"/>
        </w:rPr>
      </w:pPr>
      <w:r w:rsidRPr="00EA6851">
        <w:rPr>
          <w:rFonts w:eastAsia="Calibri"/>
          <w:i/>
          <w:sz w:val="18"/>
          <w:szCs w:val="18"/>
        </w:rPr>
        <w:t>*</w:t>
      </w:r>
      <w:r w:rsidR="00D152DF" w:rsidRPr="00D152DF">
        <w:rPr>
          <w:rFonts w:eastAsia="Calibri"/>
          <w:i/>
          <w:sz w:val="18"/>
          <w:szCs w:val="18"/>
        </w:rPr>
        <w:t>*</w:t>
      </w:r>
      <w:r w:rsidRPr="00EA6851">
        <w:rPr>
          <w:rFonts w:eastAsia="Calibri"/>
          <w:i/>
          <w:sz w:val="18"/>
          <w:szCs w:val="18"/>
        </w:rPr>
        <w:t>АТЕ - административно-териториални единици.</w:t>
      </w:r>
    </w:p>
    <w:p w:rsidR="00960D92" w:rsidRPr="00EA6851" w:rsidRDefault="00960D92" w:rsidP="00960D92">
      <w:pPr>
        <w:spacing w:before="120" w:after="0"/>
        <w:rPr>
          <w:highlight w:val="yellow"/>
        </w:rPr>
      </w:pPr>
    </w:p>
    <w:p w:rsidR="00960D92" w:rsidRPr="00EA6851" w:rsidRDefault="00960D92" w:rsidP="00960D92">
      <w:pPr>
        <w:pStyle w:val="Heading4"/>
        <w:spacing w:before="0" w:after="200"/>
      </w:pPr>
      <w:r w:rsidRPr="00EA6851">
        <w:t xml:space="preserve">Политика за подобряване на инвестиционния процес, поддържане, модернизация и изграждане на техническата инфраструктура </w:t>
      </w:r>
    </w:p>
    <w:p w:rsidR="00960D92" w:rsidRPr="00EA6851" w:rsidRDefault="00960D92" w:rsidP="00960D92">
      <w:r w:rsidRPr="00EA6851">
        <w:t>Политиката е свързана с дейности за управление, поддържане и изграждане на ВиК инфраструктурата с цел осигуряване на съответствие с директивите на Европейския съюз в областта на водите и устойчивост при предоставяне на ВиК услугите.</w:t>
      </w:r>
    </w:p>
    <w:p w:rsidR="00960D92" w:rsidRPr="00EA6851" w:rsidRDefault="00960D92" w:rsidP="00960D92">
      <w:r w:rsidRPr="00EA6851">
        <w:t>През периода 2024-2026 г. чрез бюджета на Министерството на регионалното развитие и благоустройството е предвидено да бъдат финансирани дейности по реконструкция на ВиК мрежи и съоръжения на територията на 28-те области в страната, както и инфраструктурни благоустройствени обекти за подобряване на уличната мрежа в райони в страната.</w:t>
      </w:r>
    </w:p>
    <w:p w:rsidR="00960D92" w:rsidRPr="00EA6851" w:rsidRDefault="00960D92" w:rsidP="00960D92">
      <w:r w:rsidRPr="00EA6851">
        <w:t>Приоритетите по отношение на устройството на територията са свързани с осигуряване на териториалното развитие, устройството на територията, административно-териториалното устройство, децентрализацията, изграждането и развитието на техническата инфраструктура и благоустрояването на урбанизираните територии (населени места и селищни образувания), в съответствие с националните стратегически документи, приоритети и програми в сферата на пространственото развитие, пътната инфраструктура, ВиК инфраструктурата.</w:t>
      </w:r>
    </w:p>
    <w:p w:rsidR="00960D92" w:rsidRPr="00EA6851" w:rsidRDefault="00960D92" w:rsidP="00960D92">
      <w:r w:rsidRPr="00EA6851">
        <w:t xml:space="preserve">В капитала на учредения към министъра на регионалното развитие и благоустройството „Български ВиК Холдинг“ ЕАД са апортирани 23 ВиК дружества. Консолидирането на държавното участие в отрасъла ще даде възможност за координиране на управлението и финансирането на всички дружества в отрасъл ВиК, което от своя страна ще допринесе за по-ефективно провеждане на държавната политика в сектора. </w:t>
      </w:r>
    </w:p>
    <w:p w:rsidR="00960D92" w:rsidRPr="00EA6851" w:rsidRDefault="00960D92" w:rsidP="00960D92">
      <w:r w:rsidRPr="00EA6851">
        <w:t>„Български ВиК Холдинг“ ЕАД е определен да възлага дейностите, свързани с ремонта и/или реконструкцията на два язовира, изграждане на пречиствателна станция за питейни води и нов магистрален водопровод и др. за осигуряване на дългосрочната стабилност на водоснабдяването на Столична община.</w:t>
      </w:r>
    </w:p>
    <w:p w:rsidR="00960D92" w:rsidRPr="00EA6851" w:rsidRDefault="00960D92" w:rsidP="00960D92">
      <w:r w:rsidRPr="00EA6851">
        <w:t>През периода 2024-2026 г. „Български ВиК Холдинг“ ЕАД ще подпомага финансово ВиК дружествата при изпълнение на проектите по ОПОС чрез осигуряване на ресурс за съфинансиране, както и ще осигурява ресурс за стабилизиране и оздравяване на ВиК дружествата, в т.ч. изграждане и ремонт на ВиК инфраструктура.</w:t>
      </w:r>
    </w:p>
    <w:p w:rsidR="00960D92" w:rsidRPr="00EA6851" w:rsidRDefault="00960D92" w:rsidP="00960D92">
      <w:pPr>
        <w:rPr>
          <w:b/>
        </w:rPr>
      </w:pPr>
      <w:r w:rsidRPr="00EA6851">
        <w:t>По отношение на пътната инфраструктура в рамките на тази политика се изпълняват дейности, свързани с проектирането, строителството, експлоатацията и поддръжката на републиканските пътища извън градовете и при пътните възли, като част от основната дейност е и придобиването на земи и поддържане на правото на преминаване на пътищата през чужда територия, които са подробно описани в</w:t>
      </w:r>
      <w:r w:rsidRPr="00EA6851">
        <w:rPr>
          <w:b/>
        </w:rPr>
        <w:t xml:space="preserve"> </w:t>
      </w:r>
      <w:hyperlink w:anchor="_Политика_в_областта" w:history="1">
        <w:r w:rsidRPr="00EA6851">
          <w:rPr>
            <w:rFonts w:cs="Times New Roman"/>
            <w:b/>
            <w:color w:val="0000FF"/>
            <w:u w:val="single"/>
          </w:rPr>
          <w:t>Политика в областта на транспорта и съобщенията.</w:t>
        </w:r>
      </w:hyperlink>
      <w:r w:rsidRPr="00EA6851">
        <w:rPr>
          <w:b/>
        </w:rPr>
        <w:t xml:space="preserve"> </w:t>
      </w:r>
    </w:p>
    <w:p w:rsidR="00960D92" w:rsidRPr="00EA6851" w:rsidRDefault="00960D92" w:rsidP="00960D92">
      <w:pPr>
        <w:spacing w:before="240" w:after="240"/>
        <w:rPr>
          <w:b/>
          <w:sz w:val="20"/>
          <w:szCs w:val="20"/>
        </w:rPr>
      </w:pPr>
      <w:r w:rsidRPr="00EA6851">
        <w:rPr>
          <w:b/>
          <w:sz w:val="20"/>
          <w:szCs w:val="20"/>
        </w:rPr>
        <w:t>КЛЮЧОВИ ИНДИКАТОРИ ЗА ИЗПЪЛНЕНИЕ И ЦЕЛЕВИ СТОЙНОСТИ</w:t>
      </w:r>
    </w:p>
    <w:tbl>
      <w:tblPr>
        <w:tblW w:w="9450" w:type="dxa"/>
        <w:tblInd w:w="-90" w:type="dxa"/>
        <w:tblBorders>
          <w:top w:val="single" w:sz="4" w:space="0" w:color="auto"/>
          <w:bottom w:val="single" w:sz="4" w:space="0" w:color="auto"/>
        </w:tblBorders>
        <w:tblLayout w:type="fixed"/>
        <w:tblLook w:val="04A0" w:firstRow="1" w:lastRow="0" w:firstColumn="1" w:lastColumn="0" w:noHBand="0" w:noVBand="1"/>
      </w:tblPr>
      <w:tblGrid>
        <w:gridCol w:w="4230"/>
        <w:gridCol w:w="990"/>
        <w:gridCol w:w="1170"/>
        <w:gridCol w:w="990"/>
        <w:gridCol w:w="900"/>
        <w:gridCol w:w="90"/>
        <w:gridCol w:w="990"/>
        <w:gridCol w:w="90"/>
      </w:tblGrid>
      <w:tr w:rsidR="00960D92" w:rsidRPr="00EA6851" w:rsidTr="0003268C">
        <w:trPr>
          <w:trHeight w:val="795"/>
          <w:tblHeader/>
        </w:trPr>
        <w:tc>
          <w:tcPr>
            <w:tcW w:w="4230" w:type="dxa"/>
            <w:tcBorders>
              <w:top w:val="single" w:sz="4" w:space="0" w:color="auto"/>
              <w:left w:val="nil"/>
              <w:bottom w:val="nil"/>
              <w:right w:val="nil"/>
            </w:tcBorders>
            <w:shd w:val="clear" w:color="auto" w:fill="auto"/>
            <w:hideMark/>
          </w:tcPr>
          <w:p w:rsidR="00960D92" w:rsidRPr="00EA6851" w:rsidRDefault="00960D92" w:rsidP="00960D92">
            <w:pPr>
              <w:spacing w:after="60"/>
              <w:ind w:firstLine="38"/>
              <w:jc w:val="center"/>
              <w:rPr>
                <w:b/>
                <w:bCs/>
                <w:i/>
                <w:sz w:val="18"/>
                <w:szCs w:val="18"/>
                <w:lang w:eastAsia="en-US"/>
              </w:rPr>
            </w:pPr>
            <w:r w:rsidRPr="00EA6851">
              <w:rPr>
                <w:b/>
                <w:i/>
                <w:color w:val="000000"/>
                <w:sz w:val="18"/>
                <w:szCs w:val="18"/>
                <w:lang w:eastAsia="en-US"/>
              </w:rPr>
              <w:t>Политика за подобряване на инвестиционния процес, поддържане, модернизация и изграждане на техническата инфраструктура</w:t>
            </w:r>
          </w:p>
        </w:tc>
        <w:tc>
          <w:tcPr>
            <w:tcW w:w="990" w:type="dxa"/>
            <w:vMerge w:val="restart"/>
            <w:tcBorders>
              <w:top w:val="single" w:sz="4" w:space="0" w:color="auto"/>
              <w:left w:val="nil"/>
              <w:bottom w:val="single" w:sz="4" w:space="0" w:color="auto"/>
              <w:right w:val="nil"/>
            </w:tcBorders>
            <w:shd w:val="clear" w:color="auto" w:fill="F2F2F2"/>
            <w:vAlign w:val="center"/>
            <w:hideMark/>
          </w:tcPr>
          <w:p w:rsidR="00960D92" w:rsidRPr="00EA6851" w:rsidRDefault="00960D92" w:rsidP="00960D92">
            <w:pPr>
              <w:spacing w:after="60"/>
              <w:ind w:firstLine="38"/>
              <w:jc w:val="center"/>
              <w:rPr>
                <w:b/>
                <w:bCs/>
                <w:sz w:val="18"/>
                <w:szCs w:val="18"/>
                <w:lang w:eastAsia="en-US"/>
              </w:rPr>
            </w:pPr>
            <w:r w:rsidRPr="00EA6851">
              <w:rPr>
                <w:b/>
                <w:bCs/>
                <w:sz w:val="18"/>
                <w:szCs w:val="18"/>
                <w:lang w:eastAsia="en-US"/>
              </w:rPr>
              <w:t>Мерна единица</w:t>
            </w:r>
          </w:p>
        </w:tc>
        <w:tc>
          <w:tcPr>
            <w:tcW w:w="4230" w:type="dxa"/>
            <w:gridSpan w:val="6"/>
            <w:tcBorders>
              <w:top w:val="single" w:sz="4" w:space="0" w:color="auto"/>
              <w:left w:val="nil"/>
              <w:bottom w:val="single" w:sz="4" w:space="0" w:color="auto"/>
              <w:right w:val="nil"/>
            </w:tcBorders>
            <w:shd w:val="clear" w:color="auto" w:fill="auto"/>
          </w:tcPr>
          <w:p w:rsidR="00960D92" w:rsidRPr="00EA6851" w:rsidRDefault="00960D92" w:rsidP="00960D92">
            <w:pPr>
              <w:spacing w:after="60"/>
              <w:ind w:firstLine="38"/>
              <w:jc w:val="center"/>
              <w:rPr>
                <w:b/>
                <w:bCs/>
                <w:sz w:val="18"/>
                <w:szCs w:val="18"/>
                <w:lang w:eastAsia="en-US"/>
              </w:rPr>
            </w:pPr>
          </w:p>
          <w:p w:rsidR="00960D92" w:rsidRPr="00EA6851" w:rsidRDefault="00960D92" w:rsidP="00960D92">
            <w:pPr>
              <w:spacing w:after="60"/>
              <w:ind w:firstLine="38"/>
              <w:jc w:val="center"/>
              <w:rPr>
                <w:b/>
                <w:bCs/>
                <w:sz w:val="18"/>
                <w:szCs w:val="18"/>
                <w:lang w:eastAsia="en-US"/>
              </w:rPr>
            </w:pPr>
            <w:r w:rsidRPr="00EA6851">
              <w:rPr>
                <w:b/>
                <w:bCs/>
                <w:sz w:val="18"/>
                <w:szCs w:val="18"/>
                <w:lang w:eastAsia="en-US"/>
              </w:rPr>
              <w:t>Целева стойност</w:t>
            </w:r>
          </w:p>
        </w:tc>
      </w:tr>
      <w:tr w:rsidR="00960D92" w:rsidRPr="00EA6851" w:rsidTr="00FA2E91">
        <w:trPr>
          <w:gridAfter w:val="1"/>
          <w:wAfter w:w="90" w:type="dxa"/>
          <w:trHeight w:val="318"/>
          <w:tblHeader/>
        </w:trPr>
        <w:tc>
          <w:tcPr>
            <w:tcW w:w="4230" w:type="dxa"/>
            <w:tcBorders>
              <w:top w:val="nil"/>
              <w:left w:val="nil"/>
              <w:bottom w:val="single" w:sz="4" w:space="0" w:color="auto"/>
              <w:right w:val="nil"/>
            </w:tcBorders>
            <w:shd w:val="clear" w:color="auto" w:fill="auto"/>
            <w:hideMark/>
          </w:tcPr>
          <w:p w:rsidR="00960D92" w:rsidRPr="00EA6851" w:rsidRDefault="00960D92" w:rsidP="00960D92">
            <w:pPr>
              <w:spacing w:after="60"/>
              <w:ind w:firstLine="38"/>
              <w:jc w:val="center"/>
              <w:rPr>
                <w:b/>
                <w:bCs/>
                <w:sz w:val="18"/>
                <w:szCs w:val="18"/>
                <w:lang w:eastAsia="en-US"/>
              </w:rPr>
            </w:pPr>
            <w:r w:rsidRPr="00EA6851">
              <w:rPr>
                <w:b/>
                <w:bCs/>
                <w:sz w:val="18"/>
                <w:szCs w:val="18"/>
                <w:lang w:eastAsia="en-US"/>
              </w:rPr>
              <w:t>Наименование на индикатора</w:t>
            </w:r>
          </w:p>
        </w:tc>
        <w:tc>
          <w:tcPr>
            <w:tcW w:w="990" w:type="dxa"/>
            <w:vMerge/>
            <w:tcBorders>
              <w:top w:val="single" w:sz="4" w:space="0" w:color="auto"/>
              <w:left w:val="nil"/>
              <w:bottom w:val="single" w:sz="4" w:space="0" w:color="auto"/>
              <w:right w:val="nil"/>
            </w:tcBorders>
            <w:shd w:val="clear" w:color="auto" w:fill="auto"/>
            <w:vAlign w:val="center"/>
            <w:hideMark/>
          </w:tcPr>
          <w:p w:rsidR="00960D92" w:rsidRPr="00EA6851" w:rsidRDefault="00960D92" w:rsidP="00960D92">
            <w:pPr>
              <w:spacing w:after="0"/>
              <w:rPr>
                <w:b/>
                <w:bCs/>
                <w:sz w:val="18"/>
                <w:szCs w:val="18"/>
                <w:lang w:eastAsia="en-US"/>
              </w:rPr>
            </w:pPr>
          </w:p>
        </w:tc>
        <w:tc>
          <w:tcPr>
            <w:tcW w:w="1170" w:type="dxa"/>
            <w:tcBorders>
              <w:top w:val="single" w:sz="4" w:space="0" w:color="auto"/>
              <w:left w:val="nil"/>
              <w:bottom w:val="single" w:sz="4" w:space="0" w:color="auto"/>
              <w:right w:val="nil"/>
            </w:tcBorders>
            <w:shd w:val="clear" w:color="auto" w:fill="auto"/>
            <w:hideMark/>
          </w:tcPr>
          <w:p w:rsidR="004D2E00" w:rsidRPr="00EA6851" w:rsidRDefault="00960D92" w:rsidP="00960D92">
            <w:pPr>
              <w:spacing w:after="60"/>
              <w:ind w:firstLine="38"/>
              <w:jc w:val="center"/>
              <w:rPr>
                <w:b/>
                <w:bCs/>
                <w:i/>
                <w:iCs/>
                <w:sz w:val="18"/>
                <w:szCs w:val="18"/>
                <w:lang w:eastAsia="en-US"/>
              </w:rPr>
            </w:pPr>
            <w:r w:rsidRPr="00EA6851">
              <w:rPr>
                <w:b/>
                <w:bCs/>
                <w:i/>
                <w:iCs/>
                <w:sz w:val="18"/>
                <w:szCs w:val="18"/>
                <w:lang w:eastAsia="en-US"/>
              </w:rPr>
              <w:t>Програма</w:t>
            </w:r>
          </w:p>
          <w:p w:rsidR="00960D92" w:rsidRPr="00EA6851" w:rsidRDefault="00960D92" w:rsidP="00960D92">
            <w:pPr>
              <w:spacing w:after="60"/>
              <w:ind w:firstLine="38"/>
              <w:jc w:val="center"/>
              <w:rPr>
                <w:b/>
                <w:bCs/>
                <w:i/>
                <w:iCs/>
                <w:sz w:val="18"/>
                <w:szCs w:val="18"/>
                <w:lang w:eastAsia="en-US"/>
              </w:rPr>
            </w:pPr>
            <w:r w:rsidRPr="00EA6851">
              <w:rPr>
                <w:b/>
                <w:bCs/>
                <w:i/>
                <w:iCs/>
                <w:sz w:val="18"/>
                <w:szCs w:val="18"/>
                <w:lang w:eastAsia="en-US"/>
              </w:rPr>
              <w:t xml:space="preserve"> 2023 г.</w:t>
            </w:r>
          </w:p>
        </w:tc>
        <w:tc>
          <w:tcPr>
            <w:tcW w:w="990" w:type="dxa"/>
            <w:tcBorders>
              <w:top w:val="single" w:sz="4" w:space="0" w:color="auto"/>
              <w:left w:val="nil"/>
              <w:bottom w:val="single" w:sz="4" w:space="0" w:color="auto"/>
              <w:right w:val="nil"/>
            </w:tcBorders>
            <w:shd w:val="clear" w:color="auto" w:fill="auto"/>
            <w:hideMark/>
          </w:tcPr>
          <w:p w:rsidR="004D2E00" w:rsidRPr="00EA6851" w:rsidRDefault="00960D92" w:rsidP="00960D92">
            <w:pPr>
              <w:spacing w:after="60"/>
              <w:ind w:firstLine="38"/>
              <w:jc w:val="center"/>
              <w:rPr>
                <w:b/>
                <w:bCs/>
                <w:i/>
                <w:iCs/>
                <w:sz w:val="18"/>
                <w:szCs w:val="18"/>
                <w:lang w:eastAsia="en-US"/>
              </w:rPr>
            </w:pPr>
            <w:r w:rsidRPr="00EA6851">
              <w:rPr>
                <w:b/>
                <w:bCs/>
                <w:i/>
                <w:iCs/>
                <w:sz w:val="18"/>
                <w:szCs w:val="18"/>
                <w:lang w:eastAsia="en-US"/>
              </w:rPr>
              <w:t>Проект</w:t>
            </w:r>
          </w:p>
          <w:p w:rsidR="00960D92" w:rsidRPr="00EA6851" w:rsidRDefault="00960D92" w:rsidP="00960D92">
            <w:pPr>
              <w:spacing w:after="60"/>
              <w:ind w:firstLine="38"/>
              <w:jc w:val="center"/>
              <w:rPr>
                <w:b/>
                <w:bCs/>
                <w:i/>
                <w:iCs/>
                <w:sz w:val="18"/>
                <w:szCs w:val="18"/>
                <w:lang w:eastAsia="en-US"/>
              </w:rPr>
            </w:pPr>
            <w:r w:rsidRPr="00EA6851">
              <w:rPr>
                <w:b/>
                <w:bCs/>
                <w:i/>
                <w:iCs/>
                <w:sz w:val="18"/>
                <w:szCs w:val="18"/>
                <w:lang w:eastAsia="en-US"/>
              </w:rPr>
              <w:t xml:space="preserve"> 2024 г.</w:t>
            </w:r>
          </w:p>
        </w:tc>
        <w:tc>
          <w:tcPr>
            <w:tcW w:w="990" w:type="dxa"/>
            <w:gridSpan w:val="2"/>
            <w:tcBorders>
              <w:top w:val="single" w:sz="4" w:space="0" w:color="auto"/>
              <w:left w:val="nil"/>
              <w:bottom w:val="single" w:sz="4" w:space="0" w:color="auto"/>
              <w:right w:val="nil"/>
            </w:tcBorders>
            <w:shd w:val="clear" w:color="auto" w:fill="auto"/>
            <w:hideMark/>
          </w:tcPr>
          <w:p w:rsidR="00960D92" w:rsidRPr="00EA6851" w:rsidRDefault="00960D92" w:rsidP="0040456F">
            <w:pPr>
              <w:spacing w:after="60"/>
              <w:ind w:left="-15" w:hanging="105"/>
              <w:jc w:val="center"/>
              <w:rPr>
                <w:b/>
                <w:bCs/>
                <w:i/>
                <w:iCs/>
                <w:sz w:val="18"/>
                <w:szCs w:val="18"/>
                <w:lang w:eastAsia="en-US"/>
              </w:rPr>
            </w:pPr>
            <w:r w:rsidRPr="00EA6851">
              <w:rPr>
                <w:b/>
                <w:bCs/>
                <w:i/>
                <w:iCs/>
                <w:sz w:val="18"/>
                <w:szCs w:val="18"/>
                <w:lang w:eastAsia="en-US"/>
              </w:rPr>
              <w:t>Прогноза</w:t>
            </w:r>
          </w:p>
          <w:p w:rsidR="00960D92" w:rsidRPr="00EA6851" w:rsidRDefault="00960D92" w:rsidP="0040456F">
            <w:pPr>
              <w:spacing w:after="60"/>
              <w:ind w:left="-15" w:hanging="105"/>
              <w:jc w:val="center"/>
              <w:rPr>
                <w:b/>
                <w:bCs/>
                <w:sz w:val="18"/>
                <w:szCs w:val="18"/>
                <w:lang w:eastAsia="en-US"/>
              </w:rPr>
            </w:pPr>
            <w:r w:rsidRPr="00EA6851">
              <w:rPr>
                <w:b/>
                <w:bCs/>
                <w:i/>
                <w:iCs/>
                <w:sz w:val="18"/>
                <w:szCs w:val="18"/>
                <w:lang w:eastAsia="en-US"/>
              </w:rPr>
              <w:t>2025 г.</w:t>
            </w:r>
          </w:p>
        </w:tc>
        <w:tc>
          <w:tcPr>
            <w:tcW w:w="990" w:type="dxa"/>
            <w:tcBorders>
              <w:top w:val="single" w:sz="4" w:space="0" w:color="auto"/>
              <w:left w:val="nil"/>
              <w:bottom w:val="single" w:sz="4" w:space="0" w:color="auto"/>
              <w:right w:val="nil"/>
            </w:tcBorders>
            <w:shd w:val="clear" w:color="auto" w:fill="auto"/>
            <w:hideMark/>
          </w:tcPr>
          <w:p w:rsidR="00960D92" w:rsidRPr="00EA6851" w:rsidRDefault="00960D92" w:rsidP="0040456F">
            <w:pPr>
              <w:spacing w:after="60"/>
              <w:ind w:left="-105"/>
              <w:jc w:val="center"/>
              <w:rPr>
                <w:b/>
                <w:bCs/>
                <w:i/>
                <w:iCs/>
                <w:sz w:val="18"/>
                <w:szCs w:val="18"/>
                <w:lang w:eastAsia="en-US"/>
              </w:rPr>
            </w:pPr>
            <w:r w:rsidRPr="00EA6851">
              <w:rPr>
                <w:b/>
                <w:bCs/>
                <w:i/>
                <w:iCs/>
                <w:sz w:val="18"/>
                <w:szCs w:val="18"/>
                <w:lang w:eastAsia="en-US"/>
              </w:rPr>
              <w:t>Прогноза</w:t>
            </w:r>
          </w:p>
          <w:p w:rsidR="00960D92" w:rsidRPr="00EA6851" w:rsidRDefault="00960D92" w:rsidP="0040456F">
            <w:pPr>
              <w:spacing w:after="60"/>
              <w:ind w:left="-105"/>
              <w:jc w:val="center"/>
              <w:rPr>
                <w:b/>
                <w:bCs/>
                <w:sz w:val="18"/>
                <w:szCs w:val="18"/>
                <w:highlight w:val="red"/>
                <w:lang w:eastAsia="en-US"/>
              </w:rPr>
            </w:pPr>
            <w:r w:rsidRPr="00EA6851">
              <w:rPr>
                <w:b/>
                <w:bCs/>
                <w:i/>
                <w:iCs/>
                <w:sz w:val="18"/>
                <w:szCs w:val="18"/>
                <w:lang w:eastAsia="en-US"/>
              </w:rPr>
              <w:t>2026 г.</w:t>
            </w:r>
          </w:p>
        </w:tc>
      </w:tr>
      <w:tr w:rsidR="00960D92" w:rsidRPr="00EA6851" w:rsidTr="0040456F">
        <w:trPr>
          <w:gridAfter w:val="1"/>
          <w:wAfter w:w="90" w:type="dxa"/>
          <w:trHeight w:val="1326"/>
        </w:trPr>
        <w:tc>
          <w:tcPr>
            <w:tcW w:w="4230" w:type="dxa"/>
            <w:tcBorders>
              <w:top w:val="single" w:sz="4" w:space="0" w:color="auto"/>
              <w:left w:val="nil"/>
              <w:bottom w:val="nil"/>
              <w:right w:val="nil"/>
            </w:tcBorders>
            <w:shd w:val="clear" w:color="auto" w:fill="auto"/>
            <w:vAlign w:val="center"/>
            <w:hideMark/>
          </w:tcPr>
          <w:p w:rsidR="00960D92" w:rsidRPr="00EA6851" w:rsidRDefault="00960D92" w:rsidP="00960D92">
            <w:pPr>
              <w:spacing w:after="60"/>
              <w:ind w:firstLine="38"/>
              <w:rPr>
                <w:sz w:val="18"/>
                <w:szCs w:val="18"/>
                <w:lang w:eastAsia="en-US"/>
              </w:rPr>
            </w:pPr>
            <w:r w:rsidRPr="00EA6851">
              <w:rPr>
                <w:sz w:val="18"/>
                <w:szCs w:val="18"/>
                <w:lang w:eastAsia="en-US"/>
              </w:rPr>
              <w:t>1.</w:t>
            </w:r>
            <w:r w:rsidRPr="00EA6851">
              <w:rPr>
                <w:b/>
                <w:sz w:val="18"/>
                <w:szCs w:val="18"/>
                <w:lang w:eastAsia="en-US"/>
              </w:rPr>
              <w:t xml:space="preserve"> </w:t>
            </w:r>
            <w:r w:rsidRPr="00EA6851">
              <w:rPr>
                <w:sz w:val="18"/>
                <w:szCs w:val="18"/>
                <w:lang w:eastAsia="en-US"/>
              </w:rPr>
              <w:t>Подобряване качеството на предоставяната услуга „Водоснабдяване и канализация“ чрез увеличаване броя на жителите, на които се предоставя питейна вода с подобрени качествени показатели и/или на които се осигурява непрекъснатост на водоснабдяването и/или на които се предоставя услугата отвеждане и пречистване на отпадъчните води*</w:t>
            </w:r>
          </w:p>
        </w:tc>
        <w:tc>
          <w:tcPr>
            <w:tcW w:w="990" w:type="dxa"/>
            <w:tcBorders>
              <w:top w:val="single" w:sz="4" w:space="0" w:color="auto"/>
              <w:left w:val="nil"/>
              <w:bottom w:val="nil"/>
              <w:right w:val="nil"/>
            </w:tcBorders>
            <w:shd w:val="clear" w:color="auto" w:fill="F2F2F2"/>
            <w:vAlign w:val="center"/>
            <w:hideMark/>
          </w:tcPr>
          <w:p w:rsidR="00960D92" w:rsidRPr="00EA6851" w:rsidRDefault="00960D92" w:rsidP="00960D92">
            <w:pPr>
              <w:spacing w:after="60"/>
              <w:ind w:firstLine="38"/>
              <w:jc w:val="center"/>
              <w:rPr>
                <w:sz w:val="18"/>
                <w:szCs w:val="18"/>
                <w:lang w:eastAsia="en-US"/>
              </w:rPr>
            </w:pPr>
            <w:r w:rsidRPr="00EA6851">
              <w:rPr>
                <w:sz w:val="18"/>
                <w:szCs w:val="18"/>
                <w:lang w:eastAsia="en-US"/>
              </w:rPr>
              <w:t>Брой</w:t>
            </w:r>
          </w:p>
          <w:p w:rsidR="00960D92" w:rsidRPr="00EA6851" w:rsidRDefault="00960D92" w:rsidP="00960D92">
            <w:pPr>
              <w:spacing w:after="60"/>
              <w:ind w:firstLine="38"/>
              <w:jc w:val="center"/>
              <w:rPr>
                <w:sz w:val="18"/>
                <w:szCs w:val="18"/>
                <w:lang w:eastAsia="en-US"/>
              </w:rPr>
            </w:pPr>
            <w:r w:rsidRPr="00EA6851">
              <w:rPr>
                <w:sz w:val="18"/>
                <w:szCs w:val="18"/>
                <w:lang w:eastAsia="en-US"/>
              </w:rPr>
              <w:t>жители</w:t>
            </w:r>
          </w:p>
        </w:tc>
        <w:tc>
          <w:tcPr>
            <w:tcW w:w="1170" w:type="dxa"/>
            <w:tcBorders>
              <w:top w:val="single" w:sz="4" w:space="0" w:color="auto"/>
              <w:left w:val="nil"/>
              <w:bottom w:val="nil"/>
              <w:right w:val="nil"/>
            </w:tcBorders>
            <w:shd w:val="clear" w:color="auto" w:fill="auto"/>
            <w:vAlign w:val="center"/>
            <w:hideMark/>
          </w:tcPr>
          <w:p w:rsidR="00960D92" w:rsidRPr="00EA6851" w:rsidRDefault="00960D92" w:rsidP="00960D92">
            <w:pPr>
              <w:spacing w:after="60"/>
              <w:ind w:firstLine="38"/>
              <w:jc w:val="center"/>
              <w:rPr>
                <w:sz w:val="18"/>
                <w:szCs w:val="18"/>
                <w:lang w:eastAsia="en-US"/>
              </w:rPr>
            </w:pPr>
            <w:r w:rsidRPr="00EA6851">
              <w:rPr>
                <w:sz w:val="18"/>
                <w:szCs w:val="18"/>
                <w:lang w:eastAsia="en-US"/>
              </w:rPr>
              <w:t>0</w:t>
            </w:r>
          </w:p>
        </w:tc>
        <w:tc>
          <w:tcPr>
            <w:tcW w:w="990" w:type="dxa"/>
            <w:tcBorders>
              <w:top w:val="single" w:sz="4" w:space="0" w:color="auto"/>
              <w:left w:val="nil"/>
              <w:bottom w:val="nil"/>
              <w:right w:val="nil"/>
            </w:tcBorders>
            <w:shd w:val="clear" w:color="auto" w:fill="auto"/>
            <w:vAlign w:val="center"/>
            <w:hideMark/>
          </w:tcPr>
          <w:p w:rsidR="00960D92" w:rsidRPr="00EA6851" w:rsidRDefault="00960D92" w:rsidP="00960D92">
            <w:pPr>
              <w:spacing w:after="60"/>
              <w:ind w:firstLine="38"/>
              <w:jc w:val="center"/>
              <w:rPr>
                <w:sz w:val="18"/>
                <w:szCs w:val="18"/>
                <w:lang w:eastAsia="en-US"/>
              </w:rPr>
            </w:pPr>
            <w:r w:rsidRPr="00EA6851">
              <w:rPr>
                <w:sz w:val="18"/>
                <w:szCs w:val="18"/>
                <w:lang w:eastAsia="en-US"/>
              </w:rPr>
              <w:t>10 600</w:t>
            </w:r>
          </w:p>
        </w:tc>
        <w:tc>
          <w:tcPr>
            <w:tcW w:w="900" w:type="dxa"/>
            <w:tcBorders>
              <w:top w:val="single" w:sz="4" w:space="0" w:color="auto"/>
              <w:left w:val="nil"/>
              <w:bottom w:val="nil"/>
              <w:right w:val="nil"/>
            </w:tcBorders>
            <w:shd w:val="clear" w:color="auto" w:fill="auto"/>
            <w:vAlign w:val="center"/>
            <w:hideMark/>
          </w:tcPr>
          <w:p w:rsidR="00960D92" w:rsidRPr="00EA6851" w:rsidRDefault="00960D92" w:rsidP="00960D92">
            <w:pPr>
              <w:spacing w:after="60"/>
              <w:ind w:firstLine="38"/>
              <w:jc w:val="center"/>
              <w:rPr>
                <w:sz w:val="18"/>
                <w:szCs w:val="18"/>
                <w:lang w:eastAsia="en-US"/>
              </w:rPr>
            </w:pPr>
            <w:r w:rsidRPr="00EA6851">
              <w:rPr>
                <w:sz w:val="18"/>
                <w:szCs w:val="18"/>
                <w:lang w:eastAsia="en-US"/>
              </w:rPr>
              <w:t>29 000</w:t>
            </w:r>
          </w:p>
        </w:tc>
        <w:tc>
          <w:tcPr>
            <w:tcW w:w="1080" w:type="dxa"/>
            <w:gridSpan w:val="2"/>
            <w:tcBorders>
              <w:top w:val="single" w:sz="4" w:space="0" w:color="auto"/>
              <w:left w:val="nil"/>
              <w:bottom w:val="nil"/>
              <w:right w:val="nil"/>
            </w:tcBorders>
            <w:shd w:val="clear" w:color="auto" w:fill="auto"/>
            <w:vAlign w:val="center"/>
            <w:hideMark/>
          </w:tcPr>
          <w:p w:rsidR="00960D92" w:rsidRPr="00EA6851" w:rsidRDefault="00960D92" w:rsidP="00960D92">
            <w:pPr>
              <w:spacing w:after="60"/>
              <w:ind w:firstLine="38"/>
              <w:jc w:val="center"/>
              <w:rPr>
                <w:sz w:val="18"/>
                <w:szCs w:val="18"/>
                <w:lang w:eastAsia="en-US"/>
              </w:rPr>
            </w:pPr>
            <w:r w:rsidRPr="00EA6851">
              <w:rPr>
                <w:sz w:val="18"/>
                <w:szCs w:val="18"/>
                <w:lang w:eastAsia="en-US"/>
              </w:rPr>
              <w:t>101 000</w:t>
            </w:r>
          </w:p>
        </w:tc>
      </w:tr>
      <w:tr w:rsidR="00960D92" w:rsidRPr="00EA6851" w:rsidTr="0040456F">
        <w:trPr>
          <w:gridAfter w:val="1"/>
          <w:wAfter w:w="90" w:type="dxa"/>
          <w:trHeight w:val="369"/>
        </w:trPr>
        <w:tc>
          <w:tcPr>
            <w:tcW w:w="4230" w:type="dxa"/>
            <w:tcBorders>
              <w:top w:val="nil"/>
              <w:left w:val="nil"/>
              <w:bottom w:val="single" w:sz="4" w:space="0" w:color="auto"/>
              <w:right w:val="nil"/>
            </w:tcBorders>
            <w:shd w:val="clear" w:color="auto" w:fill="auto"/>
            <w:vAlign w:val="center"/>
            <w:hideMark/>
          </w:tcPr>
          <w:p w:rsidR="00960D92" w:rsidRPr="00EA6851" w:rsidRDefault="00960D92" w:rsidP="00960D92">
            <w:pPr>
              <w:spacing w:after="60"/>
              <w:ind w:firstLine="38"/>
              <w:rPr>
                <w:b/>
                <w:sz w:val="18"/>
                <w:szCs w:val="18"/>
                <w:lang w:eastAsia="en-US"/>
              </w:rPr>
            </w:pPr>
            <w:r w:rsidRPr="00EA6851">
              <w:rPr>
                <w:sz w:val="18"/>
                <w:szCs w:val="18"/>
                <w:lang w:eastAsia="en-US"/>
              </w:rPr>
              <w:t>2. Обезпечаване на територията на страната с общи устройствени планове. (нарастване на броя на общините с действащи общи устройствени планове)</w:t>
            </w:r>
          </w:p>
        </w:tc>
        <w:tc>
          <w:tcPr>
            <w:tcW w:w="990" w:type="dxa"/>
            <w:tcBorders>
              <w:top w:val="nil"/>
              <w:left w:val="nil"/>
              <w:bottom w:val="single" w:sz="4" w:space="0" w:color="auto"/>
              <w:right w:val="nil"/>
            </w:tcBorders>
            <w:shd w:val="clear" w:color="auto" w:fill="F2F2F2"/>
            <w:vAlign w:val="center"/>
            <w:hideMark/>
          </w:tcPr>
          <w:p w:rsidR="00960D92" w:rsidRPr="00EA6851" w:rsidRDefault="00960D92" w:rsidP="00960D92">
            <w:pPr>
              <w:spacing w:after="60"/>
              <w:ind w:firstLine="38"/>
              <w:jc w:val="center"/>
              <w:rPr>
                <w:sz w:val="18"/>
                <w:szCs w:val="18"/>
                <w:lang w:eastAsia="en-US"/>
              </w:rPr>
            </w:pPr>
            <w:r w:rsidRPr="00EA6851">
              <w:rPr>
                <w:sz w:val="18"/>
                <w:szCs w:val="18"/>
                <w:lang w:eastAsia="en-US"/>
              </w:rPr>
              <w:t>%</w:t>
            </w:r>
          </w:p>
        </w:tc>
        <w:tc>
          <w:tcPr>
            <w:tcW w:w="1170" w:type="dxa"/>
            <w:tcBorders>
              <w:top w:val="nil"/>
              <w:left w:val="nil"/>
              <w:bottom w:val="single" w:sz="4" w:space="0" w:color="auto"/>
              <w:right w:val="nil"/>
            </w:tcBorders>
            <w:shd w:val="clear" w:color="auto" w:fill="auto"/>
            <w:vAlign w:val="center"/>
            <w:hideMark/>
          </w:tcPr>
          <w:p w:rsidR="00960D92" w:rsidRPr="00EA6851" w:rsidRDefault="00960D92" w:rsidP="00960D92">
            <w:pPr>
              <w:spacing w:after="60"/>
              <w:ind w:firstLine="38"/>
              <w:jc w:val="center"/>
              <w:rPr>
                <w:sz w:val="18"/>
                <w:szCs w:val="18"/>
                <w:lang w:eastAsia="en-US"/>
              </w:rPr>
            </w:pPr>
            <w:r w:rsidRPr="00EA6851">
              <w:rPr>
                <w:sz w:val="18"/>
                <w:szCs w:val="18"/>
                <w:lang w:eastAsia="en-US"/>
              </w:rPr>
              <w:t>30</w:t>
            </w:r>
          </w:p>
        </w:tc>
        <w:tc>
          <w:tcPr>
            <w:tcW w:w="990" w:type="dxa"/>
            <w:tcBorders>
              <w:top w:val="nil"/>
              <w:left w:val="nil"/>
              <w:bottom w:val="single" w:sz="4" w:space="0" w:color="auto"/>
              <w:right w:val="nil"/>
            </w:tcBorders>
            <w:shd w:val="clear" w:color="auto" w:fill="auto"/>
            <w:vAlign w:val="center"/>
            <w:hideMark/>
          </w:tcPr>
          <w:p w:rsidR="00960D92" w:rsidRPr="00EA6851" w:rsidRDefault="00960D92" w:rsidP="00960D92">
            <w:pPr>
              <w:spacing w:after="60"/>
              <w:ind w:firstLine="38"/>
              <w:jc w:val="center"/>
              <w:rPr>
                <w:sz w:val="18"/>
                <w:szCs w:val="18"/>
                <w:lang w:eastAsia="en-US"/>
              </w:rPr>
            </w:pPr>
            <w:r w:rsidRPr="00EA6851">
              <w:rPr>
                <w:sz w:val="18"/>
                <w:szCs w:val="18"/>
                <w:lang w:eastAsia="en-US"/>
              </w:rPr>
              <w:t>40</w:t>
            </w:r>
          </w:p>
        </w:tc>
        <w:tc>
          <w:tcPr>
            <w:tcW w:w="900" w:type="dxa"/>
            <w:tcBorders>
              <w:top w:val="nil"/>
              <w:left w:val="nil"/>
              <w:bottom w:val="single" w:sz="4" w:space="0" w:color="auto"/>
              <w:right w:val="nil"/>
            </w:tcBorders>
            <w:shd w:val="clear" w:color="auto" w:fill="auto"/>
            <w:vAlign w:val="center"/>
            <w:hideMark/>
          </w:tcPr>
          <w:p w:rsidR="00960D92" w:rsidRPr="00EA6851" w:rsidRDefault="00960D92" w:rsidP="00960D92">
            <w:pPr>
              <w:spacing w:after="60"/>
              <w:ind w:firstLine="38"/>
              <w:jc w:val="center"/>
              <w:rPr>
                <w:sz w:val="18"/>
                <w:szCs w:val="18"/>
                <w:lang w:eastAsia="en-US"/>
              </w:rPr>
            </w:pPr>
            <w:r w:rsidRPr="00EA6851">
              <w:rPr>
                <w:sz w:val="18"/>
                <w:szCs w:val="18"/>
                <w:lang w:eastAsia="en-US"/>
              </w:rPr>
              <w:t>30</w:t>
            </w:r>
          </w:p>
        </w:tc>
        <w:tc>
          <w:tcPr>
            <w:tcW w:w="1080" w:type="dxa"/>
            <w:gridSpan w:val="2"/>
            <w:tcBorders>
              <w:top w:val="nil"/>
              <w:left w:val="nil"/>
              <w:bottom w:val="single" w:sz="4" w:space="0" w:color="auto"/>
              <w:right w:val="nil"/>
            </w:tcBorders>
            <w:shd w:val="clear" w:color="auto" w:fill="auto"/>
            <w:vAlign w:val="center"/>
            <w:hideMark/>
          </w:tcPr>
          <w:p w:rsidR="00960D92" w:rsidRPr="00EA6851" w:rsidRDefault="00960D92" w:rsidP="00960D92">
            <w:pPr>
              <w:spacing w:after="60"/>
              <w:ind w:firstLine="38"/>
              <w:jc w:val="center"/>
              <w:rPr>
                <w:sz w:val="18"/>
                <w:szCs w:val="18"/>
                <w:lang w:eastAsia="en-US"/>
              </w:rPr>
            </w:pPr>
            <w:r w:rsidRPr="00EA6851">
              <w:rPr>
                <w:sz w:val="18"/>
                <w:szCs w:val="18"/>
                <w:lang w:eastAsia="en-US"/>
              </w:rPr>
              <w:t>25</w:t>
            </w:r>
          </w:p>
        </w:tc>
      </w:tr>
    </w:tbl>
    <w:p w:rsidR="00960D92" w:rsidRPr="00EA6851" w:rsidRDefault="00960D92" w:rsidP="00960D92">
      <w:pPr>
        <w:spacing w:before="120" w:after="0"/>
        <w:rPr>
          <w:highlight w:val="yellow"/>
        </w:rPr>
      </w:pPr>
      <w:r w:rsidRPr="00EA6851">
        <w:rPr>
          <w:rFonts w:eastAsia="Calibri"/>
          <w:i/>
          <w:sz w:val="18"/>
          <w:szCs w:val="18"/>
        </w:rPr>
        <w:t>*За 2023 г. не се очаква промяна в целевите стойности на индикатора, предвид това, че продължава изпълнението на сключени договори, които няма да приключат, както и предстои сключване на нови договори, които ще бъдат изпълнявани в периода на тригодишната бюджетна прогноза. В таблицата за прогноза 2024-2026 г. се посочва броят жители, за които през съответната година е постигнато подобряване качеството на предоставяната ВиК услуга.</w:t>
      </w:r>
    </w:p>
    <w:p w:rsidR="00960D92" w:rsidRPr="00EA6851" w:rsidRDefault="00960D92" w:rsidP="00960D92">
      <w:pPr>
        <w:spacing w:before="120"/>
      </w:pPr>
      <w:r w:rsidRPr="00EA6851">
        <w:t>Държавната политика в областта на националния строителен контрол се осъществява с цел ограничаване на последствията от извършеното незаконно строителство и осъществяване на превантивен контрол за недопускане на нарушения на нормативната уредба по устройство на територията. Целта е строежите да се изпълняват по начин, гарантиращ безопасни и здравословни условия в икономически обоснован експлоатационен срок. В рамките на тази политика се извършва контрол по спазването на Закона за устройство на територията и на нормативните актове по прилагането му при проектирането и строителството.</w:t>
      </w:r>
    </w:p>
    <w:p w:rsidR="002377DA" w:rsidRPr="00EA6851" w:rsidRDefault="002377DA" w:rsidP="002377DA">
      <w:pPr>
        <w:pStyle w:val="Heading3"/>
        <w:ind w:left="0"/>
      </w:pPr>
      <w:r w:rsidRPr="00EA6851">
        <w:t>Политика в областта на културата</w:t>
      </w:r>
    </w:p>
    <w:p w:rsidR="00152932" w:rsidRPr="00EA6851" w:rsidRDefault="00152932" w:rsidP="00152932">
      <w:r w:rsidRPr="00EA6851">
        <w:t>Политиката в областта на културата е свързана с укрепването, популяризирането и развитието на българската идентичност, култура и духовни ценности. Стратегическите цели на политиката са насочени към създаването на условия за устойчиво културно развитие и духовно консолидиране на нацията, утвърждаването на българската национална идентичност чрез изграждане образа на България като страна със самобитна култура и уникално културно наследство, активирането на международната дейност за популяризиране достиженията на българските творци и повишаване конкурентоспособността на българския културен продукт.</w:t>
      </w:r>
    </w:p>
    <w:p w:rsidR="00152932" w:rsidRPr="00EA6851" w:rsidRDefault="00152932" w:rsidP="00152932">
      <w:pPr>
        <w:pStyle w:val="Heading4"/>
        <w:spacing w:before="0" w:after="200"/>
      </w:pPr>
      <w:r w:rsidRPr="00EA6851">
        <w:t xml:space="preserve">Политика в областта на опазване на движимото и недвижимото културно наследство </w:t>
      </w:r>
    </w:p>
    <w:p w:rsidR="00152932" w:rsidRPr="00EA6851" w:rsidRDefault="00152932" w:rsidP="00152932">
      <w:r w:rsidRPr="00EA6851">
        <w:t>Основните приоритети на политиката в областта на опазване на движимото и недвижимото културно наследство са опазване и социализиране на културното наследство и стимулиране на обвързването му с туристическите продукти, привличане на проектно финансиране в областта на културата по различни програми и донори, развитие и техническо усъвършенстване на музейната мрежа, привличане на средства от Европейските програми и двустранни спогодби за подкрепа на културата и утвърждаване на България като дестинация за осъществяване на международни културни проекти.</w:t>
      </w:r>
    </w:p>
    <w:p w:rsidR="00152932" w:rsidRPr="00EA6851" w:rsidRDefault="00152932" w:rsidP="00152932">
      <w:r w:rsidRPr="00EA6851">
        <w:t xml:space="preserve">В областта на опазването на </w:t>
      </w:r>
      <w:r w:rsidRPr="00EA6851">
        <w:rPr>
          <w:i/>
        </w:rPr>
        <w:t>недвижимото културно</w:t>
      </w:r>
      <w:r w:rsidRPr="00EA6851">
        <w:t xml:space="preserve"> наследство ще продължи държавната подкрепа за извършване на археологически проучвания, реставрация и съпътстваща консервация (укрепване, защитни покрития, вертикална планировка и др.) на значими археологически обекти, както и извършването на консервационно-реставрационни работи на недвижими културни ценности.</w:t>
      </w:r>
    </w:p>
    <w:p w:rsidR="00152932" w:rsidRPr="00EA6851" w:rsidRDefault="00152932" w:rsidP="00152932">
      <w:pPr>
        <w:rPr>
          <w:rFonts w:eastAsia="Times New Roman" w:cs="Times New Roman"/>
          <w:sz w:val="20"/>
          <w:szCs w:val="20"/>
          <w:lang w:eastAsia="en-US"/>
        </w:rPr>
      </w:pPr>
      <w:r w:rsidRPr="00EA6851">
        <w:t xml:space="preserve">В областта на опазването и представянето на </w:t>
      </w:r>
      <w:r w:rsidRPr="00EA6851">
        <w:rPr>
          <w:i/>
        </w:rPr>
        <w:t>движимото културно и аудио-визуално наследство</w:t>
      </w:r>
      <w:r w:rsidRPr="00EA6851">
        <w:t xml:space="preserve"> (държавните музеи, художествените галерии и Българската национална филмотека) ще продължи финансирането на дейностите им по стандарти в подкрепа на възможностите за по-голяма самостоятелност и мотивация на работещите в музейното дело за популяризирането на националното културно богатство.</w:t>
      </w:r>
      <w:r w:rsidRPr="00EA6851">
        <w:rPr>
          <w:rFonts w:eastAsia="Times New Roman" w:cs="Times New Roman"/>
          <w:sz w:val="20"/>
          <w:szCs w:val="20"/>
          <w:lang w:eastAsia="en-US"/>
        </w:rPr>
        <w:t xml:space="preserve"> </w:t>
      </w:r>
    </w:p>
    <w:p w:rsidR="00152932" w:rsidRPr="00EA6851" w:rsidRDefault="00152932" w:rsidP="00152932">
      <w:r w:rsidRPr="00EA6851">
        <w:t>В областта на движимото културно наследство ще продължи държавната подкрепа за закрила и развитие на културата, чрез подпомагане на дейности, свързани с опазване и представяне на движимото културно наследство, музеите, художествените галерии и визуалните изкуства.</w:t>
      </w:r>
    </w:p>
    <w:p w:rsidR="00152932" w:rsidRPr="00EA6851" w:rsidRDefault="00152932" w:rsidP="00152932">
      <w:r w:rsidRPr="00EA6851">
        <w:t>Отговорни за провеждането на политиката са Националният институт за недвижимо културно наследство, държавните музеи и художествени галерии в системата на Министерството на културата, Центърът за подводна археология, Културен център „Двореца“ и Българската национална филмотека.</w:t>
      </w:r>
    </w:p>
    <w:p w:rsidR="00152932" w:rsidRPr="00EA6851" w:rsidRDefault="00152932" w:rsidP="00152932">
      <w:pPr>
        <w:rPr>
          <w:b/>
          <w:noProof/>
          <w:sz w:val="20"/>
          <w:szCs w:val="20"/>
        </w:rPr>
      </w:pPr>
      <w:r w:rsidRPr="00EA6851">
        <w:rPr>
          <w:b/>
          <w:noProof/>
          <w:sz w:val="20"/>
          <w:szCs w:val="20"/>
        </w:rPr>
        <w:t>КЛЮЧОВИ ИНДИКАТОРИ ЗА ИЗПЪЛНЕНИЕ И ЦЕЛЕВИ СТОЙНОСТИ</w:t>
      </w:r>
    </w:p>
    <w:tbl>
      <w:tblPr>
        <w:tblW w:w="9718" w:type="dxa"/>
        <w:tblInd w:w="2" w:type="dxa"/>
        <w:tblBorders>
          <w:top w:val="single" w:sz="4" w:space="0" w:color="auto"/>
          <w:bottom w:val="single" w:sz="4" w:space="0" w:color="auto"/>
        </w:tblBorders>
        <w:tblLayout w:type="fixed"/>
        <w:tblLook w:val="04A0" w:firstRow="1" w:lastRow="0" w:firstColumn="1" w:lastColumn="0" w:noHBand="0" w:noVBand="1"/>
      </w:tblPr>
      <w:tblGrid>
        <w:gridCol w:w="4160"/>
        <w:gridCol w:w="970"/>
        <w:gridCol w:w="1168"/>
        <w:gridCol w:w="1170"/>
        <w:gridCol w:w="1080"/>
        <w:gridCol w:w="1170"/>
      </w:tblGrid>
      <w:tr w:rsidR="00152932" w:rsidRPr="00EA6851" w:rsidTr="00E931D9">
        <w:trPr>
          <w:trHeight w:val="746"/>
          <w:tblHeader/>
        </w:trPr>
        <w:tc>
          <w:tcPr>
            <w:tcW w:w="4160" w:type="dxa"/>
            <w:tcBorders>
              <w:top w:val="single" w:sz="4" w:space="0" w:color="auto"/>
              <w:bottom w:val="nil"/>
            </w:tcBorders>
            <w:shd w:val="clear" w:color="auto" w:fill="auto"/>
            <w:hideMark/>
          </w:tcPr>
          <w:p w:rsidR="00152932" w:rsidRPr="00EA6851" w:rsidRDefault="00152932" w:rsidP="00734A76">
            <w:pPr>
              <w:spacing w:after="60"/>
              <w:jc w:val="center"/>
              <w:rPr>
                <w:b/>
                <w:bCs/>
                <w:i/>
                <w:sz w:val="18"/>
                <w:szCs w:val="18"/>
                <w:lang w:eastAsia="en-US"/>
              </w:rPr>
            </w:pPr>
            <w:r w:rsidRPr="00EA6851">
              <w:rPr>
                <w:b/>
                <w:i/>
                <w:color w:val="000000"/>
                <w:sz w:val="18"/>
                <w:szCs w:val="18"/>
                <w:lang w:eastAsia="en-US"/>
              </w:rPr>
              <w:t>Политика</w:t>
            </w:r>
            <w:r w:rsidRPr="00EA6851">
              <w:rPr>
                <w:b/>
                <w:bCs/>
                <w:i/>
                <w:iCs/>
                <w:sz w:val="18"/>
                <w:szCs w:val="18"/>
                <w:lang w:eastAsia="en-US"/>
              </w:rPr>
              <w:t xml:space="preserve"> в областта на опазване на движимото и недвижимото културно наследство</w:t>
            </w:r>
          </w:p>
        </w:tc>
        <w:tc>
          <w:tcPr>
            <w:tcW w:w="970" w:type="dxa"/>
            <w:vMerge w:val="restart"/>
            <w:tcBorders>
              <w:top w:val="single" w:sz="4" w:space="0" w:color="auto"/>
              <w:bottom w:val="nil"/>
            </w:tcBorders>
            <w:shd w:val="clear" w:color="auto" w:fill="F2F2F2"/>
            <w:vAlign w:val="center"/>
            <w:hideMark/>
          </w:tcPr>
          <w:p w:rsidR="00152932" w:rsidRPr="00EA6851" w:rsidRDefault="00152932" w:rsidP="00734A76">
            <w:pPr>
              <w:spacing w:after="60"/>
              <w:jc w:val="center"/>
              <w:rPr>
                <w:b/>
                <w:bCs/>
                <w:sz w:val="18"/>
                <w:szCs w:val="18"/>
                <w:lang w:eastAsia="en-US"/>
              </w:rPr>
            </w:pPr>
            <w:r w:rsidRPr="00EA6851">
              <w:rPr>
                <w:b/>
                <w:bCs/>
                <w:sz w:val="18"/>
                <w:szCs w:val="18"/>
                <w:lang w:eastAsia="en-US"/>
              </w:rPr>
              <w:t>Мерна единица</w:t>
            </w:r>
          </w:p>
        </w:tc>
        <w:tc>
          <w:tcPr>
            <w:tcW w:w="1168" w:type="dxa"/>
            <w:tcBorders>
              <w:top w:val="single" w:sz="4" w:space="0" w:color="auto"/>
              <w:bottom w:val="single" w:sz="4" w:space="0" w:color="auto"/>
            </w:tcBorders>
            <w:shd w:val="clear" w:color="auto" w:fill="auto"/>
          </w:tcPr>
          <w:p w:rsidR="00152932" w:rsidRPr="00EA6851" w:rsidRDefault="00152932" w:rsidP="00734A76">
            <w:pPr>
              <w:spacing w:after="60"/>
              <w:jc w:val="center"/>
              <w:rPr>
                <w:b/>
                <w:bCs/>
                <w:sz w:val="18"/>
                <w:szCs w:val="18"/>
                <w:lang w:eastAsia="en-US"/>
              </w:rPr>
            </w:pPr>
          </w:p>
        </w:tc>
        <w:tc>
          <w:tcPr>
            <w:tcW w:w="3420" w:type="dxa"/>
            <w:gridSpan w:val="3"/>
            <w:tcBorders>
              <w:top w:val="single" w:sz="4" w:space="0" w:color="auto"/>
              <w:bottom w:val="single" w:sz="4" w:space="0" w:color="auto"/>
            </w:tcBorders>
            <w:shd w:val="clear" w:color="auto" w:fill="auto"/>
          </w:tcPr>
          <w:p w:rsidR="00152932" w:rsidRPr="00EA6851" w:rsidRDefault="00152932" w:rsidP="00734A76">
            <w:pPr>
              <w:spacing w:after="60"/>
              <w:rPr>
                <w:b/>
                <w:bCs/>
                <w:sz w:val="18"/>
                <w:szCs w:val="18"/>
                <w:lang w:eastAsia="en-US"/>
              </w:rPr>
            </w:pPr>
          </w:p>
          <w:p w:rsidR="00152932" w:rsidRPr="00EA6851" w:rsidRDefault="00152932" w:rsidP="00734A76">
            <w:pPr>
              <w:spacing w:after="60"/>
              <w:rPr>
                <w:b/>
                <w:bCs/>
                <w:sz w:val="18"/>
                <w:szCs w:val="18"/>
                <w:lang w:eastAsia="en-US"/>
              </w:rPr>
            </w:pPr>
            <w:r w:rsidRPr="00EA6851">
              <w:rPr>
                <w:b/>
                <w:bCs/>
                <w:sz w:val="18"/>
                <w:szCs w:val="18"/>
                <w:lang w:eastAsia="en-US"/>
              </w:rPr>
              <w:t>Целева стойност</w:t>
            </w:r>
          </w:p>
        </w:tc>
      </w:tr>
      <w:tr w:rsidR="00152932" w:rsidRPr="00EA6851" w:rsidTr="00E931D9">
        <w:trPr>
          <w:trHeight w:val="64"/>
          <w:tblHeader/>
        </w:trPr>
        <w:tc>
          <w:tcPr>
            <w:tcW w:w="4160" w:type="dxa"/>
            <w:tcBorders>
              <w:top w:val="nil"/>
              <w:bottom w:val="single" w:sz="4" w:space="0" w:color="auto"/>
            </w:tcBorders>
            <w:shd w:val="clear" w:color="auto" w:fill="auto"/>
            <w:hideMark/>
          </w:tcPr>
          <w:p w:rsidR="00152932" w:rsidRPr="00EA6851" w:rsidRDefault="00152932" w:rsidP="00734A76">
            <w:pPr>
              <w:spacing w:after="60"/>
              <w:jc w:val="center"/>
              <w:rPr>
                <w:b/>
                <w:bCs/>
                <w:sz w:val="18"/>
                <w:szCs w:val="18"/>
                <w:lang w:eastAsia="en-US"/>
              </w:rPr>
            </w:pPr>
            <w:r w:rsidRPr="00EA6851">
              <w:rPr>
                <w:b/>
                <w:bCs/>
                <w:sz w:val="18"/>
                <w:szCs w:val="18"/>
                <w:lang w:eastAsia="en-US"/>
              </w:rPr>
              <w:t>Наименование на индикатора</w:t>
            </w:r>
          </w:p>
        </w:tc>
        <w:tc>
          <w:tcPr>
            <w:tcW w:w="970" w:type="dxa"/>
            <w:vMerge/>
            <w:tcBorders>
              <w:top w:val="nil"/>
              <w:bottom w:val="single" w:sz="4" w:space="0" w:color="auto"/>
            </w:tcBorders>
            <w:shd w:val="clear" w:color="auto" w:fill="auto"/>
            <w:vAlign w:val="center"/>
            <w:hideMark/>
          </w:tcPr>
          <w:p w:rsidR="00152932" w:rsidRPr="00EA6851" w:rsidRDefault="00152932" w:rsidP="00734A76">
            <w:pPr>
              <w:spacing w:after="0"/>
              <w:rPr>
                <w:b/>
                <w:bCs/>
                <w:sz w:val="18"/>
                <w:szCs w:val="18"/>
                <w:lang w:eastAsia="en-US"/>
              </w:rPr>
            </w:pPr>
          </w:p>
        </w:tc>
        <w:tc>
          <w:tcPr>
            <w:tcW w:w="1168" w:type="dxa"/>
            <w:tcBorders>
              <w:top w:val="single" w:sz="4" w:space="0" w:color="auto"/>
              <w:bottom w:val="single" w:sz="4" w:space="0" w:color="auto"/>
            </w:tcBorders>
            <w:shd w:val="clear" w:color="auto" w:fill="auto"/>
            <w:hideMark/>
          </w:tcPr>
          <w:p w:rsidR="00152932" w:rsidRPr="00EA6851" w:rsidRDefault="00152932" w:rsidP="00734A76">
            <w:pPr>
              <w:spacing w:after="60"/>
              <w:jc w:val="center"/>
              <w:rPr>
                <w:b/>
                <w:bCs/>
                <w:i/>
                <w:iCs/>
                <w:sz w:val="18"/>
                <w:szCs w:val="18"/>
                <w:lang w:eastAsia="en-US"/>
              </w:rPr>
            </w:pPr>
            <w:r w:rsidRPr="00EA6851">
              <w:rPr>
                <w:b/>
                <w:bCs/>
                <w:i/>
                <w:iCs/>
                <w:sz w:val="18"/>
                <w:szCs w:val="18"/>
                <w:lang w:eastAsia="en-US"/>
              </w:rPr>
              <w:t>Програма 2023 г.</w:t>
            </w:r>
          </w:p>
        </w:tc>
        <w:tc>
          <w:tcPr>
            <w:tcW w:w="1170" w:type="dxa"/>
            <w:tcBorders>
              <w:top w:val="single" w:sz="4" w:space="0" w:color="auto"/>
              <w:bottom w:val="single" w:sz="4" w:space="0" w:color="auto"/>
            </w:tcBorders>
            <w:shd w:val="clear" w:color="auto" w:fill="auto"/>
            <w:hideMark/>
          </w:tcPr>
          <w:p w:rsidR="00152932" w:rsidRPr="00EA6851" w:rsidRDefault="00152932" w:rsidP="00734A76">
            <w:pPr>
              <w:spacing w:after="60"/>
              <w:jc w:val="center"/>
              <w:rPr>
                <w:b/>
                <w:bCs/>
                <w:i/>
                <w:iCs/>
                <w:sz w:val="18"/>
                <w:szCs w:val="18"/>
                <w:lang w:eastAsia="en-US"/>
              </w:rPr>
            </w:pPr>
            <w:r w:rsidRPr="00EA6851">
              <w:rPr>
                <w:b/>
                <w:bCs/>
                <w:i/>
                <w:iCs/>
                <w:sz w:val="18"/>
                <w:szCs w:val="18"/>
                <w:lang w:eastAsia="en-US"/>
              </w:rPr>
              <w:t>Проект 2024 г.</w:t>
            </w:r>
          </w:p>
        </w:tc>
        <w:tc>
          <w:tcPr>
            <w:tcW w:w="1080" w:type="dxa"/>
            <w:tcBorders>
              <w:top w:val="single" w:sz="4" w:space="0" w:color="auto"/>
              <w:bottom w:val="single" w:sz="4" w:space="0" w:color="auto"/>
            </w:tcBorders>
            <w:shd w:val="clear" w:color="auto" w:fill="auto"/>
            <w:hideMark/>
          </w:tcPr>
          <w:p w:rsidR="00152932" w:rsidRPr="00EA6851" w:rsidRDefault="00152932" w:rsidP="00734A76">
            <w:pPr>
              <w:spacing w:after="60"/>
              <w:jc w:val="center"/>
              <w:rPr>
                <w:b/>
                <w:bCs/>
                <w:i/>
                <w:iCs/>
                <w:sz w:val="18"/>
                <w:szCs w:val="18"/>
                <w:lang w:eastAsia="en-US"/>
              </w:rPr>
            </w:pPr>
            <w:r w:rsidRPr="00EA6851">
              <w:rPr>
                <w:b/>
                <w:bCs/>
                <w:i/>
                <w:iCs/>
                <w:sz w:val="18"/>
                <w:szCs w:val="18"/>
                <w:lang w:eastAsia="en-US"/>
              </w:rPr>
              <w:t>Прогноза</w:t>
            </w:r>
          </w:p>
          <w:p w:rsidR="00152932" w:rsidRPr="00EA6851" w:rsidRDefault="00152932" w:rsidP="00734A76">
            <w:pPr>
              <w:spacing w:after="60"/>
              <w:jc w:val="center"/>
              <w:rPr>
                <w:b/>
                <w:bCs/>
                <w:sz w:val="18"/>
                <w:szCs w:val="18"/>
                <w:lang w:eastAsia="en-US"/>
              </w:rPr>
            </w:pPr>
            <w:r w:rsidRPr="00EA6851">
              <w:rPr>
                <w:b/>
                <w:bCs/>
                <w:i/>
                <w:iCs/>
                <w:sz w:val="18"/>
                <w:szCs w:val="18"/>
                <w:lang w:eastAsia="en-US"/>
              </w:rPr>
              <w:t>2025 г.</w:t>
            </w:r>
          </w:p>
        </w:tc>
        <w:tc>
          <w:tcPr>
            <w:tcW w:w="1170" w:type="dxa"/>
            <w:tcBorders>
              <w:top w:val="single" w:sz="4" w:space="0" w:color="auto"/>
              <w:bottom w:val="single" w:sz="4" w:space="0" w:color="auto"/>
            </w:tcBorders>
            <w:shd w:val="clear" w:color="auto" w:fill="auto"/>
            <w:hideMark/>
          </w:tcPr>
          <w:p w:rsidR="00152932" w:rsidRPr="00EA6851" w:rsidRDefault="00152932" w:rsidP="00734A76">
            <w:pPr>
              <w:spacing w:after="60"/>
              <w:jc w:val="center"/>
              <w:rPr>
                <w:b/>
                <w:bCs/>
                <w:i/>
                <w:iCs/>
                <w:sz w:val="18"/>
                <w:szCs w:val="18"/>
                <w:lang w:eastAsia="en-US"/>
              </w:rPr>
            </w:pPr>
            <w:r w:rsidRPr="00EA6851">
              <w:rPr>
                <w:b/>
                <w:bCs/>
                <w:i/>
                <w:iCs/>
                <w:sz w:val="18"/>
                <w:szCs w:val="18"/>
                <w:lang w:eastAsia="en-US"/>
              </w:rPr>
              <w:t>Прогноза</w:t>
            </w:r>
          </w:p>
          <w:p w:rsidR="00152932" w:rsidRPr="00EA6851" w:rsidRDefault="00152932" w:rsidP="00734A76">
            <w:pPr>
              <w:spacing w:after="60"/>
              <w:jc w:val="center"/>
              <w:rPr>
                <w:b/>
                <w:bCs/>
                <w:sz w:val="18"/>
                <w:szCs w:val="18"/>
                <w:lang w:eastAsia="en-US"/>
              </w:rPr>
            </w:pPr>
            <w:r w:rsidRPr="00EA6851">
              <w:rPr>
                <w:b/>
                <w:bCs/>
                <w:i/>
                <w:iCs/>
                <w:sz w:val="18"/>
                <w:szCs w:val="18"/>
                <w:lang w:eastAsia="en-US"/>
              </w:rPr>
              <w:t>2026 г.</w:t>
            </w:r>
          </w:p>
        </w:tc>
      </w:tr>
      <w:tr w:rsidR="00152932" w:rsidRPr="00EA6851" w:rsidTr="00E931D9">
        <w:trPr>
          <w:trHeight w:val="216"/>
        </w:trPr>
        <w:tc>
          <w:tcPr>
            <w:tcW w:w="4160" w:type="dxa"/>
            <w:tcBorders>
              <w:top w:val="single" w:sz="4" w:space="0" w:color="auto"/>
            </w:tcBorders>
            <w:shd w:val="clear" w:color="auto" w:fill="auto"/>
            <w:vAlign w:val="center"/>
          </w:tcPr>
          <w:p w:rsidR="00152932" w:rsidRPr="00EA6851" w:rsidRDefault="00152932" w:rsidP="00734A76">
            <w:pPr>
              <w:spacing w:after="60"/>
              <w:rPr>
                <w:sz w:val="18"/>
                <w:szCs w:val="18"/>
                <w:lang w:eastAsia="en-US"/>
              </w:rPr>
            </w:pPr>
            <w:r w:rsidRPr="00EA6851">
              <w:rPr>
                <w:sz w:val="18"/>
                <w:szCs w:val="18"/>
                <w:lang w:eastAsia="en-US"/>
              </w:rPr>
              <w:t xml:space="preserve">1. </w:t>
            </w:r>
            <w:r w:rsidRPr="00EA6851">
              <w:rPr>
                <w:sz w:val="18"/>
                <w:szCs w:val="18"/>
              </w:rPr>
              <w:t>Проучване, реставрация и консервация на (обекти от местно, национално и световно значение) недвижимото културно наследство</w:t>
            </w:r>
          </w:p>
        </w:tc>
        <w:tc>
          <w:tcPr>
            <w:tcW w:w="970" w:type="dxa"/>
            <w:tcBorders>
              <w:top w:val="single" w:sz="4" w:space="0" w:color="auto"/>
            </w:tcBorders>
            <w:shd w:val="clear" w:color="auto" w:fill="F2F2F2"/>
            <w:vAlign w:val="center"/>
          </w:tcPr>
          <w:p w:rsidR="00152932" w:rsidRPr="00EA6851" w:rsidRDefault="00152932" w:rsidP="00734A76">
            <w:pPr>
              <w:spacing w:after="60"/>
              <w:jc w:val="center"/>
              <w:rPr>
                <w:sz w:val="18"/>
                <w:szCs w:val="18"/>
                <w:lang w:eastAsia="en-US"/>
              </w:rPr>
            </w:pPr>
            <w:r w:rsidRPr="00EA6851">
              <w:rPr>
                <w:sz w:val="18"/>
                <w:szCs w:val="18"/>
                <w:lang w:eastAsia="en-US"/>
              </w:rPr>
              <w:t>Брой</w:t>
            </w:r>
          </w:p>
        </w:tc>
        <w:tc>
          <w:tcPr>
            <w:tcW w:w="1168" w:type="dxa"/>
            <w:tcBorders>
              <w:top w:val="single" w:sz="4" w:space="0" w:color="auto"/>
            </w:tcBorders>
            <w:shd w:val="clear" w:color="auto" w:fill="auto"/>
            <w:vAlign w:val="center"/>
          </w:tcPr>
          <w:p w:rsidR="00152932" w:rsidRPr="00EA6851" w:rsidRDefault="00152932" w:rsidP="00734A76">
            <w:pPr>
              <w:spacing w:after="60"/>
              <w:jc w:val="center"/>
              <w:rPr>
                <w:sz w:val="18"/>
                <w:szCs w:val="18"/>
                <w:lang w:eastAsia="en-US"/>
              </w:rPr>
            </w:pPr>
            <w:r w:rsidRPr="00EA6851">
              <w:rPr>
                <w:color w:val="000000"/>
                <w:sz w:val="18"/>
                <w:szCs w:val="18"/>
                <w:lang w:eastAsia="en-US"/>
              </w:rPr>
              <w:t>155</w:t>
            </w:r>
          </w:p>
        </w:tc>
        <w:tc>
          <w:tcPr>
            <w:tcW w:w="1170" w:type="dxa"/>
            <w:tcBorders>
              <w:top w:val="single" w:sz="4" w:space="0" w:color="auto"/>
            </w:tcBorders>
            <w:shd w:val="clear" w:color="auto" w:fill="auto"/>
            <w:vAlign w:val="center"/>
          </w:tcPr>
          <w:p w:rsidR="00152932" w:rsidRPr="00EA6851" w:rsidRDefault="00152932" w:rsidP="00734A76">
            <w:pPr>
              <w:spacing w:after="60"/>
              <w:jc w:val="center"/>
              <w:rPr>
                <w:color w:val="000000"/>
                <w:sz w:val="18"/>
                <w:szCs w:val="18"/>
                <w:lang w:eastAsia="en-US"/>
              </w:rPr>
            </w:pPr>
            <w:r w:rsidRPr="00EA6851">
              <w:rPr>
                <w:color w:val="000000"/>
                <w:sz w:val="18"/>
                <w:szCs w:val="18"/>
                <w:lang w:eastAsia="en-US"/>
              </w:rPr>
              <w:t>160</w:t>
            </w:r>
          </w:p>
        </w:tc>
        <w:tc>
          <w:tcPr>
            <w:tcW w:w="1080" w:type="dxa"/>
            <w:tcBorders>
              <w:top w:val="single" w:sz="4" w:space="0" w:color="auto"/>
            </w:tcBorders>
            <w:shd w:val="clear" w:color="auto" w:fill="auto"/>
            <w:vAlign w:val="center"/>
          </w:tcPr>
          <w:p w:rsidR="00152932" w:rsidRPr="00EA6851" w:rsidRDefault="00152932" w:rsidP="00734A76">
            <w:pPr>
              <w:spacing w:after="60"/>
              <w:jc w:val="center"/>
              <w:rPr>
                <w:color w:val="000000"/>
                <w:sz w:val="18"/>
                <w:szCs w:val="18"/>
                <w:lang w:eastAsia="en-US"/>
              </w:rPr>
            </w:pPr>
            <w:r w:rsidRPr="00EA6851">
              <w:rPr>
                <w:color w:val="000000"/>
                <w:sz w:val="18"/>
                <w:szCs w:val="18"/>
                <w:lang w:eastAsia="en-US"/>
              </w:rPr>
              <w:t>160</w:t>
            </w:r>
          </w:p>
        </w:tc>
        <w:tc>
          <w:tcPr>
            <w:tcW w:w="1170" w:type="dxa"/>
            <w:tcBorders>
              <w:top w:val="single" w:sz="4" w:space="0" w:color="auto"/>
            </w:tcBorders>
            <w:shd w:val="clear" w:color="auto" w:fill="auto"/>
            <w:vAlign w:val="center"/>
          </w:tcPr>
          <w:p w:rsidR="00152932" w:rsidRPr="00EA6851" w:rsidRDefault="00C878FF" w:rsidP="00734A76">
            <w:pPr>
              <w:spacing w:after="60"/>
              <w:jc w:val="center"/>
              <w:rPr>
                <w:color w:val="000000"/>
                <w:sz w:val="18"/>
                <w:szCs w:val="18"/>
                <w:lang w:eastAsia="en-US"/>
              </w:rPr>
            </w:pPr>
            <w:r w:rsidRPr="00EA6851">
              <w:rPr>
                <w:color w:val="000000"/>
                <w:sz w:val="18"/>
                <w:szCs w:val="18"/>
                <w:lang w:eastAsia="en-US"/>
              </w:rPr>
              <w:t>160</w:t>
            </w:r>
          </w:p>
        </w:tc>
      </w:tr>
      <w:tr w:rsidR="00152932" w:rsidRPr="00EA6851" w:rsidTr="00E931D9">
        <w:trPr>
          <w:trHeight w:val="216"/>
        </w:trPr>
        <w:tc>
          <w:tcPr>
            <w:tcW w:w="4160" w:type="dxa"/>
            <w:shd w:val="clear" w:color="auto" w:fill="auto"/>
            <w:vAlign w:val="center"/>
          </w:tcPr>
          <w:p w:rsidR="00152932" w:rsidRPr="00EA6851" w:rsidRDefault="00152932" w:rsidP="00734A76">
            <w:pPr>
              <w:spacing w:after="60"/>
              <w:rPr>
                <w:sz w:val="18"/>
                <w:szCs w:val="18"/>
                <w:lang w:eastAsia="en-US"/>
              </w:rPr>
            </w:pPr>
            <w:r w:rsidRPr="00EA6851">
              <w:rPr>
                <w:sz w:val="18"/>
                <w:szCs w:val="18"/>
                <w:lang w:eastAsia="en-US"/>
              </w:rPr>
              <w:t xml:space="preserve">2. </w:t>
            </w:r>
            <w:r w:rsidRPr="00EA6851">
              <w:rPr>
                <w:sz w:val="18"/>
                <w:szCs w:val="18"/>
              </w:rPr>
              <w:t>Създаване на образователни програми в музеи и галерии</w:t>
            </w:r>
          </w:p>
        </w:tc>
        <w:tc>
          <w:tcPr>
            <w:tcW w:w="970" w:type="dxa"/>
            <w:shd w:val="clear" w:color="auto" w:fill="F2F2F2"/>
            <w:vAlign w:val="center"/>
          </w:tcPr>
          <w:p w:rsidR="00152932" w:rsidRPr="00EA6851" w:rsidRDefault="00152932" w:rsidP="00734A76">
            <w:pPr>
              <w:spacing w:after="60"/>
              <w:jc w:val="center"/>
              <w:rPr>
                <w:sz w:val="18"/>
                <w:szCs w:val="18"/>
                <w:lang w:eastAsia="en-US"/>
              </w:rPr>
            </w:pPr>
            <w:r w:rsidRPr="00EA6851">
              <w:rPr>
                <w:sz w:val="18"/>
                <w:szCs w:val="18"/>
                <w:lang w:eastAsia="en-US"/>
              </w:rPr>
              <w:t>Брой</w:t>
            </w:r>
          </w:p>
        </w:tc>
        <w:tc>
          <w:tcPr>
            <w:tcW w:w="1168" w:type="dxa"/>
            <w:shd w:val="clear" w:color="auto" w:fill="auto"/>
            <w:vAlign w:val="center"/>
          </w:tcPr>
          <w:p w:rsidR="00152932" w:rsidRPr="00EA6851" w:rsidRDefault="00152932" w:rsidP="00734A76">
            <w:pPr>
              <w:spacing w:after="60"/>
              <w:jc w:val="center"/>
              <w:rPr>
                <w:sz w:val="18"/>
                <w:szCs w:val="18"/>
                <w:lang w:eastAsia="en-US"/>
              </w:rPr>
            </w:pPr>
            <w:r w:rsidRPr="00EA6851">
              <w:rPr>
                <w:color w:val="000000"/>
                <w:sz w:val="18"/>
                <w:szCs w:val="18"/>
                <w:lang w:eastAsia="en-US"/>
              </w:rPr>
              <w:t>20</w:t>
            </w:r>
          </w:p>
        </w:tc>
        <w:tc>
          <w:tcPr>
            <w:tcW w:w="1170" w:type="dxa"/>
            <w:shd w:val="clear" w:color="auto" w:fill="auto"/>
            <w:vAlign w:val="center"/>
          </w:tcPr>
          <w:p w:rsidR="00152932" w:rsidRPr="00EA6851" w:rsidRDefault="00152932" w:rsidP="00734A76">
            <w:pPr>
              <w:spacing w:after="60"/>
              <w:jc w:val="center"/>
              <w:rPr>
                <w:color w:val="000000"/>
                <w:sz w:val="18"/>
                <w:szCs w:val="18"/>
                <w:lang w:eastAsia="en-US"/>
              </w:rPr>
            </w:pPr>
            <w:r w:rsidRPr="00EA6851">
              <w:rPr>
                <w:color w:val="000000"/>
                <w:sz w:val="18"/>
                <w:szCs w:val="18"/>
                <w:lang w:eastAsia="en-US"/>
              </w:rPr>
              <w:t>23</w:t>
            </w:r>
          </w:p>
        </w:tc>
        <w:tc>
          <w:tcPr>
            <w:tcW w:w="1080" w:type="dxa"/>
            <w:shd w:val="clear" w:color="auto" w:fill="auto"/>
            <w:vAlign w:val="center"/>
          </w:tcPr>
          <w:p w:rsidR="00152932" w:rsidRPr="00EA6851" w:rsidRDefault="00152932" w:rsidP="00734A76">
            <w:pPr>
              <w:spacing w:after="60"/>
              <w:jc w:val="center"/>
              <w:rPr>
                <w:color w:val="000000"/>
                <w:sz w:val="18"/>
                <w:szCs w:val="18"/>
                <w:lang w:eastAsia="en-US"/>
              </w:rPr>
            </w:pPr>
            <w:r w:rsidRPr="00EA6851">
              <w:rPr>
                <w:color w:val="000000"/>
                <w:sz w:val="18"/>
                <w:szCs w:val="18"/>
                <w:lang w:eastAsia="en-US"/>
              </w:rPr>
              <w:t>23</w:t>
            </w:r>
          </w:p>
        </w:tc>
        <w:tc>
          <w:tcPr>
            <w:tcW w:w="1170" w:type="dxa"/>
            <w:shd w:val="clear" w:color="auto" w:fill="auto"/>
            <w:vAlign w:val="center"/>
          </w:tcPr>
          <w:p w:rsidR="00152932" w:rsidRPr="00EA6851" w:rsidRDefault="00C878FF" w:rsidP="00734A76">
            <w:pPr>
              <w:spacing w:after="60"/>
              <w:jc w:val="center"/>
              <w:rPr>
                <w:color w:val="000000"/>
                <w:sz w:val="18"/>
                <w:szCs w:val="18"/>
                <w:lang w:eastAsia="en-US"/>
              </w:rPr>
            </w:pPr>
            <w:r w:rsidRPr="00EA6851">
              <w:rPr>
                <w:color w:val="000000"/>
                <w:sz w:val="18"/>
                <w:szCs w:val="18"/>
                <w:lang w:eastAsia="en-US"/>
              </w:rPr>
              <w:t>23</w:t>
            </w:r>
          </w:p>
        </w:tc>
      </w:tr>
      <w:tr w:rsidR="001E120D" w:rsidRPr="00EA6851" w:rsidTr="00E931D9">
        <w:trPr>
          <w:trHeight w:val="216"/>
        </w:trPr>
        <w:tc>
          <w:tcPr>
            <w:tcW w:w="4160" w:type="dxa"/>
            <w:shd w:val="clear" w:color="auto" w:fill="auto"/>
          </w:tcPr>
          <w:p w:rsidR="001E120D" w:rsidRPr="00EA6851" w:rsidRDefault="001E120D" w:rsidP="001E120D">
            <w:pPr>
              <w:spacing w:after="60"/>
              <w:rPr>
                <w:sz w:val="18"/>
                <w:szCs w:val="18"/>
                <w:lang w:eastAsia="en-US"/>
              </w:rPr>
            </w:pPr>
            <w:r w:rsidRPr="00EA6851">
              <w:rPr>
                <w:sz w:val="18"/>
                <w:szCs w:val="18"/>
                <w:lang w:eastAsia="en-US"/>
              </w:rPr>
              <w:t xml:space="preserve">3. </w:t>
            </w:r>
            <w:r w:rsidRPr="00EA6851">
              <w:rPr>
                <w:sz w:val="18"/>
                <w:szCs w:val="18"/>
              </w:rPr>
              <w:t>Дигитализация на недвижими културни ценности (НКЦ) и документални архиви, създаване на регистри и бази данни - Национален регистър на недвижими културни ценности</w:t>
            </w:r>
          </w:p>
        </w:tc>
        <w:tc>
          <w:tcPr>
            <w:tcW w:w="970" w:type="dxa"/>
            <w:shd w:val="clear" w:color="auto" w:fill="F2F2F2"/>
          </w:tcPr>
          <w:p w:rsidR="001E120D" w:rsidRPr="00EA6851" w:rsidRDefault="001E120D" w:rsidP="001E120D">
            <w:pPr>
              <w:spacing w:after="60"/>
              <w:jc w:val="center"/>
              <w:rPr>
                <w:sz w:val="18"/>
                <w:szCs w:val="18"/>
                <w:lang w:eastAsia="en-US"/>
              </w:rPr>
            </w:pPr>
            <w:r w:rsidRPr="00EA6851">
              <w:rPr>
                <w:sz w:val="18"/>
                <w:szCs w:val="18"/>
                <w:lang w:eastAsia="en-US"/>
              </w:rPr>
              <w:t>Брой</w:t>
            </w:r>
          </w:p>
        </w:tc>
        <w:tc>
          <w:tcPr>
            <w:tcW w:w="1168" w:type="dxa"/>
            <w:shd w:val="clear" w:color="auto" w:fill="auto"/>
          </w:tcPr>
          <w:p w:rsidR="001E120D" w:rsidRPr="00EA6851" w:rsidRDefault="001E120D" w:rsidP="001E120D">
            <w:pPr>
              <w:spacing w:after="60"/>
              <w:jc w:val="center"/>
              <w:rPr>
                <w:sz w:val="18"/>
                <w:szCs w:val="18"/>
                <w:lang w:eastAsia="en-US"/>
              </w:rPr>
            </w:pPr>
            <w:r w:rsidRPr="00EA6851">
              <w:rPr>
                <w:sz w:val="18"/>
                <w:szCs w:val="18"/>
                <w:lang w:eastAsia="en-US"/>
              </w:rPr>
              <w:t>Дигитали</w:t>
            </w:r>
            <w:r w:rsidR="008E5D5A" w:rsidRPr="00EA6851">
              <w:rPr>
                <w:sz w:val="18"/>
                <w:szCs w:val="18"/>
                <w:lang w:eastAsia="en-US"/>
              </w:rPr>
              <w:t>-</w:t>
            </w:r>
            <w:r w:rsidRPr="00EA6851">
              <w:rPr>
                <w:sz w:val="18"/>
                <w:szCs w:val="18"/>
                <w:lang w:eastAsia="en-US"/>
              </w:rPr>
              <w:t>зация на 4000 досиета на архивния фонд на НКЦ с категория ансамблово значение и за сведение ансамблово</w:t>
            </w:r>
          </w:p>
        </w:tc>
        <w:tc>
          <w:tcPr>
            <w:tcW w:w="1170" w:type="dxa"/>
            <w:shd w:val="clear" w:color="auto" w:fill="auto"/>
          </w:tcPr>
          <w:p w:rsidR="001E120D" w:rsidRPr="00EA6851" w:rsidRDefault="001E120D" w:rsidP="001E120D">
            <w:pPr>
              <w:spacing w:after="60"/>
              <w:jc w:val="center"/>
              <w:rPr>
                <w:color w:val="000000"/>
                <w:sz w:val="18"/>
                <w:szCs w:val="18"/>
                <w:lang w:eastAsia="en-US"/>
              </w:rPr>
            </w:pPr>
            <w:r w:rsidRPr="00EA6851">
              <w:rPr>
                <w:sz w:val="18"/>
                <w:szCs w:val="18"/>
                <w:lang w:eastAsia="en-US"/>
              </w:rPr>
              <w:t>Дигитали</w:t>
            </w:r>
            <w:r w:rsidR="008E5D5A" w:rsidRPr="00EA6851">
              <w:rPr>
                <w:sz w:val="18"/>
                <w:szCs w:val="18"/>
                <w:lang w:eastAsia="en-US"/>
              </w:rPr>
              <w:t>-</w:t>
            </w:r>
            <w:r w:rsidRPr="00EA6851">
              <w:rPr>
                <w:sz w:val="18"/>
                <w:szCs w:val="18"/>
                <w:lang w:eastAsia="en-US"/>
              </w:rPr>
              <w:t>зация на 2000 досиета на архивния фонд на НКЦ</w:t>
            </w:r>
            <w:r w:rsidRPr="00EA6851" w:rsidDel="00F5557A">
              <w:rPr>
                <w:sz w:val="18"/>
                <w:szCs w:val="18"/>
              </w:rPr>
              <w:t xml:space="preserve"> </w:t>
            </w:r>
          </w:p>
        </w:tc>
        <w:tc>
          <w:tcPr>
            <w:tcW w:w="1080" w:type="dxa"/>
            <w:shd w:val="clear" w:color="auto" w:fill="auto"/>
          </w:tcPr>
          <w:p w:rsidR="001E120D" w:rsidRPr="00EA6851" w:rsidRDefault="001E120D" w:rsidP="001E120D">
            <w:pPr>
              <w:spacing w:after="60"/>
              <w:jc w:val="center"/>
              <w:rPr>
                <w:color w:val="000000"/>
                <w:sz w:val="18"/>
                <w:szCs w:val="18"/>
                <w:lang w:eastAsia="en-US"/>
              </w:rPr>
            </w:pPr>
            <w:r w:rsidRPr="00EA6851">
              <w:rPr>
                <w:sz w:val="18"/>
                <w:szCs w:val="18"/>
                <w:lang w:eastAsia="en-US"/>
              </w:rPr>
              <w:t>Дигитали</w:t>
            </w:r>
            <w:r w:rsidR="008E5D5A" w:rsidRPr="00EA6851">
              <w:rPr>
                <w:sz w:val="18"/>
                <w:szCs w:val="18"/>
                <w:lang w:eastAsia="en-US"/>
              </w:rPr>
              <w:t>-</w:t>
            </w:r>
            <w:r w:rsidRPr="00EA6851">
              <w:rPr>
                <w:sz w:val="18"/>
                <w:szCs w:val="18"/>
                <w:lang w:eastAsia="en-US"/>
              </w:rPr>
              <w:t>зация на 3000 досиета на архивния фонд на НКЦ</w:t>
            </w:r>
          </w:p>
        </w:tc>
        <w:tc>
          <w:tcPr>
            <w:tcW w:w="1170" w:type="dxa"/>
            <w:shd w:val="clear" w:color="auto" w:fill="auto"/>
          </w:tcPr>
          <w:p w:rsidR="001E120D" w:rsidRPr="00EA6851" w:rsidRDefault="001E120D" w:rsidP="001E120D">
            <w:pPr>
              <w:spacing w:after="60"/>
              <w:jc w:val="center"/>
              <w:rPr>
                <w:color w:val="000000"/>
                <w:sz w:val="18"/>
                <w:szCs w:val="18"/>
                <w:lang w:eastAsia="en-US"/>
              </w:rPr>
            </w:pPr>
            <w:r w:rsidRPr="00EA6851">
              <w:rPr>
                <w:sz w:val="18"/>
                <w:szCs w:val="18"/>
              </w:rPr>
              <w:t>Цялостна дигитализа</w:t>
            </w:r>
            <w:r w:rsidR="008E5D5A" w:rsidRPr="00EA6851">
              <w:rPr>
                <w:sz w:val="18"/>
                <w:szCs w:val="18"/>
              </w:rPr>
              <w:t>-</w:t>
            </w:r>
            <w:r w:rsidRPr="00EA6851">
              <w:rPr>
                <w:sz w:val="18"/>
                <w:szCs w:val="18"/>
              </w:rPr>
              <w:t>ция</w:t>
            </w:r>
          </w:p>
        </w:tc>
      </w:tr>
      <w:tr w:rsidR="001E120D" w:rsidRPr="00EA6851" w:rsidTr="00E931D9">
        <w:trPr>
          <w:trHeight w:val="216"/>
        </w:trPr>
        <w:tc>
          <w:tcPr>
            <w:tcW w:w="4160" w:type="dxa"/>
            <w:shd w:val="clear" w:color="auto" w:fill="auto"/>
            <w:vAlign w:val="center"/>
          </w:tcPr>
          <w:p w:rsidR="001E120D" w:rsidRPr="00EA6851" w:rsidRDefault="001E120D" w:rsidP="001E120D">
            <w:pPr>
              <w:spacing w:after="60"/>
              <w:rPr>
                <w:sz w:val="18"/>
                <w:szCs w:val="18"/>
                <w:lang w:eastAsia="en-US"/>
              </w:rPr>
            </w:pPr>
            <w:r w:rsidRPr="00EA6851">
              <w:rPr>
                <w:sz w:val="18"/>
                <w:szCs w:val="18"/>
              </w:rPr>
              <w:t>4. Подкрепени проекти в областта на музейното дело и визуалните изкуства</w:t>
            </w:r>
          </w:p>
        </w:tc>
        <w:tc>
          <w:tcPr>
            <w:tcW w:w="970" w:type="dxa"/>
            <w:shd w:val="clear" w:color="auto" w:fill="F2F2F2"/>
            <w:vAlign w:val="center"/>
          </w:tcPr>
          <w:p w:rsidR="001E120D" w:rsidRPr="00EA6851" w:rsidRDefault="001E120D" w:rsidP="001E120D">
            <w:pPr>
              <w:spacing w:after="60"/>
              <w:jc w:val="center"/>
              <w:rPr>
                <w:sz w:val="18"/>
                <w:szCs w:val="18"/>
                <w:lang w:eastAsia="en-US"/>
              </w:rPr>
            </w:pPr>
            <w:r w:rsidRPr="00EA6851">
              <w:rPr>
                <w:sz w:val="18"/>
                <w:szCs w:val="18"/>
                <w:lang w:eastAsia="en-US"/>
              </w:rPr>
              <w:t>Брой</w:t>
            </w:r>
          </w:p>
        </w:tc>
        <w:tc>
          <w:tcPr>
            <w:tcW w:w="1168" w:type="dxa"/>
            <w:shd w:val="clear" w:color="auto" w:fill="auto"/>
            <w:vAlign w:val="center"/>
          </w:tcPr>
          <w:p w:rsidR="001E120D" w:rsidRPr="00EA6851" w:rsidRDefault="001E120D" w:rsidP="001E120D">
            <w:pPr>
              <w:spacing w:after="60"/>
              <w:jc w:val="center"/>
              <w:rPr>
                <w:sz w:val="18"/>
                <w:szCs w:val="18"/>
                <w:lang w:eastAsia="en-US"/>
              </w:rPr>
            </w:pPr>
            <w:r w:rsidRPr="00EA6851">
              <w:rPr>
                <w:sz w:val="18"/>
                <w:szCs w:val="18"/>
                <w:lang w:eastAsia="en-US"/>
              </w:rPr>
              <w:t>82</w:t>
            </w:r>
          </w:p>
        </w:tc>
        <w:tc>
          <w:tcPr>
            <w:tcW w:w="1170" w:type="dxa"/>
            <w:shd w:val="clear" w:color="auto" w:fill="auto"/>
            <w:vAlign w:val="center"/>
          </w:tcPr>
          <w:p w:rsidR="001E120D" w:rsidRPr="00EA6851" w:rsidRDefault="001E120D" w:rsidP="001E120D">
            <w:pPr>
              <w:spacing w:after="60"/>
              <w:jc w:val="center"/>
              <w:rPr>
                <w:color w:val="000000"/>
                <w:sz w:val="18"/>
                <w:szCs w:val="18"/>
                <w:lang w:eastAsia="en-US"/>
              </w:rPr>
            </w:pPr>
            <w:r w:rsidRPr="00EA6851">
              <w:rPr>
                <w:color w:val="000000"/>
                <w:sz w:val="18"/>
                <w:szCs w:val="18"/>
                <w:lang w:eastAsia="en-US"/>
              </w:rPr>
              <w:t>90</w:t>
            </w:r>
          </w:p>
        </w:tc>
        <w:tc>
          <w:tcPr>
            <w:tcW w:w="1080" w:type="dxa"/>
            <w:shd w:val="clear" w:color="auto" w:fill="auto"/>
            <w:vAlign w:val="center"/>
          </w:tcPr>
          <w:p w:rsidR="001E120D" w:rsidRPr="00EA6851" w:rsidRDefault="001E120D" w:rsidP="001E120D">
            <w:pPr>
              <w:spacing w:after="60"/>
              <w:jc w:val="center"/>
              <w:rPr>
                <w:color w:val="000000"/>
                <w:sz w:val="18"/>
                <w:szCs w:val="18"/>
                <w:lang w:eastAsia="en-US"/>
              </w:rPr>
            </w:pPr>
            <w:r w:rsidRPr="00EA6851">
              <w:rPr>
                <w:color w:val="000000"/>
                <w:sz w:val="18"/>
                <w:szCs w:val="18"/>
                <w:lang w:eastAsia="en-US"/>
              </w:rPr>
              <w:t>90</w:t>
            </w:r>
          </w:p>
        </w:tc>
        <w:tc>
          <w:tcPr>
            <w:tcW w:w="1170" w:type="dxa"/>
            <w:shd w:val="clear" w:color="auto" w:fill="auto"/>
            <w:vAlign w:val="center"/>
          </w:tcPr>
          <w:p w:rsidR="001E120D" w:rsidRPr="00EA6851" w:rsidRDefault="001E120D" w:rsidP="001E120D">
            <w:pPr>
              <w:spacing w:after="60"/>
              <w:jc w:val="center"/>
              <w:rPr>
                <w:color w:val="000000"/>
                <w:sz w:val="18"/>
                <w:szCs w:val="18"/>
                <w:lang w:eastAsia="en-US"/>
              </w:rPr>
            </w:pPr>
            <w:r w:rsidRPr="00EA6851">
              <w:rPr>
                <w:color w:val="000000"/>
                <w:sz w:val="18"/>
                <w:szCs w:val="18"/>
                <w:lang w:eastAsia="en-US"/>
              </w:rPr>
              <w:t>90</w:t>
            </w:r>
          </w:p>
        </w:tc>
      </w:tr>
      <w:tr w:rsidR="001E120D" w:rsidRPr="00EA6851" w:rsidTr="00E931D9">
        <w:trPr>
          <w:trHeight w:val="216"/>
        </w:trPr>
        <w:tc>
          <w:tcPr>
            <w:tcW w:w="4160" w:type="dxa"/>
            <w:shd w:val="clear" w:color="auto" w:fill="auto"/>
            <w:vAlign w:val="center"/>
          </w:tcPr>
          <w:p w:rsidR="001E120D" w:rsidRPr="00EA6851" w:rsidRDefault="001E120D" w:rsidP="001E120D">
            <w:pPr>
              <w:spacing w:after="60"/>
              <w:rPr>
                <w:sz w:val="18"/>
                <w:szCs w:val="18"/>
              </w:rPr>
            </w:pPr>
            <w:r w:rsidRPr="00EA6851">
              <w:rPr>
                <w:sz w:val="18"/>
                <w:szCs w:val="18"/>
              </w:rPr>
              <w:t>5. Брой обекти с предоставен траен статут на НКЦ и определени предписания за опазване чрез изпълнение на ежегодни териториални програми за актуализация на регистъра на НКЦ</w:t>
            </w:r>
          </w:p>
        </w:tc>
        <w:tc>
          <w:tcPr>
            <w:tcW w:w="970" w:type="dxa"/>
            <w:shd w:val="clear" w:color="auto" w:fill="F2F2F2"/>
            <w:vAlign w:val="center"/>
          </w:tcPr>
          <w:p w:rsidR="001E120D" w:rsidRPr="00EA6851" w:rsidRDefault="001E120D" w:rsidP="001E120D">
            <w:pPr>
              <w:spacing w:after="60"/>
              <w:jc w:val="center"/>
              <w:rPr>
                <w:sz w:val="18"/>
                <w:szCs w:val="18"/>
                <w:lang w:eastAsia="en-US"/>
              </w:rPr>
            </w:pPr>
            <w:r w:rsidRPr="00EA6851">
              <w:rPr>
                <w:sz w:val="18"/>
                <w:szCs w:val="18"/>
                <w:lang w:eastAsia="en-US"/>
              </w:rPr>
              <w:t>Брой</w:t>
            </w:r>
          </w:p>
        </w:tc>
        <w:tc>
          <w:tcPr>
            <w:tcW w:w="1168" w:type="dxa"/>
            <w:shd w:val="clear" w:color="auto" w:fill="auto"/>
            <w:vAlign w:val="center"/>
          </w:tcPr>
          <w:p w:rsidR="001E120D" w:rsidRPr="00EA6851" w:rsidRDefault="001E120D" w:rsidP="001E120D">
            <w:pPr>
              <w:spacing w:after="60"/>
              <w:jc w:val="center"/>
              <w:rPr>
                <w:sz w:val="18"/>
                <w:szCs w:val="18"/>
                <w:lang w:eastAsia="en-US"/>
              </w:rPr>
            </w:pPr>
            <w:r w:rsidRPr="00EA6851">
              <w:rPr>
                <w:color w:val="000000"/>
                <w:sz w:val="18"/>
                <w:szCs w:val="18"/>
                <w:lang w:eastAsia="en-US"/>
              </w:rPr>
              <w:t xml:space="preserve">5 000 и </w:t>
            </w:r>
            <w:r w:rsidR="0092027F" w:rsidRPr="00EA6851">
              <w:rPr>
                <w:color w:val="000000"/>
                <w:sz w:val="18"/>
                <w:szCs w:val="18"/>
                <w:lang w:eastAsia="en-US"/>
              </w:rPr>
              <w:t>5</w:t>
            </w:r>
            <w:r w:rsidRPr="00EA6851">
              <w:rPr>
                <w:color w:val="000000"/>
                <w:sz w:val="18"/>
                <w:szCs w:val="18"/>
                <w:lang w:eastAsia="en-US"/>
              </w:rPr>
              <w:t xml:space="preserve"> териториални програми</w:t>
            </w:r>
          </w:p>
        </w:tc>
        <w:tc>
          <w:tcPr>
            <w:tcW w:w="1170" w:type="dxa"/>
            <w:shd w:val="clear" w:color="auto" w:fill="auto"/>
            <w:vAlign w:val="center"/>
          </w:tcPr>
          <w:p w:rsidR="001E120D" w:rsidRPr="00EA6851" w:rsidRDefault="0092027F" w:rsidP="001E120D">
            <w:pPr>
              <w:spacing w:after="60"/>
              <w:jc w:val="center"/>
              <w:rPr>
                <w:color w:val="000000"/>
                <w:sz w:val="18"/>
                <w:szCs w:val="18"/>
                <w:lang w:eastAsia="en-US"/>
              </w:rPr>
            </w:pPr>
            <w:r w:rsidRPr="00EA6851">
              <w:rPr>
                <w:color w:val="000000"/>
                <w:sz w:val="18"/>
                <w:szCs w:val="18"/>
                <w:lang w:eastAsia="en-US"/>
              </w:rPr>
              <w:t>1</w:t>
            </w:r>
            <w:r w:rsidR="001E120D" w:rsidRPr="00EA6851">
              <w:rPr>
                <w:color w:val="000000"/>
                <w:sz w:val="18"/>
                <w:szCs w:val="18"/>
                <w:lang w:eastAsia="en-US"/>
              </w:rPr>
              <w:t xml:space="preserve"> 000 и </w:t>
            </w:r>
            <w:r w:rsidRPr="00EA6851">
              <w:rPr>
                <w:color w:val="000000"/>
                <w:sz w:val="18"/>
                <w:szCs w:val="18"/>
                <w:lang w:eastAsia="en-US"/>
              </w:rPr>
              <w:t>2</w:t>
            </w:r>
            <w:r w:rsidR="00E931D9" w:rsidRPr="00EA6851">
              <w:rPr>
                <w:color w:val="000000"/>
                <w:sz w:val="18"/>
                <w:szCs w:val="18"/>
                <w:lang w:eastAsia="en-US"/>
              </w:rPr>
              <w:t xml:space="preserve"> териториа</w:t>
            </w:r>
            <w:r w:rsidR="001E120D" w:rsidRPr="00EA6851">
              <w:rPr>
                <w:color w:val="000000"/>
                <w:sz w:val="18"/>
                <w:szCs w:val="18"/>
                <w:lang w:eastAsia="en-US"/>
              </w:rPr>
              <w:t>лни програми</w:t>
            </w:r>
          </w:p>
        </w:tc>
        <w:tc>
          <w:tcPr>
            <w:tcW w:w="1080" w:type="dxa"/>
            <w:shd w:val="clear" w:color="auto" w:fill="auto"/>
            <w:vAlign w:val="center"/>
          </w:tcPr>
          <w:p w:rsidR="001E120D" w:rsidRPr="00EA6851" w:rsidRDefault="001E120D" w:rsidP="001E120D">
            <w:pPr>
              <w:spacing w:after="60"/>
              <w:jc w:val="center"/>
              <w:rPr>
                <w:color w:val="000000"/>
                <w:sz w:val="18"/>
                <w:szCs w:val="18"/>
                <w:lang w:eastAsia="en-US"/>
              </w:rPr>
            </w:pPr>
            <w:r w:rsidRPr="00EA6851">
              <w:rPr>
                <w:color w:val="000000"/>
                <w:sz w:val="18"/>
                <w:szCs w:val="18"/>
                <w:lang w:eastAsia="en-US"/>
              </w:rPr>
              <w:t xml:space="preserve">2 000 и </w:t>
            </w:r>
            <w:r w:rsidR="0092027F" w:rsidRPr="00EA6851">
              <w:rPr>
                <w:color w:val="000000"/>
                <w:sz w:val="18"/>
                <w:szCs w:val="18"/>
                <w:lang w:eastAsia="en-US"/>
              </w:rPr>
              <w:t>4</w:t>
            </w:r>
            <w:r w:rsidRPr="00EA6851">
              <w:rPr>
                <w:color w:val="000000"/>
                <w:sz w:val="18"/>
                <w:szCs w:val="18"/>
                <w:lang w:eastAsia="en-US"/>
              </w:rPr>
              <w:t xml:space="preserve"> териториални програми</w:t>
            </w:r>
          </w:p>
        </w:tc>
        <w:tc>
          <w:tcPr>
            <w:tcW w:w="1170" w:type="dxa"/>
            <w:shd w:val="clear" w:color="auto" w:fill="auto"/>
            <w:vAlign w:val="center"/>
          </w:tcPr>
          <w:p w:rsidR="001E120D" w:rsidRPr="00EA6851" w:rsidRDefault="001E120D" w:rsidP="001E120D">
            <w:pPr>
              <w:spacing w:after="60"/>
              <w:jc w:val="center"/>
              <w:rPr>
                <w:color w:val="000000"/>
                <w:sz w:val="18"/>
                <w:szCs w:val="18"/>
                <w:highlight w:val="yellow"/>
                <w:lang w:eastAsia="en-US"/>
              </w:rPr>
            </w:pPr>
            <w:r w:rsidRPr="00EA6851">
              <w:rPr>
                <w:color w:val="000000"/>
                <w:sz w:val="18"/>
                <w:szCs w:val="18"/>
                <w:lang w:eastAsia="en-US"/>
              </w:rPr>
              <w:t>5 000 и 6 териториални програми</w:t>
            </w:r>
          </w:p>
        </w:tc>
      </w:tr>
      <w:tr w:rsidR="001E120D" w:rsidRPr="00EA6851" w:rsidTr="00E931D9">
        <w:trPr>
          <w:trHeight w:val="216"/>
        </w:trPr>
        <w:tc>
          <w:tcPr>
            <w:tcW w:w="4160" w:type="dxa"/>
            <w:shd w:val="clear" w:color="auto" w:fill="auto"/>
          </w:tcPr>
          <w:p w:rsidR="001E120D" w:rsidRPr="00EA6851" w:rsidRDefault="001E120D" w:rsidP="001E120D">
            <w:pPr>
              <w:spacing w:after="60"/>
              <w:rPr>
                <w:sz w:val="18"/>
                <w:szCs w:val="18"/>
                <w:lang w:eastAsia="en-US"/>
              </w:rPr>
            </w:pPr>
            <w:r w:rsidRPr="00EA6851">
              <w:rPr>
                <w:sz w:val="18"/>
                <w:szCs w:val="18"/>
              </w:rPr>
              <w:t>6. Изграждане на 3D държавен дигитален архив на НКЦ (При осигурено съвременно техническо оборудване)</w:t>
            </w:r>
          </w:p>
        </w:tc>
        <w:tc>
          <w:tcPr>
            <w:tcW w:w="970" w:type="dxa"/>
            <w:shd w:val="clear" w:color="auto" w:fill="F2F2F2"/>
          </w:tcPr>
          <w:p w:rsidR="001E120D" w:rsidRPr="00EA6851" w:rsidRDefault="001E120D" w:rsidP="001E120D">
            <w:pPr>
              <w:spacing w:after="60"/>
              <w:jc w:val="center"/>
              <w:rPr>
                <w:sz w:val="18"/>
                <w:szCs w:val="18"/>
                <w:lang w:eastAsia="en-US"/>
              </w:rPr>
            </w:pPr>
            <w:r w:rsidRPr="00EA6851">
              <w:rPr>
                <w:sz w:val="18"/>
                <w:szCs w:val="18"/>
                <w:lang w:eastAsia="en-US"/>
              </w:rPr>
              <w:t>Брой</w:t>
            </w:r>
          </w:p>
        </w:tc>
        <w:tc>
          <w:tcPr>
            <w:tcW w:w="1168" w:type="dxa"/>
            <w:shd w:val="clear" w:color="auto" w:fill="auto"/>
          </w:tcPr>
          <w:p w:rsidR="001E120D" w:rsidRPr="00EA6851" w:rsidRDefault="001E120D" w:rsidP="001E120D">
            <w:pPr>
              <w:spacing w:after="60"/>
              <w:jc w:val="center"/>
              <w:rPr>
                <w:sz w:val="18"/>
                <w:szCs w:val="18"/>
                <w:lang w:eastAsia="en-US"/>
              </w:rPr>
            </w:pPr>
            <w:r w:rsidRPr="00EA6851">
              <w:rPr>
                <w:sz w:val="18"/>
                <w:szCs w:val="18"/>
              </w:rPr>
              <w:t>100 - Изготвени 3D документации на национални недвижими културни ценности</w:t>
            </w:r>
          </w:p>
        </w:tc>
        <w:tc>
          <w:tcPr>
            <w:tcW w:w="1170" w:type="dxa"/>
            <w:shd w:val="clear" w:color="auto" w:fill="auto"/>
          </w:tcPr>
          <w:p w:rsidR="001E120D" w:rsidRPr="00EA6851" w:rsidRDefault="001E120D" w:rsidP="001E120D">
            <w:pPr>
              <w:spacing w:after="60"/>
              <w:jc w:val="center"/>
              <w:rPr>
                <w:color w:val="000000"/>
                <w:sz w:val="18"/>
                <w:szCs w:val="18"/>
                <w:lang w:eastAsia="en-US"/>
              </w:rPr>
            </w:pPr>
            <w:r w:rsidRPr="00EA6851">
              <w:rPr>
                <w:sz w:val="18"/>
                <w:szCs w:val="18"/>
              </w:rPr>
              <w:t>100 - Изготвени 3D документации на национални недвижими културни ценности</w:t>
            </w:r>
          </w:p>
        </w:tc>
        <w:tc>
          <w:tcPr>
            <w:tcW w:w="1080" w:type="dxa"/>
            <w:shd w:val="clear" w:color="auto" w:fill="auto"/>
          </w:tcPr>
          <w:p w:rsidR="001E120D" w:rsidRPr="00EA6851" w:rsidRDefault="001E120D" w:rsidP="00E931D9">
            <w:pPr>
              <w:spacing w:after="60"/>
              <w:ind w:left="-105" w:firstLine="105"/>
              <w:jc w:val="center"/>
              <w:rPr>
                <w:color w:val="000000"/>
                <w:sz w:val="18"/>
                <w:szCs w:val="18"/>
                <w:lang w:eastAsia="en-US"/>
              </w:rPr>
            </w:pPr>
            <w:r w:rsidRPr="00EA6851">
              <w:rPr>
                <w:sz w:val="18"/>
                <w:szCs w:val="18"/>
              </w:rPr>
              <w:t>100 - Изготвени 3D документации на национални недвижими културни ценности</w:t>
            </w:r>
          </w:p>
        </w:tc>
        <w:tc>
          <w:tcPr>
            <w:tcW w:w="1170" w:type="dxa"/>
            <w:shd w:val="clear" w:color="auto" w:fill="auto"/>
          </w:tcPr>
          <w:p w:rsidR="001E120D" w:rsidRPr="00EA6851" w:rsidRDefault="001E120D" w:rsidP="001E120D">
            <w:pPr>
              <w:spacing w:after="60"/>
              <w:jc w:val="center"/>
              <w:rPr>
                <w:color w:val="000000"/>
                <w:sz w:val="18"/>
                <w:szCs w:val="18"/>
                <w:highlight w:val="yellow"/>
                <w:lang w:eastAsia="en-US"/>
              </w:rPr>
            </w:pPr>
            <w:r w:rsidRPr="00EA6851">
              <w:rPr>
                <w:sz w:val="18"/>
                <w:szCs w:val="18"/>
              </w:rPr>
              <w:t>100 - Изготвени 3D документации на национални недвижими културни ценности</w:t>
            </w:r>
          </w:p>
        </w:tc>
      </w:tr>
    </w:tbl>
    <w:p w:rsidR="00152932" w:rsidRPr="00EA6851" w:rsidRDefault="00152932" w:rsidP="00152932"/>
    <w:p w:rsidR="00914161" w:rsidRPr="00EA6851" w:rsidRDefault="00152932" w:rsidP="00152932">
      <w:r w:rsidRPr="00EA6851">
        <w:t xml:space="preserve">В областта на опазването и представянето на </w:t>
      </w:r>
      <w:r w:rsidRPr="00EA6851">
        <w:rPr>
          <w:i/>
        </w:rPr>
        <w:t xml:space="preserve">движимото културно наследство на регионално ниво </w:t>
      </w:r>
      <w:r w:rsidRPr="00EA6851">
        <w:t xml:space="preserve">продължава финансирането на музеите и художествените галерии с регионален характер като </w:t>
      </w:r>
      <w:r w:rsidRPr="00EA6851">
        <w:rPr>
          <w:i/>
        </w:rPr>
        <w:t>делегирана от държавата дейност</w:t>
      </w:r>
      <w:r w:rsidRPr="00EA6851">
        <w:t xml:space="preserve"> по стандарти</w:t>
      </w:r>
      <w:r w:rsidR="00914161" w:rsidRPr="00EA6851">
        <w:t>, с цел постигане на по-добри резултати за популяризирането на българското културно наследство и за опазване на националната ни идентичност.</w:t>
      </w:r>
    </w:p>
    <w:p w:rsidR="00152932" w:rsidRPr="00EA6851" w:rsidRDefault="00152932" w:rsidP="00152932">
      <w:pPr>
        <w:pStyle w:val="Heading4"/>
        <w:spacing w:before="0" w:after="200"/>
      </w:pPr>
      <w:r w:rsidRPr="00EA6851">
        <w:t>Политика в областта на създаване и популяризиране на съвременно изкуство в страната и чужбина и достъп до качествено художествено образование</w:t>
      </w:r>
    </w:p>
    <w:p w:rsidR="00152932" w:rsidRPr="00EA6851" w:rsidRDefault="00152932" w:rsidP="00152932">
      <w:r w:rsidRPr="00EA6851">
        <w:t>Основните приоритети на политиката в тази област са оптимизиране на действащата система на финансиране в мрежата на сценичните изкуства и повишаване на ефективността на маркетинга и атрактивността на предлаганите културни продукти, разширяване на равнопоставения достъп до култура и културно наследство, опазване и социализиране на културното наследство и стимулиране на обвързването му с туристическите продукти, привличане на проектно финансиране в областта на културата по различни програми и донори, привличане на средства от европейските програми и двустранни спогодби за подкрепа на културата, разширяване на гамата на предлаганите културни продукти и услуги в чужбина и утвърждаване на България като дестинация за осъществяване на международни културни проекти.</w:t>
      </w:r>
    </w:p>
    <w:p w:rsidR="00152932" w:rsidRPr="00EA6851" w:rsidRDefault="00152932" w:rsidP="00152932">
      <w:r w:rsidRPr="00EA6851">
        <w:t xml:space="preserve">В областта на </w:t>
      </w:r>
      <w:r w:rsidRPr="00EA6851">
        <w:rPr>
          <w:i/>
        </w:rPr>
        <w:t>филмовото изкуство</w:t>
      </w:r>
      <w:r w:rsidRPr="00EA6851">
        <w:t xml:space="preserve"> ще продължи подкрепата за създаването на нови български филми. Националното финансиране предвижда увеличаване на българските филми – копродукция с европейски страни. Разширяването на интеграцията с европейските кинематографии ще допринесе за издигане на художественото и техническо качество на филмите и ще разшири възможностите за разпространение на българското кино на международния пазар.</w:t>
      </w:r>
      <w:r w:rsidR="00914161" w:rsidRPr="00EA6851">
        <w:t xml:space="preserve"> За държавно подпомагане на филмовата индустрия са предвидени допълнително средства в размер на 9,3 млн. лв. на основание Закона за филмовата индустрия.</w:t>
      </w:r>
    </w:p>
    <w:p w:rsidR="00152932" w:rsidRPr="00EA6851" w:rsidRDefault="00152932" w:rsidP="00152932">
      <w:r w:rsidRPr="00EA6851">
        <w:t xml:space="preserve">В областта на </w:t>
      </w:r>
      <w:r w:rsidRPr="00EA6851">
        <w:rPr>
          <w:i/>
        </w:rPr>
        <w:t>сценичните изкуства (театри, опери, оперно-филхармонични дружества, оркестри и ансамбли)</w:t>
      </w:r>
      <w:r w:rsidRPr="00EA6851">
        <w:t xml:space="preserve"> ще продължи подобряване на управлението, осигуряване на по-голямо разнообразие от представления и на по-широк достъп на зрителите до художествения продукт, както и създаване на трайна уредба на единните разходни стандарти за финансиране на държавните културни институти, осъществяващи дейности в областта на сценичните изкуства.</w:t>
      </w:r>
    </w:p>
    <w:p w:rsidR="00914161" w:rsidRPr="00EA6851" w:rsidRDefault="00914161" w:rsidP="00914161">
      <w:r w:rsidRPr="00EA6851">
        <w:t>Осигурени са допълнително средства в размер на 50,1 млн. лв. за държавните културни институти в областта на сценичните изкуства за осъществяване на дейности в областта на сценичните изкуства с базов компонент за един лев реализирани приходи от брой продадени билети от собствен</w:t>
      </w:r>
      <w:r w:rsidR="00A3729C" w:rsidRPr="00EA6851">
        <w:t>и театрални/музикални продукти.</w:t>
      </w:r>
    </w:p>
    <w:p w:rsidR="00313BCB" w:rsidRPr="00313BCB" w:rsidRDefault="00313BCB" w:rsidP="00313BCB">
      <w:r w:rsidRPr="00313BCB">
        <w:t>Осигурени са допълнително средства в размер на 28,5 млн. лв. за допълнително целево подпомагане от държавния бюджет на държавни и общински културни организации, от тях: за финансиране на културната дейност, осъществявана от държавни и общински културни организации в областта на културното и аудиовизуално наследство и библиотечното дело, в музеите, художествените галерии и библиотеките, и в читалищата, както и за реализиране на културни програми в чужбина, планове за управление и опазване на недвижимо културно наследство, по стандарти за финансиране, включително за възнаграждения на персонала въз основа на приети от Министерския съвет стандарти за финансиране и натурални показатели за съответната дейност;  за финансиране на проекти с приоритетен характер за развитие на държавни и общински културни организации и структури с цел създаване и развитие на културни продукти − свързани с разпространение и опазване на културни ценности в областта на театъра, музиката, киното, аудиовизията, литературата, художествения превод, танца, цирка, пластичните изкуства, архитектурата, дизайна, фолклора, включително опазването на културно-историческото наследство.</w:t>
      </w:r>
    </w:p>
    <w:p w:rsidR="00152932" w:rsidRPr="00EA6851" w:rsidRDefault="00152932" w:rsidP="00152932">
      <w:r w:rsidRPr="00EA6851">
        <w:t xml:space="preserve">В областта на </w:t>
      </w:r>
      <w:r w:rsidRPr="00EA6851">
        <w:rPr>
          <w:i/>
        </w:rPr>
        <w:t>литературното наследство</w:t>
      </w:r>
      <w:r w:rsidRPr="00EA6851">
        <w:t xml:space="preserve"> основните приоритети ще се насочат към подкрепа на книгоиздаването чрез подпомагане на издателската дейност и популяризиране на българската книга по света и създаване на условия за развитието и утвърждаването на библиотеките като съвременни центрове, осигуряващи ефективно библиотечно информационно обслужване на широк кръг потребители. Националната библиотека „Св. св. Кирил и Методий“ ще продължи финансирането на дейностите си по стандарти, прилагайки системата на делегиран бюджет.</w:t>
      </w:r>
    </w:p>
    <w:p w:rsidR="00152932" w:rsidRPr="00EA6851" w:rsidRDefault="00152932" w:rsidP="00152932">
      <w:r w:rsidRPr="00EA6851">
        <w:t>Утвърждаването на положителния образ на България в чужбина посредством постиженията на националните изкуства и култура се постига чрез дейността на българските културни институти в чужбина. Акцент в тяхната дейност са страните от Европейския съюз.</w:t>
      </w:r>
    </w:p>
    <w:p w:rsidR="00152932" w:rsidRPr="00EA6851" w:rsidRDefault="00152932" w:rsidP="00152932">
      <w:r w:rsidRPr="00EA6851">
        <w:t xml:space="preserve">Отговорни за провеждане на политиката са държавните културни институти в областта на сценичните изкуства </w:t>
      </w:r>
      <w:r w:rsidR="007C6782" w:rsidRPr="00EA6851">
        <w:t xml:space="preserve">- </w:t>
      </w:r>
      <w:r w:rsidRPr="00EA6851">
        <w:t>театри, опери, оперно-филхармонични дружества, оркестри и ансамбли, Изпълнителна агенция „Национален филмов център“, българските културни институти в чужбина, Национален фонд „Култура“ и Националната библиотека „Св. св. Кирил и Методий“.</w:t>
      </w:r>
    </w:p>
    <w:p w:rsidR="00152932" w:rsidRPr="00EA6851" w:rsidRDefault="00152932" w:rsidP="00152932">
      <w:pPr>
        <w:rPr>
          <w:b/>
          <w:noProof/>
          <w:sz w:val="20"/>
          <w:szCs w:val="20"/>
        </w:rPr>
      </w:pPr>
      <w:r w:rsidRPr="00EA6851">
        <w:rPr>
          <w:b/>
          <w:noProof/>
          <w:sz w:val="20"/>
          <w:szCs w:val="20"/>
        </w:rPr>
        <w:t>КЛЮЧОВИ ИНДИКАТОРИ ЗА ИЗПЪЛНЕНИЕ И ЦЕЛЕВИ СТОЙНОСТИ</w:t>
      </w:r>
    </w:p>
    <w:tbl>
      <w:tblPr>
        <w:tblW w:w="9567" w:type="dxa"/>
        <w:tblInd w:w="2" w:type="dxa"/>
        <w:tblBorders>
          <w:top w:val="single" w:sz="4" w:space="0" w:color="auto"/>
          <w:bottom w:val="single" w:sz="4" w:space="0" w:color="auto"/>
        </w:tblBorders>
        <w:tblLayout w:type="fixed"/>
        <w:tblLook w:val="04A0" w:firstRow="1" w:lastRow="0" w:firstColumn="1" w:lastColumn="0" w:noHBand="0" w:noVBand="1"/>
      </w:tblPr>
      <w:tblGrid>
        <w:gridCol w:w="4160"/>
        <w:gridCol w:w="970"/>
        <w:gridCol w:w="1104"/>
        <w:gridCol w:w="1102"/>
        <w:gridCol w:w="1093"/>
        <w:gridCol w:w="1138"/>
      </w:tblGrid>
      <w:tr w:rsidR="00152932" w:rsidRPr="00EA6851" w:rsidTr="00FA2E91">
        <w:trPr>
          <w:trHeight w:val="746"/>
          <w:tblHeader/>
        </w:trPr>
        <w:tc>
          <w:tcPr>
            <w:tcW w:w="4160" w:type="dxa"/>
            <w:tcBorders>
              <w:top w:val="single" w:sz="4" w:space="0" w:color="auto"/>
              <w:bottom w:val="nil"/>
            </w:tcBorders>
            <w:shd w:val="clear" w:color="auto" w:fill="auto"/>
            <w:hideMark/>
          </w:tcPr>
          <w:p w:rsidR="00152932" w:rsidRPr="00EA6851" w:rsidRDefault="00152932" w:rsidP="00734A76">
            <w:pPr>
              <w:spacing w:after="60"/>
              <w:jc w:val="center"/>
              <w:rPr>
                <w:b/>
                <w:bCs/>
                <w:i/>
                <w:sz w:val="20"/>
                <w:szCs w:val="20"/>
                <w:lang w:eastAsia="en-US"/>
              </w:rPr>
            </w:pPr>
            <w:r w:rsidRPr="00EA6851">
              <w:rPr>
                <w:b/>
                <w:i/>
                <w:color w:val="000000"/>
                <w:sz w:val="20"/>
                <w:szCs w:val="20"/>
                <w:lang w:eastAsia="en-US"/>
              </w:rPr>
              <w:t>Политика</w:t>
            </w:r>
            <w:r w:rsidRPr="00EA6851">
              <w:rPr>
                <w:b/>
                <w:bCs/>
                <w:i/>
                <w:iCs/>
                <w:sz w:val="18"/>
                <w:szCs w:val="18"/>
                <w:lang w:eastAsia="en-US"/>
              </w:rPr>
              <w:t xml:space="preserve"> в областта на опазване на движимото и недвижимото културно наследство</w:t>
            </w:r>
          </w:p>
        </w:tc>
        <w:tc>
          <w:tcPr>
            <w:tcW w:w="970" w:type="dxa"/>
            <w:vMerge w:val="restart"/>
            <w:tcBorders>
              <w:top w:val="single" w:sz="4" w:space="0" w:color="auto"/>
              <w:bottom w:val="nil"/>
            </w:tcBorders>
            <w:shd w:val="clear" w:color="auto" w:fill="F2F2F2"/>
            <w:vAlign w:val="center"/>
            <w:hideMark/>
          </w:tcPr>
          <w:p w:rsidR="00152932" w:rsidRPr="00EA6851" w:rsidRDefault="00152932" w:rsidP="00734A76">
            <w:pPr>
              <w:spacing w:after="60"/>
              <w:jc w:val="center"/>
              <w:rPr>
                <w:b/>
                <w:bCs/>
                <w:sz w:val="20"/>
                <w:szCs w:val="20"/>
                <w:lang w:eastAsia="en-US"/>
              </w:rPr>
            </w:pPr>
            <w:r w:rsidRPr="00EA6851">
              <w:rPr>
                <w:b/>
                <w:bCs/>
                <w:sz w:val="20"/>
                <w:szCs w:val="20"/>
                <w:lang w:eastAsia="en-US"/>
              </w:rPr>
              <w:t>Мерна единица</w:t>
            </w:r>
          </w:p>
        </w:tc>
        <w:tc>
          <w:tcPr>
            <w:tcW w:w="1104" w:type="dxa"/>
            <w:tcBorders>
              <w:top w:val="single" w:sz="4" w:space="0" w:color="auto"/>
              <w:bottom w:val="single" w:sz="4" w:space="0" w:color="auto"/>
            </w:tcBorders>
            <w:shd w:val="clear" w:color="auto" w:fill="auto"/>
          </w:tcPr>
          <w:p w:rsidR="00152932" w:rsidRPr="00EA6851" w:rsidRDefault="00152932" w:rsidP="00734A76">
            <w:pPr>
              <w:spacing w:after="60"/>
              <w:jc w:val="center"/>
              <w:rPr>
                <w:b/>
                <w:bCs/>
                <w:sz w:val="20"/>
                <w:szCs w:val="20"/>
                <w:lang w:eastAsia="en-US"/>
              </w:rPr>
            </w:pPr>
          </w:p>
        </w:tc>
        <w:tc>
          <w:tcPr>
            <w:tcW w:w="3333" w:type="dxa"/>
            <w:gridSpan w:val="3"/>
            <w:tcBorders>
              <w:top w:val="single" w:sz="4" w:space="0" w:color="auto"/>
              <w:bottom w:val="single" w:sz="4" w:space="0" w:color="auto"/>
            </w:tcBorders>
            <w:shd w:val="clear" w:color="auto" w:fill="auto"/>
          </w:tcPr>
          <w:p w:rsidR="00152932" w:rsidRPr="00EA6851" w:rsidRDefault="00152932" w:rsidP="00734A76">
            <w:pPr>
              <w:spacing w:after="60"/>
              <w:rPr>
                <w:b/>
                <w:bCs/>
                <w:sz w:val="20"/>
                <w:szCs w:val="20"/>
                <w:lang w:eastAsia="en-US"/>
              </w:rPr>
            </w:pPr>
          </w:p>
          <w:p w:rsidR="00152932" w:rsidRPr="00EA6851" w:rsidRDefault="00152932" w:rsidP="00734A76">
            <w:pPr>
              <w:spacing w:after="60"/>
              <w:rPr>
                <w:b/>
                <w:bCs/>
                <w:sz w:val="20"/>
                <w:szCs w:val="20"/>
                <w:lang w:eastAsia="en-US"/>
              </w:rPr>
            </w:pPr>
            <w:r w:rsidRPr="00EA6851">
              <w:rPr>
                <w:b/>
                <w:bCs/>
                <w:sz w:val="20"/>
                <w:szCs w:val="20"/>
                <w:lang w:eastAsia="en-US"/>
              </w:rPr>
              <w:t>Целева стойност</w:t>
            </w:r>
          </w:p>
        </w:tc>
      </w:tr>
      <w:tr w:rsidR="00152932" w:rsidRPr="00EA6851" w:rsidTr="00FA2E91">
        <w:trPr>
          <w:trHeight w:val="64"/>
          <w:tblHeader/>
        </w:trPr>
        <w:tc>
          <w:tcPr>
            <w:tcW w:w="4160" w:type="dxa"/>
            <w:tcBorders>
              <w:top w:val="nil"/>
              <w:bottom w:val="single" w:sz="4" w:space="0" w:color="auto"/>
            </w:tcBorders>
            <w:shd w:val="clear" w:color="auto" w:fill="auto"/>
            <w:hideMark/>
          </w:tcPr>
          <w:p w:rsidR="00152932" w:rsidRPr="00EA6851" w:rsidRDefault="00152932" w:rsidP="00734A76">
            <w:pPr>
              <w:spacing w:after="60"/>
              <w:jc w:val="center"/>
              <w:rPr>
                <w:b/>
                <w:bCs/>
                <w:sz w:val="20"/>
                <w:szCs w:val="20"/>
                <w:lang w:eastAsia="en-US"/>
              </w:rPr>
            </w:pPr>
            <w:r w:rsidRPr="00EA6851">
              <w:rPr>
                <w:b/>
                <w:bCs/>
                <w:sz w:val="20"/>
                <w:szCs w:val="20"/>
                <w:lang w:eastAsia="en-US"/>
              </w:rPr>
              <w:t>Наименование на индикатора</w:t>
            </w:r>
          </w:p>
        </w:tc>
        <w:tc>
          <w:tcPr>
            <w:tcW w:w="970" w:type="dxa"/>
            <w:vMerge/>
            <w:tcBorders>
              <w:top w:val="nil"/>
              <w:bottom w:val="single" w:sz="4" w:space="0" w:color="auto"/>
            </w:tcBorders>
            <w:shd w:val="clear" w:color="auto" w:fill="auto"/>
            <w:vAlign w:val="center"/>
            <w:hideMark/>
          </w:tcPr>
          <w:p w:rsidR="00152932" w:rsidRPr="00EA6851" w:rsidRDefault="00152932" w:rsidP="00734A76">
            <w:pPr>
              <w:spacing w:after="0"/>
              <w:rPr>
                <w:b/>
                <w:bCs/>
                <w:sz w:val="20"/>
                <w:szCs w:val="20"/>
                <w:lang w:eastAsia="en-US"/>
              </w:rPr>
            </w:pPr>
          </w:p>
        </w:tc>
        <w:tc>
          <w:tcPr>
            <w:tcW w:w="1104" w:type="dxa"/>
            <w:tcBorders>
              <w:top w:val="single" w:sz="4" w:space="0" w:color="auto"/>
              <w:bottom w:val="single" w:sz="4" w:space="0" w:color="auto"/>
            </w:tcBorders>
            <w:shd w:val="clear" w:color="auto" w:fill="auto"/>
            <w:hideMark/>
          </w:tcPr>
          <w:p w:rsidR="00152932" w:rsidRPr="00EA6851" w:rsidRDefault="00152932" w:rsidP="00734A76">
            <w:pPr>
              <w:spacing w:after="60"/>
              <w:jc w:val="center"/>
              <w:rPr>
                <w:b/>
                <w:bCs/>
                <w:i/>
                <w:iCs/>
                <w:sz w:val="20"/>
                <w:szCs w:val="20"/>
                <w:lang w:eastAsia="en-US"/>
              </w:rPr>
            </w:pPr>
            <w:r w:rsidRPr="00EA6851">
              <w:rPr>
                <w:b/>
                <w:bCs/>
                <w:i/>
                <w:iCs/>
                <w:sz w:val="20"/>
                <w:szCs w:val="20"/>
                <w:lang w:eastAsia="en-US"/>
              </w:rPr>
              <w:t>Програма 2023 г.</w:t>
            </w:r>
          </w:p>
        </w:tc>
        <w:tc>
          <w:tcPr>
            <w:tcW w:w="1102" w:type="dxa"/>
            <w:tcBorders>
              <w:top w:val="single" w:sz="4" w:space="0" w:color="auto"/>
              <w:bottom w:val="single" w:sz="4" w:space="0" w:color="auto"/>
            </w:tcBorders>
            <w:shd w:val="clear" w:color="auto" w:fill="auto"/>
            <w:hideMark/>
          </w:tcPr>
          <w:p w:rsidR="00152932" w:rsidRPr="00EA6851" w:rsidRDefault="00152932" w:rsidP="00734A76">
            <w:pPr>
              <w:spacing w:after="60"/>
              <w:jc w:val="center"/>
              <w:rPr>
                <w:b/>
                <w:bCs/>
                <w:i/>
                <w:iCs/>
                <w:sz w:val="20"/>
                <w:szCs w:val="20"/>
                <w:lang w:eastAsia="en-US"/>
              </w:rPr>
            </w:pPr>
            <w:r w:rsidRPr="00EA6851">
              <w:rPr>
                <w:b/>
                <w:bCs/>
                <w:i/>
                <w:iCs/>
                <w:sz w:val="20"/>
                <w:szCs w:val="20"/>
                <w:lang w:eastAsia="en-US"/>
              </w:rPr>
              <w:t>Проект 2024 г.</w:t>
            </w:r>
          </w:p>
        </w:tc>
        <w:tc>
          <w:tcPr>
            <w:tcW w:w="1093" w:type="dxa"/>
            <w:tcBorders>
              <w:top w:val="single" w:sz="4" w:space="0" w:color="auto"/>
              <w:bottom w:val="single" w:sz="4" w:space="0" w:color="auto"/>
            </w:tcBorders>
            <w:shd w:val="clear" w:color="auto" w:fill="auto"/>
            <w:hideMark/>
          </w:tcPr>
          <w:p w:rsidR="00152932" w:rsidRPr="00EA6851" w:rsidRDefault="00152932" w:rsidP="00734A76">
            <w:pPr>
              <w:spacing w:after="60"/>
              <w:jc w:val="center"/>
              <w:rPr>
                <w:b/>
                <w:bCs/>
                <w:i/>
                <w:iCs/>
                <w:sz w:val="20"/>
                <w:szCs w:val="20"/>
                <w:lang w:eastAsia="en-US"/>
              </w:rPr>
            </w:pPr>
            <w:r w:rsidRPr="00EA6851">
              <w:rPr>
                <w:b/>
                <w:bCs/>
                <w:i/>
                <w:iCs/>
                <w:sz w:val="20"/>
                <w:szCs w:val="20"/>
                <w:lang w:eastAsia="en-US"/>
              </w:rPr>
              <w:t>Прогноза</w:t>
            </w:r>
          </w:p>
          <w:p w:rsidR="00152932" w:rsidRPr="00EA6851" w:rsidRDefault="00152932" w:rsidP="00734A76">
            <w:pPr>
              <w:spacing w:after="60"/>
              <w:jc w:val="center"/>
              <w:rPr>
                <w:b/>
                <w:bCs/>
                <w:sz w:val="20"/>
                <w:szCs w:val="20"/>
                <w:lang w:eastAsia="en-US"/>
              </w:rPr>
            </w:pPr>
            <w:r w:rsidRPr="00EA6851">
              <w:rPr>
                <w:b/>
                <w:bCs/>
                <w:i/>
                <w:iCs/>
                <w:sz w:val="20"/>
                <w:szCs w:val="20"/>
                <w:lang w:eastAsia="en-US"/>
              </w:rPr>
              <w:t>2025 г.</w:t>
            </w:r>
          </w:p>
        </w:tc>
        <w:tc>
          <w:tcPr>
            <w:tcW w:w="1138" w:type="dxa"/>
            <w:tcBorders>
              <w:top w:val="single" w:sz="4" w:space="0" w:color="auto"/>
              <w:bottom w:val="single" w:sz="4" w:space="0" w:color="auto"/>
            </w:tcBorders>
            <w:shd w:val="clear" w:color="auto" w:fill="auto"/>
            <w:hideMark/>
          </w:tcPr>
          <w:p w:rsidR="00152932" w:rsidRPr="00EA6851" w:rsidRDefault="00152932" w:rsidP="00734A76">
            <w:pPr>
              <w:spacing w:after="60"/>
              <w:jc w:val="center"/>
              <w:rPr>
                <w:b/>
                <w:bCs/>
                <w:i/>
                <w:iCs/>
                <w:sz w:val="20"/>
                <w:szCs w:val="20"/>
                <w:lang w:eastAsia="en-US"/>
              </w:rPr>
            </w:pPr>
            <w:r w:rsidRPr="00EA6851">
              <w:rPr>
                <w:b/>
                <w:bCs/>
                <w:i/>
                <w:iCs/>
                <w:sz w:val="20"/>
                <w:szCs w:val="20"/>
                <w:lang w:eastAsia="en-US"/>
              </w:rPr>
              <w:t>Прогноза</w:t>
            </w:r>
          </w:p>
          <w:p w:rsidR="00152932" w:rsidRPr="00EA6851" w:rsidRDefault="00152932" w:rsidP="00734A76">
            <w:pPr>
              <w:spacing w:after="60"/>
              <w:jc w:val="center"/>
              <w:rPr>
                <w:b/>
                <w:bCs/>
                <w:sz w:val="20"/>
                <w:szCs w:val="20"/>
                <w:lang w:eastAsia="en-US"/>
              </w:rPr>
            </w:pPr>
            <w:r w:rsidRPr="00EA6851">
              <w:rPr>
                <w:b/>
                <w:bCs/>
                <w:i/>
                <w:iCs/>
                <w:sz w:val="20"/>
                <w:szCs w:val="20"/>
                <w:lang w:eastAsia="en-US"/>
              </w:rPr>
              <w:t>2026 г.</w:t>
            </w:r>
          </w:p>
        </w:tc>
      </w:tr>
      <w:tr w:rsidR="00152932" w:rsidRPr="00EA6851" w:rsidTr="00734A76">
        <w:trPr>
          <w:trHeight w:val="216"/>
        </w:trPr>
        <w:tc>
          <w:tcPr>
            <w:tcW w:w="4160" w:type="dxa"/>
            <w:tcBorders>
              <w:top w:val="single" w:sz="4" w:space="0" w:color="auto"/>
            </w:tcBorders>
            <w:shd w:val="clear" w:color="auto" w:fill="auto"/>
            <w:vAlign w:val="center"/>
          </w:tcPr>
          <w:p w:rsidR="00152932" w:rsidRPr="00EA6851" w:rsidRDefault="00152932" w:rsidP="00734A76">
            <w:pPr>
              <w:spacing w:after="60"/>
              <w:rPr>
                <w:sz w:val="20"/>
                <w:szCs w:val="20"/>
                <w:lang w:eastAsia="en-US"/>
              </w:rPr>
            </w:pPr>
            <w:r w:rsidRPr="00EA6851">
              <w:rPr>
                <w:sz w:val="20"/>
                <w:szCs w:val="20"/>
                <w:lang w:eastAsia="en-US"/>
              </w:rPr>
              <w:t xml:space="preserve">1. </w:t>
            </w:r>
            <w:r w:rsidRPr="00EA6851">
              <w:rPr>
                <w:sz w:val="18"/>
                <w:szCs w:val="18"/>
              </w:rPr>
              <w:t>Подкрепа за производство на български филми</w:t>
            </w:r>
          </w:p>
        </w:tc>
        <w:tc>
          <w:tcPr>
            <w:tcW w:w="970" w:type="dxa"/>
            <w:tcBorders>
              <w:top w:val="single" w:sz="4" w:space="0" w:color="auto"/>
            </w:tcBorders>
            <w:shd w:val="clear" w:color="auto" w:fill="F2F2F2"/>
            <w:vAlign w:val="center"/>
          </w:tcPr>
          <w:p w:rsidR="00152932" w:rsidRPr="00EA6851" w:rsidRDefault="00152932" w:rsidP="00734A76">
            <w:pPr>
              <w:spacing w:after="60"/>
              <w:jc w:val="center"/>
              <w:rPr>
                <w:sz w:val="20"/>
                <w:szCs w:val="20"/>
                <w:lang w:eastAsia="en-US"/>
              </w:rPr>
            </w:pPr>
            <w:r w:rsidRPr="00EA6851">
              <w:rPr>
                <w:sz w:val="20"/>
                <w:szCs w:val="20"/>
                <w:lang w:eastAsia="en-US"/>
              </w:rPr>
              <w:t>Брой</w:t>
            </w:r>
          </w:p>
        </w:tc>
        <w:tc>
          <w:tcPr>
            <w:tcW w:w="1104" w:type="dxa"/>
            <w:tcBorders>
              <w:top w:val="single" w:sz="4" w:space="0" w:color="auto"/>
            </w:tcBorders>
            <w:shd w:val="clear" w:color="auto" w:fill="auto"/>
            <w:vAlign w:val="center"/>
          </w:tcPr>
          <w:p w:rsidR="00152932" w:rsidRPr="00EA6851" w:rsidRDefault="00152932" w:rsidP="00734A76">
            <w:pPr>
              <w:spacing w:after="60"/>
              <w:jc w:val="center"/>
              <w:rPr>
                <w:sz w:val="20"/>
                <w:szCs w:val="20"/>
                <w:lang w:eastAsia="en-US"/>
              </w:rPr>
            </w:pPr>
            <w:r w:rsidRPr="00EA6851">
              <w:rPr>
                <w:sz w:val="20"/>
                <w:szCs w:val="20"/>
                <w:lang w:eastAsia="en-US"/>
              </w:rPr>
              <w:t>50</w:t>
            </w:r>
          </w:p>
        </w:tc>
        <w:tc>
          <w:tcPr>
            <w:tcW w:w="1102" w:type="dxa"/>
            <w:tcBorders>
              <w:top w:val="single" w:sz="4" w:space="0" w:color="auto"/>
            </w:tcBorders>
            <w:shd w:val="clear" w:color="auto" w:fill="auto"/>
            <w:vAlign w:val="center"/>
          </w:tcPr>
          <w:p w:rsidR="00152932" w:rsidRPr="00EA6851" w:rsidRDefault="00152932" w:rsidP="00734A76">
            <w:pPr>
              <w:spacing w:after="60"/>
              <w:jc w:val="center"/>
              <w:rPr>
                <w:color w:val="000000"/>
                <w:sz w:val="20"/>
                <w:szCs w:val="20"/>
                <w:lang w:eastAsia="en-US"/>
              </w:rPr>
            </w:pPr>
            <w:r w:rsidRPr="00EA6851">
              <w:rPr>
                <w:color w:val="000000"/>
                <w:sz w:val="20"/>
                <w:szCs w:val="20"/>
                <w:lang w:eastAsia="en-US"/>
              </w:rPr>
              <w:t>50</w:t>
            </w:r>
          </w:p>
        </w:tc>
        <w:tc>
          <w:tcPr>
            <w:tcW w:w="1093" w:type="dxa"/>
            <w:tcBorders>
              <w:top w:val="single" w:sz="4" w:space="0" w:color="auto"/>
            </w:tcBorders>
            <w:shd w:val="clear" w:color="auto" w:fill="auto"/>
            <w:vAlign w:val="center"/>
          </w:tcPr>
          <w:p w:rsidR="00152932" w:rsidRPr="00EA6851" w:rsidRDefault="00152932" w:rsidP="00734A76">
            <w:pPr>
              <w:spacing w:after="60"/>
              <w:jc w:val="center"/>
              <w:rPr>
                <w:color w:val="000000"/>
                <w:sz w:val="20"/>
                <w:szCs w:val="20"/>
                <w:lang w:eastAsia="en-US"/>
              </w:rPr>
            </w:pPr>
            <w:r w:rsidRPr="00EA6851">
              <w:rPr>
                <w:color w:val="000000"/>
                <w:sz w:val="20"/>
                <w:szCs w:val="20"/>
                <w:lang w:eastAsia="en-US"/>
              </w:rPr>
              <w:t>60</w:t>
            </w:r>
          </w:p>
        </w:tc>
        <w:tc>
          <w:tcPr>
            <w:tcW w:w="1138" w:type="dxa"/>
            <w:tcBorders>
              <w:top w:val="single" w:sz="4" w:space="0" w:color="auto"/>
            </w:tcBorders>
            <w:shd w:val="clear" w:color="auto" w:fill="auto"/>
            <w:vAlign w:val="center"/>
          </w:tcPr>
          <w:p w:rsidR="00152932" w:rsidRPr="00EA6851" w:rsidRDefault="00C878FF" w:rsidP="00734A76">
            <w:pPr>
              <w:spacing w:after="60"/>
              <w:jc w:val="center"/>
              <w:rPr>
                <w:color w:val="000000"/>
                <w:sz w:val="20"/>
                <w:szCs w:val="20"/>
                <w:lang w:eastAsia="en-US"/>
              </w:rPr>
            </w:pPr>
            <w:r w:rsidRPr="00EA6851">
              <w:rPr>
                <w:color w:val="000000"/>
                <w:sz w:val="20"/>
                <w:szCs w:val="20"/>
                <w:lang w:eastAsia="en-US"/>
              </w:rPr>
              <w:t>60</w:t>
            </w:r>
          </w:p>
        </w:tc>
      </w:tr>
      <w:tr w:rsidR="00152932" w:rsidRPr="00EA6851" w:rsidTr="00734A76">
        <w:trPr>
          <w:trHeight w:val="216"/>
        </w:trPr>
        <w:tc>
          <w:tcPr>
            <w:tcW w:w="4160" w:type="dxa"/>
            <w:shd w:val="clear" w:color="auto" w:fill="auto"/>
            <w:vAlign w:val="center"/>
          </w:tcPr>
          <w:p w:rsidR="00152932" w:rsidRPr="00EA6851" w:rsidRDefault="00152932" w:rsidP="00734A76">
            <w:pPr>
              <w:spacing w:after="60"/>
              <w:rPr>
                <w:sz w:val="20"/>
                <w:szCs w:val="20"/>
                <w:lang w:eastAsia="en-US"/>
              </w:rPr>
            </w:pPr>
            <w:r w:rsidRPr="00EA6851">
              <w:rPr>
                <w:sz w:val="20"/>
                <w:szCs w:val="20"/>
                <w:lang w:eastAsia="en-US"/>
              </w:rPr>
              <w:t xml:space="preserve">2. </w:t>
            </w:r>
            <w:r w:rsidRPr="00EA6851">
              <w:rPr>
                <w:sz w:val="18"/>
                <w:szCs w:val="18"/>
              </w:rPr>
              <w:t>Популяризиране на българското кино чрез участия в международни фестивали</w:t>
            </w:r>
          </w:p>
        </w:tc>
        <w:tc>
          <w:tcPr>
            <w:tcW w:w="970" w:type="dxa"/>
            <w:shd w:val="clear" w:color="auto" w:fill="F2F2F2"/>
            <w:vAlign w:val="center"/>
          </w:tcPr>
          <w:p w:rsidR="00152932" w:rsidRPr="00EA6851" w:rsidRDefault="00152932" w:rsidP="00734A76">
            <w:pPr>
              <w:spacing w:after="60"/>
              <w:jc w:val="center"/>
              <w:rPr>
                <w:sz w:val="20"/>
                <w:szCs w:val="20"/>
                <w:lang w:eastAsia="en-US"/>
              </w:rPr>
            </w:pPr>
            <w:r w:rsidRPr="00EA6851">
              <w:rPr>
                <w:sz w:val="20"/>
                <w:szCs w:val="20"/>
                <w:lang w:eastAsia="en-US"/>
              </w:rPr>
              <w:t>Брой</w:t>
            </w:r>
          </w:p>
        </w:tc>
        <w:tc>
          <w:tcPr>
            <w:tcW w:w="1104" w:type="dxa"/>
            <w:shd w:val="clear" w:color="auto" w:fill="auto"/>
            <w:vAlign w:val="center"/>
          </w:tcPr>
          <w:p w:rsidR="00152932" w:rsidRPr="00EA6851" w:rsidRDefault="00152932" w:rsidP="00734A76">
            <w:pPr>
              <w:spacing w:after="60"/>
              <w:jc w:val="center"/>
              <w:rPr>
                <w:sz w:val="20"/>
                <w:szCs w:val="20"/>
                <w:lang w:eastAsia="en-US"/>
              </w:rPr>
            </w:pPr>
            <w:r w:rsidRPr="00EA6851">
              <w:rPr>
                <w:sz w:val="20"/>
                <w:szCs w:val="20"/>
                <w:lang w:eastAsia="en-US"/>
              </w:rPr>
              <w:t>65</w:t>
            </w:r>
          </w:p>
        </w:tc>
        <w:tc>
          <w:tcPr>
            <w:tcW w:w="1102" w:type="dxa"/>
            <w:shd w:val="clear" w:color="auto" w:fill="auto"/>
            <w:vAlign w:val="center"/>
          </w:tcPr>
          <w:p w:rsidR="00152932" w:rsidRPr="00EA6851" w:rsidRDefault="00152932" w:rsidP="00734A76">
            <w:pPr>
              <w:spacing w:after="60"/>
              <w:jc w:val="center"/>
              <w:rPr>
                <w:color w:val="000000"/>
                <w:sz w:val="20"/>
                <w:szCs w:val="20"/>
                <w:lang w:eastAsia="en-US"/>
              </w:rPr>
            </w:pPr>
            <w:r w:rsidRPr="00EA6851">
              <w:rPr>
                <w:color w:val="000000"/>
                <w:sz w:val="20"/>
                <w:szCs w:val="20"/>
                <w:lang w:eastAsia="en-US"/>
              </w:rPr>
              <w:t>65</w:t>
            </w:r>
          </w:p>
        </w:tc>
        <w:tc>
          <w:tcPr>
            <w:tcW w:w="1093" w:type="dxa"/>
            <w:shd w:val="clear" w:color="auto" w:fill="auto"/>
            <w:vAlign w:val="center"/>
          </w:tcPr>
          <w:p w:rsidR="00152932" w:rsidRPr="00EA6851" w:rsidRDefault="00152932" w:rsidP="00734A76">
            <w:pPr>
              <w:spacing w:after="60"/>
              <w:jc w:val="center"/>
              <w:rPr>
                <w:color w:val="000000"/>
                <w:sz w:val="20"/>
                <w:szCs w:val="20"/>
                <w:lang w:eastAsia="en-US"/>
              </w:rPr>
            </w:pPr>
            <w:r w:rsidRPr="00EA6851">
              <w:rPr>
                <w:color w:val="000000"/>
                <w:sz w:val="20"/>
                <w:szCs w:val="20"/>
                <w:lang w:eastAsia="en-US"/>
              </w:rPr>
              <w:t>60</w:t>
            </w:r>
          </w:p>
        </w:tc>
        <w:tc>
          <w:tcPr>
            <w:tcW w:w="1138" w:type="dxa"/>
            <w:shd w:val="clear" w:color="auto" w:fill="auto"/>
            <w:vAlign w:val="center"/>
          </w:tcPr>
          <w:p w:rsidR="00152932" w:rsidRPr="00EA6851" w:rsidRDefault="00C878FF" w:rsidP="00734A76">
            <w:pPr>
              <w:spacing w:after="60"/>
              <w:jc w:val="center"/>
              <w:rPr>
                <w:color w:val="000000"/>
                <w:sz w:val="20"/>
                <w:szCs w:val="20"/>
                <w:lang w:eastAsia="en-US"/>
              </w:rPr>
            </w:pPr>
            <w:r w:rsidRPr="00EA6851">
              <w:rPr>
                <w:color w:val="000000"/>
                <w:sz w:val="20"/>
                <w:szCs w:val="20"/>
                <w:lang w:eastAsia="en-US"/>
              </w:rPr>
              <w:t>60</w:t>
            </w:r>
          </w:p>
        </w:tc>
      </w:tr>
      <w:tr w:rsidR="00152932" w:rsidRPr="00EA6851" w:rsidTr="00734A76">
        <w:trPr>
          <w:trHeight w:val="216"/>
        </w:trPr>
        <w:tc>
          <w:tcPr>
            <w:tcW w:w="4160" w:type="dxa"/>
            <w:shd w:val="clear" w:color="auto" w:fill="auto"/>
          </w:tcPr>
          <w:p w:rsidR="00152932" w:rsidRPr="00EA6851" w:rsidRDefault="00152932" w:rsidP="00734A76">
            <w:pPr>
              <w:spacing w:after="60"/>
              <w:rPr>
                <w:sz w:val="20"/>
                <w:szCs w:val="20"/>
                <w:lang w:eastAsia="en-US"/>
              </w:rPr>
            </w:pPr>
            <w:r w:rsidRPr="00EA6851">
              <w:rPr>
                <w:sz w:val="20"/>
                <w:szCs w:val="20"/>
                <w:lang w:eastAsia="en-US"/>
              </w:rPr>
              <w:t xml:space="preserve">3. </w:t>
            </w:r>
            <w:r w:rsidRPr="00EA6851">
              <w:rPr>
                <w:sz w:val="18"/>
                <w:szCs w:val="18"/>
              </w:rPr>
              <w:t>Подкрепени проекти в областта на сценичните изкуства, литературата, любителско творчество</w:t>
            </w:r>
          </w:p>
        </w:tc>
        <w:tc>
          <w:tcPr>
            <w:tcW w:w="970" w:type="dxa"/>
            <w:shd w:val="clear" w:color="auto" w:fill="F2F2F2"/>
          </w:tcPr>
          <w:p w:rsidR="00152932" w:rsidRPr="00EA6851" w:rsidRDefault="00152932" w:rsidP="00734A76">
            <w:pPr>
              <w:spacing w:after="60"/>
              <w:jc w:val="center"/>
              <w:rPr>
                <w:sz w:val="20"/>
                <w:szCs w:val="20"/>
                <w:lang w:eastAsia="en-US"/>
              </w:rPr>
            </w:pPr>
            <w:r w:rsidRPr="00EA6851">
              <w:rPr>
                <w:sz w:val="20"/>
                <w:szCs w:val="20"/>
                <w:lang w:eastAsia="en-US"/>
              </w:rPr>
              <w:t>Брой</w:t>
            </w:r>
          </w:p>
        </w:tc>
        <w:tc>
          <w:tcPr>
            <w:tcW w:w="1104" w:type="dxa"/>
            <w:shd w:val="clear" w:color="auto" w:fill="auto"/>
          </w:tcPr>
          <w:p w:rsidR="00152932" w:rsidRPr="00EA6851" w:rsidRDefault="00152932" w:rsidP="00734A76">
            <w:pPr>
              <w:spacing w:after="60"/>
              <w:jc w:val="center"/>
              <w:rPr>
                <w:sz w:val="20"/>
                <w:szCs w:val="20"/>
                <w:lang w:eastAsia="en-US"/>
              </w:rPr>
            </w:pPr>
            <w:r w:rsidRPr="00EA6851">
              <w:rPr>
                <w:sz w:val="20"/>
                <w:szCs w:val="20"/>
                <w:lang w:eastAsia="en-US"/>
              </w:rPr>
              <w:t>150</w:t>
            </w:r>
          </w:p>
        </w:tc>
        <w:tc>
          <w:tcPr>
            <w:tcW w:w="1102" w:type="dxa"/>
            <w:shd w:val="clear" w:color="auto" w:fill="auto"/>
          </w:tcPr>
          <w:p w:rsidR="00152932" w:rsidRPr="00EA6851" w:rsidRDefault="00152932" w:rsidP="00734A76">
            <w:pPr>
              <w:spacing w:after="60"/>
              <w:jc w:val="center"/>
              <w:rPr>
                <w:color w:val="000000"/>
                <w:sz w:val="20"/>
                <w:szCs w:val="20"/>
                <w:lang w:eastAsia="en-US"/>
              </w:rPr>
            </w:pPr>
            <w:r w:rsidRPr="00EA6851">
              <w:rPr>
                <w:color w:val="000000"/>
                <w:sz w:val="20"/>
                <w:szCs w:val="20"/>
                <w:lang w:eastAsia="en-US"/>
              </w:rPr>
              <w:t>150</w:t>
            </w:r>
          </w:p>
        </w:tc>
        <w:tc>
          <w:tcPr>
            <w:tcW w:w="1093" w:type="dxa"/>
            <w:shd w:val="clear" w:color="auto" w:fill="auto"/>
          </w:tcPr>
          <w:p w:rsidR="00152932" w:rsidRPr="00EA6851" w:rsidRDefault="00C878FF" w:rsidP="00734A76">
            <w:pPr>
              <w:spacing w:after="60"/>
              <w:jc w:val="center"/>
              <w:rPr>
                <w:color w:val="000000"/>
                <w:sz w:val="20"/>
                <w:szCs w:val="20"/>
                <w:lang w:eastAsia="en-US"/>
              </w:rPr>
            </w:pPr>
            <w:r w:rsidRPr="00EA6851">
              <w:rPr>
                <w:color w:val="000000"/>
                <w:sz w:val="20"/>
                <w:szCs w:val="20"/>
                <w:lang w:eastAsia="en-US"/>
              </w:rPr>
              <w:t>150</w:t>
            </w:r>
          </w:p>
        </w:tc>
        <w:tc>
          <w:tcPr>
            <w:tcW w:w="1138" w:type="dxa"/>
            <w:shd w:val="clear" w:color="auto" w:fill="auto"/>
          </w:tcPr>
          <w:p w:rsidR="00152932" w:rsidRPr="00EA6851" w:rsidRDefault="00C878FF" w:rsidP="00734A76">
            <w:pPr>
              <w:spacing w:after="60"/>
              <w:jc w:val="center"/>
              <w:rPr>
                <w:color w:val="000000"/>
                <w:sz w:val="20"/>
                <w:szCs w:val="20"/>
                <w:lang w:eastAsia="en-US"/>
              </w:rPr>
            </w:pPr>
            <w:r w:rsidRPr="00EA6851">
              <w:rPr>
                <w:color w:val="000000"/>
                <w:sz w:val="20"/>
                <w:szCs w:val="20"/>
                <w:lang w:eastAsia="en-US"/>
              </w:rPr>
              <w:t>150</w:t>
            </w:r>
          </w:p>
        </w:tc>
      </w:tr>
      <w:tr w:rsidR="00152932" w:rsidRPr="00EA6851" w:rsidTr="00734A76">
        <w:trPr>
          <w:trHeight w:val="216"/>
        </w:trPr>
        <w:tc>
          <w:tcPr>
            <w:tcW w:w="4160" w:type="dxa"/>
            <w:shd w:val="clear" w:color="auto" w:fill="auto"/>
            <w:vAlign w:val="center"/>
          </w:tcPr>
          <w:p w:rsidR="00152932" w:rsidRPr="00EA6851" w:rsidRDefault="00152932" w:rsidP="00734A76">
            <w:pPr>
              <w:spacing w:after="60"/>
              <w:rPr>
                <w:sz w:val="20"/>
                <w:szCs w:val="20"/>
                <w:lang w:eastAsia="en-US"/>
              </w:rPr>
            </w:pPr>
            <w:r w:rsidRPr="00EA6851">
              <w:rPr>
                <w:sz w:val="18"/>
                <w:szCs w:val="18"/>
              </w:rPr>
              <w:t>4. Организирани изяви на български творци на международна сцена</w:t>
            </w:r>
          </w:p>
        </w:tc>
        <w:tc>
          <w:tcPr>
            <w:tcW w:w="970" w:type="dxa"/>
            <w:shd w:val="clear" w:color="auto" w:fill="F2F2F2"/>
            <w:vAlign w:val="center"/>
          </w:tcPr>
          <w:p w:rsidR="00152932" w:rsidRPr="00EA6851" w:rsidRDefault="00152932" w:rsidP="00734A76">
            <w:pPr>
              <w:spacing w:after="60"/>
              <w:jc w:val="center"/>
              <w:rPr>
                <w:sz w:val="20"/>
                <w:szCs w:val="20"/>
                <w:lang w:eastAsia="en-US"/>
              </w:rPr>
            </w:pPr>
            <w:r w:rsidRPr="00EA6851">
              <w:rPr>
                <w:sz w:val="20"/>
                <w:szCs w:val="20"/>
                <w:lang w:eastAsia="en-US"/>
              </w:rPr>
              <w:t>Брой</w:t>
            </w:r>
          </w:p>
        </w:tc>
        <w:tc>
          <w:tcPr>
            <w:tcW w:w="1104" w:type="dxa"/>
            <w:shd w:val="clear" w:color="auto" w:fill="auto"/>
            <w:vAlign w:val="center"/>
          </w:tcPr>
          <w:p w:rsidR="00152932" w:rsidRPr="00EA6851" w:rsidRDefault="00152932" w:rsidP="00734A76">
            <w:pPr>
              <w:spacing w:after="60"/>
              <w:jc w:val="center"/>
              <w:rPr>
                <w:sz w:val="20"/>
                <w:szCs w:val="20"/>
                <w:lang w:eastAsia="en-US"/>
              </w:rPr>
            </w:pPr>
            <w:r w:rsidRPr="00EA6851">
              <w:rPr>
                <w:sz w:val="20"/>
                <w:szCs w:val="20"/>
                <w:lang w:eastAsia="en-US"/>
              </w:rPr>
              <w:t>36</w:t>
            </w:r>
          </w:p>
        </w:tc>
        <w:tc>
          <w:tcPr>
            <w:tcW w:w="1102" w:type="dxa"/>
            <w:shd w:val="clear" w:color="auto" w:fill="auto"/>
            <w:vAlign w:val="center"/>
          </w:tcPr>
          <w:p w:rsidR="00152932" w:rsidRPr="00EA6851" w:rsidRDefault="00152932" w:rsidP="00734A76">
            <w:pPr>
              <w:spacing w:after="60"/>
              <w:jc w:val="center"/>
              <w:rPr>
                <w:color w:val="000000"/>
                <w:sz w:val="20"/>
                <w:szCs w:val="20"/>
                <w:lang w:eastAsia="en-US"/>
              </w:rPr>
            </w:pPr>
            <w:r w:rsidRPr="00EA6851">
              <w:rPr>
                <w:color w:val="000000"/>
                <w:sz w:val="20"/>
                <w:szCs w:val="20"/>
                <w:lang w:eastAsia="en-US"/>
              </w:rPr>
              <w:t>36</w:t>
            </w:r>
          </w:p>
        </w:tc>
        <w:tc>
          <w:tcPr>
            <w:tcW w:w="1093" w:type="dxa"/>
            <w:shd w:val="clear" w:color="auto" w:fill="auto"/>
            <w:vAlign w:val="center"/>
          </w:tcPr>
          <w:p w:rsidR="00152932" w:rsidRPr="00EA6851" w:rsidRDefault="00152932" w:rsidP="00734A76">
            <w:pPr>
              <w:spacing w:after="60"/>
              <w:jc w:val="center"/>
              <w:rPr>
                <w:color w:val="000000"/>
                <w:sz w:val="20"/>
                <w:szCs w:val="20"/>
                <w:lang w:eastAsia="en-US"/>
              </w:rPr>
            </w:pPr>
            <w:r w:rsidRPr="00EA6851">
              <w:rPr>
                <w:color w:val="000000"/>
                <w:sz w:val="20"/>
                <w:szCs w:val="20"/>
                <w:lang w:eastAsia="en-US"/>
              </w:rPr>
              <w:t>35</w:t>
            </w:r>
          </w:p>
        </w:tc>
        <w:tc>
          <w:tcPr>
            <w:tcW w:w="1138" w:type="dxa"/>
            <w:shd w:val="clear" w:color="auto" w:fill="auto"/>
            <w:vAlign w:val="center"/>
          </w:tcPr>
          <w:p w:rsidR="00152932" w:rsidRPr="00EA6851" w:rsidRDefault="00C878FF" w:rsidP="00734A76">
            <w:pPr>
              <w:spacing w:after="60"/>
              <w:jc w:val="center"/>
              <w:rPr>
                <w:color w:val="000000"/>
                <w:sz w:val="20"/>
                <w:szCs w:val="20"/>
                <w:lang w:eastAsia="en-US"/>
              </w:rPr>
            </w:pPr>
            <w:r w:rsidRPr="00EA6851">
              <w:rPr>
                <w:color w:val="000000"/>
                <w:sz w:val="20"/>
                <w:szCs w:val="20"/>
                <w:lang w:eastAsia="en-US"/>
              </w:rPr>
              <w:t>35</w:t>
            </w:r>
          </w:p>
        </w:tc>
      </w:tr>
      <w:tr w:rsidR="00152932" w:rsidRPr="00EA6851" w:rsidTr="00734A76">
        <w:trPr>
          <w:trHeight w:val="216"/>
        </w:trPr>
        <w:tc>
          <w:tcPr>
            <w:tcW w:w="4160" w:type="dxa"/>
            <w:shd w:val="clear" w:color="auto" w:fill="auto"/>
            <w:vAlign w:val="center"/>
          </w:tcPr>
          <w:p w:rsidR="00152932" w:rsidRPr="00EA6851" w:rsidRDefault="00152932" w:rsidP="00734A76">
            <w:pPr>
              <w:spacing w:after="60"/>
              <w:rPr>
                <w:sz w:val="18"/>
                <w:szCs w:val="18"/>
              </w:rPr>
            </w:pPr>
            <w:r w:rsidRPr="00EA6851">
              <w:rPr>
                <w:sz w:val="18"/>
                <w:szCs w:val="18"/>
              </w:rPr>
              <w:t>5. Подкрепени фестивали, събития и чествания с национално и международно значение</w:t>
            </w:r>
          </w:p>
        </w:tc>
        <w:tc>
          <w:tcPr>
            <w:tcW w:w="970" w:type="dxa"/>
            <w:shd w:val="clear" w:color="auto" w:fill="F2F2F2"/>
            <w:vAlign w:val="center"/>
          </w:tcPr>
          <w:p w:rsidR="00152932" w:rsidRPr="00EA6851" w:rsidRDefault="00152932" w:rsidP="00734A76">
            <w:pPr>
              <w:spacing w:after="60"/>
              <w:jc w:val="center"/>
              <w:rPr>
                <w:sz w:val="20"/>
                <w:szCs w:val="20"/>
                <w:lang w:eastAsia="en-US"/>
              </w:rPr>
            </w:pPr>
            <w:r w:rsidRPr="00EA6851">
              <w:rPr>
                <w:sz w:val="20"/>
                <w:szCs w:val="20"/>
                <w:lang w:eastAsia="en-US"/>
              </w:rPr>
              <w:t>Брой</w:t>
            </w:r>
          </w:p>
        </w:tc>
        <w:tc>
          <w:tcPr>
            <w:tcW w:w="1104" w:type="dxa"/>
            <w:shd w:val="clear" w:color="auto" w:fill="auto"/>
            <w:vAlign w:val="center"/>
          </w:tcPr>
          <w:p w:rsidR="00152932" w:rsidRPr="00EA6851" w:rsidRDefault="00152932" w:rsidP="00734A76">
            <w:pPr>
              <w:spacing w:after="60"/>
              <w:jc w:val="center"/>
              <w:rPr>
                <w:sz w:val="20"/>
                <w:szCs w:val="20"/>
                <w:lang w:eastAsia="en-US"/>
              </w:rPr>
            </w:pPr>
            <w:r w:rsidRPr="00EA6851">
              <w:rPr>
                <w:sz w:val="20"/>
                <w:szCs w:val="20"/>
                <w:lang w:eastAsia="en-US"/>
              </w:rPr>
              <w:t>25</w:t>
            </w:r>
          </w:p>
        </w:tc>
        <w:tc>
          <w:tcPr>
            <w:tcW w:w="1102" w:type="dxa"/>
            <w:shd w:val="clear" w:color="auto" w:fill="auto"/>
            <w:vAlign w:val="center"/>
          </w:tcPr>
          <w:p w:rsidR="00152932" w:rsidRPr="00EA6851" w:rsidRDefault="00152932" w:rsidP="00734A76">
            <w:pPr>
              <w:spacing w:after="60"/>
              <w:jc w:val="center"/>
              <w:rPr>
                <w:color w:val="000000"/>
                <w:sz w:val="20"/>
                <w:szCs w:val="20"/>
                <w:lang w:eastAsia="en-US"/>
              </w:rPr>
            </w:pPr>
            <w:r w:rsidRPr="00EA6851">
              <w:rPr>
                <w:color w:val="000000"/>
                <w:sz w:val="20"/>
                <w:szCs w:val="20"/>
                <w:lang w:eastAsia="en-US"/>
              </w:rPr>
              <w:t>25</w:t>
            </w:r>
          </w:p>
        </w:tc>
        <w:tc>
          <w:tcPr>
            <w:tcW w:w="1093" w:type="dxa"/>
            <w:shd w:val="clear" w:color="auto" w:fill="auto"/>
            <w:vAlign w:val="center"/>
          </w:tcPr>
          <w:p w:rsidR="00152932" w:rsidRPr="00EA6851" w:rsidRDefault="00C878FF" w:rsidP="00734A76">
            <w:pPr>
              <w:spacing w:after="60"/>
              <w:jc w:val="center"/>
              <w:rPr>
                <w:color w:val="000000"/>
                <w:sz w:val="20"/>
                <w:szCs w:val="20"/>
                <w:lang w:eastAsia="en-US"/>
              </w:rPr>
            </w:pPr>
            <w:r w:rsidRPr="00EA6851">
              <w:rPr>
                <w:color w:val="000000"/>
                <w:sz w:val="20"/>
                <w:szCs w:val="20"/>
                <w:lang w:eastAsia="en-US"/>
              </w:rPr>
              <w:t>25</w:t>
            </w:r>
          </w:p>
        </w:tc>
        <w:tc>
          <w:tcPr>
            <w:tcW w:w="1138" w:type="dxa"/>
            <w:shd w:val="clear" w:color="auto" w:fill="auto"/>
            <w:vAlign w:val="center"/>
          </w:tcPr>
          <w:p w:rsidR="00152932" w:rsidRPr="00EA6851" w:rsidRDefault="00C878FF" w:rsidP="00734A76">
            <w:pPr>
              <w:spacing w:after="60"/>
              <w:jc w:val="center"/>
              <w:rPr>
                <w:color w:val="000000"/>
                <w:sz w:val="20"/>
                <w:szCs w:val="20"/>
                <w:lang w:eastAsia="en-US"/>
              </w:rPr>
            </w:pPr>
            <w:r w:rsidRPr="00EA6851">
              <w:rPr>
                <w:color w:val="000000"/>
                <w:sz w:val="20"/>
                <w:szCs w:val="20"/>
                <w:lang w:eastAsia="en-US"/>
              </w:rPr>
              <w:t>25</w:t>
            </w:r>
          </w:p>
        </w:tc>
      </w:tr>
      <w:tr w:rsidR="00152932" w:rsidRPr="00EA6851" w:rsidTr="00734A76">
        <w:trPr>
          <w:trHeight w:val="216"/>
        </w:trPr>
        <w:tc>
          <w:tcPr>
            <w:tcW w:w="4160" w:type="dxa"/>
            <w:shd w:val="clear" w:color="auto" w:fill="auto"/>
          </w:tcPr>
          <w:p w:rsidR="00152932" w:rsidRPr="00EA6851" w:rsidRDefault="00152932" w:rsidP="00734A76">
            <w:pPr>
              <w:spacing w:after="60"/>
              <w:rPr>
                <w:sz w:val="20"/>
                <w:szCs w:val="20"/>
                <w:lang w:eastAsia="en-US"/>
              </w:rPr>
            </w:pPr>
            <w:r w:rsidRPr="00EA6851">
              <w:rPr>
                <w:sz w:val="18"/>
                <w:szCs w:val="18"/>
              </w:rPr>
              <w:t>6. Представления на държавните културни институти, осъществяващи дейност в областта на сценичните изкуства</w:t>
            </w:r>
          </w:p>
        </w:tc>
        <w:tc>
          <w:tcPr>
            <w:tcW w:w="970" w:type="dxa"/>
            <w:shd w:val="clear" w:color="auto" w:fill="F2F2F2"/>
          </w:tcPr>
          <w:p w:rsidR="00152932" w:rsidRPr="00EA6851" w:rsidRDefault="00152932" w:rsidP="00734A76">
            <w:pPr>
              <w:spacing w:after="60"/>
              <w:jc w:val="center"/>
              <w:rPr>
                <w:sz w:val="20"/>
                <w:szCs w:val="20"/>
                <w:lang w:eastAsia="en-US"/>
              </w:rPr>
            </w:pPr>
            <w:r w:rsidRPr="00EA6851">
              <w:rPr>
                <w:sz w:val="20"/>
                <w:szCs w:val="20"/>
                <w:lang w:eastAsia="en-US"/>
              </w:rPr>
              <w:t>Брой</w:t>
            </w:r>
          </w:p>
        </w:tc>
        <w:tc>
          <w:tcPr>
            <w:tcW w:w="1104" w:type="dxa"/>
            <w:shd w:val="clear" w:color="auto" w:fill="auto"/>
          </w:tcPr>
          <w:p w:rsidR="00152932" w:rsidRPr="00EA6851" w:rsidRDefault="00152932" w:rsidP="00734A76">
            <w:pPr>
              <w:spacing w:after="60"/>
              <w:jc w:val="center"/>
              <w:rPr>
                <w:sz w:val="20"/>
                <w:szCs w:val="20"/>
                <w:lang w:eastAsia="en-US"/>
              </w:rPr>
            </w:pPr>
            <w:r w:rsidRPr="00EA6851">
              <w:rPr>
                <w:sz w:val="20"/>
                <w:szCs w:val="20"/>
                <w:lang w:eastAsia="en-US"/>
              </w:rPr>
              <w:t>14 700</w:t>
            </w:r>
          </w:p>
        </w:tc>
        <w:tc>
          <w:tcPr>
            <w:tcW w:w="1102" w:type="dxa"/>
            <w:shd w:val="clear" w:color="auto" w:fill="auto"/>
          </w:tcPr>
          <w:p w:rsidR="00152932" w:rsidRPr="00EA6851" w:rsidRDefault="00152932" w:rsidP="00734A76">
            <w:pPr>
              <w:spacing w:after="60"/>
              <w:jc w:val="center"/>
              <w:rPr>
                <w:color w:val="000000"/>
                <w:sz w:val="20"/>
                <w:szCs w:val="20"/>
                <w:lang w:eastAsia="en-US"/>
              </w:rPr>
            </w:pPr>
            <w:r w:rsidRPr="00EA6851">
              <w:rPr>
                <w:color w:val="000000"/>
                <w:sz w:val="20"/>
                <w:szCs w:val="20"/>
                <w:lang w:eastAsia="en-US"/>
              </w:rPr>
              <w:t>14 700</w:t>
            </w:r>
          </w:p>
        </w:tc>
        <w:tc>
          <w:tcPr>
            <w:tcW w:w="1093" w:type="dxa"/>
            <w:shd w:val="clear" w:color="auto" w:fill="auto"/>
          </w:tcPr>
          <w:p w:rsidR="00152932" w:rsidRPr="00EA6851" w:rsidRDefault="00152932" w:rsidP="00734A76">
            <w:pPr>
              <w:spacing w:after="60"/>
              <w:jc w:val="center"/>
              <w:rPr>
                <w:color w:val="000000"/>
                <w:sz w:val="20"/>
                <w:szCs w:val="20"/>
                <w:lang w:eastAsia="en-US"/>
              </w:rPr>
            </w:pPr>
            <w:r w:rsidRPr="00EA6851">
              <w:rPr>
                <w:color w:val="000000"/>
                <w:sz w:val="20"/>
                <w:szCs w:val="20"/>
                <w:lang w:eastAsia="en-US"/>
              </w:rPr>
              <w:t>15 000</w:t>
            </w:r>
          </w:p>
        </w:tc>
        <w:tc>
          <w:tcPr>
            <w:tcW w:w="1138" w:type="dxa"/>
            <w:shd w:val="clear" w:color="auto" w:fill="auto"/>
          </w:tcPr>
          <w:p w:rsidR="00152932" w:rsidRPr="00EA6851" w:rsidRDefault="00C878FF" w:rsidP="00734A76">
            <w:pPr>
              <w:spacing w:after="60"/>
              <w:jc w:val="center"/>
              <w:rPr>
                <w:color w:val="000000"/>
                <w:sz w:val="20"/>
                <w:szCs w:val="20"/>
                <w:lang w:eastAsia="en-US"/>
              </w:rPr>
            </w:pPr>
            <w:r w:rsidRPr="00EA6851">
              <w:rPr>
                <w:color w:val="000000"/>
                <w:sz w:val="20"/>
                <w:szCs w:val="20"/>
                <w:lang w:eastAsia="en-US"/>
              </w:rPr>
              <w:t>15 000</w:t>
            </w:r>
          </w:p>
        </w:tc>
      </w:tr>
      <w:tr w:rsidR="00152932" w:rsidRPr="00EA6851" w:rsidTr="00734A76">
        <w:trPr>
          <w:trHeight w:val="216"/>
        </w:trPr>
        <w:tc>
          <w:tcPr>
            <w:tcW w:w="4160" w:type="dxa"/>
            <w:shd w:val="clear" w:color="auto" w:fill="auto"/>
          </w:tcPr>
          <w:p w:rsidR="00152932" w:rsidRPr="00EA6851" w:rsidRDefault="00152932" w:rsidP="00734A76">
            <w:pPr>
              <w:spacing w:after="60"/>
              <w:rPr>
                <w:sz w:val="18"/>
                <w:szCs w:val="18"/>
              </w:rPr>
            </w:pPr>
            <w:r w:rsidRPr="00EA6851">
              <w:rPr>
                <w:sz w:val="18"/>
                <w:szCs w:val="18"/>
              </w:rPr>
              <w:t>7. Посетители на представления на държавните културни институти, осъществяващи дейност в областта на сценичните изкуства</w:t>
            </w:r>
          </w:p>
        </w:tc>
        <w:tc>
          <w:tcPr>
            <w:tcW w:w="970" w:type="dxa"/>
            <w:shd w:val="clear" w:color="auto" w:fill="F2F2F2"/>
          </w:tcPr>
          <w:p w:rsidR="00152932" w:rsidRPr="00EA6851" w:rsidRDefault="00152932" w:rsidP="00734A76">
            <w:pPr>
              <w:spacing w:after="60"/>
              <w:jc w:val="center"/>
              <w:rPr>
                <w:sz w:val="20"/>
                <w:szCs w:val="20"/>
                <w:lang w:eastAsia="en-US"/>
              </w:rPr>
            </w:pPr>
            <w:r w:rsidRPr="00EA6851">
              <w:rPr>
                <w:sz w:val="20"/>
                <w:szCs w:val="20"/>
                <w:lang w:eastAsia="en-US"/>
              </w:rPr>
              <w:t>Брой</w:t>
            </w:r>
          </w:p>
        </w:tc>
        <w:tc>
          <w:tcPr>
            <w:tcW w:w="1104" w:type="dxa"/>
            <w:shd w:val="clear" w:color="auto" w:fill="auto"/>
          </w:tcPr>
          <w:p w:rsidR="00152932" w:rsidRPr="00EA6851" w:rsidRDefault="00152932" w:rsidP="00734A76">
            <w:pPr>
              <w:spacing w:after="60"/>
              <w:jc w:val="center"/>
              <w:rPr>
                <w:sz w:val="20"/>
                <w:szCs w:val="20"/>
                <w:lang w:eastAsia="en-US"/>
              </w:rPr>
            </w:pPr>
            <w:r w:rsidRPr="00EA6851">
              <w:rPr>
                <w:sz w:val="20"/>
                <w:szCs w:val="20"/>
                <w:lang w:eastAsia="en-US"/>
              </w:rPr>
              <w:t>2 240 000</w:t>
            </w:r>
          </w:p>
        </w:tc>
        <w:tc>
          <w:tcPr>
            <w:tcW w:w="1102" w:type="dxa"/>
            <w:shd w:val="clear" w:color="auto" w:fill="auto"/>
          </w:tcPr>
          <w:p w:rsidR="00152932" w:rsidRPr="00EA6851" w:rsidRDefault="00152932" w:rsidP="00734A76">
            <w:pPr>
              <w:spacing w:after="60"/>
              <w:jc w:val="center"/>
              <w:rPr>
                <w:color w:val="000000"/>
                <w:sz w:val="20"/>
                <w:szCs w:val="20"/>
                <w:lang w:eastAsia="en-US"/>
              </w:rPr>
            </w:pPr>
            <w:r w:rsidRPr="00EA6851">
              <w:rPr>
                <w:color w:val="000000"/>
                <w:sz w:val="20"/>
                <w:szCs w:val="20"/>
                <w:lang w:eastAsia="en-US"/>
              </w:rPr>
              <w:t>2 365 000</w:t>
            </w:r>
          </w:p>
        </w:tc>
        <w:tc>
          <w:tcPr>
            <w:tcW w:w="1093" w:type="dxa"/>
            <w:shd w:val="clear" w:color="auto" w:fill="auto"/>
          </w:tcPr>
          <w:p w:rsidR="00152932" w:rsidRPr="00EA6851" w:rsidRDefault="00152932" w:rsidP="00734A76">
            <w:pPr>
              <w:spacing w:after="60"/>
              <w:jc w:val="center"/>
              <w:rPr>
                <w:color w:val="000000"/>
                <w:sz w:val="20"/>
                <w:szCs w:val="20"/>
                <w:lang w:eastAsia="en-US"/>
              </w:rPr>
            </w:pPr>
            <w:r w:rsidRPr="00EA6851">
              <w:rPr>
                <w:color w:val="000000"/>
                <w:sz w:val="20"/>
                <w:szCs w:val="20"/>
                <w:lang w:eastAsia="en-US"/>
              </w:rPr>
              <w:t>2 200 000</w:t>
            </w:r>
          </w:p>
        </w:tc>
        <w:tc>
          <w:tcPr>
            <w:tcW w:w="1138" w:type="dxa"/>
            <w:shd w:val="clear" w:color="auto" w:fill="auto"/>
          </w:tcPr>
          <w:p w:rsidR="00152932" w:rsidRPr="00EA6851" w:rsidRDefault="00C878FF" w:rsidP="00734A76">
            <w:pPr>
              <w:spacing w:after="60"/>
              <w:jc w:val="center"/>
              <w:rPr>
                <w:color w:val="000000"/>
                <w:sz w:val="20"/>
                <w:szCs w:val="20"/>
                <w:lang w:eastAsia="en-US"/>
              </w:rPr>
            </w:pPr>
            <w:r w:rsidRPr="00EA6851">
              <w:rPr>
                <w:color w:val="000000"/>
                <w:sz w:val="20"/>
                <w:szCs w:val="20"/>
                <w:lang w:eastAsia="en-US"/>
              </w:rPr>
              <w:t>2 300 000</w:t>
            </w:r>
          </w:p>
        </w:tc>
      </w:tr>
    </w:tbl>
    <w:p w:rsidR="00914161" w:rsidRPr="00EA6851" w:rsidRDefault="00914161" w:rsidP="00914161">
      <w:pPr>
        <w:spacing w:after="0"/>
        <w:rPr>
          <w:rFonts w:eastAsia="Times New Roman" w:cs="Times New Roman"/>
        </w:rPr>
      </w:pPr>
    </w:p>
    <w:p w:rsidR="00914161" w:rsidRPr="00EA6851" w:rsidRDefault="00914161" w:rsidP="00914161">
      <w:pPr>
        <w:spacing w:after="120"/>
      </w:pPr>
      <w:r w:rsidRPr="00EA6851">
        <w:t>В областта на опазването и разпространението на литературното наследство ще продължи финансирането на библиотеките с регионален характер и на читалищата като делегирани от държавата дейности по стандарти, в подкрепа на възможностите за постигане на по-добри резултати в развитието и обогатяване на културния живот, социалната и образователната дейност в региона, запазването на обичаите и традициите на българския народ и осигуряването на качествено библиотечно-информационното</w:t>
      </w:r>
      <w:r w:rsidRPr="00EA6851">
        <w:rPr>
          <w:rFonts w:eastAsia="Times New Roman" w:cs="Times New Roman"/>
          <w:highlight w:val="yellow"/>
        </w:rPr>
        <w:t xml:space="preserve"> </w:t>
      </w:r>
      <w:r w:rsidRPr="00EA6851">
        <w:t xml:space="preserve">обслужване на населението. </w:t>
      </w:r>
    </w:p>
    <w:p w:rsidR="00152932" w:rsidRPr="00EA6851" w:rsidRDefault="00914161" w:rsidP="00914161">
      <w:pPr>
        <w:rPr>
          <w:highlight w:val="yellow"/>
        </w:rPr>
      </w:pPr>
      <w:r w:rsidRPr="00EA6851">
        <w:t xml:space="preserve">В проектобюджета за 2024 г. средствата за </w:t>
      </w:r>
      <w:r w:rsidRPr="003E754F">
        <w:rPr>
          <w:i/>
        </w:rPr>
        <w:t>делегираните от държавата дейности по култура</w:t>
      </w:r>
      <w:r w:rsidRPr="00EA6851">
        <w:t>, финансирани чрез бюджетите на общините, са увеличени с 28,8 млн. лв. Разчетени са 24,8 млн. лв. за осигуряване ръста на минималната работна заплата от 780 на 933 лв. и 4,0 млн. лв. за осигуряване в годишен размер на ефектите от провежданите през 2023 г. политики за финансова подкрепа на музеите, художествените галерии и библиотеките с регионален характер и за промени в натурални показатели.</w:t>
      </w:r>
    </w:p>
    <w:p w:rsidR="0033580A" w:rsidRPr="00EA6851" w:rsidRDefault="0033580A" w:rsidP="0033580A">
      <w:pPr>
        <w:pStyle w:val="Heading3"/>
        <w:ind w:left="0"/>
      </w:pPr>
      <w:bookmarkStart w:id="326" w:name="_Toc464464925"/>
      <w:bookmarkStart w:id="327" w:name="_Toc464465431"/>
      <w:bookmarkStart w:id="328" w:name="_Toc464465619"/>
      <w:bookmarkStart w:id="329" w:name="_Toc464466444"/>
      <w:bookmarkStart w:id="330" w:name="_Toc464466688"/>
      <w:bookmarkStart w:id="331" w:name="_Toc464466731"/>
      <w:bookmarkStart w:id="332" w:name="_Toc464470237"/>
      <w:bookmarkStart w:id="333" w:name="_Toc464645003"/>
      <w:bookmarkStart w:id="334" w:name="_Toc464646370"/>
      <w:r w:rsidRPr="00EA6851">
        <w:t>Политика в областта на младежта и спорта</w:t>
      </w:r>
    </w:p>
    <w:p w:rsidR="000D47B3" w:rsidRPr="00EA6851" w:rsidRDefault="000D47B3" w:rsidP="000D47B3">
      <w:pPr>
        <w:rPr>
          <w:rFonts w:eastAsia="Times New Roman" w:cs="Times New Roman"/>
        </w:rPr>
      </w:pPr>
      <w:r w:rsidRPr="00EA6851">
        <w:rPr>
          <w:rFonts w:eastAsia="Times New Roman" w:cs="Times New Roman"/>
        </w:rPr>
        <w:t>Политиките в областта на младежта и спорта са насочени към насърчаване на икономическата активност и развитие на младите хора, развитие на спорта за учащи и спорта в свободното време, развитие и утвърждаване на спорта за високи постижения.</w:t>
      </w:r>
    </w:p>
    <w:p w:rsidR="000D47B3" w:rsidRPr="00EA6851" w:rsidRDefault="000D47B3" w:rsidP="000D47B3">
      <w:pPr>
        <w:pStyle w:val="Heading4"/>
        <w:spacing w:before="0" w:after="200"/>
        <w:rPr>
          <w:rFonts w:eastAsia="Times New Roman"/>
        </w:rPr>
      </w:pPr>
      <w:r w:rsidRPr="00EA6851">
        <w:rPr>
          <w:rFonts w:eastAsia="Times New Roman"/>
        </w:rPr>
        <w:t>Политика в областта на младите хора</w:t>
      </w:r>
    </w:p>
    <w:p w:rsidR="000D47B3" w:rsidRPr="00EA6851" w:rsidRDefault="000D47B3" w:rsidP="000D47B3">
      <w:pPr>
        <w:rPr>
          <w:rFonts w:eastAsia="Times New Roman" w:cs="Times New Roman"/>
        </w:rPr>
      </w:pPr>
      <w:r w:rsidRPr="00EA6851">
        <w:rPr>
          <w:rFonts w:eastAsia="Times New Roman" w:cs="Times New Roman"/>
        </w:rPr>
        <w:t xml:space="preserve">Приоритетите в </w:t>
      </w:r>
      <w:r w:rsidRPr="00EA6851">
        <w:rPr>
          <w:rFonts w:eastAsia="Times New Roman" w:cs="Times New Roman"/>
          <w:b/>
        </w:rPr>
        <w:t>областта на младежта</w:t>
      </w:r>
      <w:r w:rsidRPr="00EA6851">
        <w:rPr>
          <w:rFonts w:eastAsia="Times New Roman" w:cs="Times New Roman"/>
        </w:rPr>
        <w:t xml:space="preserve"> са насочени към улесняване на достъпа до качествени услуги за специална подкрепа на пълноценното личностно и обществено развитие на младите хора в съответствие с потребностите и интересите им; развитие на доброволчеството сред младите хора като движеща сила за личностно развитие, мобилност, учене, конкурентоспособност, социално сближаване, солидарност между поколенията и формиране на гражданско самосъзнание; осигуряване на възможности за пълноценно участие на младите хора в гражданския живот и за приобщаването им към основните демократични ценности и стандарти; превенция срещу рисково поведение и различни форми на зависимост.</w:t>
      </w:r>
    </w:p>
    <w:p w:rsidR="000D47B3" w:rsidRPr="00EA6851" w:rsidRDefault="000D47B3" w:rsidP="000D47B3">
      <w:pPr>
        <w:rPr>
          <w:rFonts w:eastAsia="Times New Roman" w:cs="Times New Roman"/>
        </w:rPr>
      </w:pPr>
      <w:r w:rsidRPr="00EA6851">
        <w:rPr>
          <w:rFonts w:eastAsia="Times New Roman" w:cs="Times New Roman"/>
        </w:rPr>
        <w:t>За периода 2024-2026 г. са осигурени условия за изпълнение на целите и дейностите във връзка с реализирането на приоритетите на провежданата политика в областта на младите хора.</w:t>
      </w:r>
    </w:p>
    <w:p w:rsidR="000D47B3" w:rsidRPr="00EA6851" w:rsidRDefault="000D47B3" w:rsidP="000D47B3">
      <w:pPr>
        <w:rPr>
          <w:rFonts w:eastAsia="Times New Roman" w:cs="Times New Roman"/>
        </w:rPr>
      </w:pPr>
      <w:r w:rsidRPr="00EA6851">
        <w:rPr>
          <w:rFonts w:eastAsia="Times New Roman" w:cs="Times New Roman"/>
        </w:rPr>
        <w:t>Националната политика за младежта е насочена към стимулиране на инициативността на младите хора и техните организации и структури за успешното им развитие и реализация в обществения живот.</w:t>
      </w:r>
    </w:p>
    <w:p w:rsidR="000D47B3" w:rsidRPr="00EA6851" w:rsidRDefault="000D47B3" w:rsidP="000D47B3">
      <w:pPr>
        <w:rPr>
          <w:rFonts w:eastAsia="Times New Roman" w:cs="Times New Roman"/>
          <w:b/>
          <w:sz w:val="20"/>
          <w:szCs w:val="20"/>
        </w:rPr>
      </w:pPr>
      <w:r w:rsidRPr="00EA6851">
        <w:rPr>
          <w:rFonts w:eastAsia="Times New Roman" w:cs="Times New Roman"/>
          <w:b/>
          <w:sz w:val="20"/>
          <w:szCs w:val="20"/>
        </w:rPr>
        <w:t>КЛЮЧОВИ ИНДИКАТОРИ ЗА ИЗПЪЛНЕНИЕ И ЦЕЛЕВИ СТОЙНОСТИ</w:t>
      </w:r>
    </w:p>
    <w:tbl>
      <w:tblPr>
        <w:tblW w:w="5000" w:type="pct"/>
        <w:tblCellMar>
          <w:left w:w="70" w:type="dxa"/>
          <w:right w:w="70" w:type="dxa"/>
        </w:tblCellMar>
        <w:tblLook w:val="04A0" w:firstRow="1" w:lastRow="0" w:firstColumn="1" w:lastColumn="0" w:noHBand="0" w:noVBand="1"/>
      </w:tblPr>
      <w:tblGrid>
        <w:gridCol w:w="4021"/>
        <w:gridCol w:w="1201"/>
        <w:gridCol w:w="1000"/>
        <w:gridCol w:w="934"/>
        <w:gridCol w:w="958"/>
        <w:gridCol w:w="956"/>
      </w:tblGrid>
      <w:tr w:rsidR="000D47B3" w:rsidRPr="00EA6851" w:rsidTr="00734A76">
        <w:trPr>
          <w:trHeight w:val="402"/>
          <w:tblHeader/>
        </w:trPr>
        <w:tc>
          <w:tcPr>
            <w:tcW w:w="2217" w:type="pct"/>
            <w:tcBorders>
              <w:top w:val="single" w:sz="4" w:space="0" w:color="auto"/>
            </w:tcBorders>
            <w:shd w:val="clear" w:color="auto" w:fill="auto"/>
            <w:vAlign w:val="center"/>
            <w:hideMark/>
          </w:tcPr>
          <w:p w:rsidR="000D47B3" w:rsidRPr="00EA6851" w:rsidRDefault="000D47B3" w:rsidP="000D47B3">
            <w:pPr>
              <w:jc w:val="center"/>
              <w:rPr>
                <w:rFonts w:eastAsia="Times New Roman" w:cs="Times New Roman"/>
                <w:b/>
                <w:i/>
                <w:sz w:val="18"/>
                <w:szCs w:val="18"/>
              </w:rPr>
            </w:pPr>
            <w:r w:rsidRPr="00EA6851">
              <w:rPr>
                <w:rFonts w:eastAsia="Times New Roman" w:cs="Times New Roman"/>
                <w:b/>
                <w:i/>
                <w:sz w:val="18"/>
                <w:szCs w:val="18"/>
              </w:rPr>
              <w:t>Политика в областта на младите хора</w:t>
            </w:r>
          </w:p>
        </w:tc>
        <w:tc>
          <w:tcPr>
            <w:tcW w:w="662" w:type="pct"/>
            <w:vMerge w:val="restart"/>
            <w:tcBorders>
              <w:top w:val="single" w:sz="4" w:space="0" w:color="auto"/>
            </w:tcBorders>
            <w:shd w:val="clear" w:color="000000" w:fill="F2F2F2"/>
            <w:vAlign w:val="center"/>
            <w:hideMark/>
          </w:tcPr>
          <w:p w:rsidR="000D47B3" w:rsidRPr="00EA6851" w:rsidRDefault="000D47B3" w:rsidP="000D47B3">
            <w:pPr>
              <w:jc w:val="center"/>
              <w:rPr>
                <w:rFonts w:eastAsia="Times New Roman" w:cs="Times New Roman"/>
                <w:b/>
                <w:sz w:val="18"/>
                <w:szCs w:val="18"/>
              </w:rPr>
            </w:pPr>
            <w:r w:rsidRPr="00EA6851">
              <w:rPr>
                <w:rFonts w:eastAsia="Times New Roman" w:cs="Times New Roman"/>
                <w:b/>
                <w:sz w:val="18"/>
                <w:szCs w:val="18"/>
              </w:rPr>
              <w:t>Мерна единица</w:t>
            </w:r>
          </w:p>
        </w:tc>
        <w:tc>
          <w:tcPr>
            <w:tcW w:w="2121" w:type="pct"/>
            <w:gridSpan w:val="4"/>
            <w:tcBorders>
              <w:top w:val="single" w:sz="4" w:space="0" w:color="auto"/>
              <w:bottom w:val="single" w:sz="4" w:space="0" w:color="auto"/>
            </w:tcBorders>
            <w:shd w:val="clear" w:color="auto" w:fill="auto"/>
            <w:vAlign w:val="center"/>
            <w:hideMark/>
          </w:tcPr>
          <w:p w:rsidR="000D47B3" w:rsidRPr="00EA6851" w:rsidRDefault="000D47B3" w:rsidP="000D47B3">
            <w:pPr>
              <w:jc w:val="center"/>
              <w:rPr>
                <w:rFonts w:eastAsia="Times New Roman" w:cs="Times New Roman"/>
                <w:b/>
                <w:sz w:val="18"/>
                <w:szCs w:val="18"/>
              </w:rPr>
            </w:pPr>
            <w:r w:rsidRPr="00EA6851">
              <w:rPr>
                <w:rFonts w:eastAsia="Times New Roman" w:cs="Times New Roman"/>
                <w:b/>
                <w:sz w:val="18"/>
                <w:szCs w:val="18"/>
              </w:rPr>
              <w:t>Целева стойност</w:t>
            </w:r>
          </w:p>
        </w:tc>
      </w:tr>
      <w:tr w:rsidR="000D47B3" w:rsidRPr="00EA6851" w:rsidTr="00734A76">
        <w:trPr>
          <w:trHeight w:val="70"/>
          <w:tblHeader/>
        </w:trPr>
        <w:tc>
          <w:tcPr>
            <w:tcW w:w="2217" w:type="pct"/>
            <w:tcBorders>
              <w:bottom w:val="single" w:sz="4" w:space="0" w:color="auto"/>
            </w:tcBorders>
            <w:shd w:val="clear" w:color="auto" w:fill="auto"/>
            <w:vAlign w:val="center"/>
            <w:hideMark/>
          </w:tcPr>
          <w:p w:rsidR="000D47B3" w:rsidRPr="00EA6851" w:rsidRDefault="000D47B3" w:rsidP="000D47B3">
            <w:pPr>
              <w:jc w:val="center"/>
              <w:rPr>
                <w:rFonts w:eastAsia="Times New Roman" w:cs="Times New Roman"/>
                <w:b/>
                <w:sz w:val="18"/>
                <w:szCs w:val="18"/>
              </w:rPr>
            </w:pPr>
            <w:r w:rsidRPr="00EA6851">
              <w:rPr>
                <w:rFonts w:eastAsia="Times New Roman" w:cs="Times New Roman"/>
                <w:b/>
                <w:sz w:val="18"/>
                <w:szCs w:val="18"/>
              </w:rPr>
              <w:t>Наименование на индикатора</w:t>
            </w:r>
          </w:p>
        </w:tc>
        <w:tc>
          <w:tcPr>
            <w:tcW w:w="662" w:type="pct"/>
            <w:vMerge/>
            <w:tcBorders>
              <w:bottom w:val="single" w:sz="4" w:space="0" w:color="auto"/>
            </w:tcBorders>
            <w:shd w:val="clear" w:color="000000" w:fill="F2F2F2"/>
            <w:vAlign w:val="center"/>
            <w:hideMark/>
          </w:tcPr>
          <w:p w:rsidR="000D47B3" w:rsidRPr="00EA6851" w:rsidRDefault="000D47B3" w:rsidP="000D47B3">
            <w:pPr>
              <w:jc w:val="center"/>
              <w:rPr>
                <w:rFonts w:eastAsia="Times New Roman" w:cs="Times New Roman"/>
                <w:b/>
                <w:i/>
                <w:sz w:val="18"/>
                <w:szCs w:val="18"/>
              </w:rPr>
            </w:pPr>
          </w:p>
        </w:tc>
        <w:tc>
          <w:tcPr>
            <w:tcW w:w="551" w:type="pct"/>
            <w:tcBorders>
              <w:top w:val="single" w:sz="4" w:space="0" w:color="auto"/>
              <w:left w:val="nil"/>
              <w:bottom w:val="single" w:sz="4" w:space="0" w:color="auto"/>
              <w:right w:val="nil"/>
            </w:tcBorders>
            <w:vAlign w:val="center"/>
            <w:hideMark/>
          </w:tcPr>
          <w:p w:rsidR="000D47B3" w:rsidRPr="00EA6851" w:rsidRDefault="000D47B3" w:rsidP="000D47B3">
            <w:pPr>
              <w:jc w:val="center"/>
              <w:rPr>
                <w:rFonts w:eastAsia="Times New Roman" w:cs="Times New Roman"/>
                <w:b/>
                <w:i/>
                <w:sz w:val="18"/>
                <w:szCs w:val="18"/>
              </w:rPr>
            </w:pPr>
            <w:r w:rsidRPr="00EA6851">
              <w:rPr>
                <w:rFonts w:eastAsia="Times New Roman" w:cs="Times New Roman"/>
                <w:b/>
                <w:i/>
                <w:sz w:val="18"/>
                <w:szCs w:val="18"/>
              </w:rPr>
              <w:t>Програма 2023 г.</w:t>
            </w:r>
          </w:p>
        </w:tc>
        <w:tc>
          <w:tcPr>
            <w:tcW w:w="515" w:type="pct"/>
            <w:tcBorders>
              <w:top w:val="single" w:sz="4" w:space="0" w:color="auto"/>
              <w:left w:val="nil"/>
              <w:bottom w:val="single" w:sz="4" w:space="0" w:color="auto"/>
              <w:right w:val="nil"/>
            </w:tcBorders>
            <w:vAlign w:val="center"/>
            <w:hideMark/>
          </w:tcPr>
          <w:p w:rsidR="000D47B3" w:rsidRPr="00EA6851" w:rsidRDefault="000D47B3" w:rsidP="000D47B3">
            <w:pPr>
              <w:jc w:val="center"/>
              <w:rPr>
                <w:rFonts w:eastAsia="Times New Roman" w:cs="Times New Roman"/>
                <w:b/>
                <w:i/>
                <w:sz w:val="18"/>
                <w:szCs w:val="18"/>
              </w:rPr>
            </w:pPr>
            <w:r w:rsidRPr="00EA6851">
              <w:rPr>
                <w:rFonts w:eastAsia="Times New Roman" w:cs="Times New Roman"/>
                <w:b/>
                <w:i/>
                <w:sz w:val="18"/>
                <w:szCs w:val="18"/>
              </w:rPr>
              <w:t>Проект 2024 г.</w:t>
            </w:r>
          </w:p>
        </w:tc>
        <w:tc>
          <w:tcPr>
            <w:tcW w:w="528" w:type="pct"/>
            <w:tcBorders>
              <w:top w:val="single" w:sz="4" w:space="0" w:color="auto"/>
              <w:left w:val="nil"/>
              <w:bottom w:val="single" w:sz="4" w:space="0" w:color="auto"/>
              <w:right w:val="nil"/>
            </w:tcBorders>
            <w:vAlign w:val="center"/>
            <w:hideMark/>
          </w:tcPr>
          <w:p w:rsidR="000D47B3" w:rsidRPr="00EA6851" w:rsidRDefault="000D47B3" w:rsidP="000D47B3">
            <w:pPr>
              <w:jc w:val="center"/>
              <w:rPr>
                <w:rFonts w:eastAsia="Times New Roman" w:cs="Times New Roman"/>
                <w:b/>
                <w:i/>
                <w:sz w:val="18"/>
                <w:szCs w:val="18"/>
              </w:rPr>
            </w:pPr>
            <w:r w:rsidRPr="00EA6851">
              <w:rPr>
                <w:rFonts w:eastAsia="Times New Roman" w:cs="Times New Roman"/>
                <w:b/>
                <w:i/>
                <w:sz w:val="18"/>
                <w:szCs w:val="18"/>
              </w:rPr>
              <w:t>Прогноза 2025 г.</w:t>
            </w:r>
          </w:p>
        </w:tc>
        <w:tc>
          <w:tcPr>
            <w:tcW w:w="527" w:type="pct"/>
            <w:tcBorders>
              <w:top w:val="single" w:sz="4" w:space="0" w:color="auto"/>
              <w:left w:val="nil"/>
              <w:bottom w:val="single" w:sz="4" w:space="0" w:color="auto"/>
              <w:right w:val="nil"/>
            </w:tcBorders>
            <w:vAlign w:val="center"/>
            <w:hideMark/>
          </w:tcPr>
          <w:p w:rsidR="000D47B3" w:rsidRPr="00EA6851" w:rsidRDefault="000D47B3" w:rsidP="000D47B3">
            <w:pPr>
              <w:jc w:val="center"/>
              <w:rPr>
                <w:rFonts w:eastAsia="Times New Roman" w:cs="Times New Roman"/>
                <w:b/>
                <w:i/>
                <w:sz w:val="18"/>
                <w:szCs w:val="18"/>
              </w:rPr>
            </w:pPr>
            <w:r w:rsidRPr="00EA6851">
              <w:rPr>
                <w:rFonts w:eastAsia="Times New Roman" w:cs="Times New Roman"/>
                <w:b/>
                <w:i/>
                <w:sz w:val="18"/>
                <w:szCs w:val="18"/>
              </w:rPr>
              <w:t>Прогноза 2026 г.</w:t>
            </w:r>
          </w:p>
        </w:tc>
      </w:tr>
      <w:tr w:rsidR="000D47B3" w:rsidRPr="00EA6851" w:rsidTr="00734A76">
        <w:trPr>
          <w:trHeight w:val="1020"/>
        </w:trPr>
        <w:tc>
          <w:tcPr>
            <w:tcW w:w="2217" w:type="pct"/>
            <w:tcBorders>
              <w:top w:val="single" w:sz="4" w:space="0" w:color="auto"/>
              <w:left w:val="nil"/>
              <w:bottom w:val="nil"/>
              <w:right w:val="nil"/>
            </w:tcBorders>
            <w:vAlign w:val="center"/>
            <w:hideMark/>
          </w:tcPr>
          <w:p w:rsidR="000D47B3" w:rsidRPr="00EA6851" w:rsidRDefault="000D47B3" w:rsidP="000D47B3">
            <w:pPr>
              <w:rPr>
                <w:rFonts w:eastAsia="Times New Roman" w:cs="Times New Roman"/>
                <w:sz w:val="18"/>
                <w:szCs w:val="18"/>
              </w:rPr>
            </w:pPr>
            <w:r w:rsidRPr="00EA6851">
              <w:rPr>
                <w:rFonts w:eastAsia="Times New Roman" w:cs="Times New Roman"/>
                <w:sz w:val="18"/>
                <w:szCs w:val="18"/>
              </w:rPr>
              <w:t>1. Относителен дял на обхванатите младежи от услуги за младите хора на възраст 15-29 г. по Националната програма за младежта от общия брой младежи на същата възраст в страната</w:t>
            </w:r>
          </w:p>
        </w:tc>
        <w:tc>
          <w:tcPr>
            <w:tcW w:w="662" w:type="pct"/>
            <w:tcBorders>
              <w:top w:val="single" w:sz="4" w:space="0" w:color="auto"/>
              <w:left w:val="nil"/>
              <w:bottom w:val="nil"/>
              <w:right w:val="nil"/>
            </w:tcBorders>
            <w:shd w:val="clear" w:color="000000" w:fill="F2F2F2"/>
            <w:vAlign w:val="center"/>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w:t>
            </w:r>
          </w:p>
        </w:tc>
        <w:tc>
          <w:tcPr>
            <w:tcW w:w="551" w:type="pct"/>
            <w:tcBorders>
              <w:top w:val="single" w:sz="4" w:space="0" w:color="auto"/>
              <w:left w:val="nil"/>
              <w:bottom w:val="nil"/>
              <w:right w:val="nil"/>
            </w:tcBorders>
            <w:vAlign w:val="center"/>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16,5</w:t>
            </w:r>
          </w:p>
        </w:tc>
        <w:tc>
          <w:tcPr>
            <w:tcW w:w="515" w:type="pct"/>
            <w:tcBorders>
              <w:top w:val="single" w:sz="4" w:space="0" w:color="auto"/>
              <w:left w:val="nil"/>
              <w:bottom w:val="nil"/>
              <w:right w:val="nil"/>
            </w:tcBorders>
            <w:vAlign w:val="center"/>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16,5</w:t>
            </w:r>
          </w:p>
        </w:tc>
        <w:tc>
          <w:tcPr>
            <w:tcW w:w="528" w:type="pct"/>
            <w:tcBorders>
              <w:top w:val="single" w:sz="4" w:space="0" w:color="auto"/>
              <w:left w:val="nil"/>
              <w:bottom w:val="nil"/>
              <w:right w:val="nil"/>
            </w:tcBorders>
            <w:vAlign w:val="center"/>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16,5</w:t>
            </w:r>
          </w:p>
        </w:tc>
        <w:tc>
          <w:tcPr>
            <w:tcW w:w="527" w:type="pct"/>
            <w:tcBorders>
              <w:top w:val="single" w:sz="4" w:space="0" w:color="auto"/>
              <w:left w:val="nil"/>
              <w:bottom w:val="nil"/>
              <w:right w:val="nil"/>
            </w:tcBorders>
            <w:vAlign w:val="center"/>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16,5</w:t>
            </w:r>
          </w:p>
        </w:tc>
      </w:tr>
      <w:tr w:rsidR="000D47B3" w:rsidRPr="00EA6851" w:rsidTr="00734A76">
        <w:trPr>
          <w:trHeight w:val="1545"/>
        </w:trPr>
        <w:tc>
          <w:tcPr>
            <w:tcW w:w="2217" w:type="pct"/>
            <w:tcBorders>
              <w:top w:val="nil"/>
              <w:left w:val="nil"/>
              <w:bottom w:val="single" w:sz="4" w:space="0" w:color="auto"/>
              <w:right w:val="nil"/>
            </w:tcBorders>
            <w:vAlign w:val="center"/>
            <w:hideMark/>
          </w:tcPr>
          <w:p w:rsidR="000D47B3" w:rsidRPr="00EA6851" w:rsidRDefault="000D47B3" w:rsidP="000D47B3">
            <w:pPr>
              <w:rPr>
                <w:rFonts w:eastAsia="Times New Roman" w:cs="Times New Roman"/>
                <w:sz w:val="18"/>
                <w:szCs w:val="18"/>
              </w:rPr>
            </w:pPr>
            <w:r w:rsidRPr="00EA6851">
              <w:rPr>
                <w:rFonts w:eastAsia="Times New Roman" w:cs="Times New Roman"/>
                <w:sz w:val="18"/>
                <w:szCs w:val="18"/>
              </w:rPr>
              <w:t>2. Относителен дял на обхванатите младежи от разнообразни инициативи за младите хора на възраст 15-29 г. по Националната програма за изпълнение на младежки дейности (по чл. 10а от Закона за хазарта) от общия брой младежи на същата възраст в страната</w:t>
            </w:r>
          </w:p>
        </w:tc>
        <w:tc>
          <w:tcPr>
            <w:tcW w:w="662" w:type="pct"/>
            <w:tcBorders>
              <w:top w:val="nil"/>
              <w:left w:val="nil"/>
              <w:bottom w:val="single" w:sz="4" w:space="0" w:color="auto"/>
              <w:right w:val="nil"/>
            </w:tcBorders>
            <w:shd w:val="clear" w:color="000000" w:fill="F2F2F2"/>
            <w:vAlign w:val="center"/>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w:t>
            </w:r>
          </w:p>
        </w:tc>
        <w:tc>
          <w:tcPr>
            <w:tcW w:w="551" w:type="pct"/>
            <w:tcBorders>
              <w:top w:val="nil"/>
              <w:left w:val="nil"/>
              <w:bottom w:val="single" w:sz="4" w:space="0" w:color="auto"/>
              <w:right w:val="nil"/>
            </w:tcBorders>
            <w:vAlign w:val="center"/>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20,0</w:t>
            </w:r>
          </w:p>
        </w:tc>
        <w:tc>
          <w:tcPr>
            <w:tcW w:w="515" w:type="pct"/>
            <w:tcBorders>
              <w:top w:val="nil"/>
              <w:left w:val="nil"/>
              <w:bottom w:val="single" w:sz="4" w:space="0" w:color="auto"/>
              <w:right w:val="nil"/>
            </w:tcBorders>
            <w:vAlign w:val="center"/>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20,0</w:t>
            </w:r>
          </w:p>
        </w:tc>
        <w:tc>
          <w:tcPr>
            <w:tcW w:w="528" w:type="pct"/>
            <w:tcBorders>
              <w:top w:val="nil"/>
              <w:left w:val="nil"/>
              <w:bottom w:val="single" w:sz="4" w:space="0" w:color="auto"/>
              <w:right w:val="nil"/>
            </w:tcBorders>
            <w:vAlign w:val="center"/>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20,0</w:t>
            </w:r>
          </w:p>
        </w:tc>
        <w:tc>
          <w:tcPr>
            <w:tcW w:w="527" w:type="pct"/>
            <w:tcBorders>
              <w:top w:val="nil"/>
              <w:left w:val="nil"/>
              <w:bottom w:val="single" w:sz="4" w:space="0" w:color="auto"/>
              <w:right w:val="nil"/>
            </w:tcBorders>
            <w:vAlign w:val="center"/>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20,0</w:t>
            </w:r>
          </w:p>
        </w:tc>
      </w:tr>
    </w:tbl>
    <w:p w:rsidR="000D47B3" w:rsidRPr="00EA6851" w:rsidRDefault="000D47B3" w:rsidP="000D47B3">
      <w:pPr>
        <w:spacing w:after="120"/>
        <w:rPr>
          <w:rFonts w:eastAsia="Times New Roman" w:cs="Times New Roman"/>
        </w:rPr>
      </w:pPr>
    </w:p>
    <w:p w:rsidR="000D47B3" w:rsidRPr="00EA6851" w:rsidRDefault="000D47B3" w:rsidP="000D47B3">
      <w:pPr>
        <w:rPr>
          <w:rFonts w:eastAsia="Times New Roman" w:cs="Times New Roman"/>
        </w:rPr>
      </w:pPr>
      <w:r w:rsidRPr="00EA6851">
        <w:rPr>
          <w:rFonts w:eastAsia="Times New Roman" w:cs="Times New Roman"/>
        </w:rPr>
        <w:t xml:space="preserve">Основните цели и дейности в областта на младите хора се реализират по две национални програми – Национална програма за младежта и Национална програма за изпълнение на младежки дейности по чл. 10а от Закона за хазарта. </w:t>
      </w:r>
    </w:p>
    <w:p w:rsidR="000D47B3" w:rsidRPr="00EA6851" w:rsidRDefault="000D47B3" w:rsidP="000D47B3">
      <w:pPr>
        <w:rPr>
          <w:rFonts w:eastAsia="Times New Roman" w:cs="Times New Roman"/>
        </w:rPr>
      </w:pPr>
      <w:r w:rsidRPr="00EA6851">
        <w:rPr>
          <w:rFonts w:eastAsia="Times New Roman" w:cs="Times New Roman"/>
        </w:rPr>
        <w:t>Осъществяваните дейности и инициативи допринасят за развитието на младите хора, активиране на неактивни млади хора, чрез конкретни възможности, следвайки модела и техниките на неформалното образование и учене, посредством интерактивни методи. Програмите са ефективни инструменти за достигане на млади хора от 15-29 г., като спомагат за тяхното ефективно и устойчиво развитие.</w:t>
      </w:r>
    </w:p>
    <w:p w:rsidR="000D47B3" w:rsidRPr="00EA6851" w:rsidRDefault="000D47B3" w:rsidP="000D47B3">
      <w:pPr>
        <w:rPr>
          <w:rFonts w:eastAsia="Times New Roman" w:cs="Times New Roman"/>
        </w:rPr>
      </w:pPr>
      <w:r w:rsidRPr="00EA6851">
        <w:rPr>
          <w:rFonts w:eastAsia="Times New Roman" w:cs="Times New Roman"/>
        </w:rPr>
        <w:t>Индикаторите измерват следните цели:</w:t>
      </w:r>
    </w:p>
    <w:p w:rsidR="000D47B3" w:rsidRPr="00EA6851" w:rsidRDefault="000D47B3" w:rsidP="00B30642">
      <w:pPr>
        <w:numPr>
          <w:ilvl w:val="0"/>
          <w:numId w:val="29"/>
        </w:numPr>
        <w:rPr>
          <w:rFonts w:eastAsia="Times New Roman" w:cs="Times New Roman"/>
        </w:rPr>
      </w:pPr>
      <w:r w:rsidRPr="00EA6851">
        <w:rPr>
          <w:rFonts w:eastAsia="Times New Roman" w:cs="Times New Roman"/>
        </w:rPr>
        <w:t xml:space="preserve">Осигуряване на подкрепяща и насърчаваща среда за личностна, професионална и социална реализация на младите хора в страната чрез изграждане на социално отговорно поведение и превенция на различни форми </w:t>
      </w:r>
      <w:r w:rsidR="007C6782" w:rsidRPr="00EA6851">
        <w:rPr>
          <w:rFonts w:eastAsia="Times New Roman" w:cs="Times New Roman"/>
        </w:rPr>
        <w:t xml:space="preserve">на </w:t>
      </w:r>
      <w:r w:rsidRPr="00EA6851">
        <w:rPr>
          <w:rFonts w:eastAsia="Times New Roman" w:cs="Times New Roman"/>
        </w:rPr>
        <w:t>зависимости и/или агресия, с което да се подобрят качеството на живот и средата, в която живеят и общуват младите хора;</w:t>
      </w:r>
    </w:p>
    <w:p w:rsidR="000D47B3" w:rsidRPr="00EA6851" w:rsidRDefault="000D47B3" w:rsidP="00B30642">
      <w:pPr>
        <w:numPr>
          <w:ilvl w:val="0"/>
          <w:numId w:val="29"/>
        </w:numPr>
        <w:rPr>
          <w:rFonts w:eastAsia="Times New Roman" w:cs="Times New Roman"/>
        </w:rPr>
      </w:pPr>
      <w:r w:rsidRPr="00EA6851">
        <w:rPr>
          <w:rFonts w:eastAsia="Times New Roman" w:cs="Times New Roman"/>
        </w:rPr>
        <w:t>Улесняване на достъпа до качествени услуги за специална подкрепа на пълноценното личностно и обществено развитие на младите хора в съответствие с потребностите и интересите им.</w:t>
      </w:r>
    </w:p>
    <w:p w:rsidR="000D47B3" w:rsidRPr="00EA6851" w:rsidRDefault="000D47B3" w:rsidP="000D47B3">
      <w:r w:rsidRPr="00EA6851">
        <w:t>За реализирането на тази политика чрез мерки за развитие на младите хора за периода 2024-2026 г. по държавния бюджет са разчетени средства по години, както следва: 2024 г. – 8,5 млн. лв.; 2025 г. – 8,7 млн. лв. и 2026 г. – 8,7 млн. лв. Финансирането на тази политика се допълва и със средства от ЕС по различни програми.</w:t>
      </w:r>
    </w:p>
    <w:p w:rsidR="000D47B3" w:rsidRPr="00EA6851" w:rsidRDefault="000D47B3" w:rsidP="000D47B3">
      <w:r w:rsidRPr="00EA6851">
        <w:t xml:space="preserve">Основните приоритети в </w:t>
      </w:r>
      <w:r w:rsidRPr="00EA6851">
        <w:rPr>
          <w:b/>
        </w:rPr>
        <w:t>областта на спорта</w:t>
      </w:r>
      <w:r w:rsidRPr="00EA6851">
        <w:t xml:space="preserve"> са укрепването на здравето и физическата активност, практикуването на спорт от всички и развитие на спорта за високи постижения.</w:t>
      </w:r>
    </w:p>
    <w:p w:rsidR="000D47B3" w:rsidRPr="00EA6851" w:rsidRDefault="000D47B3" w:rsidP="000D47B3">
      <w:r w:rsidRPr="00EA6851">
        <w:t xml:space="preserve">За периода 2024-2026 г. са осигурени условия за изпълнение на целите и дейностите във връзка с реализирането на приоритетите на провежданите политики в областта на спорта. </w:t>
      </w:r>
    </w:p>
    <w:p w:rsidR="000D47B3" w:rsidRPr="00EA6851" w:rsidRDefault="000D47B3" w:rsidP="000D47B3">
      <w:r w:rsidRPr="00EA6851">
        <w:t>За прогнозния период са разчетени разходи за реализиране на дейности в областта на физическото възпитание, физическата активност, спорта и спортно-туристическата дейност.</w:t>
      </w:r>
    </w:p>
    <w:p w:rsidR="000D47B3" w:rsidRPr="00EA6851" w:rsidRDefault="000D47B3" w:rsidP="000D47B3">
      <w:r w:rsidRPr="00EA6851">
        <w:t>За периода са разчетени и разходи за финансиране на дейности в областта на физическото възпитание, спорта и културата за сметка на постъпления от хазартните игри, организирани от Държавно предприятие „Български спортен тотализатор“, съгласно разпоредбите на Закона за хазарта</w:t>
      </w:r>
      <w:r w:rsidR="007C6782" w:rsidRPr="00EA6851">
        <w:t>, както следва</w:t>
      </w:r>
      <w:r w:rsidRPr="00EA6851">
        <w:t>:</w:t>
      </w:r>
    </w:p>
    <w:p w:rsidR="000D47B3" w:rsidRPr="00EA6851" w:rsidRDefault="000D47B3" w:rsidP="00B30642">
      <w:pPr>
        <w:numPr>
          <w:ilvl w:val="0"/>
          <w:numId w:val="30"/>
        </w:numPr>
      </w:pPr>
      <w:r w:rsidRPr="00EA6851">
        <w:t xml:space="preserve">капиталови разходи </w:t>
      </w:r>
      <w:r w:rsidR="00A73BF9" w:rsidRPr="00A73BF9">
        <w:t>с индикативен размер до 3,8 млн. лв.</w:t>
      </w:r>
      <w:r w:rsidR="00A73BF9">
        <w:t xml:space="preserve"> </w:t>
      </w:r>
      <w:r w:rsidRPr="00A73BF9">
        <w:t>з</w:t>
      </w:r>
      <w:r w:rsidRPr="00EA6851">
        <w:t>а поддържане, ремонт, реконструкция, цялостно обновяване или създаване на нови спортни обекти и/или спортни съоръжения в държавните и общинските училища въз основа на съвместна годишна програма на министъра на младежта и спорта и министъра на образованието и науката съгласно чл. 14, ал. 3, т. 2 от Закона за хазарта;</w:t>
      </w:r>
    </w:p>
    <w:p w:rsidR="000D47B3" w:rsidRPr="00EA6851" w:rsidRDefault="000D47B3" w:rsidP="00B30642">
      <w:pPr>
        <w:numPr>
          <w:ilvl w:val="0"/>
          <w:numId w:val="30"/>
        </w:numPr>
      </w:pPr>
      <w:r w:rsidRPr="00EA6851">
        <w:t xml:space="preserve">дейности, финансирани от Национален фонд „Култура“ съгласно чл. 14, ал. 3, т. 3 от Закона за хазарта – 3,8 млн. лв. </w:t>
      </w:r>
    </w:p>
    <w:p w:rsidR="000D47B3" w:rsidRPr="00EA6851" w:rsidRDefault="000D47B3" w:rsidP="000D47B3">
      <w:pPr>
        <w:spacing w:before="120"/>
        <w:rPr>
          <w:rFonts w:eastAsia="Times New Roman" w:cs="Times New Roman"/>
        </w:rPr>
      </w:pPr>
      <w:r w:rsidRPr="00EA6851">
        <w:t xml:space="preserve">Съгласно § 9, ал. 2 от преходните и заключителните разпоредби на Закона за хазарта в проектобюджета на Министерството на младежта и спорта за 2024 г. и в бюджетни прогнози на министерството за 2025 </w:t>
      </w:r>
      <w:r w:rsidR="002B1C4C" w:rsidRPr="00EA6851">
        <w:t xml:space="preserve">г. </w:t>
      </w:r>
      <w:r w:rsidRPr="00EA6851">
        <w:t>и 2026 г. са предвидени разходи за дейности в областта на физическото възпитание, физическата активност, спорта и спортно-туристическата дейност до размера на данъка по Закона за корпоративното подоходно облагане, таксата по чл. 30, ал. 3 и променливата част на таксата по чл. 30, ал. 4, внесени през 2022 г. в държавния бюджет от Държавно предприятие „Български спортен тотализатор“ – 50,4 млн. лв.</w:t>
      </w:r>
    </w:p>
    <w:p w:rsidR="000D47B3" w:rsidRPr="00EA6851" w:rsidRDefault="000D47B3" w:rsidP="000D47B3">
      <w:pPr>
        <w:pStyle w:val="Heading4"/>
        <w:spacing w:before="0" w:after="200"/>
        <w:rPr>
          <w:rFonts w:eastAsia="Times New Roman"/>
        </w:rPr>
      </w:pPr>
      <w:r w:rsidRPr="00EA6851">
        <w:rPr>
          <w:rFonts w:eastAsia="Times New Roman"/>
        </w:rPr>
        <w:t>Политика в областта на спорта за учащи и спорта в свободното време</w:t>
      </w:r>
    </w:p>
    <w:p w:rsidR="000D47B3" w:rsidRPr="00EA6851" w:rsidRDefault="000D47B3" w:rsidP="000D47B3">
      <w:pPr>
        <w:rPr>
          <w:rFonts w:eastAsia="Times New Roman" w:cs="Times New Roman"/>
        </w:rPr>
      </w:pPr>
      <w:r w:rsidRPr="00EA6851">
        <w:rPr>
          <w:rFonts w:eastAsia="Times New Roman" w:cs="Times New Roman"/>
        </w:rPr>
        <w:t>Приоритетите на политиката в областта на спорта за учащи, в т. ч. деца в риск, са насочени към насърчаване на учащите от различните възрастови групи към физическа активност, здравословен начин на живот и създаване на навици за занимания със спорт. Водеща цел на политиката по отношение на спортните училища е свързана с осигуряване на условия за качествен подбор на деца със спортен талант, конкурентна среда за развитие, възможности за спортно усъвършенстване, създаване на възможности за реализиране на „двойна кариера“ и мотивираща среда за професионалната и личностната реализация на спортистите.</w:t>
      </w:r>
    </w:p>
    <w:p w:rsidR="000D47B3" w:rsidRPr="00EA6851" w:rsidRDefault="000D47B3" w:rsidP="000D47B3">
      <w:pPr>
        <w:rPr>
          <w:rFonts w:eastAsia="Times New Roman" w:cs="Times New Roman"/>
        </w:rPr>
      </w:pPr>
      <w:r w:rsidRPr="00EA6851">
        <w:rPr>
          <w:rFonts w:eastAsia="Times New Roman" w:cs="Times New Roman"/>
        </w:rPr>
        <w:t>Приоритетите на политиката в областта на спорта в свободното време (спорта за всички и спортно-туристическата дейност) са насочени към укрепване на здравето на гражданите чрез здравословна физическа активност и осигуряване на условия за практикуване на спорт, изява и реализиране на лични спортни резултати, увеличаване броя на лицата, практикуващи спорт като средство за профилактика, поддържане и съхраняване на здравето и на тяхната физическа дееспособност.</w:t>
      </w:r>
    </w:p>
    <w:p w:rsidR="000D47B3" w:rsidRPr="00EA6851" w:rsidRDefault="000D47B3" w:rsidP="000D47B3">
      <w:pPr>
        <w:rPr>
          <w:rFonts w:eastAsia="Times New Roman" w:cs="Times New Roman"/>
          <w:b/>
          <w:sz w:val="20"/>
          <w:szCs w:val="20"/>
        </w:rPr>
      </w:pPr>
      <w:r w:rsidRPr="00EA6851">
        <w:rPr>
          <w:rFonts w:eastAsia="Times New Roman" w:cs="Times New Roman"/>
          <w:b/>
          <w:sz w:val="20"/>
          <w:szCs w:val="20"/>
        </w:rPr>
        <w:t>КЛЮЧОВИ ИНДИКАТОРИ ЗА ИЗПЪЛНЕНИЕ И ЦЕЛЕВИ СТОЙНОСТИ</w:t>
      </w:r>
    </w:p>
    <w:tbl>
      <w:tblPr>
        <w:tblW w:w="5000" w:type="pct"/>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4259"/>
        <w:gridCol w:w="1058"/>
        <w:gridCol w:w="1058"/>
        <w:gridCol w:w="893"/>
        <w:gridCol w:w="877"/>
        <w:gridCol w:w="925"/>
      </w:tblGrid>
      <w:tr w:rsidR="000D47B3" w:rsidRPr="00EA6851" w:rsidTr="00734A76">
        <w:trPr>
          <w:trHeight w:val="60"/>
          <w:tblHeader/>
          <w:jc w:val="center"/>
        </w:trPr>
        <w:tc>
          <w:tcPr>
            <w:tcW w:w="2353" w:type="pct"/>
            <w:tcBorders>
              <w:top w:val="single" w:sz="4" w:space="0" w:color="auto"/>
              <w:left w:val="nil"/>
              <w:bottom w:val="nil"/>
              <w:right w:val="nil"/>
            </w:tcBorders>
            <w:vAlign w:val="center"/>
            <w:hideMark/>
          </w:tcPr>
          <w:p w:rsidR="000D47B3" w:rsidRPr="00EA6851" w:rsidRDefault="000D47B3" w:rsidP="000D47B3">
            <w:pPr>
              <w:jc w:val="center"/>
              <w:rPr>
                <w:rFonts w:eastAsia="Times New Roman" w:cs="Times New Roman"/>
                <w:b/>
                <w:i/>
                <w:sz w:val="18"/>
                <w:szCs w:val="18"/>
              </w:rPr>
            </w:pPr>
            <w:r w:rsidRPr="00EA6851">
              <w:rPr>
                <w:rFonts w:eastAsia="Times New Roman" w:cs="Times New Roman"/>
                <w:b/>
                <w:i/>
                <w:sz w:val="18"/>
                <w:szCs w:val="18"/>
              </w:rPr>
              <w:t>Политика в областта на спорта за учащи и спорта в свободното време</w:t>
            </w:r>
          </w:p>
        </w:tc>
        <w:tc>
          <w:tcPr>
            <w:tcW w:w="588" w:type="pct"/>
            <w:vMerge w:val="restart"/>
            <w:tcBorders>
              <w:top w:val="single" w:sz="4" w:space="0" w:color="auto"/>
              <w:left w:val="nil"/>
              <w:bottom w:val="single" w:sz="4" w:space="0" w:color="auto"/>
              <w:right w:val="nil"/>
            </w:tcBorders>
            <w:shd w:val="clear" w:color="auto" w:fill="F2F2F2"/>
            <w:vAlign w:val="center"/>
            <w:hideMark/>
          </w:tcPr>
          <w:p w:rsidR="000D47B3" w:rsidRPr="00EA6851" w:rsidRDefault="000D47B3" w:rsidP="000D47B3">
            <w:pPr>
              <w:jc w:val="center"/>
              <w:rPr>
                <w:rFonts w:eastAsia="Times New Roman" w:cs="Times New Roman"/>
                <w:b/>
                <w:sz w:val="18"/>
                <w:szCs w:val="18"/>
              </w:rPr>
            </w:pPr>
            <w:r w:rsidRPr="00EA6851">
              <w:rPr>
                <w:rFonts w:eastAsia="Times New Roman" w:cs="Times New Roman"/>
                <w:b/>
                <w:sz w:val="18"/>
                <w:szCs w:val="18"/>
              </w:rPr>
              <w:t>Мерна единица</w:t>
            </w:r>
          </w:p>
        </w:tc>
        <w:tc>
          <w:tcPr>
            <w:tcW w:w="2059" w:type="pct"/>
            <w:gridSpan w:val="4"/>
            <w:tcBorders>
              <w:top w:val="single" w:sz="4" w:space="0" w:color="auto"/>
              <w:left w:val="nil"/>
              <w:bottom w:val="single" w:sz="4" w:space="0" w:color="auto"/>
              <w:right w:val="nil"/>
            </w:tcBorders>
            <w:vAlign w:val="center"/>
            <w:hideMark/>
          </w:tcPr>
          <w:p w:rsidR="000D47B3" w:rsidRPr="00EA6851" w:rsidRDefault="000D47B3" w:rsidP="000D47B3">
            <w:pPr>
              <w:jc w:val="center"/>
              <w:rPr>
                <w:rFonts w:eastAsia="Times New Roman" w:cs="Times New Roman"/>
                <w:b/>
                <w:sz w:val="18"/>
                <w:szCs w:val="18"/>
              </w:rPr>
            </w:pPr>
            <w:r w:rsidRPr="00EA6851">
              <w:rPr>
                <w:rFonts w:eastAsia="Times New Roman" w:cs="Times New Roman"/>
                <w:b/>
                <w:sz w:val="18"/>
                <w:szCs w:val="18"/>
              </w:rPr>
              <w:t>Целева стойност</w:t>
            </w:r>
          </w:p>
        </w:tc>
      </w:tr>
      <w:tr w:rsidR="000D47B3" w:rsidRPr="00EA6851" w:rsidTr="00734A76">
        <w:trPr>
          <w:trHeight w:val="555"/>
          <w:tblHeader/>
          <w:jc w:val="center"/>
        </w:trPr>
        <w:tc>
          <w:tcPr>
            <w:tcW w:w="2353" w:type="pct"/>
            <w:tcBorders>
              <w:top w:val="nil"/>
              <w:left w:val="nil"/>
              <w:bottom w:val="single" w:sz="4" w:space="0" w:color="auto"/>
              <w:right w:val="nil"/>
            </w:tcBorders>
            <w:vAlign w:val="center"/>
            <w:hideMark/>
          </w:tcPr>
          <w:p w:rsidR="000D47B3" w:rsidRPr="00EA6851" w:rsidRDefault="000D47B3" w:rsidP="000D47B3">
            <w:pPr>
              <w:jc w:val="center"/>
              <w:rPr>
                <w:rFonts w:eastAsia="Times New Roman" w:cs="Times New Roman"/>
                <w:b/>
                <w:sz w:val="18"/>
                <w:szCs w:val="18"/>
              </w:rPr>
            </w:pPr>
            <w:r w:rsidRPr="00EA6851">
              <w:rPr>
                <w:rFonts w:eastAsia="Times New Roman" w:cs="Times New Roman"/>
                <w:b/>
                <w:sz w:val="18"/>
                <w:szCs w:val="18"/>
              </w:rPr>
              <w:t>Наименование на индикатора</w:t>
            </w:r>
          </w:p>
        </w:tc>
        <w:tc>
          <w:tcPr>
            <w:tcW w:w="588" w:type="pct"/>
            <w:vMerge/>
            <w:tcBorders>
              <w:top w:val="single" w:sz="4" w:space="0" w:color="auto"/>
              <w:left w:val="nil"/>
              <w:bottom w:val="single" w:sz="4" w:space="0" w:color="auto"/>
              <w:right w:val="nil"/>
            </w:tcBorders>
            <w:vAlign w:val="center"/>
            <w:hideMark/>
          </w:tcPr>
          <w:p w:rsidR="000D47B3" w:rsidRPr="00EA6851" w:rsidRDefault="000D47B3" w:rsidP="000D47B3">
            <w:pPr>
              <w:jc w:val="center"/>
              <w:rPr>
                <w:rFonts w:eastAsia="Times New Roman" w:cs="Times New Roman"/>
                <w:b/>
                <w:sz w:val="18"/>
                <w:szCs w:val="18"/>
              </w:rPr>
            </w:pPr>
          </w:p>
        </w:tc>
        <w:tc>
          <w:tcPr>
            <w:tcW w:w="588" w:type="pct"/>
            <w:tcBorders>
              <w:top w:val="single" w:sz="4" w:space="0" w:color="auto"/>
              <w:left w:val="nil"/>
              <w:bottom w:val="single" w:sz="4" w:space="0" w:color="auto"/>
              <w:right w:val="nil"/>
            </w:tcBorders>
            <w:vAlign w:val="center"/>
            <w:hideMark/>
          </w:tcPr>
          <w:p w:rsidR="000D47B3" w:rsidRPr="00EA6851" w:rsidRDefault="000D47B3" w:rsidP="000D47B3">
            <w:pPr>
              <w:jc w:val="center"/>
              <w:rPr>
                <w:rFonts w:eastAsia="Times New Roman" w:cs="Times New Roman"/>
                <w:b/>
                <w:i/>
                <w:sz w:val="18"/>
                <w:szCs w:val="18"/>
              </w:rPr>
            </w:pPr>
            <w:r w:rsidRPr="00EA6851">
              <w:rPr>
                <w:rFonts w:eastAsia="Times New Roman" w:cs="Times New Roman"/>
                <w:b/>
                <w:i/>
                <w:sz w:val="18"/>
                <w:szCs w:val="18"/>
              </w:rPr>
              <w:t>Програма   2023 г.</w:t>
            </w:r>
          </w:p>
        </w:tc>
        <w:tc>
          <w:tcPr>
            <w:tcW w:w="497" w:type="pct"/>
            <w:tcBorders>
              <w:top w:val="single" w:sz="4" w:space="0" w:color="auto"/>
              <w:left w:val="nil"/>
              <w:bottom w:val="single" w:sz="4" w:space="0" w:color="auto"/>
              <w:right w:val="nil"/>
            </w:tcBorders>
            <w:vAlign w:val="center"/>
            <w:hideMark/>
          </w:tcPr>
          <w:p w:rsidR="000D47B3" w:rsidRPr="00EA6851" w:rsidRDefault="000D47B3" w:rsidP="000D47B3">
            <w:pPr>
              <w:jc w:val="center"/>
              <w:rPr>
                <w:rFonts w:eastAsia="Times New Roman" w:cs="Times New Roman"/>
                <w:b/>
                <w:i/>
                <w:sz w:val="18"/>
                <w:szCs w:val="18"/>
              </w:rPr>
            </w:pPr>
            <w:r w:rsidRPr="00EA6851">
              <w:rPr>
                <w:rFonts w:eastAsia="Times New Roman" w:cs="Times New Roman"/>
                <w:b/>
                <w:i/>
                <w:sz w:val="18"/>
                <w:szCs w:val="18"/>
              </w:rPr>
              <w:t>Проект  2024 г.</w:t>
            </w:r>
          </w:p>
        </w:tc>
        <w:tc>
          <w:tcPr>
            <w:tcW w:w="459" w:type="pct"/>
            <w:tcBorders>
              <w:top w:val="single" w:sz="4" w:space="0" w:color="auto"/>
              <w:left w:val="nil"/>
              <w:bottom w:val="single" w:sz="4" w:space="0" w:color="auto"/>
              <w:right w:val="nil"/>
            </w:tcBorders>
            <w:vAlign w:val="center"/>
            <w:hideMark/>
          </w:tcPr>
          <w:p w:rsidR="000D47B3" w:rsidRPr="00EA6851" w:rsidRDefault="000D47B3" w:rsidP="000D47B3">
            <w:pPr>
              <w:jc w:val="center"/>
              <w:rPr>
                <w:rFonts w:eastAsia="Times New Roman" w:cs="Times New Roman"/>
                <w:b/>
                <w:i/>
                <w:sz w:val="18"/>
                <w:szCs w:val="18"/>
              </w:rPr>
            </w:pPr>
            <w:r w:rsidRPr="00EA6851">
              <w:rPr>
                <w:rFonts w:eastAsia="Times New Roman" w:cs="Times New Roman"/>
                <w:b/>
                <w:i/>
                <w:sz w:val="18"/>
                <w:szCs w:val="18"/>
              </w:rPr>
              <w:t>Прогноза 2025 г.</w:t>
            </w:r>
          </w:p>
        </w:tc>
        <w:tc>
          <w:tcPr>
            <w:tcW w:w="515" w:type="pct"/>
            <w:tcBorders>
              <w:top w:val="single" w:sz="4" w:space="0" w:color="auto"/>
              <w:left w:val="nil"/>
              <w:bottom w:val="single" w:sz="4" w:space="0" w:color="auto"/>
              <w:right w:val="nil"/>
            </w:tcBorders>
            <w:vAlign w:val="center"/>
            <w:hideMark/>
          </w:tcPr>
          <w:p w:rsidR="000D47B3" w:rsidRPr="00EA6851" w:rsidRDefault="000D47B3" w:rsidP="000D47B3">
            <w:pPr>
              <w:jc w:val="center"/>
              <w:rPr>
                <w:rFonts w:eastAsia="Times New Roman" w:cs="Times New Roman"/>
                <w:b/>
                <w:i/>
                <w:sz w:val="18"/>
                <w:szCs w:val="18"/>
              </w:rPr>
            </w:pPr>
            <w:r w:rsidRPr="00EA6851">
              <w:rPr>
                <w:rFonts w:eastAsia="Times New Roman" w:cs="Times New Roman"/>
                <w:b/>
                <w:i/>
                <w:sz w:val="18"/>
                <w:szCs w:val="18"/>
              </w:rPr>
              <w:t>Прогноза 2026 г.</w:t>
            </w:r>
          </w:p>
        </w:tc>
      </w:tr>
      <w:tr w:rsidR="000D47B3" w:rsidRPr="00EA6851" w:rsidTr="00734A76">
        <w:trPr>
          <w:trHeight w:val="144"/>
          <w:jc w:val="center"/>
        </w:trPr>
        <w:tc>
          <w:tcPr>
            <w:tcW w:w="2353" w:type="pct"/>
            <w:tcBorders>
              <w:top w:val="single" w:sz="4" w:space="0" w:color="auto"/>
              <w:left w:val="nil"/>
              <w:bottom w:val="nil"/>
              <w:right w:val="nil"/>
            </w:tcBorders>
            <w:hideMark/>
          </w:tcPr>
          <w:p w:rsidR="000D47B3" w:rsidRPr="00EA6851" w:rsidRDefault="000D47B3" w:rsidP="000D47B3">
            <w:pPr>
              <w:rPr>
                <w:rFonts w:eastAsia="Times New Roman" w:cs="Times New Roman"/>
                <w:sz w:val="18"/>
                <w:szCs w:val="18"/>
              </w:rPr>
            </w:pPr>
            <w:r w:rsidRPr="00EA6851">
              <w:rPr>
                <w:rFonts w:eastAsia="Times New Roman" w:cs="Times New Roman"/>
                <w:sz w:val="18"/>
                <w:szCs w:val="18"/>
              </w:rPr>
              <w:t>1. Относителен дял на обхванатите в спортни дейности, подпомагани от ММС ученици към общия брой на учениците</w:t>
            </w:r>
          </w:p>
        </w:tc>
        <w:tc>
          <w:tcPr>
            <w:tcW w:w="588" w:type="pct"/>
            <w:tcBorders>
              <w:top w:val="single" w:sz="4" w:space="0" w:color="auto"/>
              <w:left w:val="nil"/>
              <w:bottom w:val="nil"/>
              <w:right w:val="nil"/>
            </w:tcBorders>
            <w:shd w:val="clear" w:color="auto" w:fill="F2F2F2"/>
            <w:noWrap/>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w:t>
            </w:r>
          </w:p>
        </w:tc>
        <w:tc>
          <w:tcPr>
            <w:tcW w:w="588" w:type="pct"/>
            <w:tcBorders>
              <w:top w:val="single" w:sz="4" w:space="0" w:color="auto"/>
              <w:left w:val="nil"/>
              <w:bottom w:val="nil"/>
              <w:right w:val="nil"/>
            </w:tcBorders>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12,81</w:t>
            </w:r>
          </w:p>
        </w:tc>
        <w:tc>
          <w:tcPr>
            <w:tcW w:w="497" w:type="pct"/>
            <w:tcBorders>
              <w:top w:val="single" w:sz="4" w:space="0" w:color="auto"/>
              <w:left w:val="nil"/>
              <w:bottom w:val="nil"/>
              <w:right w:val="nil"/>
            </w:tcBorders>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12,81</w:t>
            </w:r>
          </w:p>
        </w:tc>
        <w:tc>
          <w:tcPr>
            <w:tcW w:w="459" w:type="pct"/>
            <w:tcBorders>
              <w:top w:val="single" w:sz="4" w:space="0" w:color="auto"/>
              <w:left w:val="nil"/>
              <w:bottom w:val="nil"/>
              <w:right w:val="nil"/>
            </w:tcBorders>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12,81</w:t>
            </w:r>
          </w:p>
        </w:tc>
        <w:tc>
          <w:tcPr>
            <w:tcW w:w="515" w:type="pct"/>
            <w:tcBorders>
              <w:top w:val="single" w:sz="4" w:space="0" w:color="auto"/>
              <w:left w:val="nil"/>
              <w:bottom w:val="nil"/>
              <w:right w:val="nil"/>
            </w:tcBorders>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12,81</w:t>
            </w:r>
          </w:p>
        </w:tc>
      </w:tr>
      <w:tr w:rsidR="000D47B3" w:rsidRPr="00EA6851" w:rsidTr="00734A76">
        <w:trPr>
          <w:trHeight w:val="250"/>
          <w:jc w:val="center"/>
        </w:trPr>
        <w:tc>
          <w:tcPr>
            <w:tcW w:w="2353" w:type="pct"/>
            <w:tcBorders>
              <w:top w:val="nil"/>
              <w:left w:val="nil"/>
              <w:bottom w:val="nil"/>
              <w:right w:val="nil"/>
            </w:tcBorders>
            <w:hideMark/>
          </w:tcPr>
          <w:p w:rsidR="000D47B3" w:rsidRPr="00EA6851" w:rsidRDefault="000D47B3" w:rsidP="000D47B3">
            <w:pPr>
              <w:rPr>
                <w:rFonts w:eastAsia="Times New Roman" w:cs="Times New Roman"/>
                <w:sz w:val="18"/>
                <w:szCs w:val="18"/>
              </w:rPr>
            </w:pPr>
            <w:r w:rsidRPr="00EA6851">
              <w:rPr>
                <w:rFonts w:eastAsia="Times New Roman" w:cs="Times New Roman"/>
                <w:sz w:val="18"/>
                <w:szCs w:val="18"/>
              </w:rPr>
              <w:t>2. Относителен дял на обхванатите в спортни дейности, подпомагани от ММС студенти към общия брой студенти</w:t>
            </w:r>
          </w:p>
        </w:tc>
        <w:tc>
          <w:tcPr>
            <w:tcW w:w="588" w:type="pct"/>
            <w:tcBorders>
              <w:top w:val="nil"/>
              <w:left w:val="nil"/>
              <w:bottom w:val="nil"/>
              <w:right w:val="nil"/>
            </w:tcBorders>
            <w:shd w:val="clear" w:color="auto" w:fill="F2F2F2"/>
            <w:noWrap/>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w:t>
            </w:r>
          </w:p>
        </w:tc>
        <w:tc>
          <w:tcPr>
            <w:tcW w:w="588" w:type="pct"/>
            <w:tcBorders>
              <w:top w:val="nil"/>
              <w:left w:val="nil"/>
              <w:bottom w:val="nil"/>
              <w:right w:val="nil"/>
            </w:tcBorders>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2,64</w:t>
            </w:r>
          </w:p>
        </w:tc>
        <w:tc>
          <w:tcPr>
            <w:tcW w:w="497" w:type="pct"/>
            <w:tcBorders>
              <w:top w:val="nil"/>
              <w:left w:val="nil"/>
              <w:bottom w:val="nil"/>
              <w:right w:val="nil"/>
            </w:tcBorders>
            <w:hideMark/>
          </w:tcPr>
          <w:p w:rsidR="000D47B3" w:rsidRPr="00EA6851" w:rsidRDefault="000D47B3" w:rsidP="008B7E9B">
            <w:pPr>
              <w:jc w:val="center"/>
              <w:rPr>
                <w:rFonts w:eastAsia="Times New Roman" w:cs="Times New Roman"/>
                <w:sz w:val="18"/>
                <w:szCs w:val="18"/>
              </w:rPr>
            </w:pPr>
            <w:r w:rsidRPr="00EA6851">
              <w:rPr>
                <w:rFonts w:eastAsia="Times New Roman" w:cs="Times New Roman"/>
                <w:sz w:val="18"/>
                <w:szCs w:val="18"/>
              </w:rPr>
              <w:t>2,</w:t>
            </w:r>
            <w:r w:rsidR="008B7E9B" w:rsidRPr="00EA6851">
              <w:rPr>
                <w:rFonts w:eastAsia="Times New Roman" w:cs="Times New Roman"/>
                <w:sz w:val="18"/>
                <w:szCs w:val="18"/>
              </w:rPr>
              <w:t>96</w:t>
            </w:r>
          </w:p>
        </w:tc>
        <w:tc>
          <w:tcPr>
            <w:tcW w:w="459" w:type="pct"/>
            <w:tcBorders>
              <w:top w:val="nil"/>
              <w:left w:val="nil"/>
              <w:bottom w:val="nil"/>
              <w:right w:val="nil"/>
            </w:tcBorders>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2,</w:t>
            </w:r>
            <w:r w:rsidR="008B7E9B" w:rsidRPr="00EA6851">
              <w:rPr>
                <w:rFonts w:eastAsia="Times New Roman" w:cs="Times New Roman"/>
                <w:sz w:val="18"/>
                <w:szCs w:val="18"/>
              </w:rPr>
              <w:t>96</w:t>
            </w:r>
          </w:p>
        </w:tc>
        <w:tc>
          <w:tcPr>
            <w:tcW w:w="515" w:type="pct"/>
            <w:tcBorders>
              <w:top w:val="nil"/>
              <w:left w:val="nil"/>
              <w:bottom w:val="nil"/>
              <w:right w:val="nil"/>
            </w:tcBorders>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2,</w:t>
            </w:r>
            <w:r w:rsidR="008B7E9B" w:rsidRPr="00EA6851">
              <w:rPr>
                <w:rFonts w:eastAsia="Times New Roman" w:cs="Times New Roman"/>
                <w:sz w:val="18"/>
                <w:szCs w:val="18"/>
              </w:rPr>
              <w:t>96</w:t>
            </w:r>
          </w:p>
        </w:tc>
      </w:tr>
      <w:tr w:rsidR="000D47B3" w:rsidRPr="00EA6851" w:rsidTr="00734A76">
        <w:trPr>
          <w:trHeight w:val="314"/>
          <w:jc w:val="center"/>
        </w:trPr>
        <w:tc>
          <w:tcPr>
            <w:tcW w:w="2353" w:type="pct"/>
            <w:tcBorders>
              <w:top w:val="nil"/>
              <w:left w:val="nil"/>
              <w:bottom w:val="single" w:sz="4" w:space="0" w:color="auto"/>
              <w:right w:val="nil"/>
            </w:tcBorders>
            <w:hideMark/>
          </w:tcPr>
          <w:p w:rsidR="000D47B3" w:rsidRPr="00EA6851" w:rsidRDefault="000D47B3" w:rsidP="000D47B3">
            <w:pPr>
              <w:rPr>
                <w:rFonts w:eastAsia="Times New Roman" w:cs="Times New Roman"/>
                <w:sz w:val="18"/>
                <w:szCs w:val="18"/>
              </w:rPr>
            </w:pPr>
            <w:r w:rsidRPr="00EA6851">
              <w:rPr>
                <w:rFonts w:eastAsia="Times New Roman" w:cs="Times New Roman"/>
                <w:sz w:val="18"/>
                <w:szCs w:val="18"/>
              </w:rPr>
              <w:t>3. Относителен дял на обхванатите в спортни дейности за спорт в свободното време, подпомагани от ММС лица към населението на Република България</w:t>
            </w:r>
          </w:p>
        </w:tc>
        <w:tc>
          <w:tcPr>
            <w:tcW w:w="588" w:type="pct"/>
            <w:tcBorders>
              <w:top w:val="nil"/>
              <w:left w:val="nil"/>
              <w:bottom w:val="single" w:sz="4" w:space="0" w:color="auto"/>
              <w:right w:val="nil"/>
            </w:tcBorders>
            <w:shd w:val="clear" w:color="auto" w:fill="F2F2F2"/>
            <w:noWrap/>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w:t>
            </w:r>
          </w:p>
        </w:tc>
        <w:tc>
          <w:tcPr>
            <w:tcW w:w="588" w:type="pct"/>
            <w:tcBorders>
              <w:top w:val="nil"/>
              <w:left w:val="nil"/>
              <w:bottom w:val="single" w:sz="4" w:space="0" w:color="auto"/>
              <w:right w:val="nil"/>
            </w:tcBorders>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2,85</w:t>
            </w:r>
          </w:p>
        </w:tc>
        <w:tc>
          <w:tcPr>
            <w:tcW w:w="497" w:type="pct"/>
            <w:tcBorders>
              <w:top w:val="nil"/>
              <w:left w:val="nil"/>
              <w:bottom w:val="single" w:sz="4" w:space="0" w:color="auto"/>
              <w:right w:val="nil"/>
            </w:tcBorders>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2,85</w:t>
            </w:r>
          </w:p>
        </w:tc>
        <w:tc>
          <w:tcPr>
            <w:tcW w:w="459" w:type="pct"/>
            <w:tcBorders>
              <w:top w:val="nil"/>
              <w:left w:val="nil"/>
              <w:bottom w:val="single" w:sz="4" w:space="0" w:color="auto"/>
              <w:right w:val="nil"/>
            </w:tcBorders>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2,85</w:t>
            </w:r>
          </w:p>
        </w:tc>
        <w:tc>
          <w:tcPr>
            <w:tcW w:w="515" w:type="pct"/>
            <w:tcBorders>
              <w:top w:val="nil"/>
              <w:left w:val="nil"/>
              <w:bottom w:val="single" w:sz="4" w:space="0" w:color="auto"/>
              <w:right w:val="nil"/>
            </w:tcBorders>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2,85</w:t>
            </w:r>
          </w:p>
        </w:tc>
      </w:tr>
    </w:tbl>
    <w:p w:rsidR="000D47B3" w:rsidRPr="00EA6851" w:rsidRDefault="000D47B3" w:rsidP="000D47B3">
      <w:pPr>
        <w:spacing w:after="120"/>
        <w:rPr>
          <w:rFonts w:eastAsia="Times New Roman" w:cs="Times New Roman"/>
        </w:rPr>
      </w:pPr>
    </w:p>
    <w:p w:rsidR="000D47B3" w:rsidRPr="00EA6851" w:rsidRDefault="000D47B3" w:rsidP="000D47B3">
      <w:pPr>
        <w:rPr>
          <w:rFonts w:eastAsia="Times New Roman" w:cs="Times New Roman"/>
        </w:rPr>
      </w:pPr>
      <w:r w:rsidRPr="00EA6851">
        <w:rPr>
          <w:rFonts w:eastAsia="Times New Roman" w:cs="Times New Roman"/>
        </w:rPr>
        <w:t>Посочените индикатори 1 и 2 отразяват обхванатите ученици и студенти във връзка с осъществяването на стратегическата цел за подобряване здравето, физическата и психическа годност на учащите от различните възрастови групи, студентите и децата в риск чрез създаване на необходимите условия за системни занимания с физическо възпитание и спорт и възможности за спортна изява.</w:t>
      </w:r>
    </w:p>
    <w:p w:rsidR="000D47B3" w:rsidRPr="00EA6851" w:rsidRDefault="000D47B3" w:rsidP="000D47B3">
      <w:pPr>
        <w:rPr>
          <w:rFonts w:eastAsia="Times New Roman" w:cs="Times New Roman"/>
          <w:bCs/>
        </w:rPr>
      </w:pPr>
      <w:r w:rsidRPr="00EA6851">
        <w:rPr>
          <w:rFonts w:eastAsia="Times New Roman" w:cs="Times New Roman"/>
          <w:bCs/>
        </w:rPr>
        <w:t xml:space="preserve">Индикатор 3 отразява общия брой на участниците (лица от различни възрастови и социални групи от населението, в т.ч. деца и хора с увреждания), включени в спортни занимания, обучение по вид спорт, в спортни прояви и състезания и други спортни дейности и прояви в областта на спорта за всички, спортно-туристическата дейност и спорта за хора с увреждания, към населението на страната. </w:t>
      </w:r>
    </w:p>
    <w:p w:rsidR="000D47B3" w:rsidRPr="00EA6851" w:rsidRDefault="000D47B3" w:rsidP="000D47B3">
      <w:pPr>
        <w:rPr>
          <w:rFonts w:eastAsia="Times New Roman" w:cs="Times New Roman"/>
          <w:bCs/>
        </w:rPr>
      </w:pPr>
      <w:r w:rsidRPr="00EA6851">
        <w:rPr>
          <w:rFonts w:eastAsia="Times New Roman" w:cs="Times New Roman"/>
          <w:bCs/>
        </w:rPr>
        <w:t xml:space="preserve">Индикаторите се отчитат ежегодно. Целевите групи, към които са насочени, са ученици, студенти, деца, възрастни, хора с увреждания, </w:t>
      </w:r>
      <w:r w:rsidRPr="00EA6851">
        <w:rPr>
          <w:rFonts w:eastAsia="Times New Roman" w:cs="Times New Roman"/>
        </w:rPr>
        <w:t xml:space="preserve">представители на </w:t>
      </w:r>
      <w:r w:rsidRPr="00EA6851">
        <w:rPr>
          <w:rFonts w:eastAsia="Times New Roman" w:cs="Times New Roman"/>
          <w:bCs/>
        </w:rPr>
        <w:t>различни възрастови и социални групи от населението, практикуващи спорт и/или спортно-туристическа дейност по обединяващ принцип и др.</w:t>
      </w:r>
    </w:p>
    <w:p w:rsidR="000D47B3" w:rsidRPr="00EA6851" w:rsidRDefault="000D47B3" w:rsidP="000D47B3">
      <w:pPr>
        <w:rPr>
          <w:rFonts w:eastAsia="Times New Roman" w:cs="Times New Roman"/>
        </w:rPr>
      </w:pPr>
      <w:r w:rsidRPr="00EA6851">
        <w:rPr>
          <w:rFonts w:eastAsia="Times New Roman" w:cs="Times New Roman"/>
        </w:rPr>
        <w:t xml:space="preserve">За реализирането на тази политика чрез мерки за развитие на спорта за учащи и спорта в свободното време са разчетени средства в размер на </w:t>
      </w:r>
      <w:r w:rsidR="008B7E9B" w:rsidRPr="00EA6851">
        <w:rPr>
          <w:rFonts w:eastAsia="Times New Roman" w:cs="Times New Roman"/>
        </w:rPr>
        <w:t>7</w:t>
      </w:r>
      <w:r w:rsidRPr="00EA6851">
        <w:rPr>
          <w:rFonts w:eastAsia="Times New Roman" w:cs="Times New Roman"/>
        </w:rPr>
        <w:t>,8 млн. лв. за всяка година от прогнозния период.</w:t>
      </w:r>
    </w:p>
    <w:p w:rsidR="000D47B3" w:rsidRPr="00EA6851" w:rsidRDefault="000D47B3" w:rsidP="000D47B3">
      <w:pPr>
        <w:pStyle w:val="Heading4"/>
        <w:spacing w:before="0" w:after="200"/>
        <w:rPr>
          <w:rFonts w:eastAsia="Times New Roman"/>
        </w:rPr>
      </w:pPr>
      <w:r w:rsidRPr="00EA6851">
        <w:rPr>
          <w:rFonts w:eastAsia="Times New Roman"/>
        </w:rPr>
        <w:t xml:space="preserve">Политика в областта на спорта за високи постижения </w:t>
      </w:r>
    </w:p>
    <w:p w:rsidR="000D47B3" w:rsidRPr="00EA6851" w:rsidRDefault="000D47B3" w:rsidP="000D47B3">
      <w:pPr>
        <w:rPr>
          <w:rFonts w:eastAsia="Times New Roman" w:cs="Times New Roman"/>
        </w:rPr>
      </w:pPr>
      <w:r w:rsidRPr="00EA6851">
        <w:rPr>
          <w:rFonts w:eastAsia="Times New Roman" w:cs="Times New Roman"/>
        </w:rPr>
        <w:t>Политиката е насочена към създаване на условия и възможности за развитие на елитния спорт на регионално, национално и международно ниво чрез реализиране на програми, оптимизиране управлението на спортната подготовка и подобряване на координацията между държавните институции, общините и спортните организации, предоставяне на обективна информация и анализи с високо качество относно динамиката на функционалния капацитет и физическите качества на тестваните спортисти и изпълнение на заложените цели и приоритети в областта на държавната политика по отношение на борбата срещу използването на допинг в спорта.</w:t>
      </w:r>
    </w:p>
    <w:p w:rsidR="000D47B3" w:rsidRPr="00EA6851" w:rsidRDefault="000D47B3" w:rsidP="000D47B3">
      <w:pPr>
        <w:rPr>
          <w:rFonts w:eastAsia="Times New Roman" w:cs="Times New Roman"/>
        </w:rPr>
      </w:pPr>
      <w:r w:rsidRPr="00EA6851">
        <w:rPr>
          <w:rFonts w:eastAsia="Times New Roman" w:cs="Times New Roman"/>
        </w:rPr>
        <w:t>Политиката е разработена за реализиране на следните основни цели:</w:t>
      </w:r>
    </w:p>
    <w:p w:rsidR="000D47B3" w:rsidRPr="00EA6851" w:rsidRDefault="000D47B3" w:rsidP="00B30642">
      <w:pPr>
        <w:numPr>
          <w:ilvl w:val="0"/>
          <w:numId w:val="31"/>
        </w:numPr>
        <w:rPr>
          <w:rFonts w:eastAsia="Times New Roman" w:cs="Times New Roman"/>
        </w:rPr>
      </w:pPr>
      <w:r w:rsidRPr="00EA6851">
        <w:rPr>
          <w:rFonts w:eastAsia="Times New Roman" w:cs="Times New Roman"/>
        </w:rPr>
        <w:t>Реализиране на програми за елитен спорт и осигурен ефективен тренировъчен процес за постигане на спортни резултати на международно ниво;</w:t>
      </w:r>
    </w:p>
    <w:p w:rsidR="000D47B3" w:rsidRPr="00EA6851" w:rsidRDefault="000D47B3" w:rsidP="00B30642">
      <w:pPr>
        <w:numPr>
          <w:ilvl w:val="0"/>
          <w:numId w:val="31"/>
        </w:numPr>
        <w:rPr>
          <w:rFonts w:eastAsia="Times New Roman" w:cs="Times New Roman"/>
        </w:rPr>
      </w:pPr>
      <w:r w:rsidRPr="00EA6851">
        <w:rPr>
          <w:rFonts w:eastAsia="Times New Roman" w:cs="Times New Roman"/>
        </w:rPr>
        <w:t>Развитие на потенциала на младите талантливи спортисти;</w:t>
      </w:r>
    </w:p>
    <w:p w:rsidR="000D47B3" w:rsidRPr="00EA6851" w:rsidRDefault="000D47B3" w:rsidP="00B30642">
      <w:pPr>
        <w:numPr>
          <w:ilvl w:val="0"/>
          <w:numId w:val="31"/>
        </w:numPr>
        <w:rPr>
          <w:rFonts w:eastAsia="Times New Roman" w:cs="Times New Roman"/>
        </w:rPr>
      </w:pPr>
      <w:r w:rsidRPr="00EA6851">
        <w:rPr>
          <w:rFonts w:eastAsia="Times New Roman" w:cs="Times New Roman"/>
        </w:rPr>
        <w:t>Разработване и внедряване на нови методики за оптимизиране на методите за контрол и оценка на ефективността на тренировъчните въздействия;</w:t>
      </w:r>
    </w:p>
    <w:p w:rsidR="000D47B3" w:rsidRPr="00EA6851" w:rsidRDefault="000D47B3" w:rsidP="00B30642">
      <w:pPr>
        <w:numPr>
          <w:ilvl w:val="0"/>
          <w:numId w:val="31"/>
        </w:numPr>
        <w:rPr>
          <w:rFonts w:eastAsia="Times New Roman" w:cs="Times New Roman"/>
        </w:rPr>
      </w:pPr>
      <w:r w:rsidRPr="00EA6851">
        <w:rPr>
          <w:rFonts w:eastAsia="Times New Roman" w:cs="Times New Roman"/>
        </w:rPr>
        <w:t>Създаване на условия за реализиране на ефективен тренировъчен и състезателен процес на спортистите, масовизиране на заниманията със спорт в различните възрастови групи и усъвършенстване на системата за управление на тренировъчния процес, като възможност за спортно развитие и основа за реализиране на високи спортни резултати;</w:t>
      </w:r>
    </w:p>
    <w:p w:rsidR="000D47B3" w:rsidRPr="00EA6851" w:rsidRDefault="000D47B3" w:rsidP="00B30642">
      <w:pPr>
        <w:numPr>
          <w:ilvl w:val="0"/>
          <w:numId w:val="31"/>
        </w:numPr>
        <w:rPr>
          <w:rFonts w:eastAsia="Times New Roman" w:cs="Times New Roman"/>
        </w:rPr>
      </w:pPr>
      <w:r w:rsidRPr="00EA6851">
        <w:rPr>
          <w:rFonts w:eastAsia="Times New Roman" w:cs="Times New Roman"/>
        </w:rPr>
        <w:t xml:space="preserve">Осигуряване </w:t>
      </w:r>
      <w:r w:rsidR="001B5038" w:rsidRPr="00EA6851">
        <w:rPr>
          <w:rFonts w:eastAsia="Times New Roman" w:cs="Times New Roman"/>
        </w:rPr>
        <w:t xml:space="preserve">на </w:t>
      </w:r>
      <w:r w:rsidRPr="00EA6851">
        <w:rPr>
          <w:rFonts w:eastAsia="Times New Roman" w:cs="Times New Roman"/>
        </w:rPr>
        <w:t xml:space="preserve">възможности и допълнителен финансов ресурс за реализиране на дейности по програма за финансово подпомагане на дейности в областта на спорта за високи постижения; </w:t>
      </w:r>
    </w:p>
    <w:p w:rsidR="000D47B3" w:rsidRPr="00EA6851" w:rsidRDefault="000D47B3" w:rsidP="00B30642">
      <w:pPr>
        <w:numPr>
          <w:ilvl w:val="0"/>
          <w:numId w:val="31"/>
        </w:numPr>
        <w:rPr>
          <w:rFonts w:eastAsia="Times New Roman" w:cs="Times New Roman"/>
        </w:rPr>
      </w:pPr>
      <w:r w:rsidRPr="00EA6851">
        <w:rPr>
          <w:rFonts w:eastAsia="Times New Roman" w:cs="Times New Roman"/>
        </w:rPr>
        <w:t xml:space="preserve">Подпомагане провеждането на международни спортни прояви на територията на страната (домакинства на състезания и първенства от международния спортен календар); </w:t>
      </w:r>
    </w:p>
    <w:p w:rsidR="000D47B3" w:rsidRPr="00EA6851" w:rsidRDefault="000D47B3" w:rsidP="00B30642">
      <w:pPr>
        <w:numPr>
          <w:ilvl w:val="0"/>
          <w:numId w:val="31"/>
        </w:numPr>
        <w:rPr>
          <w:rFonts w:eastAsia="Times New Roman" w:cs="Times New Roman"/>
        </w:rPr>
      </w:pPr>
      <w:r w:rsidRPr="00EA6851">
        <w:rPr>
          <w:rFonts w:eastAsia="Times New Roman" w:cs="Times New Roman"/>
        </w:rPr>
        <w:t xml:space="preserve">Осигуряване на награди на спортисти, медалисти и призьори от европейски и световни първенства, олимпийски игри и аналогични първенства и игри за хора с увреждания за постигнати спортни резултати и класирания; </w:t>
      </w:r>
    </w:p>
    <w:p w:rsidR="000D47B3" w:rsidRPr="00EA6851" w:rsidRDefault="000D47B3" w:rsidP="00B30642">
      <w:pPr>
        <w:numPr>
          <w:ilvl w:val="0"/>
          <w:numId w:val="31"/>
        </w:numPr>
        <w:rPr>
          <w:rFonts w:eastAsia="Times New Roman" w:cs="Times New Roman"/>
        </w:rPr>
      </w:pPr>
      <w:r w:rsidRPr="00EA6851">
        <w:rPr>
          <w:rFonts w:eastAsia="Times New Roman" w:cs="Times New Roman"/>
        </w:rPr>
        <w:t>Осигуряване на месечни премии на медалисти от олимпийски и паралимпийски игри, прекратили активната си състезателна дейност и на треньори на олимпийските медалисти и на сборните олимпийски отбори по съответния спорт;</w:t>
      </w:r>
    </w:p>
    <w:p w:rsidR="00734A76" w:rsidRPr="00EA6851" w:rsidRDefault="000D47B3" w:rsidP="00B30642">
      <w:pPr>
        <w:numPr>
          <w:ilvl w:val="0"/>
          <w:numId w:val="31"/>
        </w:numPr>
        <w:rPr>
          <w:rFonts w:eastAsia="Times New Roman" w:cs="Times New Roman"/>
        </w:rPr>
      </w:pPr>
      <w:r w:rsidRPr="00EA6851">
        <w:rPr>
          <w:rFonts w:eastAsia="Times New Roman" w:cs="Times New Roman"/>
        </w:rPr>
        <w:t>Предотвратяване на употребата на допинг в спорта и борба с това явление до окончателното му премахване.</w:t>
      </w:r>
    </w:p>
    <w:p w:rsidR="000D47B3" w:rsidRPr="00EA6851" w:rsidRDefault="000D47B3" w:rsidP="00734A76">
      <w:pPr>
        <w:rPr>
          <w:rFonts w:eastAsia="Times New Roman" w:cs="Times New Roman"/>
        </w:rPr>
      </w:pPr>
      <w:r w:rsidRPr="00EA6851">
        <w:rPr>
          <w:b/>
          <w:sz w:val="20"/>
          <w:szCs w:val="20"/>
        </w:rPr>
        <w:t>КЛЮЧОВИ ИНДИКАТОРИ ЗА ИЗПЪЛНЕНИЕ И ЦЕЛЕВИ СТОЙНОСТИ</w:t>
      </w:r>
    </w:p>
    <w:tbl>
      <w:tblPr>
        <w:tblW w:w="5040" w:type="pct"/>
        <w:tblCellMar>
          <w:left w:w="70" w:type="dxa"/>
          <w:right w:w="70" w:type="dxa"/>
        </w:tblCellMar>
        <w:tblLook w:val="04A0" w:firstRow="1" w:lastRow="0" w:firstColumn="1" w:lastColumn="0" w:noHBand="0" w:noVBand="1"/>
      </w:tblPr>
      <w:tblGrid>
        <w:gridCol w:w="3778"/>
        <w:gridCol w:w="1026"/>
        <w:gridCol w:w="1163"/>
        <w:gridCol w:w="967"/>
        <w:gridCol w:w="1106"/>
        <w:gridCol w:w="1103"/>
      </w:tblGrid>
      <w:tr w:rsidR="000D47B3" w:rsidRPr="00EA6851" w:rsidTr="00734A76">
        <w:trPr>
          <w:trHeight w:val="50"/>
          <w:tblHeader/>
        </w:trPr>
        <w:tc>
          <w:tcPr>
            <w:tcW w:w="2066" w:type="pct"/>
            <w:tcBorders>
              <w:top w:val="single" w:sz="4" w:space="0" w:color="auto"/>
              <w:left w:val="nil"/>
              <w:bottom w:val="nil"/>
              <w:right w:val="nil"/>
            </w:tcBorders>
            <w:vAlign w:val="center"/>
            <w:hideMark/>
          </w:tcPr>
          <w:p w:rsidR="000D47B3" w:rsidRPr="00EA6851" w:rsidRDefault="000D47B3" w:rsidP="000D47B3">
            <w:pPr>
              <w:jc w:val="center"/>
              <w:rPr>
                <w:b/>
                <w:i/>
                <w:sz w:val="18"/>
                <w:szCs w:val="18"/>
              </w:rPr>
            </w:pPr>
            <w:r w:rsidRPr="00EA6851">
              <w:rPr>
                <w:b/>
                <w:i/>
                <w:sz w:val="18"/>
                <w:szCs w:val="18"/>
              </w:rPr>
              <w:t>Политика в областта на спорта за високи постижения</w:t>
            </w:r>
          </w:p>
        </w:tc>
        <w:tc>
          <w:tcPr>
            <w:tcW w:w="561" w:type="pct"/>
            <w:vMerge w:val="restart"/>
            <w:tcBorders>
              <w:top w:val="single" w:sz="4" w:space="0" w:color="auto"/>
              <w:left w:val="nil"/>
              <w:bottom w:val="single" w:sz="4" w:space="0" w:color="auto"/>
              <w:right w:val="nil"/>
            </w:tcBorders>
            <w:shd w:val="clear" w:color="auto" w:fill="F2F2F2"/>
            <w:vAlign w:val="center"/>
            <w:hideMark/>
          </w:tcPr>
          <w:p w:rsidR="000D47B3" w:rsidRPr="00EA6851" w:rsidRDefault="000D47B3" w:rsidP="000D47B3">
            <w:pPr>
              <w:jc w:val="center"/>
              <w:rPr>
                <w:b/>
                <w:sz w:val="18"/>
                <w:szCs w:val="18"/>
              </w:rPr>
            </w:pPr>
            <w:r w:rsidRPr="00EA6851">
              <w:rPr>
                <w:b/>
                <w:sz w:val="18"/>
                <w:szCs w:val="18"/>
              </w:rPr>
              <w:t>Мерна единица</w:t>
            </w:r>
          </w:p>
        </w:tc>
        <w:tc>
          <w:tcPr>
            <w:tcW w:w="2373" w:type="pct"/>
            <w:gridSpan w:val="4"/>
            <w:tcBorders>
              <w:top w:val="single" w:sz="4" w:space="0" w:color="auto"/>
              <w:left w:val="nil"/>
              <w:bottom w:val="single" w:sz="4" w:space="0" w:color="auto"/>
              <w:right w:val="nil"/>
            </w:tcBorders>
            <w:vAlign w:val="center"/>
            <w:hideMark/>
          </w:tcPr>
          <w:p w:rsidR="000D47B3" w:rsidRPr="00EA6851" w:rsidRDefault="000D47B3" w:rsidP="000D47B3">
            <w:pPr>
              <w:jc w:val="center"/>
              <w:rPr>
                <w:b/>
                <w:sz w:val="18"/>
                <w:szCs w:val="18"/>
              </w:rPr>
            </w:pPr>
            <w:r w:rsidRPr="00EA6851">
              <w:rPr>
                <w:b/>
                <w:sz w:val="18"/>
                <w:szCs w:val="18"/>
              </w:rPr>
              <w:t>Целева стойност</w:t>
            </w:r>
          </w:p>
        </w:tc>
      </w:tr>
      <w:tr w:rsidR="000D47B3" w:rsidRPr="00EA6851" w:rsidTr="00E04690">
        <w:trPr>
          <w:trHeight w:val="407"/>
          <w:tblHeader/>
        </w:trPr>
        <w:tc>
          <w:tcPr>
            <w:tcW w:w="2066" w:type="pct"/>
            <w:tcBorders>
              <w:top w:val="nil"/>
              <w:left w:val="nil"/>
              <w:bottom w:val="single" w:sz="4" w:space="0" w:color="auto"/>
              <w:right w:val="nil"/>
            </w:tcBorders>
            <w:vAlign w:val="center"/>
            <w:hideMark/>
          </w:tcPr>
          <w:p w:rsidR="000D47B3" w:rsidRPr="00EA6851" w:rsidRDefault="000D47B3" w:rsidP="000D47B3">
            <w:pPr>
              <w:jc w:val="center"/>
              <w:rPr>
                <w:b/>
                <w:sz w:val="18"/>
                <w:szCs w:val="18"/>
              </w:rPr>
            </w:pPr>
            <w:r w:rsidRPr="00EA6851">
              <w:rPr>
                <w:b/>
                <w:sz w:val="18"/>
                <w:szCs w:val="18"/>
              </w:rPr>
              <w:t>Наименование на индикатора</w:t>
            </w:r>
          </w:p>
        </w:tc>
        <w:tc>
          <w:tcPr>
            <w:tcW w:w="0" w:type="auto"/>
            <w:vMerge/>
            <w:tcBorders>
              <w:top w:val="single" w:sz="8" w:space="0" w:color="auto"/>
              <w:left w:val="nil"/>
              <w:bottom w:val="single" w:sz="4" w:space="0" w:color="auto"/>
              <w:right w:val="nil"/>
            </w:tcBorders>
            <w:vAlign w:val="center"/>
            <w:hideMark/>
          </w:tcPr>
          <w:p w:rsidR="000D47B3" w:rsidRPr="00EA6851" w:rsidRDefault="000D47B3" w:rsidP="000D47B3">
            <w:pPr>
              <w:jc w:val="center"/>
              <w:rPr>
                <w:b/>
                <w:sz w:val="18"/>
                <w:szCs w:val="18"/>
              </w:rPr>
            </w:pPr>
          </w:p>
        </w:tc>
        <w:tc>
          <w:tcPr>
            <w:tcW w:w="636" w:type="pct"/>
            <w:tcBorders>
              <w:top w:val="single" w:sz="4" w:space="0" w:color="auto"/>
              <w:left w:val="nil"/>
              <w:bottom w:val="single" w:sz="4" w:space="0" w:color="auto"/>
              <w:right w:val="nil"/>
            </w:tcBorders>
            <w:vAlign w:val="center"/>
            <w:hideMark/>
          </w:tcPr>
          <w:p w:rsidR="000D47B3" w:rsidRPr="00EA6851" w:rsidRDefault="000D47B3" w:rsidP="000D47B3">
            <w:pPr>
              <w:jc w:val="center"/>
              <w:rPr>
                <w:b/>
                <w:i/>
                <w:sz w:val="18"/>
                <w:szCs w:val="18"/>
              </w:rPr>
            </w:pPr>
            <w:r w:rsidRPr="00EA6851">
              <w:rPr>
                <w:b/>
                <w:i/>
                <w:sz w:val="18"/>
                <w:szCs w:val="18"/>
              </w:rPr>
              <w:t>Програма   2023 г.</w:t>
            </w:r>
          </w:p>
        </w:tc>
        <w:tc>
          <w:tcPr>
            <w:tcW w:w="529" w:type="pct"/>
            <w:tcBorders>
              <w:top w:val="nil"/>
              <w:left w:val="nil"/>
              <w:bottom w:val="single" w:sz="4" w:space="0" w:color="auto"/>
              <w:right w:val="nil"/>
            </w:tcBorders>
            <w:vAlign w:val="center"/>
            <w:hideMark/>
          </w:tcPr>
          <w:p w:rsidR="000D47B3" w:rsidRPr="00EA6851" w:rsidRDefault="000D47B3" w:rsidP="000D47B3">
            <w:pPr>
              <w:jc w:val="center"/>
              <w:rPr>
                <w:b/>
                <w:i/>
                <w:sz w:val="18"/>
                <w:szCs w:val="18"/>
              </w:rPr>
            </w:pPr>
            <w:r w:rsidRPr="00EA6851">
              <w:rPr>
                <w:b/>
                <w:i/>
                <w:sz w:val="18"/>
                <w:szCs w:val="18"/>
              </w:rPr>
              <w:t>Проект                             2024 г.</w:t>
            </w:r>
          </w:p>
        </w:tc>
        <w:tc>
          <w:tcPr>
            <w:tcW w:w="605" w:type="pct"/>
            <w:tcBorders>
              <w:top w:val="nil"/>
              <w:left w:val="nil"/>
              <w:bottom w:val="single" w:sz="4" w:space="0" w:color="auto"/>
              <w:right w:val="nil"/>
            </w:tcBorders>
            <w:vAlign w:val="center"/>
            <w:hideMark/>
          </w:tcPr>
          <w:p w:rsidR="000D47B3" w:rsidRPr="00EA6851" w:rsidRDefault="000D47B3" w:rsidP="000D47B3">
            <w:pPr>
              <w:jc w:val="center"/>
              <w:rPr>
                <w:b/>
                <w:i/>
                <w:sz w:val="18"/>
                <w:szCs w:val="18"/>
              </w:rPr>
            </w:pPr>
            <w:r w:rsidRPr="00EA6851">
              <w:rPr>
                <w:b/>
                <w:i/>
                <w:sz w:val="18"/>
                <w:szCs w:val="18"/>
              </w:rPr>
              <w:t>Прогноза                             2025 г.</w:t>
            </w:r>
          </w:p>
        </w:tc>
        <w:tc>
          <w:tcPr>
            <w:tcW w:w="603" w:type="pct"/>
            <w:tcBorders>
              <w:top w:val="nil"/>
              <w:left w:val="nil"/>
              <w:bottom w:val="single" w:sz="4" w:space="0" w:color="auto"/>
              <w:right w:val="nil"/>
            </w:tcBorders>
            <w:vAlign w:val="center"/>
            <w:hideMark/>
          </w:tcPr>
          <w:p w:rsidR="000D47B3" w:rsidRPr="00EA6851" w:rsidRDefault="000D47B3" w:rsidP="000D47B3">
            <w:pPr>
              <w:jc w:val="center"/>
              <w:rPr>
                <w:b/>
                <w:i/>
                <w:sz w:val="18"/>
                <w:szCs w:val="18"/>
              </w:rPr>
            </w:pPr>
            <w:r w:rsidRPr="00EA6851">
              <w:rPr>
                <w:b/>
                <w:i/>
                <w:sz w:val="18"/>
                <w:szCs w:val="18"/>
              </w:rPr>
              <w:t>Прогноза                            2026 г.</w:t>
            </w:r>
          </w:p>
        </w:tc>
      </w:tr>
      <w:tr w:rsidR="000D47B3" w:rsidRPr="00EA6851" w:rsidTr="00734A76">
        <w:trPr>
          <w:trHeight w:val="894"/>
        </w:trPr>
        <w:tc>
          <w:tcPr>
            <w:tcW w:w="2066" w:type="pct"/>
            <w:tcBorders>
              <w:top w:val="single" w:sz="4" w:space="0" w:color="auto"/>
              <w:left w:val="nil"/>
              <w:bottom w:val="nil"/>
              <w:right w:val="nil"/>
            </w:tcBorders>
            <w:hideMark/>
          </w:tcPr>
          <w:p w:rsidR="000D47B3" w:rsidRPr="00EA6851" w:rsidRDefault="000D47B3" w:rsidP="000D47B3">
            <w:pPr>
              <w:rPr>
                <w:sz w:val="18"/>
                <w:szCs w:val="18"/>
              </w:rPr>
            </w:pPr>
            <w:r w:rsidRPr="00EA6851">
              <w:rPr>
                <w:sz w:val="18"/>
                <w:szCs w:val="18"/>
              </w:rPr>
              <w:t>1. Относителен дял на спортисти, които са  финансово подпомогнати за участия в състезания от МСК от всички картотекирани състезатели</w:t>
            </w:r>
          </w:p>
        </w:tc>
        <w:tc>
          <w:tcPr>
            <w:tcW w:w="561" w:type="pct"/>
            <w:vMerge w:val="restart"/>
            <w:tcBorders>
              <w:top w:val="single" w:sz="4" w:space="0" w:color="auto"/>
              <w:left w:val="nil"/>
              <w:bottom w:val="nil"/>
              <w:right w:val="nil"/>
            </w:tcBorders>
            <w:shd w:val="clear" w:color="auto" w:fill="F2F2F2"/>
          </w:tcPr>
          <w:p w:rsidR="000D47B3" w:rsidRPr="00EA6851" w:rsidRDefault="000D47B3" w:rsidP="000D47B3">
            <w:pPr>
              <w:jc w:val="center"/>
              <w:rPr>
                <w:sz w:val="18"/>
                <w:szCs w:val="18"/>
              </w:rPr>
            </w:pPr>
          </w:p>
          <w:p w:rsidR="000D47B3" w:rsidRPr="00EA6851" w:rsidRDefault="000D47B3" w:rsidP="000D47B3">
            <w:pPr>
              <w:jc w:val="center"/>
              <w:rPr>
                <w:sz w:val="18"/>
                <w:szCs w:val="18"/>
              </w:rPr>
            </w:pPr>
            <w:r w:rsidRPr="00EA6851">
              <w:rPr>
                <w:sz w:val="18"/>
                <w:szCs w:val="18"/>
              </w:rPr>
              <w:t>%</w:t>
            </w:r>
          </w:p>
        </w:tc>
        <w:tc>
          <w:tcPr>
            <w:tcW w:w="636" w:type="pct"/>
            <w:tcBorders>
              <w:top w:val="single" w:sz="4" w:space="0" w:color="auto"/>
              <w:left w:val="nil"/>
              <w:bottom w:val="nil"/>
              <w:right w:val="nil"/>
            </w:tcBorders>
          </w:tcPr>
          <w:p w:rsidR="000D47B3" w:rsidRPr="00EA6851" w:rsidRDefault="000D47B3" w:rsidP="000D47B3">
            <w:pPr>
              <w:jc w:val="center"/>
              <w:rPr>
                <w:sz w:val="18"/>
                <w:szCs w:val="18"/>
              </w:rPr>
            </w:pPr>
          </w:p>
          <w:p w:rsidR="000D47B3" w:rsidRPr="00EA6851" w:rsidRDefault="000D47B3" w:rsidP="000D47B3">
            <w:pPr>
              <w:jc w:val="center"/>
              <w:rPr>
                <w:sz w:val="18"/>
                <w:szCs w:val="18"/>
              </w:rPr>
            </w:pPr>
            <w:r w:rsidRPr="00EA6851">
              <w:rPr>
                <w:sz w:val="18"/>
                <w:szCs w:val="18"/>
              </w:rPr>
              <w:t>18,9</w:t>
            </w:r>
          </w:p>
        </w:tc>
        <w:tc>
          <w:tcPr>
            <w:tcW w:w="529" w:type="pct"/>
            <w:vMerge w:val="restart"/>
            <w:tcBorders>
              <w:top w:val="single" w:sz="4" w:space="0" w:color="auto"/>
              <w:left w:val="nil"/>
              <w:bottom w:val="nil"/>
              <w:right w:val="nil"/>
            </w:tcBorders>
          </w:tcPr>
          <w:p w:rsidR="000D47B3" w:rsidRPr="00EA6851" w:rsidRDefault="000D47B3" w:rsidP="000D47B3">
            <w:pPr>
              <w:jc w:val="center"/>
              <w:rPr>
                <w:sz w:val="18"/>
                <w:szCs w:val="18"/>
              </w:rPr>
            </w:pPr>
          </w:p>
          <w:p w:rsidR="000D47B3" w:rsidRPr="00EA6851" w:rsidRDefault="000D47B3" w:rsidP="000D47B3">
            <w:pPr>
              <w:jc w:val="center"/>
              <w:rPr>
                <w:sz w:val="18"/>
                <w:szCs w:val="18"/>
              </w:rPr>
            </w:pPr>
            <w:r w:rsidRPr="00EA6851">
              <w:rPr>
                <w:sz w:val="18"/>
                <w:szCs w:val="18"/>
              </w:rPr>
              <w:t>18,9</w:t>
            </w:r>
          </w:p>
        </w:tc>
        <w:tc>
          <w:tcPr>
            <w:tcW w:w="605" w:type="pct"/>
            <w:vMerge w:val="restart"/>
            <w:tcBorders>
              <w:top w:val="single" w:sz="4" w:space="0" w:color="auto"/>
              <w:left w:val="nil"/>
              <w:bottom w:val="nil"/>
              <w:right w:val="nil"/>
            </w:tcBorders>
          </w:tcPr>
          <w:p w:rsidR="000D47B3" w:rsidRPr="00EA6851" w:rsidRDefault="000D47B3" w:rsidP="000D47B3">
            <w:pPr>
              <w:jc w:val="center"/>
              <w:rPr>
                <w:sz w:val="18"/>
                <w:szCs w:val="18"/>
              </w:rPr>
            </w:pPr>
          </w:p>
          <w:p w:rsidR="000D47B3" w:rsidRPr="00EA6851" w:rsidRDefault="000D47B3" w:rsidP="000D47B3">
            <w:pPr>
              <w:jc w:val="center"/>
              <w:rPr>
                <w:sz w:val="18"/>
                <w:szCs w:val="18"/>
              </w:rPr>
            </w:pPr>
            <w:r w:rsidRPr="00EA6851">
              <w:rPr>
                <w:sz w:val="18"/>
                <w:szCs w:val="18"/>
              </w:rPr>
              <w:t>18,9</w:t>
            </w:r>
          </w:p>
        </w:tc>
        <w:tc>
          <w:tcPr>
            <w:tcW w:w="603" w:type="pct"/>
            <w:vMerge w:val="restart"/>
            <w:tcBorders>
              <w:top w:val="single" w:sz="4" w:space="0" w:color="auto"/>
              <w:left w:val="nil"/>
              <w:bottom w:val="nil"/>
              <w:right w:val="nil"/>
            </w:tcBorders>
          </w:tcPr>
          <w:p w:rsidR="000D47B3" w:rsidRPr="00EA6851" w:rsidRDefault="000D47B3" w:rsidP="000D47B3">
            <w:pPr>
              <w:jc w:val="center"/>
              <w:rPr>
                <w:sz w:val="18"/>
                <w:szCs w:val="18"/>
              </w:rPr>
            </w:pPr>
          </w:p>
          <w:p w:rsidR="000D47B3" w:rsidRPr="00EA6851" w:rsidRDefault="000D47B3" w:rsidP="000D47B3">
            <w:pPr>
              <w:jc w:val="center"/>
              <w:rPr>
                <w:sz w:val="18"/>
                <w:szCs w:val="18"/>
              </w:rPr>
            </w:pPr>
            <w:r w:rsidRPr="00EA6851">
              <w:rPr>
                <w:sz w:val="18"/>
                <w:szCs w:val="18"/>
              </w:rPr>
              <w:t>18,9</w:t>
            </w:r>
          </w:p>
        </w:tc>
      </w:tr>
      <w:tr w:rsidR="000D47B3" w:rsidRPr="00EA6851" w:rsidTr="00734A76">
        <w:trPr>
          <w:trHeight w:val="70"/>
        </w:trPr>
        <w:tc>
          <w:tcPr>
            <w:tcW w:w="2066" w:type="pct"/>
            <w:hideMark/>
          </w:tcPr>
          <w:p w:rsidR="000D47B3" w:rsidRPr="00EA6851" w:rsidRDefault="000D47B3" w:rsidP="000D47B3">
            <w:pPr>
              <w:rPr>
                <w:sz w:val="18"/>
                <w:szCs w:val="18"/>
              </w:rPr>
            </w:pPr>
            <w:r w:rsidRPr="00EA6851">
              <w:rPr>
                <w:sz w:val="18"/>
                <w:szCs w:val="18"/>
              </w:rPr>
              <w:t xml:space="preserve">  -  на Европейски първенства</w:t>
            </w:r>
          </w:p>
        </w:tc>
        <w:tc>
          <w:tcPr>
            <w:tcW w:w="0" w:type="auto"/>
            <w:vMerge/>
            <w:tcBorders>
              <w:top w:val="single" w:sz="4" w:space="0" w:color="auto"/>
              <w:left w:val="nil"/>
              <w:bottom w:val="nil"/>
              <w:right w:val="nil"/>
            </w:tcBorders>
            <w:vAlign w:val="center"/>
            <w:hideMark/>
          </w:tcPr>
          <w:p w:rsidR="000D47B3" w:rsidRPr="00EA6851" w:rsidRDefault="000D47B3" w:rsidP="000D47B3">
            <w:pPr>
              <w:jc w:val="center"/>
              <w:rPr>
                <w:sz w:val="18"/>
                <w:szCs w:val="18"/>
              </w:rPr>
            </w:pPr>
          </w:p>
        </w:tc>
        <w:tc>
          <w:tcPr>
            <w:tcW w:w="636" w:type="pct"/>
          </w:tcPr>
          <w:p w:rsidR="000D47B3" w:rsidRPr="00EA6851" w:rsidRDefault="000D47B3" w:rsidP="000D47B3">
            <w:pPr>
              <w:jc w:val="center"/>
              <w:rPr>
                <w:sz w:val="18"/>
                <w:szCs w:val="18"/>
              </w:rPr>
            </w:pPr>
          </w:p>
        </w:tc>
        <w:tc>
          <w:tcPr>
            <w:tcW w:w="0" w:type="auto"/>
            <w:vMerge/>
            <w:tcBorders>
              <w:top w:val="single" w:sz="4" w:space="0" w:color="auto"/>
              <w:left w:val="nil"/>
              <w:bottom w:val="nil"/>
              <w:right w:val="nil"/>
            </w:tcBorders>
            <w:vAlign w:val="center"/>
            <w:hideMark/>
          </w:tcPr>
          <w:p w:rsidR="000D47B3" w:rsidRPr="00EA6851" w:rsidRDefault="000D47B3" w:rsidP="000D47B3">
            <w:pPr>
              <w:jc w:val="center"/>
              <w:rPr>
                <w:sz w:val="18"/>
                <w:szCs w:val="18"/>
              </w:rPr>
            </w:pPr>
          </w:p>
        </w:tc>
        <w:tc>
          <w:tcPr>
            <w:tcW w:w="0" w:type="auto"/>
            <w:vMerge/>
            <w:tcBorders>
              <w:top w:val="single" w:sz="4" w:space="0" w:color="auto"/>
              <w:left w:val="nil"/>
              <w:bottom w:val="nil"/>
              <w:right w:val="nil"/>
            </w:tcBorders>
            <w:vAlign w:val="center"/>
            <w:hideMark/>
          </w:tcPr>
          <w:p w:rsidR="000D47B3" w:rsidRPr="00EA6851" w:rsidRDefault="000D47B3" w:rsidP="000D47B3">
            <w:pPr>
              <w:jc w:val="center"/>
              <w:rPr>
                <w:sz w:val="18"/>
                <w:szCs w:val="18"/>
              </w:rPr>
            </w:pPr>
          </w:p>
        </w:tc>
        <w:tc>
          <w:tcPr>
            <w:tcW w:w="0" w:type="auto"/>
            <w:vMerge/>
            <w:tcBorders>
              <w:top w:val="single" w:sz="4" w:space="0" w:color="auto"/>
              <w:left w:val="nil"/>
              <w:bottom w:val="nil"/>
              <w:right w:val="nil"/>
            </w:tcBorders>
            <w:vAlign w:val="center"/>
            <w:hideMark/>
          </w:tcPr>
          <w:p w:rsidR="000D47B3" w:rsidRPr="00EA6851" w:rsidRDefault="000D47B3" w:rsidP="000D47B3">
            <w:pPr>
              <w:jc w:val="center"/>
              <w:rPr>
                <w:sz w:val="18"/>
                <w:szCs w:val="18"/>
              </w:rPr>
            </w:pPr>
          </w:p>
        </w:tc>
      </w:tr>
      <w:tr w:rsidR="000D47B3" w:rsidRPr="00EA6851" w:rsidTr="00734A76">
        <w:trPr>
          <w:trHeight w:val="300"/>
        </w:trPr>
        <w:tc>
          <w:tcPr>
            <w:tcW w:w="2066" w:type="pct"/>
            <w:hideMark/>
          </w:tcPr>
          <w:p w:rsidR="000D47B3" w:rsidRPr="00EA6851" w:rsidRDefault="000D47B3" w:rsidP="000D47B3">
            <w:pPr>
              <w:rPr>
                <w:sz w:val="18"/>
                <w:szCs w:val="18"/>
              </w:rPr>
            </w:pPr>
            <w:r w:rsidRPr="00EA6851">
              <w:rPr>
                <w:sz w:val="18"/>
                <w:szCs w:val="18"/>
              </w:rPr>
              <w:t xml:space="preserve">  -  на Световни първенства</w:t>
            </w:r>
          </w:p>
        </w:tc>
        <w:tc>
          <w:tcPr>
            <w:tcW w:w="0" w:type="auto"/>
            <w:vMerge/>
            <w:tcBorders>
              <w:top w:val="single" w:sz="4" w:space="0" w:color="auto"/>
              <w:left w:val="nil"/>
              <w:bottom w:val="nil"/>
              <w:right w:val="nil"/>
            </w:tcBorders>
            <w:vAlign w:val="center"/>
            <w:hideMark/>
          </w:tcPr>
          <w:p w:rsidR="000D47B3" w:rsidRPr="00EA6851" w:rsidRDefault="000D47B3" w:rsidP="000D47B3">
            <w:pPr>
              <w:jc w:val="center"/>
              <w:rPr>
                <w:sz w:val="18"/>
                <w:szCs w:val="18"/>
              </w:rPr>
            </w:pPr>
          </w:p>
        </w:tc>
        <w:tc>
          <w:tcPr>
            <w:tcW w:w="636" w:type="pct"/>
          </w:tcPr>
          <w:p w:rsidR="000D47B3" w:rsidRPr="00EA6851" w:rsidRDefault="000D47B3" w:rsidP="000D47B3">
            <w:pPr>
              <w:jc w:val="center"/>
              <w:rPr>
                <w:sz w:val="18"/>
                <w:szCs w:val="18"/>
              </w:rPr>
            </w:pPr>
          </w:p>
        </w:tc>
        <w:tc>
          <w:tcPr>
            <w:tcW w:w="0" w:type="auto"/>
            <w:vMerge/>
            <w:tcBorders>
              <w:top w:val="single" w:sz="4" w:space="0" w:color="auto"/>
              <w:left w:val="nil"/>
              <w:bottom w:val="nil"/>
              <w:right w:val="nil"/>
            </w:tcBorders>
            <w:vAlign w:val="center"/>
            <w:hideMark/>
          </w:tcPr>
          <w:p w:rsidR="000D47B3" w:rsidRPr="00EA6851" w:rsidRDefault="000D47B3" w:rsidP="000D47B3">
            <w:pPr>
              <w:jc w:val="center"/>
              <w:rPr>
                <w:sz w:val="18"/>
                <w:szCs w:val="18"/>
              </w:rPr>
            </w:pPr>
          </w:p>
        </w:tc>
        <w:tc>
          <w:tcPr>
            <w:tcW w:w="0" w:type="auto"/>
            <w:vMerge/>
            <w:tcBorders>
              <w:top w:val="single" w:sz="4" w:space="0" w:color="auto"/>
              <w:left w:val="nil"/>
              <w:bottom w:val="nil"/>
              <w:right w:val="nil"/>
            </w:tcBorders>
            <w:vAlign w:val="center"/>
            <w:hideMark/>
          </w:tcPr>
          <w:p w:rsidR="000D47B3" w:rsidRPr="00EA6851" w:rsidRDefault="000D47B3" w:rsidP="000D47B3">
            <w:pPr>
              <w:jc w:val="center"/>
              <w:rPr>
                <w:sz w:val="18"/>
                <w:szCs w:val="18"/>
              </w:rPr>
            </w:pPr>
          </w:p>
        </w:tc>
        <w:tc>
          <w:tcPr>
            <w:tcW w:w="0" w:type="auto"/>
            <w:vMerge/>
            <w:tcBorders>
              <w:top w:val="single" w:sz="4" w:space="0" w:color="auto"/>
              <w:left w:val="nil"/>
              <w:bottom w:val="nil"/>
              <w:right w:val="nil"/>
            </w:tcBorders>
            <w:vAlign w:val="center"/>
            <w:hideMark/>
          </w:tcPr>
          <w:p w:rsidR="000D47B3" w:rsidRPr="00EA6851" w:rsidRDefault="000D47B3" w:rsidP="000D47B3">
            <w:pPr>
              <w:jc w:val="center"/>
              <w:rPr>
                <w:sz w:val="18"/>
                <w:szCs w:val="18"/>
              </w:rPr>
            </w:pPr>
          </w:p>
        </w:tc>
      </w:tr>
      <w:tr w:rsidR="000D47B3" w:rsidRPr="00EA6851" w:rsidTr="0003268C">
        <w:trPr>
          <w:trHeight w:val="1074"/>
        </w:trPr>
        <w:tc>
          <w:tcPr>
            <w:tcW w:w="2066" w:type="pct"/>
            <w:hideMark/>
          </w:tcPr>
          <w:p w:rsidR="000D47B3" w:rsidRPr="00EA6851" w:rsidRDefault="000D47B3" w:rsidP="000D47B3">
            <w:pPr>
              <w:rPr>
                <w:sz w:val="18"/>
                <w:szCs w:val="18"/>
              </w:rPr>
            </w:pPr>
            <w:r w:rsidRPr="00EA6851">
              <w:rPr>
                <w:sz w:val="18"/>
                <w:szCs w:val="18"/>
              </w:rPr>
              <w:t xml:space="preserve">  - на Олимпийски и европейски игри  (олимпийски игри - зимни, летни, паралимпийски игри - зимни и летни, младежки олимпийски - зимни и летни и европейски игри)</w:t>
            </w:r>
          </w:p>
        </w:tc>
        <w:tc>
          <w:tcPr>
            <w:tcW w:w="0" w:type="auto"/>
            <w:vMerge/>
            <w:tcBorders>
              <w:top w:val="single" w:sz="4" w:space="0" w:color="auto"/>
              <w:left w:val="nil"/>
              <w:bottom w:val="nil"/>
              <w:right w:val="nil"/>
            </w:tcBorders>
            <w:vAlign w:val="center"/>
            <w:hideMark/>
          </w:tcPr>
          <w:p w:rsidR="000D47B3" w:rsidRPr="00EA6851" w:rsidRDefault="000D47B3" w:rsidP="000D47B3">
            <w:pPr>
              <w:jc w:val="center"/>
              <w:rPr>
                <w:sz w:val="18"/>
                <w:szCs w:val="18"/>
              </w:rPr>
            </w:pPr>
          </w:p>
        </w:tc>
        <w:tc>
          <w:tcPr>
            <w:tcW w:w="636" w:type="pct"/>
          </w:tcPr>
          <w:p w:rsidR="000D47B3" w:rsidRPr="00EA6851" w:rsidRDefault="000D47B3" w:rsidP="000D47B3">
            <w:pPr>
              <w:jc w:val="center"/>
              <w:rPr>
                <w:sz w:val="18"/>
                <w:szCs w:val="18"/>
              </w:rPr>
            </w:pPr>
          </w:p>
        </w:tc>
        <w:tc>
          <w:tcPr>
            <w:tcW w:w="0" w:type="auto"/>
            <w:vMerge/>
            <w:tcBorders>
              <w:top w:val="single" w:sz="4" w:space="0" w:color="auto"/>
              <w:left w:val="nil"/>
              <w:bottom w:val="nil"/>
              <w:right w:val="nil"/>
            </w:tcBorders>
            <w:vAlign w:val="center"/>
            <w:hideMark/>
          </w:tcPr>
          <w:p w:rsidR="000D47B3" w:rsidRPr="00EA6851" w:rsidRDefault="000D47B3" w:rsidP="000D47B3">
            <w:pPr>
              <w:jc w:val="center"/>
              <w:rPr>
                <w:sz w:val="18"/>
                <w:szCs w:val="18"/>
              </w:rPr>
            </w:pPr>
          </w:p>
        </w:tc>
        <w:tc>
          <w:tcPr>
            <w:tcW w:w="0" w:type="auto"/>
            <w:vMerge/>
            <w:tcBorders>
              <w:top w:val="single" w:sz="4" w:space="0" w:color="auto"/>
              <w:left w:val="nil"/>
              <w:bottom w:val="nil"/>
              <w:right w:val="nil"/>
            </w:tcBorders>
            <w:vAlign w:val="center"/>
            <w:hideMark/>
          </w:tcPr>
          <w:p w:rsidR="000D47B3" w:rsidRPr="00EA6851" w:rsidRDefault="000D47B3" w:rsidP="000D47B3">
            <w:pPr>
              <w:jc w:val="center"/>
              <w:rPr>
                <w:sz w:val="18"/>
                <w:szCs w:val="18"/>
              </w:rPr>
            </w:pPr>
          </w:p>
        </w:tc>
        <w:tc>
          <w:tcPr>
            <w:tcW w:w="0" w:type="auto"/>
            <w:vMerge/>
            <w:tcBorders>
              <w:top w:val="single" w:sz="4" w:space="0" w:color="auto"/>
              <w:left w:val="nil"/>
              <w:bottom w:val="nil"/>
              <w:right w:val="nil"/>
            </w:tcBorders>
            <w:vAlign w:val="center"/>
            <w:hideMark/>
          </w:tcPr>
          <w:p w:rsidR="000D47B3" w:rsidRPr="00EA6851" w:rsidRDefault="000D47B3" w:rsidP="000D47B3">
            <w:pPr>
              <w:jc w:val="center"/>
              <w:rPr>
                <w:sz w:val="18"/>
                <w:szCs w:val="18"/>
              </w:rPr>
            </w:pPr>
          </w:p>
        </w:tc>
      </w:tr>
      <w:tr w:rsidR="000D47B3" w:rsidRPr="00EA6851" w:rsidTr="0003268C">
        <w:trPr>
          <w:trHeight w:val="742"/>
        </w:trPr>
        <w:tc>
          <w:tcPr>
            <w:tcW w:w="2066" w:type="pct"/>
            <w:hideMark/>
          </w:tcPr>
          <w:p w:rsidR="000D47B3" w:rsidRPr="00EA6851" w:rsidRDefault="000D47B3" w:rsidP="000D47B3">
            <w:pPr>
              <w:rPr>
                <w:sz w:val="18"/>
                <w:szCs w:val="18"/>
              </w:rPr>
            </w:pPr>
            <w:r w:rsidRPr="00EA6851">
              <w:rPr>
                <w:sz w:val="18"/>
                <w:szCs w:val="18"/>
              </w:rPr>
              <w:t>2. Брой медали, спечелени на олимпийски и европейски игри, световни и европейски първенства</w:t>
            </w:r>
          </w:p>
        </w:tc>
        <w:tc>
          <w:tcPr>
            <w:tcW w:w="561" w:type="pct"/>
            <w:shd w:val="clear" w:color="auto" w:fill="F2F2F2"/>
            <w:hideMark/>
          </w:tcPr>
          <w:p w:rsidR="000D47B3" w:rsidRPr="00EA6851" w:rsidRDefault="000D47B3" w:rsidP="000D47B3">
            <w:pPr>
              <w:jc w:val="center"/>
              <w:rPr>
                <w:sz w:val="18"/>
                <w:szCs w:val="18"/>
              </w:rPr>
            </w:pPr>
            <w:r w:rsidRPr="00EA6851">
              <w:rPr>
                <w:sz w:val="18"/>
                <w:szCs w:val="18"/>
              </w:rPr>
              <w:t>Брой</w:t>
            </w:r>
          </w:p>
        </w:tc>
        <w:tc>
          <w:tcPr>
            <w:tcW w:w="636" w:type="pct"/>
            <w:hideMark/>
          </w:tcPr>
          <w:p w:rsidR="000D47B3" w:rsidRPr="00EA6851" w:rsidRDefault="000D47B3" w:rsidP="000D47B3">
            <w:pPr>
              <w:jc w:val="center"/>
              <w:rPr>
                <w:sz w:val="18"/>
                <w:szCs w:val="18"/>
              </w:rPr>
            </w:pPr>
            <w:r w:rsidRPr="00EA6851">
              <w:rPr>
                <w:sz w:val="18"/>
                <w:szCs w:val="18"/>
              </w:rPr>
              <w:t>230</w:t>
            </w:r>
          </w:p>
        </w:tc>
        <w:tc>
          <w:tcPr>
            <w:tcW w:w="529" w:type="pct"/>
            <w:hideMark/>
          </w:tcPr>
          <w:p w:rsidR="000D47B3" w:rsidRPr="00EA6851" w:rsidRDefault="000D47B3" w:rsidP="000D47B3">
            <w:pPr>
              <w:jc w:val="center"/>
              <w:rPr>
                <w:sz w:val="18"/>
                <w:szCs w:val="18"/>
              </w:rPr>
            </w:pPr>
            <w:r w:rsidRPr="00EA6851">
              <w:rPr>
                <w:sz w:val="18"/>
                <w:szCs w:val="18"/>
              </w:rPr>
              <w:t>230</w:t>
            </w:r>
          </w:p>
        </w:tc>
        <w:tc>
          <w:tcPr>
            <w:tcW w:w="605" w:type="pct"/>
            <w:hideMark/>
          </w:tcPr>
          <w:p w:rsidR="000D47B3" w:rsidRPr="00EA6851" w:rsidRDefault="000D47B3" w:rsidP="000D47B3">
            <w:pPr>
              <w:jc w:val="center"/>
              <w:rPr>
                <w:sz w:val="18"/>
                <w:szCs w:val="18"/>
              </w:rPr>
            </w:pPr>
            <w:r w:rsidRPr="00EA6851">
              <w:rPr>
                <w:sz w:val="18"/>
                <w:szCs w:val="18"/>
              </w:rPr>
              <w:t>230</w:t>
            </w:r>
          </w:p>
        </w:tc>
        <w:tc>
          <w:tcPr>
            <w:tcW w:w="603" w:type="pct"/>
            <w:hideMark/>
          </w:tcPr>
          <w:p w:rsidR="000D47B3" w:rsidRPr="00EA6851" w:rsidRDefault="000D47B3" w:rsidP="000D47B3">
            <w:pPr>
              <w:jc w:val="center"/>
              <w:rPr>
                <w:sz w:val="18"/>
                <w:szCs w:val="18"/>
              </w:rPr>
            </w:pPr>
            <w:r w:rsidRPr="00EA6851">
              <w:rPr>
                <w:sz w:val="18"/>
                <w:szCs w:val="18"/>
              </w:rPr>
              <w:t>230</w:t>
            </w:r>
          </w:p>
        </w:tc>
      </w:tr>
      <w:tr w:rsidR="000D47B3" w:rsidRPr="00EA6851" w:rsidTr="0003268C">
        <w:trPr>
          <w:trHeight w:val="742"/>
        </w:trPr>
        <w:tc>
          <w:tcPr>
            <w:tcW w:w="2066" w:type="pct"/>
            <w:hideMark/>
          </w:tcPr>
          <w:p w:rsidR="000D47B3" w:rsidRPr="00EA6851" w:rsidRDefault="000D47B3" w:rsidP="000D47B3">
            <w:pPr>
              <w:rPr>
                <w:sz w:val="18"/>
                <w:szCs w:val="18"/>
              </w:rPr>
            </w:pPr>
            <w:r w:rsidRPr="00EA6851">
              <w:rPr>
                <w:sz w:val="18"/>
                <w:szCs w:val="18"/>
              </w:rPr>
              <w:t>3. Относителен дял на класиранията до 8-мо място в състезания от МСК към броя на финансово подпомогнатите от ММС спортисти</w:t>
            </w:r>
          </w:p>
        </w:tc>
        <w:tc>
          <w:tcPr>
            <w:tcW w:w="561" w:type="pct"/>
            <w:vMerge w:val="restart"/>
            <w:shd w:val="clear" w:color="auto" w:fill="F2F2F2"/>
            <w:hideMark/>
          </w:tcPr>
          <w:p w:rsidR="000D47B3" w:rsidRPr="00EA6851" w:rsidRDefault="000D47B3" w:rsidP="000D47B3">
            <w:pPr>
              <w:jc w:val="center"/>
              <w:rPr>
                <w:sz w:val="18"/>
                <w:szCs w:val="18"/>
              </w:rPr>
            </w:pPr>
            <w:r w:rsidRPr="00EA6851">
              <w:rPr>
                <w:sz w:val="18"/>
                <w:szCs w:val="18"/>
              </w:rPr>
              <w:t>%</w:t>
            </w:r>
          </w:p>
        </w:tc>
        <w:tc>
          <w:tcPr>
            <w:tcW w:w="636" w:type="pct"/>
            <w:hideMark/>
          </w:tcPr>
          <w:p w:rsidR="000D47B3" w:rsidRPr="00EA6851" w:rsidRDefault="000D47B3" w:rsidP="000D47B3">
            <w:pPr>
              <w:jc w:val="center"/>
              <w:rPr>
                <w:sz w:val="18"/>
                <w:szCs w:val="18"/>
              </w:rPr>
            </w:pPr>
            <w:r w:rsidRPr="00EA6851">
              <w:rPr>
                <w:sz w:val="18"/>
                <w:szCs w:val="18"/>
              </w:rPr>
              <w:t>91,0</w:t>
            </w:r>
          </w:p>
        </w:tc>
        <w:tc>
          <w:tcPr>
            <w:tcW w:w="529" w:type="pct"/>
            <w:vMerge w:val="restart"/>
            <w:hideMark/>
          </w:tcPr>
          <w:p w:rsidR="000D47B3" w:rsidRPr="00EA6851" w:rsidRDefault="000D47B3" w:rsidP="000D47B3">
            <w:pPr>
              <w:jc w:val="center"/>
              <w:rPr>
                <w:sz w:val="18"/>
                <w:szCs w:val="18"/>
              </w:rPr>
            </w:pPr>
            <w:r w:rsidRPr="00EA6851">
              <w:rPr>
                <w:sz w:val="18"/>
                <w:szCs w:val="18"/>
              </w:rPr>
              <w:t>91,0</w:t>
            </w:r>
          </w:p>
        </w:tc>
        <w:tc>
          <w:tcPr>
            <w:tcW w:w="605" w:type="pct"/>
            <w:vMerge w:val="restart"/>
            <w:hideMark/>
          </w:tcPr>
          <w:p w:rsidR="000D47B3" w:rsidRPr="00EA6851" w:rsidRDefault="000D47B3" w:rsidP="000D47B3">
            <w:pPr>
              <w:jc w:val="center"/>
              <w:rPr>
                <w:sz w:val="18"/>
                <w:szCs w:val="18"/>
              </w:rPr>
            </w:pPr>
            <w:r w:rsidRPr="00EA6851">
              <w:rPr>
                <w:sz w:val="18"/>
                <w:szCs w:val="18"/>
              </w:rPr>
              <w:t>91,0</w:t>
            </w:r>
          </w:p>
        </w:tc>
        <w:tc>
          <w:tcPr>
            <w:tcW w:w="603" w:type="pct"/>
            <w:vMerge w:val="restart"/>
            <w:hideMark/>
          </w:tcPr>
          <w:p w:rsidR="000D47B3" w:rsidRPr="00EA6851" w:rsidRDefault="000D47B3" w:rsidP="000D47B3">
            <w:pPr>
              <w:jc w:val="center"/>
              <w:rPr>
                <w:sz w:val="18"/>
                <w:szCs w:val="18"/>
              </w:rPr>
            </w:pPr>
            <w:r w:rsidRPr="00EA6851">
              <w:rPr>
                <w:sz w:val="18"/>
                <w:szCs w:val="18"/>
              </w:rPr>
              <w:t>91,0</w:t>
            </w:r>
          </w:p>
        </w:tc>
      </w:tr>
      <w:tr w:rsidR="000D47B3" w:rsidRPr="00EA6851" w:rsidTr="00734A76">
        <w:trPr>
          <w:trHeight w:val="70"/>
        </w:trPr>
        <w:tc>
          <w:tcPr>
            <w:tcW w:w="2066" w:type="pct"/>
            <w:hideMark/>
          </w:tcPr>
          <w:p w:rsidR="000D47B3" w:rsidRPr="00EA6851" w:rsidRDefault="000D47B3" w:rsidP="000D47B3">
            <w:pPr>
              <w:rPr>
                <w:sz w:val="18"/>
                <w:szCs w:val="18"/>
              </w:rPr>
            </w:pPr>
            <w:r w:rsidRPr="00EA6851">
              <w:rPr>
                <w:sz w:val="18"/>
                <w:szCs w:val="18"/>
              </w:rPr>
              <w:t xml:space="preserve">  -  на Европейски първенства</w:t>
            </w:r>
          </w:p>
        </w:tc>
        <w:tc>
          <w:tcPr>
            <w:tcW w:w="0" w:type="auto"/>
            <w:vMerge/>
            <w:vAlign w:val="center"/>
            <w:hideMark/>
          </w:tcPr>
          <w:p w:rsidR="000D47B3" w:rsidRPr="00EA6851" w:rsidRDefault="000D47B3" w:rsidP="000D47B3">
            <w:pPr>
              <w:jc w:val="center"/>
              <w:rPr>
                <w:sz w:val="18"/>
                <w:szCs w:val="18"/>
              </w:rPr>
            </w:pPr>
          </w:p>
        </w:tc>
        <w:tc>
          <w:tcPr>
            <w:tcW w:w="636" w:type="pct"/>
          </w:tcPr>
          <w:p w:rsidR="000D47B3" w:rsidRPr="00EA6851" w:rsidRDefault="000D47B3" w:rsidP="000D47B3">
            <w:pPr>
              <w:jc w:val="center"/>
              <w:rPr>
                <w:sz w:val="18"/>
                <w:szCs w:val="18"/>
              </w:rPr>
            </w:pPr>
          </w:p>
        </w:tc>
        <w:tc>
          <w:tcPr>
            <w:tcW w:w="0" w:type="auto"/>
            <w:vMerge/>
            <w:vAlign w:val="center"/>
            <w:hideMark/>
          </w:tcPr>
          <w:p w:rsidR="000D47B3" w:rsidRPr="00EA6851" w:rsidRDefault="000D47B3" w:rsidP="000D47B3">
            <w:pPr>
              <w:jc w:val="center"/>
              <w:rPr>
                <w:sz w:val="18"/>
                <w:szCs w:val="18"/>
              </w:rPr>
            </w:pPr>
          </w:p>
        </w:tc>
        <w:tc>
          <w:tcPr>
            <w:tcW w:w="0" w:type="auto"/>
            <w:vMerge/>
            <w:vAlign w:val="center"/>
            <w:hideMark/>
          </w:tcPr>
          <w:p w:rsidR="000D47B3" w:rsidRPr="00EA6851" w:rsidRDefault="000D47B3" w:rsidP="000D47B3">
            <w:pPr>
              <w:jc w:val="center"/>
              <w:rPr>
                <w:sz w:val="18"/>
                <w:szCs w:val="18"/>
              </w:rPr>
            </w:pPr>
          </w:p>
        </w:tc>
        <w:tc>
          <w:tcPr>
            <w:tcW w:w="0" w:type="auto"/>
            <w:vMerge/>
            <w:vAlign w:val="center"/>
            <w:hideMark/>
          </w:tcPr>
          <w:p w:rsidR="000D47B3" w:rsidRPr="00EA6851" w:rsidRDefault="000D47B3" w:rsidP="000D47B3">
            <w:pPr>
              <w:jc w:val="center"/>
              <w:rPr>
                <w:sz w:val="18"/>
                <w:szCs w:val="18"/>
              </w:rPr>
            </w:pPr>
          </w:p>
        </w:tc>
      </w:tr>
      <w:tr w:rsidR="000D47B3" w:rsidRPr="00EA6851" w:rsidTr="00734A76">
        <w:trPr>
          <w:trHeight w:val="319"/>
        </w:trPr>
        <w:tc>
          <w:tcPr>
            <w:tcW w:w="2066" w:type="pct"/>
            <w:hideMark/>
          </w:tcPr>
          <w:p w:rsidR="000D47B3" w:rsidRPr="00EA6851" w:rsidRDefault="000D47B3" w:rsidP="000D47B3">
            <w:pPr>
              <w:rPr>
                <w:sz w:val="18"/>
                <w:szCs w:val="18"/>
              </w:rPr>
            </w:pPr>
            <w:r w:rsidRPr="00EA6851">
              <w:rPr>
                <w:sz w:val="18"/>
                <w:szCs w:val="18"/>
              </w:rPr>
              <w:t xml:space="preserve">  -  на Световни първенства</w:t>
            </w:r>
          </w:p>
        </w:tc>
        <w:tc>
          <w:tcPr>
            <w:tcW w:w="0" w:type="auto"/>
            <w:vMerge/>
            <w:vAlign w:val="center"/>
            <w:hideMark/>
          </w:tcPr>
          <w:p w:rsidR="000D47B3" w:rsidRPr="00EA6851" w:rsidRDefault="000D47B3" w:rsidP="000D47B3">
            <w:pPr>
              <w:jc w:val="center"/>
              <w:rPr>
                <w:sz w:val="18"/>
                <w:szCs w:val="18"/>
              </w:rPr>
            </w:pPr>
          </w:p>
        </w:tc>
        <w:tc>
          <w:tcPr>
            <w:tcW w:w="636" w:type="pct"/>
          </w:tcPr>
          <w:p w:rsidR="000D47B3" w:rsidRPr="00EA6851" w:rsidRDefault="000D47B3" w:rsidP="000D47B3">
            <w:pPr>
              <w:jc w:val="center"/>
              <w:rPr>
                <w:sz w:val="18"/>
                <w:szCs w:val="18"/>
              </w:rPr>
            </w:pPr>
          </w:p>
        </w:tc>
        <w:tc>
          <w:tcPr>
            <w:tcW w:w="0" w:type="auto"/>
            <w:vMerge/>
            <w:vAlign w:val="center"/>
            <w:hideMark/>
          </w:tcPr>
          <w:p w:rsidR="000D47B3" w:rsidRPr="00EA6851" w:rsidRDefault="000D47B3" w:rsidP="000D47B3">
            <w:pPr>
              <w:jc w:val="center"/>
              <w:rPr>
                <w:sz w:val="18"/>
                <w:szCs w:val="18"/>
              </w:rPr>
            </w:pPr>
          </w:p>
        </w:tc>
        <w:tc>
          <w:tcPr>
            <w:tcW w:w="0" w:type="auto"/>
            <w:vMerge/>
            <w:vAlign w:val="center"/>
            <w:hideMark/>
          </w:tcPr>
          <w:p w:rsidR="000D47B3" w:rsidRPr="00EA6851" w:rsidRDefault="000D47B3" w:rsidP="000D47B3">
            <w:pPr>
              <w:jc w:val="center"/>
              <w:rPr>
                <w:sz w:val="18"/>
                <w:szCs w:val="18"/>
              </w:rPr>
            </w:pPr>
          </w:p>
        </w:tc>
        <w:tc>
          <w:tcPr>
            <w:tcW w:w="0" w:type="auto"/>
            <w:vMerge/>
            <w:vAlign w:val="center"/>
            <w:hideMark/>
          </w:tcPr>
          <w:p w:rsidR="000D47B3" w:rsidRPr="00EA6851" w:rsidRDefault="000D47B3" w:rsidP="000D47B3">
            <w:pPr>
              <w:jc w:val="center"/>
              <w:rPr>
                <w:sz w:val="18"/>
                <w:szCs w:val="18"/>
              </w:rPr>
            </w:pPr>
          </w:p>
        </w:tc>
      </w:tr>
      <w:tr w:rsidR="000D47B3" w:rsidRPr="00EA6851" w:rsidTr="00734A76">
        <w:trPr>
          <w:trHeight w:val="70"/>
        </w:trPr>
        <w:tc>
          <w:tcPr>
            <w:tcW w:w="2066" w:type="pct"/>
            <w:hideMark/>
          </w:tcPr>
          <w:p w:rsidR="000D47B3" w:rsidRPr="00EA6851" w:rsidRDefault="000D47B3" w:rsidP="000D47B3">
            <w:pPr>
              <w:rPr>
                <w:sz w:val="18"/>
                <w:szCs w:val="18"/>
              </w:rPr>
            </w:pPr>
            <w:r w:rsidRPr="00EA6851">
              <w:rPr>
                <w:sz w:val="18"/>
                <w:szCs w:val="18"/>
              </w:rPr>
              <w:t xml:space="preserve">  - на Олимпийски и европейски игри (олимпийски игри - зимни, летни, паралимпийски игри - зимни и летни, младежки олимпийски - зимни и летни и европейски игри)</w:t>
            </w:r>
          </w:p>
        </w:tc>
        <w:tc>
          <w:tcPr>
            <w:tcW w:w="0" w:type="auto"/>
            <w:vMerge/>
            <w:vAlign w:val="center"/>
            <w:hideMark/>
          </w:tcPr>
          <w:p w:rsidR="000D47B3" w:rsidRPr="00EA6851" w:rsidRDefault="000D47B3" w:rsidP="000D47B3">
            <w:pPr>
              <w:jc w:val="center"/>
              <w:rPr>
                <w:sz w:val="18"/>
                <w:szCs w:val="18"/>
              </w:rPr>
            </w:pPr>
          </w:p>
        </w:tc>
        <w:tc>
          <w:tcPr>
            <w:tcW w:w="636" w:type="pct"/>
          </w:tcPr>
          <w:p w:rsidR="000D47B3" w:rsidRPr="00EA6851" w:rsidRDefault="000D47B3" w:rsidP="000D47B3">
            <w:pPr>
              <w:jc w:val="center"/>
              <w:rPr>
                <w:sz w:val="18"/>
                <w:szCs w:val="18"/>
              </w:rPr>
            </w:pPr>
          </w:p>
        </w:tc>
        <w:tc>
          <w:tcPr>
            <w:tcW w:w="0" w:type="auto"/>
            <w:vMerge/>
            <w:vAlign w:val="center"/>
            <w:hideMark/>
          </w:tcPr>
          <w:p w:rsidR="000D47B3" w:rsidRPr="00EA6851" w:rsidRDefault="000D47B3" w:rsidP="000D47B3">
            <w:pPr>
              <w:jc w:val="center"/>
              <w:rPr>
                <w:sz w:val="18"/>
                <w:szCs w:val="18"/>
              </w:rPr>
            </w:pPr>
          </w:p>
        </w:tc>
        <w:tc>
          <w:tcPr>
            <w:tcW w:w="0" w:type="auto"/>
            <w:vMerge/>
            <w:vAlign w:val="center"/>
            <w:hideMark/>
          </w:tcPr>
          <w:p w:rsidR="000D47B3" w:rsidRPr="00EA6851" w:rsidRDefault="000D47B3" w:rsidP="000D47B3">
            <w:pPr>
              <w:jc w:val="center"/>
              <w:rPr>
                <w:sz w:val="18"/>
                <w:szCs w:val="18"/>
              </w:rPr>
            </w:pPr>
          </w:p>
        </w:tc>
        <w:tc>
          <w:tcPr>
            <w:tcW w:w="0" w:type="auto"/>
            <w:vMerge/>
            <w:vAlign w:val="center"/>
            <w:hideMark/>
          </w:tcPr>
          <w:p w:rsidR="000D47B3" w:rsidRPr="00EA6851" w:rsidRDefault="000D47B3" w:rsidP="000D47B3">
            <w:pPr>
              <w:jc w:val="center"/>
              <w:rPr>
                <w:sz w:val="18"/>
                <w:szCs w:val="18"/>
              </w:rPr>
            </w:pPr>
          </w:p>
        </w:tc>
      </w:tr>
      <w:tr w:rsidR="000D47B3" w:rsidRPr="00EA6851" w:rsidTr="00734A76">
        <w:trPr>
          <w:trHeight w:val="1192"/>
        </w:trPr>
        <w:tc>
          <w:tcPr>
            <w:tcW w:w="2066" w:type="pct"/>
            <w:tcBorders>
              <w:top w:val="nil"/>
              <w:left w:val="nil"/>
              <w:bottom w:val="single" w:sz="4" w:space="0" w:color="auto"/>
              <w:right w:val="nil"/>
            </w:tcBorders>
            <w:hideMark/>
          </w:tcPr>
          <w:p w:rsidR="000D47B3" w:rsidRPr="00EA6851" w:rsidRDefault="000D47B3" w:rsidP="000D47B3">
            <w:pPr>
              <w:rPr>
                <w:sz w:val="18"/>
                <w:szCs w:val="18"/>
              </w:rPr>
            </w:pPr>
            <w:r w:rsidRPr="00EA6851">
              <w:rPr>
                <w:sz w:val="18"/>
                <w:szCs w:val="18"/>
              </w:rPr>
              <w:t>4. Относителен дял на финансово подпомаганите за СВП спортни клубове спрямо всички вписани в Националния регистър на лицензираните спортни организации и на членуващите в тях спортни клубове</w:t>
            </w:r>
          </w:p>
        </w:tc>
        <w:tc>
          <w:tcPr>
            <w:tcW w:w="561" w:type="pct"/>
            <w:tcBorders>
              <w:top w:val="nil"/>
              <w:left w:val="nil"/>
              <w:bottom w:val="single" w:sz="4" w:space="0" w:color="auto"/>
              <w:right w:val="nil"/>
            </w:tcBorders>
            <w:shd w:val="clear" w:color="auto" w:fill="F2F2F2"/>
          </w:tcPr>
          <w:p w:rsidR="000D47B3" w:rsidRPr="00EA6851" w:rsidRDefault="000D47B3" w:rsidP="000D47B3">
            <w:pPr>
              <w:jc w:val="center"/>
              <w:rPr>
                <w:sz w:val="18"/>
                <w:szCs w:val="18"/>
              </w:rPr>
            </w:pPr>
          </w:p>
          <w:p w:rsidR="000D47B3" w:rsidRPr="00EA6851" w:rsidRDefault="000D47B3" w:rsidP="000D47B3">
            <w:pPr>
              <w:jc w:val="center"/>
              <w:rPr>
                <w:sz w:val="18"/>
                <w:szCs w:val="18"/>
              </w:rPr>
            </w:pPr>
            <w:r w:rsidRPr="00EA6851">
              <w:rPr>
                <w:sz w:val="18"/>
                <w:szCs w:val="18"/>
              </w:rPr>
              <w:t>%</w:t>
            </w:r>
          </w:p>
        </w:tc>
        <w:tc>
          <w:tcPr>
            <w:tcW w:w="636" w:type="pct"/>
            <w:tcBorders>
              <w:top w:val="nil"/>
              <w:left w:val="nil"/>
              <w:bottom w:val="single" w:sz="4" w:space="0" w:color="auto"/>
              <w:right w:val="nil"/>
            </w:tcBorders>
          </w:tcPr>
          <w:p w:rsidR="000D47B3" w:rsidRPr="00EA6851" w:rsidRDefault="000D47B3" w:rsidP="000D47B3">
            <w:pPr>
              <w:jc w:val="center"/>
              <w:rPr>
                <w:sz w:val="18"/>
                <w:szCs w:val="18"/>
              </w:rPr>
            </w:pPr>
          </w:p>
          <w:p w:rsidR="000D47B3" w:rsidRPr="00EA6851" w:rsidRDefault="000D47B3" w:rsidP="000D47B3">
            <w:pPr>
              <w:jc w:val="center"/>
              <w:rPr>
                <w:sz w:val="18"/>
                <w:szCs w:val="18"/>
              </w:rPr>
            </w:pPr>
            <w:r w:rsidRPr="00EA6851">
              <w:rPr>
                <w:sz w:val="18"/>
                <w:szCs w:val="18"/>
              </w:rPr>
              <w:t>23,0</w:t>
            </w:r>
          </w:p>
        </w:tc>
        <w:tc>
          <w:tcPr>
            <w:tcW w:w="529" w:type="pct"/>
            <w:tcBorders>
              <w:top w:val="nil"/>
              <w:left w:val="nil"/>
              <w:bottom w:val="single" w:sz="4" w:space="0" w:color="auto"/>
              <w:right w:val="nil"/>
            </w:tcBorders>
          </w:tcPr>
          <w:p w:rsidR="000D47B3" w:rsidRPr="00EA6851" w:rsidRDefault="000D47B3" w:rsidP="000D47B3">
            <w:pPr>
              <w:jc w:val="center"/>
              <w:rPr>
                <w:sz w:val="18"/>
                <w:szCs w:val="18"/>
              </w:rPr>
            </w:pPr>
          </w:p>
          <w:p w:rsidR="000D47B3" w:rsidRPr="00EA6851" w:rsidRDefault="000D47B3" w:rsidP="000D47B3">
            <w:pPr>
              <w:jc w:val="center"/>
              <w:rPr>
                <w:sz w:val="18"/>
                <w:szCs w:val="18"/>
              </w:rPr>
            </w:pPr>
            <w:r w:rsidRPr="00EA6851">
              <w:rPr>
                <w:sz w:val="18"/>
                <w:szCs w:val="18"/>
              </w:rPr>
              <w:t>23,0</w:t>
            </w:r>
          </w:p>
        </w:tc>
        <w:tc>
          <w:tcPr>
            <w:tcW w:w="605" w:type="pct"/>
            <w:tcBorders>
              <w:top w:val="nil"/>
              <w:left w:val="nil"/>
              <w:bottom w:val="single" w:sz="4" w:space="0" w:color="auto"/>
              <w:right w:val="nil"/>
            </w:tcBorders>
          </w:tcPr>
          <w:p w:rsidR="000D47B3" w:rsidRPr="00EA6851" w:rsidRDefault="000D47B3" w:rsidP="000D47B3">
            <w:pPr>
              <w:jc w:val="center"/>
              <w:rPr>
                <w:sz w:val="18"/>
                <w:szCs w:val="18"/>
              </w:rPr>
            </w:pPr>
          </w:p>
          <w:p w:rsidR="000D47B3" w:rsidRPr="00EA6851" w:rsidRDefault="000D47B3" w:rsidP="000D47B3">
            <w:pPr>
              <w:jc w:val="center"/>
              <w:rPr>
                <w:sz w:val="18"/>
                <w:szCs w:val="18"/>
              </w:rPr>
            </w:pPr>
            <w:r w:rsidRPr="00EA6851">
              <w:rPr>
                <w:sz w:val="18"/>
                <w:szCs w:val="18"/>
              </w:rPr>
              <w:t>23,0</w:t>
            </w:r>
          </w:p>
        </w:tc>
        <w:tc>
          <w:tcPr>
            <w:tcW w:w="603" w:type="pct"/>
            <w:tcBorders>
              <w:top w:val="nil"/>
              <w:left w:val="nil"/>
              <w:bottom w:val="single" w:sz="4" w:space="0" w:color="auto"/>
              <w:right w:val="nil"/>
            </w:tcBorders>
          </w:tcPr>
          <w:p w:rsidR="000D47B3" w:rsidRPr="00EA6851" w:rsidRDefault="000D47B3" w:rsidP="000D47B3">
            <w:pPr>
              <w:jc w:val="center"/>
              <w:rPr>
                <w:sz w:val="18"/>
                <w:szCs w:val="18"/>
              </w:rPr>
            </w:pPr>
          </w:p>
          <w:p w:rsidR="000D47B3" w:rsidRPr="00EA6851" w:rsidRDefault="000D47B3" w:rsidP="000D47B3">
            <w:pPr>
              <w:jc w:val="center"/>
              <w:rPr>
                <w:sz w:val="18"/>
                <w:szCs w:val="18"/>
              </w:rPr>
            </w:pPr>
            <w:r w:rsidRPr="00EA6851">
              <w:rPr>
                <w:sz w:val="18"/>
                <w:szCs w:val="18"/>
              </w:rPr>
              <w:t>23,0</w:t>
            </w:r>
          </w:p>
        </w:tc>
      </w:tr>
    </w:tbl>
    <w:p w:rsidR="000D47B3" w:rsidRPr="00EA6851" w:rsidRDefault="000D47B3" w:rsidP="000D47B3"/>
    <w:p w:rsidR="000D47B3" w:rsidRPr="00EA6851" w:rsidRDefault="000D47B3" w:rsidP="000D47B3">
      <w:pPr>
        <w:rPr>
          <w:rFonts w:eastAsia="Times New Roman" w:cs="Times New Roman"/>
        </w:rPr>
      </w:pPr>
      <w:r w:rsidRPr="00EA6851">
        <w:rPr>
          <w:rFonts w:eastAsia="Times New Roman" w:cs="Times New Roman"/>
        </w:rPr>
        <w:t xml:space="preserve">За реализирането на тази политика чрез мерки за развитие на спорта за високи постижения за прогнозния период са разчетени средства по години, както следва: 2024 г. </w:t>
      </w:r>
      <w:r w:rsidR="009027B6" w:rsidRPr="00EA6851">
        <w:rPr>
          <w:rFonts w:eastAsia="Times New Roman" w:cs="Times New Roman"/>
        </w:rPr>
        <w:t>–</w:t>
      </w:r>
      <w:r w:rsidRPr="00EA6851">
        <w:rPr>
          <w:rFonts w:eastAsia="Times New Roman" w:cs="Times New Roman"/>
        </w:rPr>
        <w:t xml:space="preserve"> 8</w:t>
      </w:r>
      <w:r w:rsidR="008B7E9B" w:rsidRPr="00EA6851">
        <w:rPr>
          <w:rFonts w:eastAsia="Times New Roman" w:cs="Times New Roman"/>
        </w:rPr>
        <w:t>8</w:t>
      </w:r>
      <w:r w:rsidRPr="00EA6851">
        <w:rPr>
          <w:rFonts w:eastAsia="Times New Roman" w:cs="Times New Roman"/>
        </w:rPr>
        <w:t xml:space="preserve">,4 млн. лв.; 2025 г. – </w:t>
      </w:r>
      <w:r w:rsidR="008B7E9B" w:rsidRPr="00EA6851">
        <w:rPr>
          <w:rFonts w:eastAsia="Times New Roman" w:cs="Times New Roman"/>
        </w:rPr>
        <w:t>89</w:t>
      </w:r>
      <w:r w:rsidRPr="00EA6851">
        <w:rPr>
          <w:rFonts w:eastAsia="Times New Roman" w:cs="Times New Roman"/>
        </w:rPr>
        <w:t>,4 млн. лв. и 2026 г. – 9</w:t>
      </w:r>
      <w:r w:rsidR="008B7E9B" w:rsidRPr="00EA6851">
        <w:rPr>
          <w:rFonts w:eastAsia="Times New Roman" w:cs="Times New Roman"/>
        </w:rPr>
        <w:t>0</w:t>
      </w:r>
      <w:r w:rsidRPr="00EA6851">
        <w:rPr>
          <w:rFonts w:eastAsia="Times New Roman" w:cs="Times New Roman"/>
        </w:rPr>
        <w:t>,6 млн. лв.</w:t>
      </w:r>
    </w:p>
    <w:p w:rsidR="000D47B3" w:rsidRPr="00EA6851" w:rsidRDefault="000D47B3" w:rsidP="000D47B3">
      <w:pPr>
        <w:pStyle w:val="Heading4"/>
        <w:spacing w:before="0" w:after="200"/>
        <w:rPr>
          <w:rFonts w:eastAsia="Times New Roman"/>
        </w:rPr>
      </w:pPr>
      <w:r w:rsidRPr="00EA6851">
        <w:rPr>
          <w:rFonts w:eastAsia="Times New Roman"/>
        </w:rPr>
        <w:t>Политика в областта на привеждането на спортните обекти и съоръжения във вид, отговарящ на съвременните международни стандарти</w:t>
      </w:r>
    </w:p>
    <w:p w:rsidR="000D47B3" w:rsidRPr="00EA6851" w:rsidRDefault="000D47B3" w:rsidP="000D47B3">
      <w:pPr>
        <w:rPr>
          <w:rFonts w:eastAsia="Times New Roman" w:cs="Times New Roman"/>
        </w:rPr>
      </w:pPr>
      <w:r w:rsidRPr="00EA6851">
        <w:rPr>
          <w:rFonts w:eastAsia="Times New Roman" w:cs="Times New Roman"/>
        </w:rPr>
        <w:t>Държавната политика в тази област е насочена към изграждане, реконструкция и модернизация на спортните обекти и съоръжения и обектите за социален туризъм с цел привеждането им във вид, отговарящ на съвременните международни стандарти. Спортните обекти и съоръжения и обектите за социален туризъм са основна предпоставка за развитие на системата на физическото възпитание и спорта.</w:t>
      </w:r>
    </w:p>
    <w:p w:rsidR="000D47B3" w:rsidRPr="00EA6851" w:rsidRDefault="000D47B3" w:rsidP="000D47B3">
      <w:pPr>
        <w:rPr>
          <w:rFonts w:eastAsia="Times New Roman" w:cs="Times New Roman"/>
        </w:rPr>
      </w:pPr>
      <w:r w:rsidRPr="00EA6851">
        <w:rPr>
          <w:rFonts w:eastAsia="Times New Roman" w:cs="Times New Roman"/>
        </w:rPr>
        <w:t>Изграждането на съвременна спортна инфраструктура дава възможност за оптимални условия за спортна подготовка, провеждане на подготвителни лагери и организиране на състезания от държавния и международния спортен календар. Изграждането на модерни спортни съоръжения е предпоставка за привличане на подрастващите към системни занимания със спорт, привикване към здравословен начин на живот и превенция на зависимости.</w:t>
      </w:r>
    </w:p>
    <w:p w:rsidR="000D47B3" w:rsidRPr="00EA6851" w:rsidRDefault="000D47B3" w:rsidP="00734A76">
      <w:pPr>
        <w:rPr>
          <w:rFonts w:eastAsia="Times New Roman" w:cs="Times New Roman"/>
          <w:b/>
          <w:sz w:val="20"/>
          <w:szCs w:val="20"/>
        </w:rPr>
      </w:pPr>
      <w:r w:rsidRPr="00EA6851">
        <w:rPr>
          <w:rFonts w:eastAsia="Times New Roman" w:cs="Times New Roman"/>
          <w:b/>
          <w:sz w:val="20"/>
          <w:szCs w:val="20"/>
        </w:rPr>
        <w:t>КЛЮЧОВИ ИНДИКАТОРИ ЗА ИЗПЪЛНЕНИЕ И ЦЕЛЕВИ СТОЙНОСТИ</w:t>
      </w:r>
    </w:p>
    <w:tbl>
      <w:tblPr>
        <w:tblW w:w="5004" w:type="pct"/>
        <w:jc w:val="center"/>
        <w:tblCellMar>
          <w:left w:w="70" w:type="dxa"/>
          <w:right w:w="70" w:type="dxa"/>
        </w:tblCellMar>
        <w:tblLook w:val="04A0" w:firstRow="1" w:lastRow="0" w:firstColumn="1" w:lastColumn="0" w:noHBand="0" w:noVBand="1"/>
      </w:tblPr>
      <w:tblGrid>
        <w:gridCol w:w="3696"/>
        <w:gridCol w:w="1215"/>
        <w:gridCol w:w="1091"/>
        <w:gridCol w:w="906"/>
        <w:gridCol w:w="212"/>
        <w:gridCol w:w="868"/>
        <w:gridCol w:w="234"/>
        <w:gridCol w:w="855"/>
      </w:tblGrid>
      <w:tr w:rsidR="000D47B3" w:rsidRPr="00EA6851" w:rsidTr="00FA2E91">
        <w:trPr>
          <w:trHeight w:val="372"/>
          <w:tblHeader/>
          <w:jc w:val="center"/>
        </w:trPr>
        <w:tc>
          <w:tcPr>
            <w:tcW w:w="2036" w:type="pct"/>
            <w:tcBorders>
              <w:top w:val="single" w:sz="4" w:space="0" w:color="auto"/>
              <w:left w:val="nil"/>
              <w:bottom w:val="nil"/>
              <w:right w:val="nil"/>
            </w:tcBorders>
            <w:vAlign w:val="center"/>
            <w:hideMark/>
          </w:tcPr>
          <w:p w:rsidR="000D47B3" w:rsidRPr="00EA6851" w:rsidRDefault="000D47B3" w:rsidP="000D47B3">
            <w:pPr>
              <w:jc w:val="center"/>
              <w:rPr>
                <w:rFonts w:eastAsia="Times New Roman" w:cs="Times New Roman"/>
                <w:b/>
                <w:i/>
                <w:sz w:val="18"/>
                <w:szCs w:val="18"/>
              </w:rPr>
            </w:pPr>
            <w:r w:rsidRPr="00EA6851">
              <w:rPr>
                <w:rFonts w:eastAsia="Times New Roman" w:cs="Times New Roman"/>
                <w:b/>
                <w:i/>
                <w:sz w:val="18"/>
                <w:szCs w:val="18"/>
              </w:rPr>
              <w:t>Политика в областта на привеждането на спортните обекти и съоръжения във вид, отговарящ на съвременните международни стандарти</w:t>
            </w:r>
          </w:p>
        </w:tc>
        <w:tc>
          <w:tcPr>
            <w:tcW w:w="669" w:type="pct"/>
            <w:vMerge w:val="restart"/>
            <w:tcBorders>
              <w:top w:val="single" w:sz="4" w:space="0" w:color="auto"/>
              <w:left w:val="nil"/>
              <w:bottom w:val="single" w:sz="4" w:space="0" w:color="auto"/>
              <w:right w:val="nil"/>
            </w:tcBorders>
            <w:shd w:val="clear" w:color="auto" w:fill="F2F2F2"/>
            <w:vAlign w:val="center"/>
            <w:hideMark/>
          </w:tcPr>
          <w:p w:rsidR="000D47B3" w:rsidRPr="00EA6851" w:rsidRDefault="000D47B3" w:rsidP="000D47B3">
            <w:pPr>
              <w:jc w:val="center"/>
              <w:rPr>
                <w:rFonts w:eastAsia="Times New Roman" w:cs="Times New Roman"/>
                <w:b/>
                <w:sz w:val="18"/>
                <w:szCs w:val="18"/>
              </w:rPr>
            </w:pPr>
            <w:r w:rsidRPr="00EA6851">
              <w:rPr>
                <w:rFonts w:eastAsia="Times New Roman" w:cs="Times New Roman"/>
                <w:b/>
                <w:sz w:val="18"/>
                <w:szCs w:val="18"/>
              </w:rPr>
              <w:t>Мерна единица</w:t>
            </w:r>
          </w:p>
        </w:tc>
        <w:tc>
          <w:tcPr>
            <w:tcW w:w="2295" w:type="pct"/>
            <w:gridSpan w:val="6"/>
            <w:tcBorders>
              <w:top w:val="single" w:sz="4" w:space="0" w:color="auto"/>
              <w:left w:val="nil"/>
              <w:bottom w:val="single" w:sz="4" w:space="0" w:color="auto"/>
              <w:right w:val="nil"/>
            </w:tcBorders>
            <w:vAlign w:val="center"/>
            <w:hideMark/>
          </w:tcPr>
          <w:p w:rsidR="000D47B3" w:rsidRPr="00EA6851" w:rsidRDefault="000D47B3" w:rsidP="000D47B3">
            <w:pPr>
              <w:jc w:val="center"/>
              <w:rPr>
                <w:rFonts w:eastAsia="Times New Roman" w:cs="Times New Roman"/>
                <w:b/>
                <w:sz w:val="18"/>
                <w:szCs w:val="18"/>
              </w:rPr>
            </w:pPr>
            <w:r w:rsidRPr="00EA6851">
              <w:rPr>
                <w:rFonts w:eastAsia="Times New Roman" w:cs="Times New Roman"/>
                <w:b/>
                <w:sz w:val="18"/>
                <w:szCs w:val="18"/>
              </w:rPr>
              <w:t>Целева стойност</w:t>
            </w:r>
          </w:p>
        </w:tc>
      </w:tr>
      <w:tr w:rsidR="000D47B3" w:rsidRPr="00EA6851" w:rsidTr="007945B3">
        <w:trPr>
          <w:trHeight w:val="73"/>
          <w:tblHeader/>
          <w:jc w:val="center"/>
        </w:trPr>
        <w:tc>
          <w:tcPr>
            <w:tcW w:w="2036" w:type="pct"/>
            <w:tcBorders>
              <w:top w:val="nil"/>
              <w:left w:val="nil"/>
              <w:bottom w:val="single" w:sz="4" w:space="0" w:color="auto"/>
              <w:right w:val="nil"/>
            </w:tcBorders>
            <w:vAlign w:val="center"/>
            <w:hideMark/>
          </w:tcPr>
          <w:p w:rsidR="000D47B3" w:rsidRPr="00EA6851" w:rsidRDefault="000D47B3" w:rsidP="000D47B3">
            <w:pPr>
              <w:jc w:val="center"/>
              <w:rPr>
                <w:rFonts w:eastAsia="Times New Roman" w:cs="Times New Roman"/>
                <w:b/>
                <w:sz w:val="18"/>
                <w:szCs w:val="18"/>
              </w:rPr>
            </w:pPr>
            <w:r w:rsidRPr="00EA6851">
              <w:rPr>
                <w:rFonts w:eastAsia="Times New Roman" w:cs="Times New Roman"/>
                <w:b/>
                <w:sz w:val="18"/>
                <w:szCs w:val="18"/>
              </w:rPr>
              <w:t>Наименование на индикатора</w:t>
            </w:r>
          </w:p>
        </w:tc>
        <w:tc>
          <w:tcPr>
            <w:tcW w:w="0" w:type="auto"/>
            <w:vMerge/>
            <w:tcBorders>
              <w:top w:val="single" w:sz="4" w:space="0" w:color="auto"/>
              <w:left w:val="nil"/>
              <w:bottom w:val="single" w:sz="4" w:space="0" w:color="auto"/>
              <w:right w:val="nil"/>
            </w:tcBorders>
            <w:vAlign w:val="center"/>
            <w:hideMark/>
          </w:tcPr>
          <w:p w:rsidR="000D47B3" w:rsidRPr="00EA6851" w:rsidRDefault="000D47B3" w:rsidP="000D47B3">
            <w:pPr>
              <w:jc w:val="center"/>
              <w:rPr>
                <w:rFonts w:eastAsia="Times New Roman" w:cs="Times New Roman"/>
                <w:b/>
                <w:sz w:val="18"/>
                <w:szCs w:val="18"/>
              </w:rPr>
            </w:pPr>
          </w:p>
        </w:tc>
        <w:tc>
          <w:tcPr>
            <w:tcW w:w="601" w:type="pct"/>
            <w:tcBorders>
              <w:top w:val="nil"/>
              <w:left w:val="nil"/>
              <w:bottom w:val="single" w:sz="4" w:space="0" w:color="auto"/>
              <w:right w:val="nil"/>
            </w:tcBorders>
            <w:vAlign w:val="center"/>
            <w:hideMark/>
          </w:tcPr>
          <w:p w:rsidR="000D47B3" w:rsidRPr="00EA6851" w:rsidRDefault="000D47B3" w:rsidP="000D47B3">
            <w:pPr>
              <w:jc w:val="center"/>
              <w:rPr>
                <w:rFonts w:eastAsia="Times New Roman" w:cs="Times New Roman"/>
                <w:b/>
                <w:i/>
                <w:sz w:val="18"/>
                <w:szCs w:val="18"/>
              </w:rPr>
            </w:pPr>
            <w:r w:rsidRPr="00EA6851">
              <w:rPr>
                <w:rFonts w:eastAsia="Times New Roman" w:cs="Times New Roman"/>
                <w:b/>
                <w:i/>
                <w:sz w:val="18"/>
                <w:szCs w:val="18"/>
              </w:rPr>
              <w:t>Програма  2023 г.</w:t>
            </w:r>
          </w:p>
        </w:tc>
        <w:tc>
          <w:tcPr>
            <w:tcW w:w="499" w:type="pct"/>
            <w:tcBorders>
              <w:top w:val="nil"/>
              <w:left w:val="nil"/>
              <w:bottom w:val="single" w:sz="4" w:space="0" w:color="auto"/>
              <w:right w:val="nil"/>
            </w:tcBorders>
            <w:vAlign w:val="center"/>
            <w:hideMark/>
          </w:tcPr>
          <w:p w:rsidR="000D47B3" w:rsidRPr="00EA6851" w:rsidRDefault="000D47B3" w:rsidP="000D47B3">
            <w:pPr>
              <w:jc w:val="center"/>
              <w:rPr>
                <w:rFonts w:eastAsia="Times New Roman" w:cs="Times New Roman"/>
                <w:b/>
                <w:i/>
                <w:sz w:val="18"/>
                <w:szCs w:val="18"/>
              </w:rPr>
            </w:pPr>
            <w:r w:rsidRPr="00EA6851">
              <w:rPr>
                <w:rFonts w:eastAsia="Times New Roman" w:cs="Times New Roman"/>
                <w:b/>
                <w:i/>
                <w:sz w:val="18"/>
                <w:szCs w:val="18"/>
              </w:rPr>
              <w:t>Проект 2024 г.</w:t>
            </w:r>
          </w:p>
        </w:tc>
        <w:tc>
          <w:tcPr>
            <w:tcW w:w="595" w:type="pct"/>
            <w:gridSpan w:val="2"/>
            <w:tcBorders>
              <w:top w:val="nil"/>
              <w:left w:val="nil"/>
              <w:bottom w:val="single" w:sz="4" w:space="0" w:color="auto"/>
              <w:right w:val="nil"/>
            </w:tcBorders>
            <w:vAlign w:val="center"/>
            <w:hideMark/>
          </w:tcPr>
          <w:p w:rsidR="000D47B3" w:rsidRPr="00EA6851" w:rsidRDefault="000D47B3" w:rsidP="000D47B3">
            <w:pPr>
              <w:jc w:val="center"/>
              <w:rPr>
                <w:rFonts w:eastAsia="Times New Roman" w:cs="Times New Roman"/>
                <w:b/>
                <w:i/>
                <w:sz w:val="18"/>
                <w:szCs w:val="18"/>
              </w:rPr>
            </w:pPr>
            <w:r w:rsidRPr="00EA6851">
              <w:rPr>
                <w:rFonts w:eastAsia="Times New Roman" w:cs="Times New Roman"/>
                <w:b/>
                <w:i/>
                <w:sz w:val="18"/>
                <w:szCs w:val="18"/>
              </w:rPr>
              <w:t>Прогноза 2025 г.</w:t>
            </w:r>
          </w:p>
        </w:tc>
        <w:tc>
          <w:tcPr>
            <w:tcW w:w="599" w:type="pct"/>
            <w:gridSpan w:val="2"/>
            <w:tcBorders>
              <w:top w:val="nil"/>
              <w:left w:val="nil"/>
              <w:bottom w:val="single" w:sz="4" w:space="0" w:color="auto"/>
              <w:right w:val="nil"/>
            </w:tcBorders>
            <w:vAlign w:val="center"/>
            <w:hideMark/>
          </w:tcPr>
          <w:p w:rsidR="000D47B3" w:rsidRPr="00EA6851" w:rsidRDefault="000D47B3" w:rsidP="000D47B3">
            <w:pPr>
              <w:jc w:val="center"/>
              <w:rPr>
                <w:rFonts w:eastAsia="Times New Roman" w:cs="Times New Roman"/>
                <w:b/>
                <w:i/>
                <w:sz w:val="18"/>
                <w:szCs w:val="18"/>
              </w:rPr>
            </w:pPr>
            <w:r w:rsidRPr="00EA6851">
              <w:rPr>
                <w:rFonts w:eastAsia="Times New Roman" w:cs="Times New Roman"/>
                <w:b/>
                <w:i/>
                <w:sz w:val="18"/>
                <w:szCs w:val="18"/>
              </w:rPr>
              <w:t>Прогноза 2026 г.</w:t>
            </w:r>
          </w:p>
        </w:tc>
      </w:tr>
      <w:tr w:rsidR="000D47B3" w:rsidRPr="00EA6851" w:rsidTr="007945B3">
        <w:trPr>
          <w:trHeight w:val="435"/>
          <w:jc w:val="center"/>
        </w:trPr>
        <w:tc>
          <w:tcPr>
            <w:tcW w:w="2036" w:type="pct"/>
            <w:tcBorders>
              <w:top w:val="single" w:sz="4" w:space="0" w:color="auto"/>
              <w:left w:val="nil"/>
              <w:bottom w:val="single" w:sz="4" w:space="0" w:color="auto"/>
              <w:right w:val="nil"/>
            </w:tcBorders>
            <w:vAlign w:val="center"/>
            <w:hideMark/>
          </w:tcPr>
          <w:p w:rsidR="000D47B3" w:rsidRPr="00EA6851" w:rsidRDefault="000D47B3" w:rsidP="000D47B3">
            <w:pPr>
              <w:rPr>
                <w:rFonts w:eastAsia="Times New Roman" w:cs="Times New Roman"/>
                <w:sz w:val="18"/>
                <w:szCs w:val="18"/>
              </w:rPr>
            </w:pPr>
            <w:r w:rsidRPr="00EA6851">
              <w:rPr>
                <w:rFonts w:eastAsia="Times New Roman" w:cs="Times New Roman"/>
                <w:sz w:val="18"/>
                <w:szCs w:val="18"/>
              </w:rPr>
              <w:t>1. Ремонтирани и реконструирани обекти/съоръжения</w:t>
            </w:r>
          </w:p>
        </w:tc>
        <w:tc>
          <w:tcPr>
            <w:tcW w:w="669" w:type="pct"/>
            <w:tcBorders>
              <w:top w:val="single" w:sz="4" w:space="0" w:color="auto"/>
              <w:left w:val="nil"/>
              <w:bottom w:val="single" w:sz="4" w:space="0" w:color="auto"/>
              <w:right w:val="nil"/>
            </w:tcBorders>
            <w:shd w:val="clear" w:color="auto" w:fill="F2F2F2"/>
            <w:noWrap/>
            <w:vAlign w:val="center"/>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Брой</w:t>
            </w:r>
          </w:p>
        </w:tc>
        <w:tc>
          <w:tcPr>
            <w:tcW w:w="601" w:type="pct"/>
            <w:tcBorders>
              <w:top w:val="single" w:sz="4" w:space="0" w:color="auto"/>
              <w:left w:val="nil"/>
              <w:bottom w:val="single" w:sz="4" w:space="0" w:color="auto"/>
              <w:right w:val="nil"/>
            </w:tcBorders>
            <w:vAlign w:val="center"/>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10</w:t>
            </w:r>
          </w:p>
        </w:tc>
        <w:tc>
          <w:tcPr>
            <w:tcW w:w="616" w:type="pct"/>
            <w:gridSpan w:val="2"/>
            <w:tcBorders>
              <w:top w:val="single" w:sz="4" w:space="0" w:color="auto"/>
              <w:left w:val="nil"/>
              <w:bottom w:val="single" w:sz="4" w:space="0" w:color="auto"/>
              <w:right w:val="nil"/>
            </w:tcBorders>
            <w:vAlign w:val="center"/>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10</w:t>
            </w:r>
          </w:p>
        </w:tc>
        <w:tc>
          <w:tcPr>
            <w:tcW w:w="607" w:type="pct"/>
            <w:gridSpan w:val="2"/>
            <w:tcBorders>
              <w:top w:val="single" w:sz="4" w:space="0" w:color="auto"/>
              <w:left w:val="nil"/>
              <w:bottom w:val="single" w:sz="4" w:space="0" w:color="auto"/>
              <w:right w:val="nil"/>
            </w:tcBorders>
            <w:vAlign w:val="center"/>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10</w:t>
            </w:r>
          </w:p>
        </w:tc>
        <w:tc>
          <w:tcPr>
            <w:tcW w:w="470" w:type="pct"/>
            <w:tcBorders>
              <w:top w:val="single" w:sz="4" w:space="0" w:color="auto"/>
              <w:left w:val="nil"/>
              <w:bottom w:val="single" w:sz="4" w:space="0" w:color="auto"/>
              <w:right w:val="nil"/>
            </w:tcBorders>
            <w:vAlign w:val="center"/>
            <w:hideMark/>
          </w:tcPr>
          <w:p w:rsidR="000D47B3" w:rsidRPr="00EA6851" w:rsidRDefault="000D47B3" w:rsidP="000D47B3">
            <w:pPr>
              <w:jc w:val="center"/>
              <w:rPr>
                <w:rFonts w:eastAsia="Times New Roman" w:cs="Times New Roman"/>
                <w:sz w:val="18"/>
                <w:szCs w:val="18"/>
              </w:rPr>
            </w:pPr>
            <w:r w:rsidRPr="00EA6851">
              <w:rPr>
                <w:rFonts w:eastAsia="Times New Roman" w:cs="Times New Roman"/>
                <w:sz w:val="18"/>
                <w:szCs w:val="18"/>
              </w:rPr>
              <w:t>10</w:t>
            </w:r>
          </w:p>
        </w:tc>
      </w:tr>
    </w:tbl>
    <w:p w:rsidR="000D47B3" w:rsidRPr="00EA6851" w:rsidRDefault="000D47B3" w:rsidP="000D47B3">
      <w:pPr>
        <w:rPr>
          <w:rFonts w:eastAsia="Times New Roman" w:cs="Times New Roman"/>
          <w:bCs/>
          <w:iCs/>
        </w:rPr>
      </w:pPr>
    </w:p>
    <w:p w:rsidR="00A73BF9" w:rsidRPr="00EA6851" w:rsidRDefault="00A73BF9" w:rsidP="000D47B3">
      <w:pPr>
        <w:rPr>
          <w:rFonts w:eastAsia="Times New Roman" w:cs="Times New Roman"/>
          <w:bCs/>
          <w:iCs/>
        </w:rPr>
      </w:pPr>
      <w:r w:rsidRPr="00A73BF9">
        <w:rPr>
          <w:rFonts w:eastAsia="Times New Roman" w:cs="Times New Roman"/>
          <w:bCs/>
          <w:iCs/>
        </w:rPr>
        <w:t>Предвиденият в областта на спорта брой ремонтирани и реконструирани обекти/съоръжения за година е индикативен. За финансирането на обекти са предвидени капиталови разходи с индикативен размер, като финансирането се допълва и със средства по Оперативна пр</w:t>
      </w:r>
      <w:r w:rsidR="004631B4">
        <w:rPr>
          <w:rFonts w:eastAsia="Times New Roman" w:cs="Times New Roman"/>
          <w:bCs/>
          <w:iCs/>
        </w:rPr>
        <w:t>ограма „Региони в растеж“ и др.</w:t>
      </w:r>
    </w:p>
    <w:p w:rsidR="000D47B3" w:rsidRPr="00EA6851" w:rsidRDefault="000D47B3" w:rsidP="000D47B3">
      <w:pPr>
        <w:pStyle w:val="Heading4"/>
        <w:spacing w:before="0" w:after="200"/>
        <w:rPr>
          <w:rFonts w:eastAsia="Times New Roman"/>
        </w:rPr>
      </w:pPr>
      <w:r w:rsidRPr="00EA6851">
        <w:rPr>
          <w:rFonts w:eastAsia="Times New Roman"/>
        </w:rPr>
        <w:t>Политика в областта на усвояването и прилагането на добри международни практики за спорта</w:t>
      </w:r>
    </w:p>
    <w:p w:rsidR="004631B4" w:rsidRPr="00EA6851" w:rsidRDefault="000D47B3" w:rsidP="000D47B3">
      <w:pPr>
        <w:rPr>
          <w:rFonts w:eastAsia="Times New Roman" w:cs="Times New Roman"/>
          <w:bCs/>
          <w:iCs/>
        </w:rPr>
      </w:pPr>
      <w:r w:rsidRPr="00EA6851">
        <w:rPr>
          <w:rFonts w:eastAsia="Times New Roman" w:cs="Times New Roman"/>
          <w:bCs/>
          <w:iCs/>
        </w:rPr>
        <w:t>Основната цел на политиката е оползотворяване на възможностите, произтичащи от членството ни в ЕС, както и прилагане на добри международни практики в областта на спорта и подкрепа на дейността на спортните организации за въвеждане на нови европейски и световни управленски практики.</w:t>
      </w:r>
    </w:p>
    <w:p w:rsidR="00734A76" w:rsidRPr="00EA6851" w:rsidRDefault="0033580A" w:rsidP="003E00FF">
      <w:pPr>
        <w:pStyle w:val="Heading3"/>
        <w:ind w:left="0"/>
      </w:pPr>
      <w:bookmarkStart w:id="335" w:name="_Политика_в_областта"/>
      <w:bookmarkEnd w:id="335"/>
      <w:r w:rsidRPr="00EA6851">
        <w:t>Политика в областта на транспорта и съобщенията</w:t>
      </w:r>
    </w:p>
    <w:p w:rsidR="00734A76" w:rsidRPr="00EA6851" w:rsidRDefault="00734A76" w:rsidP="00734A76">
      <w:pPr>
        <w:pStyle w:val="Heading4"/>
      </w:pPr>
      <w:r w:rsidRPr="00EA6851">
        <w:t>Политика в областта на транспорта</w:t>
      </w:r>
    </w:p>
    <w:p w:rsidR="00734A76" w:rsidRPr="00EA6851" w:rsidRDefault="00734A76" w:rsidP="006D0447">
      <w:r w:rsidRPr="00EA6851">
        <w:t>Политиката в областта на транспорта е насочена към развитие на базисната транспортна инфраструктура, която е важно условие за поддържането на устойчив икономически растеж. Основен приоритет на транспортната политика е повишаване на качеството на предлаганите транспортни услуги и устойчивото развитие на транспорта. Транспортният сектор е ключов за българската икономика както поради неговата свързваща роля по отношение на останалите сектори, така и заради собствения му принос в брутната добавена стойност и заетостта.</w:t>
      </w:r>
    </w:p>
    <w:p w:rsidR="00734A76" w:rsidRPr="00EA6851" w:rsidRDefault="00734A76" w:rsidP="006D0447">
      <w:r w:rsidRPr="00EA6851">
        <w:t>Намаляването на негативното влияние на различните видове транспорт върху околната среда, както и осигуряването на високо ниво на безопасност и сигурност, са сред основните приоритети. Политиката е насочена към стимулиране използването на обществените видове транспорт и програми за промяна в разпределението по видове транспорт с цел намаляване на вредното въздействие на автомобилния транспорт преди всичко върху околната среда, но също така и върху безопасността на движението и намаляване на задръстванията.</w:t>
      </w:r>
    </w:p>
    <w:p w:rsidR="00734A76" w:rsidRPr="00EA6851" w:rsidRDefault="00734A76" w:rsidP="006D0447">
      <w:r w:rsidRPr="00EA6851">
        <w:t>Приоритет е и поддържането и развитието на републиканската пътна инфраструктура в съответствие със съвременните изисквания на автомобилния транспорт чрез изграждане на националната мрежа от магистрали и скоростни пътища, свързването ѝ с европейските транспортни коридори, модернизация и обновяване на републиканската пътна мрежа и осигуряване на добро експлоатационно състояние и ниво на безопасност на съществуващата пътна мрежа. Цели се осигуряване на съпоставимо с европейската практика високо ниво на транспортна достъпност и мобилност за територията на Република България, обвързано с ефективно проектиране, изграждане, управление, поддържане и ремонт на пътната инфраструктура по проекти, финансирани от фондовете на Европейския съюз, както и със средства от държавния бюджет.</w:t>
      </w:r>
    </w:p>
    <w:p w:rsidR="00734A76" w:rsidRPr="00EA6851" w:rsidRDefault="00734A76" w:rsidP="006D0447">
      <w:r w:rsidRPr="00EA6851">
        <w:t xml:space="preserve">Отговорни институции за изпълнението на политиката в областта на транспорта са </w:t>
      </w:r>
      <w:r w:rsidRPr="0030405E">
        <w:rPr>
          <w:b/>
        </w:rPr>
        <w:t>Министерството на транспорта и съобщенията</w:t>
      </w:r>
      <w:r w:rsidRPr="00EA6851">
        <w:t xml:space="preserve"> и </w:t>
      </w:r>
      <w:r w:rsidRPr="0030405E">
        <w:rPr>
          <w:b/>
        </w:rPr>
        <w:t xml:space="preserve">Министерството на регионалното развитие и благоустройството </w:t>
      </w:r>
      <w:r w:rsidRPr="004E6F53">
        <w:t>чрез</w:t>
      </w:r>
      <w:r w:rsidRPr="0030405E">
        <w:rPr>
          <w:b/>
        </w:rPr>
        <w:t xml:space="preserve"> Агенция „Пътна инфраструктура</w:t>
      </w:r>
      <w:r w:rsidRPr="00EA6851">
        <w:t>“.</w:t>
      </w:r>
    </w:p>
    <w:p w:rsidR="00734A76" w:rsidRPr="00EA6851" w:rsidRDefault="00734A76" w:rsidP="006D0447">
      <w:r w:rsidRPr="00EA6851">
        <w:t xml:space="preserve">При изпълнение на </w:t>
      </w:r>
      <w:r w:rsidRPr="00EA6851">
        <w:rPr>
          <w:i/>
        </w:rPr>
        <w:t>политиката в областта на транспорта</w:t>
      </w:r>
      <w:r w:rsidRPr="00EA6851">
        <w:t xml:space="preserve"> предвидените средства за периода 2024-2026 г. ще бъдат насочени към:</w:t>
      </w:r>
    </w:p>
    <w:p w:rsidR="00734A76" w:rsidRPr="00EA6851" w:rsidRDefault="00734A76" w:rsidP="00B30642">
      <w:pPr>
        <w:numPr>
          <w:ilvl w:val="0"/>
          <w:numId w:val="32"/>
        </w:numPr>
      </w:pPr>
      <w:r w:rsidRPr="00EA6851">
        <w:t>Ефективно поддържане, модернизация и развитие на транспортната инфраструктура;</w:t>
      </w:r>
    </w:p>
    <w:p w:rsidR="00734A76" w:rsidRPr="00EA6851" w:rsidRDefault="00734A76" w:rsidP="00B30642">
      <w:pPr>
        <w:numPr>
          <w:ilvl w:val="0"/>
          <w:numId w:val="32"/>
        </w:numPr>
      </w:pPr>
      <w:r w:rsidRPr="00EA6851">
        <w:t>Поддържане и развитие на републиканската пътна инфраструктура в съответствие със съвременните изисквания на автомобилния транспорт чрез изграждане на националната мрежа от магистрали и скоростни пътища и свързването й с европейските транспортни коридори</w:t>
      </w:r>
      <w:r w:rsidR="006D0447" w:rsidRPr="00EA6851">
        <w:t>;</w:t>
      </w:r>
    </w:p>
    <w:p w:rsidR="00734A76" w:rsidRPr="00EA6851" w:rsidRDefault="00734A76" w:rsidP="00B30642">
      <w:pPr>
        <w:numPr>
          <w:ilvl w:val="0"/>
          <w:numId w:val="32"/>
        </w:numPr>
      </w:pPr>
      <w:r w:rsidRPr="00EA6851">
        <w:t>Модернизация и обновяване на републиканската пътна мрежа и осигуряване на добро експлоатационно състояние и ниво на безопасност на съществуващата пътна мрежа</w:t>
      </w:r>
      <w:r w:rsidR="006D0447" w:rsidRPr="00EA6851">
        <w:t>;</w:t>
      </w:r>
    </w:p>
    <w:p w:rsidR="00734A76" w:rsidRPr="00EA6851" w:rsidRDefault="00734A76" w:rsidP="00B30642">
      <w:pPr>
        <w:numPr>
          <w:ilvl w:val="0"/>
          <w:numId w:val="32"/>
        </w:numPr>
      </w:pPr>
      <w:r w:rsidRPr="00EA6851">
        <w:t>Постигането на съпоставимо с европейската практика високо ниво на транспортна достъпност и мобилност за територията на Република България;</w:t>
      </w:r>
    </w:p>
    <w:p w:rsidR="00734A76" w:rsidRPr="00EA6851" w:rsidRDefault="00734A76" w:rsidP="00B30642">
      <w:pPr>
        <w:numPr>
          <w:ilvl w:val="0"/>
          <w:numId w:val="32"/>
        </w:numPr>
      </w:pPr>
      <w:r w:rsidRPr="00EA6851">
        <w:t>Развитие на интермодален транспорт;</w:t>
      </w:r>
    </w:p>
    <w:p w:rsidR="00734A76" w:rsidRPr="00EA6851" w:rsidRDefault="00734A76" w:rsidP="00B30642">
      <w:pPr>
        <w:numPr>
          <w:ilvl w:val="0"/>
          <w:numId w:val="32"/>
        </w:numPr>
      </w:pPr>
      <w:r w:rsidRPr="00EA6851">
        <w:t>Изграждане на модерна и оперативно съвместима с европейската железопътна мрежа национална железопътна инфраструктура;</w:t>
      </w:r>
    </w:p>
    <w:p w:rsidR="00734A76" w:rsidRPr="00EA6851" w:rsidRDefault="00734A76" w:rsidP="00B30642">
      <w:pPr>
        <w:numPr>
          <w:ilvl w:val="0"/>
          <w:numId w:val="32"/>
        </w:numPr>
      </w:pPr>
      <w:r w:rsidRPr="00EA6851">
        <w:t>Намаляване на потреблението на горива и повишаване на енергийната ефективност на транспорта;</w:t>
      </w:r>
    </w:p>
    <w:p w:rsidR="00734A76" w:rsidRPr="00EA6851" w:rsidRDefault="00734A76" w:rsidP="00B30642">
      <w:pPr>
        <w:numPr>
          <w:ilvl w:val="0"/>
          <w:numId w:val="32"/>
        </w:numPr>
      </w:pPr>
      <w:r w:rsidRPr="00EA6851">
        <w:t>Повишаване на сигурността и безопасността на транспортната система.</w:t>
      </w:r>
    </w:p>
    <w:p w:rsidR="000F1CC7" w:rsidRPr="00EB28A6" w:rsidRDefault="00734A76" w:rsidP="006D0447">
      <w:r w:rsidRPr="00EB28A6">
        <w:t xml:space="preserve">От 1 януари 2019 г. започна поетапното въвеждане на ТОЛ системата с въвеждането на т.нар. „електронна винетка“ за леките автомобили, а от месец март 2020 г. стартира поетапното въвеждане на ТОЛ сегменти в обхвата на платената пътна мрежа на база изминато разстояние, с което започна тарифирането и на товарните автомобили над 3,5 т. </w:t>
      </w:r>
      <w:r w:rsidR="000F1CC7" w:rsidRPr="00EB28A6">
        <w:t xml:space="preserve">С актове на Министерския съвет през 2022 г. се актуализира тарифата за изминато разстояние и Списъка на републиканските пътища, за които се събира такса за изминато разстояние - TOЛ такса. </w:t>
      </w:r>
      <w:r w:rsidR="00DE1D2F" w:rsidRPr="00EB28A6">
        <w:t xml:space="preserve">В тази връзка за периода 2024-2026 г. се очаква промяна на приходите от държавни такси, като за 2024 г. се очаква увеличение с 23,2 млн. лв., а през 2025 г. ръст с 43,0 млн. лв. спрямо 2024 г. За  2026 г. се предвижда запазване на приходите до размерите от 2025 г., в която се достига размер на приходите от ТОЛ такси на годишна база от 555,6 млн. лв. </w:t>
      </w:r>
      <w:r w:rsidR="000F1CC7" w:rsidRPr="00EB28A6">
        <w:t>Средствата ще бъдат насочени към ефективното поддържане, модернизация и развитие на транспортната инфраструктура, изграждане на магистралните пътища и интеграция на националната пътна инфраструктура в Европейската транспортна мрежа.</w:t>
      </w:r>
    </w:p>
    <w:p w:rsidR="00734A76" w:rsidRPr="00EB28A6" w:rsidRDefault="00734A76" w:rsidP="00734A76">
      <w:pPr>
        <w:spacing w:before="240"/>
        <w:rPr>
          <w:b/>
          <w:sz w:val="20"/>
          <w:szCs w:val="20"/>
        </w:rPr>
      </w:pPr>
      <w:r w:rsidRPr="00EB28A6">
        <w:rPr>
          <w:b/>
          <w:sz w:val="20"/>
          <w:szCs w:val="20"/>
        </w:rPr>
        <w:t>КЛЮЧОВИ ИНДИКАТОРИ ЗА ИЗПЪЛНЕНИЕ И ЦЕЛЕВИ СТОЙНОСТИ</w:t>
      </w:r>
    </w:p>
    <w:tbl>
      <w:tblPr>
        <w:tblW w:w="5000" w:type="pct"/>
        <w:tblCellMar>
          <w:left w:w="0" w:type="dxa"/>
          <w:right w:w="0" w:type="dxa"/>
        </w:tblCellMar>
        <w:tblLook w:val="0000" w:firstRow="0" w:lastRow="0" w:firstColumn="0" w:lastColumn="0" w:noHBand="0" w:noVBand="0"/>
      </w:tblPr>
      <w:tblGrid>
        <w:gridCol w:w="1826"/>
        <w:gridCol w:w="341"/>
        <w:gridCol w:w="1468"/>
        <w:gridCol w:w="1123"/>
        <w:gridCol w:w="1083"/>
        <w:gridCol w:w="1145"/>
        <w:gridCol w:w="1043"/>
        <w:gridCol w:w="1041"/>
      </w:tblGrid>
      <w:tr w:rsidR="00734A76" w:rsidRPr="00EB28A6" w:rsidTr="00FA2E91">
        <w:trPr>
          <w:trHeight w:val="390"/>
          <w:tblHeader/>
        </w:trPr>
        <w:tc>
          <w:tcPr>
            <w:tcW w:w="2004" w:type="pct"/>
            <w:gridSpan w:val="3"/>
            <w:vMerge w:val="restart"/>
            <w:tcBorders>
              <w:top w:val="single" w:sz="4" w:space="0" w:color="auto"/>
            </w:tcBorders>
            <w:shd w:val="clear" w:color="auto" w:fill="auto"/>
            <w:vAlign w:val="center"/>
          </w:tcPr>
          <w:p w:rsidR="00734A76" w:rsidRPr="00EB28A6" w:rsidRDefault="00734A76" w:rsidP="00734A76">
            <w:pPr>
              <w:spacing w:after="0" w:line="0" w:lineRule="atLeast"/>
              <w:ind w:left="80"/>
              <w:jc w:val="center"/>
              <w:rPr>
                <w:rFonts w:cs="Arial"/>
                <w:b/>
                <w:i/>
                <w:sz w:val="20"/>
                <w:szCs w:val="20"/>
              </w:rPr>
            </w:pPr>
            <w:r w:rsidRPr="00EB28A6">
              <w:rPr>
                <w:rFonts w:cs="Arial"/>
                <w:b/>
                <w:i/>
                <w:sz w:val="20"/>
                <w:szCs w:val="20"/>
              </w:rPr>
              <w:t>Политика в областта на транспорта</w:t>
            </w:r>
          </w:p>
        </w:tc>
        <w:tc>
          <w:tcPr>
            <w:tcW w:w="619" w:type="pct"/>
            <w:vMerge w:val="restart"/>
            <w:tcBorders>
              <w:top w:val="single" w:sz="4" w:space="0" w:color="auto"/>
            </w:tcBorders>
            <w:shd w:val="clear" w:color="auto" w:fill="F2F2F2"/>
            <w:vAlign w:val="center"/>
          </w:tcPr>
          <w:p w:rsidR="00734A76" w:rsidRPr="00EB28A6" w:rsidRDefault="00734A76" w:rsidP="00734A76">
            <w:pPr>
              <w:spacing w:after="0" w:line="0" w:lineRule="atLeast"/>
              <w:jc w:val="center"/>
              <w:rPr>
                <w:rFonts w:cs="Arial"/>
                <w:b/>
                <w:w w:val="99"/>
                <w:sz w:val="20"/>
                <w:szCs w:val="20"/>
              </w:rPr>
            </w:pPr>
            <w:r w:rsidRPr="00EB28A6">
              <w:rPr>
                <w:rFonts w:cs="Arial"/>
                <w:b/>
                <w:sz w:val="20"/>
                <w:szCs w:val="20"/>
              </w:rPr>
              <w:t>Мерна</w:t>
            </w:r>
          </w:p>
          <w:p w:rsidR="00734A76" w:rsidRPr="00EB28A6" w:rsidRDefault="00734A76" w:rsidP="00734A76">
            <w:pPr>
              <w:spacing w:after="0" w:line="0" w:lineRule="atLeast"/>
              <w:jc w:val="center"/>
              <w:rPr>
                <w:rFonts w:cs="Arial"/>
                <w:sz w:val="20"/>
                <w:szCs w:val="20"/>
              </w:rPr>
            </w:pPr>
            <w:r w:rsidRPr="00EB28A6">
              <w:rPr>
                <w:rFonts w:cs="Arial"/>
                <w:b/>
                <w:sz w:val="20"/>
                <w:szCs w:val="20"/>
              </w:rPr>
              <w:t>единица</w:t>
            </w:r>
          </w:p>
        </w:tc>
        <w:tc>
          <w:tcPr>
            <w:tcW w:w="2377" w:type="pct"/>
            <w:gridSpan w:val="4"/>
            <w:tcBorders>
              <w:top w:val="single" w:sz="4" w:space="0" w:color="auto"/>
              <w:bottom w:val="single" w:sz="4" w:space="0" w:color="auto"/>
            </w:tcBorders>
            <w:shd w:val="clear" w:color="auto" w:fill="auto"/>
            <w:vAlign w:val="center"/>
          </w:tcPr>
          <w:p w:rsidR="00734A76" w:rsidRPr="00EB28A6" w:rsidRDefault="00734A76" w:rsidP="00734A76">
            <w:pPr>
              <w:spacing w:after="0" w:line="0" w:lineRule="atLeast"/>
              <w:jc w:val="center"/>
              <w:rPr>
                <w:rFonts w:cs="Arial"/>
                <w:sz w:val="20"/>
                <w:szCs w:val="20"/>
              </w:rPr>
            </w:pPr>
            <w:r w:rsidRPr="00EB28A6">
              <w:rPr>
                <w:rFonts w:cs="Arial"/>
                <w:b/>
                <w:sz w:val="20"/>
                <w:szCs w:val="20"/>
              </w:rPr>
              <w:t>Целева стойност</w:t>
            </w:r>
          </w:p>
        </w:tc>
      </w:tr>
      <w:tr w:rsidR="00734A76" w:rsidRPr="00EB28A6" w:rsidTr="00734A76">
        <w:trPr>
          <w:trHeight w:val="230"/>
          <w:tblHeader/>
        </w:trPr>
        <w:tc>
          <w:tcPr>
            <w:tcW w:w="2004" w:type="pct"/>
            <w:gridSpan w:val="3"/>
            <w:vMerge/>
            <w:shd w:val="clear" w:color="auto" w:fill="auto"/>
            <w:vAlign w:val="center"/>
          </w:tcPr>
          <w:p w:rsidR="00734A76" w:rsidRPr="00EB28A6" w:rsidRDefault="00734A76" w:rsidP="00734A76">
            <w:pPr>
              <w:spacing w:after="0" w:line="0" w:lineRule="atLeast"/>
              <w:jc w:val="center"/>
              <w:rPr>
                <w:rFonts w:cs="Arial"/>
                <w:sz w:val="20"/>
                <w:szCs w:val="20"/>
              </w:rPr>
            </w:pPr>
          </w:p>
        </w:tc>
        <w:tc>
          <w:tcPr>
            <w:tcW w:w="619" w:type="pct"/>
            <w:vMerge/>
            <w:shd w:val="clear" w:color="auto" w:fill="F2F2F2"/>
            <w:vAlign w:val="center"/>
          </w:tcPr>
          <w:p w:rsidR="00734A76" w:rsidRPr="00EB28A6" w:rsidRDefault="00734A76" w:rsidP="00734A76">
            <w:pPr>
              <w:spacing w:after="0" w:line="0" w:lineRule="atLeast"/>
              <w:jc w:val="center"/>
              <w:rPr>
                <w:rFonts w:cs="Arial"/>
                <w:sz w:val="20"/>
                <w:szCs w:val="20"/>
              </w:rPr>
            </w:pPr>
          </w:p>
        </w:tc>
        <w:tc>
          <w:tcPr>
            <w:tcW w:w="597" w:type="pct"/>
            <w:vMerge w:val="restart"/>
            <w:tcBorders>
              <w:top w:val="single" w:sz="4" w:space="0" w:color="auto"/>
              <w:bottom w:val="single" w:sz="4" w:space="0" w:color="auto"/>
            </w:tcBorders>
            <w:shd w:val="clear" w:color="auto" w:fill="auto"/>
            <w:vAlign w:val="center"/>
          </w:tcPr>
          <w:p w:rsidR="00734A76" w:rsidRPr="00EB28A6" w:rsidRDefault="00734A76" w:rsidP="00734A76">
            <w:pPr>
              <w:spacing w:after="0" w:line="0" w:lineRule="atLeast"/>
              <w:jc w:val="center"/>
              <w:rPr>
                <w:rFonts w:cs="Arial"/>
                <w:b/>
                <w:i/>
                <w:sz w:val="20"/>
                <w:szCs w:val="20"/>
              </w:rPr>
            </w:pPr>
            <w:r w:rsidRPr="00EB28A6">
              <w:rPr>
                <w:rFonts w:cs="Arial"/>
                <w:b/>
                <w:i/>
                <w:sz w:val="20"/>
                <w:szCs w:val="20"/>
              </w:rPr>
              <w:t>Програма</w:t>
            </w:r>
            <w:r w:rsidRPr="00EB28A6">
              <w:rPr>
                <w:rFonts w:cs="Arial"/>
                <w:b/>
                <w:i/>
                <w:sz w:val="20"/>
                <w:szCs w:val="20"/>
              </w:rPr>
              <w:br/>
              <w:t>2023 г.</w:t>
            </w:r>
          </w:p>
        </w:tc>
        <w:tc>
          <w:tcPr>
            <w:tcW w:w="631" w:type="pct"/>
            <w:vMerge w:val="restart"/>
            <w:tcBorders>
              <w:top w:val="single" w:sz="4" w:space="0" w:color="auto"/>
              <w:bottom w:val="single" w:sz="4" w:space="0" w:color="auto"/>
            </w:tcBorders>
            <w:shd w:val="clear" w:color="auto" w:fill="auto"/>
            <w:vAlign w:val="center"/>
          </w:tcPr>
          <w:p w:rsidR="00734A76" w:rsidRPr="00EB28A6" w:rsidRDefault="00734A76" w:rsidP="00734A76">
            <w:pPr>
              <w:spacing w:after="0" w:line="0" w:lineRule="atLeast"/>
              <w:jc w:val="center"/>
              <w:rPr>
                <w:rFonts w:cs="Arial"/>
                <w:b/>
                <w:i/>
                <w:sz w:val="20"/>
                <w:szCs w:val="20"/>
              </w:rPr>
            </w:pPr>
            <w:r w:rsidRPr="00EB28A6">
              <w:rPr>
                <w:rFonts w:cs="Arial"/>
                <w:b/>
                <w:i/>
                <w:sz w:val="20"/>
                <w:szCs w:val="20"/>
              </w:rPr>
              <w:t>Проект</w:t>
            </w:r>
            <w:r w:rsidRPr="00EB28A6">
              <w:rPr>
                <w:rFonts w:cs="Arial"/>
                <w:b/>
                <w:i/>
                <w:sz w:val="20"/>
                <w:szCs w:val="20"/>
              </w:rPr>
              <w:br/>
              <w:t>2024 г.</w:t>
            </w:r>
          </w:p>
        </w:tc>
        <w:tc>
          <w:tcPr>
            <w:tcW w:w="575" w:type="pct"/>
            <w:vMerge w:val="restart"/>
            <w:tcBorders>
              <w:top w:val="single" w:sz="4" w:space="0" w:color="auto"/>
              <w:bottom w:val="single" w:sz="4" w:space="0" w:color="auto"/>
            </w:tcBorders>
            <w:shd w:val="clear" w:color="auto" w:fill="auto"/>
            <w:vAlign w:val="center"/>
          </w:tcPr>
          <w:p w:rsidR="00734A76" w:rsidRPr="00EB28A6" w:rsidRDefault="00734A76" w:rsidP="00734A76">
            <w:pPr>
              <w:spacing w:after="0" w:line="0" w:lineRule="atLeast"/>
              <w:jc w:val="center"/>
              <w:rPr>
                <w:rFonts w:cs="Arial"/>
                <w:b/>
                <w:i/>
                <w:w w:val="97"/>
                <w:sz w:val="20"/>
                <w:szCs w:val="20"/>
              </w:rPr>
            </w:pPr>
            <w:r w:rsidRPr="00EB28A6">
              <w:rPr>
                <w:rFonts w:cs="Arial"/>
                <w:b/>
                <w:i/>
                <w:sz w:val="20"/>
                <w:szCs w:val="20"/>
              </w:rPr>
              <w:t>Прогноза</w:t>
            </w:r>
            <w:r w:rsidRPr="00EB28A6">
              <w:rPr>
                <w:rFonts w:cs="Arial"/>
                <w:b/>
                <w:i/>
                <w:w w:val="97"/>
                <w:sz w:val="20"/>
                <w:szCs w:val="20"/>
              </w:rPr>
              <w:t xml:space="preserve"> </w:t>
            </w:r>
            <w:r w:rsidRPr="00EB28A6">
              <w:rPr>
                <w:rFonts w:cs="Arial"/>
                <w:b/>
                <w:i/>
                <w:w w:val="97"/>
                <w:sz w:val="20"/>
                <w:szCs w:val="20"/>
              </w:rPr>
              <w:br/>
              <w:t>2025 г.</w:t>
            </w:r>
          </w:p>
        </w:tc>
        <w:tc>
          <w:tcPr>
            <w:tcW w:w="574" w:type="pct"/>
            <w:vMerge w:val="restart"/>
            <w:tcBorders>
              <w:top w:val="single" w:sz="4" w:space="0" w:color="auto"/>
              <w:bottom w:val="single" w:sz="4" w:space="0" w:color="auto"/>
            </w:tcBorders>
            <w:shd w:val="clear" w:color="auto" w:fill="auto"/>
            <w:vAlign w:val="center"/>
          </w:tcPr>
          <w:p w:rsidR="00734A76" w:rsidRPr="00EB28A6" w:rsidRDefault="00734A76" w:rsidP="00734A76">
            <w:pPr>
              <w:spacing w:after="0" w:line="0" w:lineRule="atLeast"/>
              <w:jc w:val="center"/>
              <w:rPr>
                <w:rFonts w:cs="Arial"/>
                <w:b/>
                <w:i/>
                <w:w w:val="97"/>
                <w:sz w:val="20"/>
                <w:szCs w:val="20"/>
              </w:rPr>
            </w:pPr>
            <w:r w:rsidRPr="00EB28A6">
              <w:rPr>
                <w:rFonts w:cs="Arial"/>
                <w:b/>
                <w:i/>
                <w:sz w:val="20"/>
                <w:szCs w:val="20"/>
              </w:rPr>
              <w:t>Прогноза</w:t>
            </w:r>
            <w:r w:rsidRPr="00EB28A6">
              <w:rPr>
                <w:rFonts w:cs="Arial"/>
                <w:b/>
                <w:i/>
                <w:w w:val="97"/>
                <w:sz w:val="20"/>
                <w:szCs w:val="20"/>
              </w:rPr>
              <w:t xml:space="preserve"> </w:t>
            </w:r>
            <w:r w:rsidRPr="00EB28A6">
              <w:rPr>
                <w:rFonts w:cs="Arial"/>
                <w:b/>
                <w:i/>
                <w:w w:val="97"/>
                <w:sz w:val="20"/>
                <w:szCs w:val="20"/>
              </w:rPr>
              <w:br/>
              <w:t>2026 г.</w:t>
            </w:r>
          </w:p>
        </w:tc>
      </w:tr>
      <w:tr w:rsidR="00734A76" w:rsidRPr="00EB28A6" w:rsidTr="00734A76">
        <w:trPr>
          <w:trHeight w:val="264"/>
        </w:trPr>
        <w:tc>
          <w:tcPr>
            <w:tcW w:w="2004" w:type="pct"/>
            <w:gridSpan w:val="3"/>
            <w:tcBorders>
              <w:bottom w:val="single" w:sz="4" w:space="0" w:color="auto"/>
            </w:tcBorders>
            <w:shd w:val="clear" w:color="auto" w:fill="auto"/>
            <w:vAlign w:val="bottom"/>
          </w:tcPr>
          <w:p w:rsidR="00734A76" w:rsidRPr="00EB28A6" w:rsidRDefault="00734A76" w:rsidP="00734A76">
            <w:pPr>
              <w:spacing w:after="0" w:line="0" w:lineRule="atLeast"/>
              <w:jc w:val="center"/>
              <w:rPr>
                <w:rFonts w:cs="Arial"/>
                <w:sz w:val="20"/>
                <w:szCs w:val="20"/>
              </w:rPr>
            </w:pPr>
            <w:r w:rsidRPr="00EB28A6">
              <w:rPr>
                <w:rFonts w:cs="Arial"/>
                <w:b/>
                <w:sz w:val="20"/>
                <w:szCs w:val="20"/>
              </w:rPr>
              <w:t>Наименование на индикатора</w:t>
            </w:r>
          </w:p>
        </w:tc>
        <w:tc>
          <w:tcPr>
            <w:tcW w:w="619" w:type="pct"/>
            <w:vMerge/>
            <w:tcBorders>
              <w:bottom w:val="single" w:sz="4" w:space="0" w:color="auto"/>
            </w:tcBorders>
            <w:shd w:val="clear" w:color="auto" w:fill="F2F2F2"/>
            <w:vAlign w:val="bottom"/>
          </w:tcPr>
          <w:p w:rsidR="00734A76" w:rsidRPr="00EB28A6" w:rsidRDefault="00734A76" w:rsidP="00734A76">
            <w:pPr>
              <w:spacing w:after="0" w:line="0" w:lineRule="atLeast"/>
              <w:rPr>
                <w:rFonts w:cs="Arial"/>
                <w:sz w:val="20"/>
                <w:szCs w:val="20"/>
              </w:rPr>
            </w:pPr>
          </w:p>
        </w:tc>
        <w:tc>
          <w:tcPr>
            <w:tcW w:w="597" w:type="pct"/>
            <w:vMerge/>
            <w:tcBorders>
              <w:bottom w:val="single" w:sz="4" w:space="0" w:color="auto"/>
            </w:tcBorders>
            <w:shd w:val="clear" w:color="auto" w:fill="auto"/>
            <w:vAlign w:val="bottom"/>
          </w:tcPr>
          <w:p w:rsidR="00734A76" w:rsidRPr="00EB28A6" w:rsidRDefault="00734A76" w:rsidP="00734A76">
            <w:pPr>
              <w:spacing w:after="0" w:line="0" w:lineRule="atLeast"/>
              <w:rPr>
                <w:rFonts w:cs="Arial"/>
                <w:sz w:val="20"/>
                <w:szCs w:val="20"/>
              </w:rPr>
            </w:pPr>
          </w:p>
        </w:tc>
        <w:tc>
          <w:tcPr>
            <w:tcW w:w="631" w:type="pct"/>
            <w:vMerge/>
            <w:tcBorders>
              <w:bottom w:val="single" w:sz="4" w:space="0" w:color="auto"/>
            </w:tcBorders>
            <w:shd w:val="clear" w:color="auto" w:fill="auto"/>
            <w:vAlign w:val="bottom"/>
          </w:tcPr>
          <w:p w:rsidR="00734A76" w:rsidRPr="00EB28A6" w:rsidRDefault="00734A76" w:rsidP="00734A76">
            <w:pPr>
              <w:spacing w:after="0" w:line="0" w:lineRule="atLeast"/>
              <w:rPr>
                <w:rFonts w:cs="Arial"/>
                <w:sz w:val="20"/>
                <w:szCs w:val="20"/>
              </w:rPr>
            </w:pPr>
          </w:p>
        </w:tc>
        <w:tc>
          <w:tcPr>
            <w:tcW w:w="575" w:type="pct"/>
            <w:vMerge/>
            <w:tcBorders>
              <w:bottom w:val="single" w:sz="4" w:space="0" w:color="auto"/>
            </w:tcBorders>
            <w:shd w:val="clear" w:color="auto" w:fill="auto"/>
            <w:vAlign w:val="bottom"/>
          </w:tcPr>
          <w:p w:rsidR="00734A76" w:rsidRPr="00EB28A6" w:rsidRDefault="00734A76" w:rsidP="00734A76">
            <w:pPr>
              <w:spacing w:after="0" w:line="0" w:lineRule="atLeast"/>
              <w:rPr>
                <w:rFonts w:cs="Arial"/>
                <w:sz w:val="20"/>
                <w:szCs w:val="20"/>
              </w:rPr>
            </w:pPr>
          </w:p>
        </w:tc>
        <w:tc>
          <w:tcPr>
            <w:tcW w:w="574" w:type="pct"/>
            <w:vMerge/>
            <w:tcBorders>
              <w:bottom w:val="single" w:sz="4" w:space="0" w:color="auto"/>
            </w:tcBorders>
            <w:shd w:val="clear" w:color="auto" w:fill="auto"/>
            <w:vAlign w:val="bottom"/>
          </w:tcPr>
          <w:p w:rsidR="00734A76" w:rsidRPr="00EB28A6" w:rsidRDefault="00734A76" w:rsidP="00734A76">
            <w:pPr>
              <w:spacing w:after="0" w:line="0" w:lineRule="atLeast"/>
              <w:rPr>
                <w:rFonts w:cs="Arial"/>
                <w:sz w:val="20"/>
                <w:szCs w:val="20"/>
              </w:rPr>
            </w:pPr>
          </w:p>
        </w:tc>
      </w:tr>
      <w:tr w:rsidR="00734A76" w:rsidRPr="00EB28A6" w:rsidTr="00734A76">
        <w:trPr>
          <w:trHeight w:val="212"/>
        </w:trPr>
        <w:tc>
          <w:tcPr>
            <w:tcW w:w="1007" w:type="pct"/>
            <w:tcBorders>
              <w:top w:val="single" w:sz="4" w:space="0" w:color="auto"/>
            </w:tcBorders>
            <w:shd w:val="clear" w:color="auto" w:fill="auto"/>
            <w:vAlign w:val="bottom"/>
          </w:tcPr>
          <w:p w:rsidR="00734A76" w:rsidRPr="00EB28A6" w:rsidRDefault="00734A76" w:rsidP="00734A76">
            <w:pPr>
              <w:widowControl w:val="0"/>
              <w:autoSpaceDE w:val="0"/>
              <w:autoSpaceDN w:val="0"/>
              <w:adjustRightInd w:val="0"/>
              <w:spacing w:after="0"/>
              <w:rPr>
                <w:sz w:val="20"/>
                <w:szCs w:val="20"/>
              </w:rPr>
            </w:pPr>
            <w:r w:rsidRPr="00EB28A6">
              <w:rPr>
                <w:sz w:val="20"/>
                <w:szCs w:val="20"/>
              </w:rPr>
              <w:t>1. Рехабилитирани</w:t>
            </w:r>
          </w:p>
        </w:tc>
        <w:tc>
          <w:tcPr>
            <w:tcW w:w="188" w:type="pct"/>
            <w:tcBorders>
              <w:top w:val="single" w:sz="4" w:space="0" w:color="auto"/>
            </w:tcBorders>
            <w:shd w:val="clear" w:color="auto" w:fill="auto"/>
            <w:vAlign w:val="bottom"/>
          </w:tcPr>
          <w:p w:rsidR="00734A76" w:rsidRPr="00EB28A6" w:rsidRDefault="00734A76" w:rsidP="00734A76">
            <w:pPr>
              <w:widowControl w:val="0"/>
              <w:autoSpaceDE w:val="0"/>
              <w:autoSpaceDN w:val="0"/>
              <w:adjustRightInd w:val="0"/>
              <w:spacing w:after="0"/>
              <w:rPr>
                <w:sz w:val="20"/>
                <w:szCs w:val="20"/>
              </w:rPr>
            </w:pPr>
            <w:r w:rsidRPr="00EB28A6">
              <w:rPr>
                <w:sz w:val="20"/>
                <w:szCs w:val="20"/>
              </w:rPr>
              <w:t>и</w:t>
            </w:r>
          </w:p>
        </w:tc>
        <w:tc>
          <w:tcPr>
            <w:tcW w:w="809" w:type="pct"/>
            <w:tcBorders>
              <w:top w:val="single" w:sz="4" w:space="0" w:color="auto"/>
            </w:tcBorders>
            <w:shd w:val="clear" w:color="auto" w:fill="auto"/>
            <w:vAlign w:val="bottom"/>
          </w:tcPr>
          <w:p w:rsidR="00734A76" w:rsidRPr="00EB28A6" w:rsidRDefault="00734A76" w:rsidP="00734A76">
            <w:pPr>
              <w:widowControl w:val="0"/>
              <w:autoSpaceDE w:val="0"/>
              <w:autoSpaceDN w:val="0"/>
              <w:adjustRightInd w:val="0"/>
              <w:spacing w:after="0"/>
              <w:rPr>
                <w:sz w:val="20"/>
                <w:szCs w:val="20"/>
              </w:rPr>
            </w:pPr>
            <w:r w:rsidRPr="00EB28A6">
              <w:rPr>
                <w:sz w:val="20"/>
                <w:szCs w:val="20"/>
              </w:rPr>
              <w:t>новоизградени</w:t>
            </w:r>
          </w:p>
        </w:tc>
        <w:tc>
          <w:tcPr>
            <w:tcW w:w="619" w:type="pct"/>
            <w:tcBorders>
              <w:top w:val="single" w:sz="4" w:space="0" w:color="auto"/>
            </w:tcBorders>
            <w:shd w:val="clear" w:color="auto" w:fill="F2F2F2"/>
            <w:vAlign w:val="center"/>
          </w:tcPr>
          <w:p w:rsidR="00734A76" w:rsidRPr="00EB28A6" w:rsidRDefault="00734A76" w:rsidP="00734A76">
            <w:pPr>
              <w:widowControl w:val="0"/>
              <w:autoSpaceDE w:val="0"/>
              <w:autoSpaceDN w:val="0"/>
              <w:adjustRightInd w:val="0"/>
              <w:spacing w:after="0"/>
              <w:jc w:val="center"/>
              <w:rPr>
                <w:color w:val="000000"/>
                <w:sz w:val="20"/>
                <w:szCs w:val="20"/>
              </w:rPr>
            </w:pPr>
            <w:r w:rsidRPr="00EB28A6">
              <w:rPr>
                <w:color w:val="000000"/>
                <w:sz w:val="20"/>
                <w:szCs w:val="20"/>
              </w:rPr>
              <w:t>км.</w:t>
            </w:r>
          </w:p>
        </w:tc>
        <w:tc>
          <w:tcPr>
            <w:tcW w:w="597" w:type="pct"/>
            <w:tcBorders>
              <w:top w:val="single" w:sz="4" w:space="0" w:color="auto"/>
            </w:tcBorders>
            <w:shd w:val="clear" w:color="auto" w:fill="auto"/>
            <w:vAlign w:val="center"/>
          </w:tcPr>
          <w:p w:rsidR="00734A76" w:rsidRPr="00EB28A6" w:rsidRDefault="00734A76" w:rsidP="00734A76">
            <w:pPr>
              <w:widowControl w:val="0"/>
              <w:autoSpaceDE w:val="0"/>
              <w:autoSpaceDN w:val="0"/>
              <w:adjustRightInd w:val="0"/>
              <w:spacing w:after="0"/>
              <w:jc w:val="center"/>
              <w:rPr>
                <w:sz w:val="20"/>
                <w:szCs w:val="20"/>
              </w:rPr>
            </w:pPr>
            <w:r w:rsidRPr="00EB28A6">
              <w:rPr>
                <w:sz w:val="20"/>
                <w:szCs w:val="20"/>
              </w:rPr>
              <w:t>453,195</w:t>
            </w:r>
          </w:p>
        </w:tc>
        <w:tc>
          <w:tcPr>
            <w:tcW w:w="631" w:type="pct"/>
            <w:tcBorders>
              <w:top w:val="single" w:sz="4" w:space="0" w:color="auto"/>
            </w:tcBorders>
            <w:shd w:val="clear" w:color="auto" w:fill="auto"/>
            <w:vAlign w:val="center"/>
          </w:tcPr>
          <w:p w:rsidR="00734A76" w:rsidRPr="00EB28A6" w:rsidRDefault="00734A76" w:rsidP="00734A76">
            <w:pPr>
              <w:widowControl w:val="0"/>
              <w:autoSpaceDE w:val="0"/>
              <w:autoSpaceDN w:val="0"/>
              <w:adjustRightInd w:val="0"/>
              <w:spacing w:after="0"/>
              <w:jc w:val="center"/>
              <w:rPr>
                <w:sz w:val="20"/>
                <w:szCs w:val="20"/>
              </w:rPr>
            </w:pPr>
            <w:r w:rsidRPr="00EB28A6">
              <w:rPr>
                <w:sz w:val="20"/>
                <w:szCs w:val="20"/>
              </w:rPr>
              <w:t xml:space="preserve"> </w:t>
            </w:r>
            <w:r w:rsidR="00AF12F5" w:rsidRPr="00EB28A6">
              <w:rPr>
                <w:sz w:val="20"/>
                <w:szCs w:val="20"/>
              </w:rPr>
              <w:t>455,36</w:t>
            </w:r>
          </w:p>
        </w:tc>
        <w:tc>
          <w:tcPr>
            <w:tcW w:w="575" w:type="pct"/>
            <w:tcBorders>
              <w:top w:val="single" w:sz="4" w:space="0" w:color="auto"/>
            </w:tcBorders>
            <w:shd w:val="clear" w:color="auto" w:fill="auto"/>
            <w:vAlign w:val="center"/>
          </w:tcPr>
          <w:p w:rsidR="00734A76" w:rsidRPr="00EB28A6" w:rsidRDefault="00734A76" w:rsidP="00734A76">
            <w:pPr>
              <w:widowControl w:val="0"/>
              <w:autoSpaceDE w:val="0"/>
              <w:autoSpaceDN w:val="0"/>
              <w:adjustRightInd w:val="0"/>
              <w:spacing w:after="0"/>
              <w:jc w:val="center"/>
              <w:rPr>
                <w:sz w:val="20"/>
                <w:szCs w:val="20"/>
              </w:rPr>
            </w:pPr>
            <w:r w:rsidRPr="00EB28A6">
              <w:rPr>
                <w:sz w:val="20"/>
                <w:szCs w:val="20"/>
              </w:rPr>
              <w:t xml:space="preserve"> </w:t>
            </w:r>
            <w:r w:rsidR="00D152DF" w:rsidRPr="00EB28A6">
              <w:rPr>
                <w:sz w:val="20"/>
                <w:szCs w:val="20"/>
              </w:rPr>
              <w:t>373,35</w:t>
            </w:r>
          </w:p>
        </w:tc>
        <w:tc>
          <w:tcPr>
            <w:tcW w:w="574" w:type="pct"/>
            <w:tcBorders>
              <w:top w:val="single" w:sz="4" w:space="0" w:color="auto"/>
            </w:tcBorders>
            <w:shd w:val="clear" w:color="auto" w:fill="auto"/>
            <w:vAlign w:val="center"/>
          </w:tcPr>
          <w:p w:rsidR="00734A76" w:rsidRPr="00EB28A6" w:rsidRDefault="00D152DF" w:rsidP="00734A76">
            <w:pPr>
              <w:widowControl w:val="0"/>
              <w:autoSpaceDE w:val="0"/>
              <w:autoSpaceDN w:val="0"/>
              <w:adjustRightInd w:val="0"/>
              <w:spacing w:after="0"/>
              <w:jc w:val="center"/>
              <w:rPr>
                <w:sz w:val="20"/>
                <w:szCs w:val="20"/>
              </w:rPr>
            </w:pPr>
            <w:r w:rsidRPr="00EB28A6">
              <w:rPr>
                <w:sz w:val="20"/>
                <w:szCs w:val="20"/>
              </w:rPr>
              <w:t>137,16</w:t>
            </w:r>
          </w:p>
        </w:tc>
      </w:tr>
      <w:tr w:rsidR="00734A76" w:rsidRPr="00EB28A6" w:rsidTr="00734A76">
        <w:trPr>
          <w:trHeight w:val="230"/>
        </w:trPr>
        <w:tc>
          <w:tcPr>
            <w:tcW w:w="2004" w:type="pct"/>
            <w:gridSpan w:val="3"/>
            <w:shd w:val="clear" w:color="auto" w:fill="auto"/>
            <w:vAlign w:val="bottom"/>
          </w:tcPr>
          <w:p w:rsidR="00734A76" w:rsidRPr="00EB28A6" w:rsidRDefault="00734A76" w:rsidP="00734A76">
            <w:pPr>
              <w:widowControl w:val="0"/>
              <w:autoSpaceDE w:val="0"/>
              <w:autoSpaceDN w:val="0"/>
              <w:adjustRightInd w:val="0"/>
              <w:spacing w:after="0"/>
              <w:rPr>
                <w:sz w:val="20"/>
                <w:szCs w:val="20"/>
              </w:rPr>
            </w:pPr>
            <w:r w:rsidRPr="00EB28A6">
              <w:rPr>
                <w:sz w:val="20"/>
                <w:szCs w:val="20"/>
              </w:rPr>
              <w:t>участъци</w:t>
            </w:r>
          </w:p>
        </w:tc>
        <w:tc>
          <w:tcPr>
            <w:tcW w:w="619" w:type="pct"/>
            <w:shd w:val="clear" w:color="auto" w:fill="F2F2F2"/>
            <w:vAlign w:val="center"/>
          </w:tcPr>
          <w:p w:rsidR="00734A76" w:rsidRPr="00EB28A6" w:rsidRDefault="00734A76" w:rsidP="00734A76">
            <w:pPr>
              <w:widowControl w:val="0"/>
              <w:autoSpaceDE w:val="0"/>
              <w:autoSpaceDN w:val="0"/>
              <w:adjustRightInd w:val="0"/>
              <w:spacing w:after="0"/>
              <w:jc w:val="center"/>
              <w:rPr>
                <w:sz w:val="20"/>
                <w:szCs w:val="20"/>
              </w:rPr>
            </w:pPr>
          </w:p>
        </w:tc>
        <w:tc>
          <w:tcPr>
            <w:tcW w:w="597" w:type="pct"/>
            <w:shd w:val="clear" w:color="auto" w:fill="auto"/>
            <w:vAlign w:val="center"/>
          </w:tcPr>
          <w:p w:rsidR="00734A76" w:rsidRPr="00EB28A6" w:rsidRDefault="00734A76" w:rsidP="00734A76">
            <w:pPr>
              <w:widowControl w:val="0"/>
              <w:autoSpaceDE w:val="0"/>
              <w:autoSpaceDN w:val="0"/>
              <w:adjustRightInd w:val="0"/>
              <w:spacing w:after="0"/>
              <w:jc w:val="center"/>
              <w:rPr>
                <w:sz w:val="20"/>
                <w:szCs w:val="20"/>
              </w:rPr>
            </w:pPr>
          </w:p>
        </w:tc>
        <w:tc>
          <w:tcPr>
            <w:tcW w:w="631" w:type="pct"/>
            <w:shd w:val="clear" w:color="auto" w:fill="auto"/>
            <w:vAlign w:val="center"/>
          </w:tcPr>
          <w:p w:rsidR="00734A76" w:rsidRPr="00EB28A6" w:rsidRDefault="00734A76" w:rsidP="00734A76">
            <w:pPr>
              <w:widowControl w:val="0"/>
              <w:autoSpaceDE w:val="0"/>
              <w:autoSpaceDN w:val="0"/>
              <w:adjustRightInd w:val="0"/>
              <w:spacing w:after="0"/>
              <w:jc w:val="center"/>
              <w:rPr>
                <w:sz w:val="20"/>
                <w:szCs w:val="20"/>
              </w:rPr>
            </w:pPr>
          </w:p>
        </w:tc>
        <w:tc>
          <w:tcPr>
            <w:tcW w:w="575" w:type="pct"/>
            <w:shd w:val="clear" w:color="auto" w:fill="auto"/>
            <w:vAlign w:val="center"/>
          </w:tcPr>
          <w:p w:rsidR="00734A76" w:rsidRPr="00EB28A6" w:rsidRDefault="00734A76" w:rsidP="00734A76">
            <w:pPr>
              <w:widowControl w:val="0"/>
              <w:autoSpaceDE w:val="0"/>
              <w:autoSpaceDN w:val="0"/>
              <w:adjustRightInd w:val="0"/>
              <w:spacing w:after="0"/>
              <w:jc w:val="center"/>
              <w:rPr>
                <w:sz w:val="20"/>
                <w:szCs w:val="20"/>
              </w:rPr>
            </w:pPr>
          </w:p>
        </w:tc>
        <w:tc>
          <w:tcPr>
            <w:tcW w:w="574" w:type="pct"/>
            <w:shd w:val="clear" w:color="auto" w:fill="auto"/>
            <w:vAlign w:val="center"/>
          </w:tcPr>
          <w:p w:rsidR="00734A76" w:rsidRPr="00EB28A6" w:rsidRDefault="00734A76" w:rsidP="00734A76">
            <w:pPr>
              <w:widowControl w:val="0"/>
              <w:autoSpaceDE w:val="0"/>
              <w:autoSpaceDN w:val="0"/>
              <w:adjustRightInd w:val="0"/>
              <w:spacing w:after="0"/>
              <w:jc w:val="center"/>
              <w:rPr>
                <w:sz w:val="20"/>
                <w:szCs w:val="20"/>
              </w:rPr>
            </w:pPr>
          </w:p>
        </w:tc>
      </w:tr>
      <w:tr w:rsidR="00734A76" w:rsidRPr="00EB28A6" w:rsidTr="00734A76">
        <w:trPr>
          <w:trHeight w:val="230"/>
        </w:trPr>
        <w:tc>
          <w:tcPr>
            <w:tcW w:w="1007" w:type="pct"/>
            <w:shd w:val="clear" w:color="auto" w:fill="auto"/>
            <w:vAlign w:val="bottom"/>
          </w:tcPr>
          <w:p w:rsidR="00734A76" w:rsidRPr="00EB28A6" w:rsidRDefault="00734A76" w:rsidP="00734A76">
            <w:pPr>
              <w:widowControl w:val="0"/>
              <w:autoSpaceDE w:val="0"/>
              <w:autoSpaceDN w:val="0"/>
              <w:adjustRightInd w:val="0"/>
              <w:spacing w:after="0"/>
              <w:rPr>
                <w:sz w:val="20"/>
                <w:szCs w:val="20"/>
              </w:rPr>
            </w:pPr>
            <w:r w:rsidRPr="00EB28A6">
              <w:rPr>
                <w:sz w:val="20"/>
                <w:szCs w:val="20"/>
              </w:rPr>
              <w:t>2.Текущ ремонт и</w:t>
            </w:r>
          </w:p>
        </w:tc>
        <w:tc>
          <w:tcPr>
            <w:tcW w:w="188" w:type="pct"/>
            <w:shd w:val="clear" w:color="auto" w:fill="auto"/>
            <w:vAlign w:val="bottom"/>
          </w:tcPr>
          <w:p w:rsidR="00734A76" w:rsidRPr="00EB28A6" w:rsidRDefault="00734A76" w:rsidP="00734A76">
            <w:pPr>
              <w:widowControl w:val="0"/>
              <w:autoSpaceDE w:val="0"/>
              <w:autoSpaceDN w:val="0"/>
              <w:adjustRightInd w:val="0"/>
              <w:spacing w:after="0"/>
              <w:rPr>
                <w:sz w:val="20"/>
                <w:szCs w:val="20"/>
              </w:rPr>
            </w:pPr>
          </w:p>
        </w:tc>
        <w:tc>
          <w:tcPr>
            <w:tcW w:w="809" w:type="pct"/>
            <w:shd w:val="clear" w:color="auto" w:fill="auto"/>
            <w:vAlign w:val="bottom"/>
          </w:tcPr>
          <w:p w:rsidR="00734A76" w:rsidRPr="00EB28A6" w:rsidRDefault="00734A76" w:rsidP="00734A76">
            <w:pPr>
              <w:widowControl w:val="0"/>
              <w:autoSpaceDE w:val="0"/>
              <w:autoSpaceDN w:val="0"/>
              <w:adjustRightInd w:val="0"/>
              <w:spacing w:after="0"/>
              <w:rPr>
                <w:sz w:val="20"/>
                <w:szCs w:val="20"/>
              </w:rPr>
            </w:pPr>
          </w:p>
        </w:tc>
        <w:tc>
          <w:tcPr>
            <w:tcW w:w="619" w:type="pct"/>
            <w:shd w:val="clear" w:color="auto" w:fill="F2F2F2"/>
            <w:vAlign w:val="center"/>
          </w:tcPr>
          <w:p w:rsidR="00734A76" w:rsidRPr="00EB28A6" w:rsidRDefault="00734A76" w:rsidP="00734A76">
            <w:pPr>
              <w:widowControl w:val="0"/>
              <w:autoSpaceDE w:val="0"/>
              <w:autoSpaceDN w:val="0"/>
              <w:adjustRightInd w:val="0"/>
              <w:spacing w:after="0"/>
              <w:jc w:val="center"/>
              <w:rPr>
                <w:sz w:val="20"/>
                <w:szCs w:val="20"/>
              </w:rPr>
            </w:pPr>
            <w:r w:rsidRPr="00EB28A6">
              <w:rPr>
                <w:sz w:val="20"/>
                <w:szCs w:val="20"/>
              </w:rPr>
              <w:t>км.</w:t>
            </w:r>
          </w:p>
        </w:tc>
        <w:tc>
          <w:tcPr>
            <w:tcW w:w="597" w:type="pct"/>
            <w:shd w:val="clear" w:color="auto" w:fill="auto"/>
            <w:vAlign w:val="center"/>
          </w:tcPr>
          <w:p w:rsidR="00734A76" w:rsidRPr="00EB28A6" w:rsidRDefault="00734A76" w:rsidP="00734A76">
            <w:pPr>
              <w:widowControl w:val="0"/>
              <w:autoSpaceDE w:val="0"/>
              <w:autoSpaceDN w:val="0"/>
              <w:adjustRightInd w:val="0"/>
              <w:spacing w:after="0"/>
              <w:jc w:val="center"/>
              <w:rPr>
                <w:sz w:val="20"/>
                <w:szCs w:val="20"/>
              </w:rPr>
            </w:pPr>
            <w:r w:rsidRPr="00EB28A6">
              <w:rPr>
                <w:sz w:val="20"/>
                <w:szCs w:val="20"/>
              </w:rPr>
              <w:t xml:space="preserve"> 19 925,233</w:t>
            </w:r>
          </w:p>
        </w:tc>
        <w:tc>
          <w:tcPr>
            <w:tcW w:w="631" w:type="pct"/>
            <w:shd w:val="clear" w:color="auto" w:fill="auto"/>
            <w:vAlign w:val="center"/>
          </w:tcPr>
          <w:p w:rsidR="00734A76" w:rsidRPr="00EB28A6" w:rsidRDefault="00734A76" w:rsidP="00734A76">
            <w:pPr>
              <w:widowControl w:val="0"/>
              <w:autoSpaceDE w:val="0"/>
              <w:autoSpaceDN w:val="0"/>
              <w:adjustRightInd w:val="0"/>
              <w:spacing w:after="0"/>
              <w:jc w:val="center"/>
              <w:rPr>
                <w:sz w:val="20"/>
                <w:szCs w:val="20"/>
              </w:rPr>
            </w:pPr>
            <w:r w:rsidRPr="00EB28A6">
              <w:rPr>
                <w:sz w:val="20"/>
                <w:szCs w:val="20"/>
              </w:rPr>
              <w:t xml:space="preserve"> 19 925,233</w:t>
            </w:r>
          </w:p>
        </w:tc>
        <w:tc>
          <w:tcPr>
            <w:tcW w:w="575" w:type="pct"/>
            <w:shd w:val="clear" w:color="auto" w:fill="auto"/>
            <w:vAlign w:val="center"/>
          </w:tcPr>
          <w:p w:rsidR="00734A76" w:rsidRPr="00EB28A6" w:rsidRDefault="00734A76" w:rsidP="00734A76">
            <w:pPr>
              <w:widowControl w:val="0"/>
              <w:autoSpaceDE w:val="0"/>
              <w:autoSpaceDN w:val="0"/>
              <w:adjustRightInd w:val="0"/>
              <w:spacing w:after="0"/>
              <w:jc w:val="center"/>
              <w:rPr>
                <w:sz w:val="20"/>
                <w:szCs w:val="20"/>
              </w:rPr>
            </w:pPr>
            <w:r w:rsidRPr="00EB28A6">
              <w:rPr>
                <w:sz w:val="20"/>
                <w:szCs w:val="20"/>
              </w:rPr>
              <w:t xml:space="preserve"> 19 925,233</w:t>
            </w:r>
          </w:p>
        </w:tc>
        <w:tc>
          <w:tcPr>
            <w:tcW w:w="574" w:type="pct"/>
            <w:shd w:val="clear" w:color="auto" w:fill="auto"/>
            <w:vAlign w:val="center"/>
          </w:tcPr>
          <w:p w:rsidR="00734A76" w:rsidRPr="00EB28A6" w:rsidRDefault="00734A76" w:rsidP="00734A76">
            <w:pPr>
              <w:widowControl w:val="0"/>
              <w:autoSpaceDE w:val="0"/>
              <w:autoSpaceDN w:val="0"/>
              <w:adjustRightInd w:val="0"/>
              <w:spacing w:after="0"/>
              <w:jc w:val="center"/>
              <w:rPr>
                <w:sz w:val="20"/>
                <w:szCs w:val="20"/>
              </w:rPr>
            </w:pPr>
            <w:r w:rsidRPr="00EB28A6">
              <w:rPr>
                <w:sz w:val="20"/>
                <w:szCs w:val="20"/>
              </w:rPr>
              <w:t>19 925,233</w:t>
            </w:r>
          </w:p>
        </w:tc>
      </w:tr>
      <w:tr w:rsidR="00734A76" w:rsidRPr="00EB28A6" w:rsidTr="007945B3">
        <w:trPr>
          <w:trHeight w:val="157"/>
        </w:trPr>
        <w:tc>
          <w:tcPr>
            <w:tcW w:w="2004" w:type="pct"/>
            <w:gridSpan w:val="3"/>
            <w:shd w:val="clear" w:color="auto" w:fill="auto"/>
            <w:vAlign w:val="bottom"/>
          </w:tcPr>
          <w:p w:rsidR="00734A76" w:rsidRPr="00EB28A6" w:rsidRDefault="00734A76" w:rsidP="00734A76">
            <w:pPr>
              <w:widowControl w:val="0"/>
              <w:autoSpaceDE w:val="0"/>
              <w:autoSpaceDN w:val="0"/>
              <w:adjustRightInd w:val="0"/>
              <w:spacing w:after="0"/>
              <w:rPr>
                <w:sz w:val="20"/>
                <w:szCs w:val="20"/>
              </w:rPr>
            </w:pPr>
            <w:r w:rsidRPr="00EB28A6">
              <w:rPr>
                <w:sz w:val="20"/>
                <w:szCs w:val="20"/>
              </w:rPr>
              <w:t>поддържане на РПМ</w:t>
            </w:r>
          </w:p>
        </w:tc>
        <w:tc>
          <w:tcPr>
            <w:tcW w:w="619" w:type="pct"/>
            <w:shd w:val="clear" w:color="auto" w:fill="F2F2F2"/>
            <w:vAlign w:val="center"/>
          </w:tcPr>
          <w:p w:rsidR="00734A76" w:rsidRPr="00EB28A6" w:rsidRDefault="00734A76" w:rsidP="00734A76">
            <w:pPr>
              <w:widowControl w:val="0"/>
              <w:autoSpaceDE w:val="0"/>
              <w:autoSpaceDN w:val="0"/>
              <w:adjustRightInd w:val="0"/>
              <w:spacing w:after="0"/>
              <w:jc w:val="center"/>
              <w:rPr>
                <w:sz w:val="20"/>
                <w:szCs w:val="20"/>
              </w:rPr>
            </w:pPr>
          </w:p>
        </w:tc>
        <w:tc>
          <w:tcPr>
            <w:tcW w:w="597" w:type="pct"/>
            <w:shd w:val="clear" w:color="auto" w:fill="auto"/>
            <w:vAlign w:val="center"/>
          </w:tcPr>
          <w:p w:rsidR="00734A76" w:rsidRPr="00EB28A6" w:rsidRDefault="00734A76" w:rsidP="00734A76">
            <w:pPr>
              <w:widowControl w:val="0"/>
              <w:autoSpaceDE w:val="0"/>
              <w:autoSpaceDN w:val="0"/>
              <w:adjustRightInd w:val="0"/>
              <w:spacing w:after="0"/>
              <w:jc w:val="center"/>
              <w:rPr>
                <w:sz w:val="20"/>
                <w:szCs w:val="20"/>
              </w:rPr>
            </w:pPr>
          </w:p>
        </w:tc>
        <w:tc>
          <w:tcPr>
            <w:tcW w:w="631" w:type="pct"/>
            <w:shd w:val="clear" w:color="auto" w:fill="auto"/>
            <w:vAlign w:val="center"/>
          </w:tcPr>
          <w:p w:rsidR="00734A76" w:rsidRPr="00EB28A6" w:rsidRDefault="00734A76" w:rsidP="00734A76">
            <w:pPr>
              <w:widowControl w:val="0"/>
              <w:autoSpaceDE w:val="0"/>
              <w:autoSpaceDN w:val="0"/>
              <w:adjustRightInd w:val="0"/>
              <w:spacing w:after="0"/>
              <w:jc w:val="center"/>
              <w:rPr>
                <w:sz w:val="20"/>
                <w:szCs w:val="20"/>
              </w:rPr>
            </w:pPr>
          </w:p>
        </w:tc>
        <w:tc>
          <w:tcPr>
            <w:tcW w:w="575" w:type="pct"/>
            <w:shd w:val="clear" w:color="auto" w:fill="auto"/>
            <w:vAlign w:val="center"/>
          </w:tcPr>
          <w:p w:rsidR="00734A76" w:rsidRPr="00EB28A6" w:rsidRDefault="00734A76" w:rsidP="00734A76">
            <w:pPr>
              <w:widowControl w:val="0"/>
              <w:autoSpaceDE w:val="0"/>
              <w:autoSpaceDN w:val="0"/>
              <w:adjustRightInd w:val="0"/>
              <w:spacing w:after="0"/>
              <w:jc w:val="center"/>
              <w:rPr>
                <w:sz w:val="20"/>
                <w:szCs w:val="20"/>
              </w:rPr>
            </w:pPr>
          </w:p>
        </w:tc>
        <w:tc>
          <w:tcPr>
            <w:tcW w:w="574" w:type="pct"/>
            <w:shd w:val="clear" w:color="auto" w:fill="auto"/>
            <w:vAlign w:val="center"/>
          </w:tcPr>
          <w:p w:rsidR="00734A76" w:rsidRPr="00EB28A6" w:rsidRDefault="00734A76" w:rsidP="00734A76">
            <w:pPr>
              <w:widowControl w:val="0"/>
              <w:autoSpaceDE w:val="0"/>
              <w:autoSpaceDN w:val="0"/>
              <w:adjustRightInd w:val="0"/>
              <w:spacing w:after="0"/>
              <w:jc w:val="center"/>
              <w:rPr>
                <w:sz w:val="20"/>
                <w:szCs w:val="20"/>
              </w:rPr>
            </w:pPr>
          </w:p>
        </w:tc>
      </w:tr>
      <w:tr w:rsidR="00734A76" w:rsidRPr="00EA6851" w:rsidTr="006D0447">
        <w:trPr>
          <w:trHeight w:val="230"/>
        </w:trPr>
        <w:tc>
          <w:tcPr>
            <w:tcW w:w="2004" w:type="pct"/>
            <w:gridSpan w:val="3"/>
            <w:shd w:val="clear" w:color="auto" w:fill="auto"/>
            <w:vAlign w:val="bottom"/>
          </w:tcPr>
          <w:p w:rsidR="00734A76" w:rsidRPr="00EB28A6" w:rsidRDefault="00734A76" w:rsidP="00734A76">
            <w:pPr>
              <w:widowControl w:val="0"/>
              <w:autoSpaceDE w:val="0"/>
              <w:autoSpaceDN w:val="0"/>
              <w:adjustRightInd w:val="0"/>
              <w:spacing w:after="0"/>
              <w:rPr>
                <w:color w:val="FF0000"/>
                <w:sz w:val="20"/>
                <w:szCs w:val="20"/>
              </w:rPr>
            </w:pPr>
            <w:r w:rsidRPr="00EB28A6">
              <w:rPr>
                <w:sz w:val="20"/>
                <w:szCs w:val="20"/>
              </w:rPr>
              <w:t>3. Повишаване на среднoпретеглена скорост на движение по железопътната инфраструктура</w:t>
            </w:r>
          </w:p>
        </w:tc>
        <w:tc>
          <w:tcPr>
            <w:tcW w:w="619" w:type="pct"/>
            <w:shd w:val="clear" w:color="auto" w:fill="F2F2F2"/>
            <w:vAlign w:val="center"/>
          </w:tcPr>
          <w:p w:rsidR="00734A76" w:rsidRPr="00EB28A6" w:rsidRDefault="00734A76" w:rsidP="00734A76">
            <w:pPr>
              <w:widowControl w:val="0"/>
              <w:autoSpaceDE w:val="0"/>
              <w:autoSpaceDN w:val="0"/>
              <w:adjustRightInd w:val="0"/>
              <w:spacing w:after="0"/>
              <w:jc w:val="center"/>
              <w:rPr>
                <w:color w:val="000000" w:themeColor="text1"/>
                <w:sz w:val="20"/>
                <w:szCs w:val="20"/>
              </w:rPr>
            </w:pPr>
            <w:r w:rsidRPr="00EB28A6">
              <w:rPr>
                <w:color w:val="000000" w:themeColor="text1"/>
                <w:sz w:val="20"/>
                <w:szCs w:val="20"/>
              </w:rPr>
              <w:t>км./ч.</w:t>
            </w:r>
          </w:p>
        </w:tc>
        <w:tc>
          <w:tcPr>
            <w:tcW w:w="597" w:type="pct"/>
            <w:shd w:val="clear" w:color="auto" w:fill="auto"/>
            <w:vAlign w:val="center"/>
          </w:tcPr>
          <w:p w:rsidR="00734A76" w:rsidRPr="00EB28A6" w:rsidRDefault="00734A76" w:rsidP="00734A76">
            <w:pPr>
              <w:widowControl w:val="0"/>
              <w:autoSpaceDE w:val="0"/>
              <w:autoSpaceDN w:val="0"/>
              <w:adjustRightInd w:val="0"/>
              <w:spacing w:after="0"/>
              <w:jc w:val="center"/>
              <w:rPr>
                <w:sz w:val="20"/>
                <w:szCs w:val="20"/>
              </w:rPr>
            </w:pPr>
            <w:r w:rsidRPr="00EB28A6">
              <w:rPr>
                <w:sz w:val="20"/>
                <w:szCs w:val="20"/>
              </w:rPr>
              <w:t>78,4</w:t>
            </w:r>
          </w:p>
        </w:tc>
        <w:tc>
          <w:tcPr>
            <w:tcW w:w="631" w:type="pct"/>
            <w:shd w:val="clear" w:color="auto" w:fill="auto"/>
            <w:vAlign w:val="center"/>
          </w:tcPr>
          <w:p w:rsidR="00734A76" w:rsidRPr="00EB28A6" w:rsidRDefault="00734A76" w:rsidP="00734A76">
            <w:pPr>
              <w:widowControl w:val="0"/>
              <w:autoSpaceDE w:val="0"/>
              <w:autoSpaceDN w:val="0"/>
              <w:adjustRightInd w:val="0"/>
              <w:spacing w:after="0"/>
              <w:jc w:val="center"/>
              <w:rPr>
                <w:sz w:val="20"/>
                <w:szCs w:val="20"/>
              </w:rPr>
            </w:pPr>
            <w:r w:rsidRPr="00EB28A6">
              <w:rPr>
                <w:sz w:val="20"/>
                <w:szCs w:val="20"/>
              </w:rPr>
              <w:t>78,5</w:t>
            </w:r>
          </w:p>
        </w:tc>
        <w:tc>
          <w:tcPr>
            <w:tcW w:w="575" w:type="pct"/>
            <w:shd w:val="clear" w:color="auto" w:fill="auto"/>
            <w:vAlign w:val="center"/>
          </w:tcPr>
          <w:p w:rsidR="00734A76" w:rsidRPr="00EB28A6" w:rsidRDefault="00734A76" w:rsidP="00734A76">
            <w:pPr>
              <w:widowControl w:val="0"/>
              <w:autoSpaceDE w:val="0"/>
              <w:autoSpaceDN w:val="0"/>
              <w:adjustRightInd w:val="0"/>
              <w:spacing w:after="0"/>
              <w:jc w:val="center"/>
              <w:rPr>
                <w:sz w:val="20"/>
                <w:szCs w:val="20"/>
              </w:rPr>
            </w:pPr>
            <w:r w:rsidRPr="00EB28A6">
              <w:rPr>
                <w:sz w:val="20"/>
                <w:szCs w:val="20"/>
              </w:rPr>
              <w:t>78,6</w:t>
            </w:r>
          </w:p>
        </w:tc>
        <w:tc>
          <w:tcPr>
            <w:tcW w:w="574" w:type="pct"/>
            <w:shd w:val="clear" w:color="auto" w:fill="auto"/>
            <w:vAlign w:val="center"/>
          </w:tcPr>
          <w:p w:rsidR="00734A76" w:rsidRPr="00EA6851" w:rsidRDefault="00734A76" w:rsidP="00734A76">
            <w:pPr>
              <w:widowControl w:val="0"/>
              <w:autoSpaceDE w:val="0"/>
              <w:autoSpaceDN w:val="0"/>
              <w:adjustRightInd w:val="0"/>
              <w:spacing w:after="0"/>
              <w:jc w:val="center"/>
              <w:rPr>
                <w:sz w:val="20"/>
                <w:szCs w:val="20"/>
              </w:rPr>
            </w:pPr>
            <w:r w:rsidRPr="00EB28A6">
              <w:rPr>
                <w:sz w:val="20"/>
                <w:szCs w:val="20"/>
              </w:rPr>
              <w:t>79,0</w:t>
            </w:r>
          </w:p>
        </w:tc>
      </w:tr>
      <w:tr w:rsidR="00734A76" w:rsidRPr="00EA6851" w:rsidTr="006D0447">
        <w:trPr>
          <w:trHeight w:val="230"/>
        </w:trPr>
        <w:tc>
          <w:tcPr>
            <w:tcW w:w="2004" w:type="pct"/>
            <w:gridSpan w:val="3"/>
            <w:tcBorders>
              <w:bottom w:val="single" w:sz="4" w:space="0" w:color="auto"/>
            </w:tcBorders>
            <w:shd w:val="clear" w:color="auto" w:fill="auto"/>
            <w:vAlign w:val="bottom"/>
          </w:tcPr>
          <w:p w:rsidR="00734A76" w:rsidRPr="00EA6851" w:rsidRDefault="00734A76" w:rsidP="00734A76">
            <w:pPr>
              <w:widowControl w:val="0"/>
              <w:autoSpaceDE w:val="0"/>
              <w:autoSpaceDN w:val="0"/>
              <w:adjustRightInd w:val="0"/>
              <w:spacing w:after="0"/>
              <w:rPr>
                <w:sz w:val="20"/>
                <w:szCs w:val="20"/>
              </w:rPr>
            </w:pPr>
            <w:r w:rsidRPr="00EA6851">
              <w:rPr>
                <w:sz w:val="20"/>
                <w:szCs w:val="20"/>
              </w:rPr>
              <w:t>4. Реализирани влаккилометри от „БДЖ</w:t>
            </w:r>
          </w:p>
          <w:p w:rsidR="00734A76" w:rsidRPr="00EA6851" w:rsidRDefault="00734A76" w:rsidP="00734A76">
            <w:pPr>
              <w:widowControl w:val="0"/>
              <w:autoSpaceDE w:val="0"/>
              <w:autoSpaceDN w:val="0"/>
              <w:adjustRightInd w:val="0"/>
              <w:spacing w:after="0"/>
              <w:rPr>
                <w:color w:val="FF0000"/>
                <w:sz w:val="20"/>
                <w:szCs w:val="20"/>
              </w:rPr>
            </w:pPr>
            <w:r w:rsidRPr="00EA6851">
              <w:rPr>
                <w:sz w:val="20"/>
                <w:szCs w:val="20"/>
              </w:rPr>
              <w:t xml:space="preserve">- Пътнически превози“ ЕООД </w:t>
            </w:r>
          </w:p>
        </w:tc>
        <w:tc>
          <w:tcPr>
            <w:tcW w:w="619" w:type="pct"/>
            <w:tcBorders>
              <w:bottom w:val="single" w:sz="4" w:space="0" w:color="auto"/>
            </w:tcBorders>
            <w:shd w:val="clear" w:color="auto" w:fill="F2F2F2"/>
            <w:vAlign w:val="center"/>
          </w:tcPr>
          <w:p w:rsidR="00734A76" w:rsidRPr="00EA6851" w:rsidRDefault="00734A76" w:rsidP="00734A76">
            <w:pPr>
              <w:widowControl w:val="0"/>
              <w:autoSpaceDE w:val="0"/>
              <w:autoSpaceDN w:val="0"/>
              <w:adjustRightInd w:val="0"/>
              <w:spacing w:after="0"/>
              <w:jc w:val="center"/>
              <w:rPr>
                <w:color w:val="000000" w:themeColor="text1"/>
                <w:sz w:val="20"/>
                <w:szCs w:val="20"/>
              </w:rPr>
            </w:pPr>
            <w:r w:rsidRPr="00EA6851">
              <w:rPr>
                <w:color w:val="000000" w:themeColor="text1"/>
                <w:sz w:val="20"/>
                <w:szCs w:val="20"/>
              </w:rPr>
              <w:t>влаккм.</w:t>
            </w:r>
          </w:p>
        </w:tc>
        <w:tc>
          <w:tcPr>
            <w:tcW w:w="597" w:type="pct"/>
            <w:tcBorders>
              <w:bottom w:val="single" w:sz="4" w:space="0" w:color="auto"/>
            </w:tcBorders>
            <w:shd w:val="clear" w:color="auto" w:fill="auto"/>
            <w:vAlign w:val="center"/>
          </w:tcPr>
          <w:p w:rsidR="00734A76" w:rsidRPr="00EA6851" w:rsidRDefault="00734A76" w:rsidP="00734A76">
            <w:pPr>
              <w:widowControl w:val="0"/>
              <w:autoSpaceDE w:val="0"/>
              <w:autoSpaceDN w:val="0"/>
              <w:adjustRightInd w:val="0"/>
              <w:spacing w:after="0"/>
              <w:jc w:val="center"/>
              <w:rPr>
                <w:sz w:val="20"/>
                <w:szCs w:val="20"/>
              </w:rPr>
            </w:pPr>
            <w:r w:rsidRPr="00EA6851">
              <w:rPr>
                <w:sz w:val="20"/>
                <w:szCs w:val="20"/>
              </w:rPr>
              <w:t>22 258 840</w:t>
            </w:r>
          </w:p>
        </w:tc>
        <w:tc>
          <w:tcPr>
            <w:tcW w:w="631" w:type="pct"/>
            <w:tcBorders>
              <w:bottom w:val="single" w:sz="4" w:space="0" w:color="auto"/>
            </w:tcBorders>
            <w:shd w:val="clear" w:color="auto" w:fill="auto"/>
            <w:vAlign w:val="center"/>
          </w:tcPr>
          <w:p w:rsidR="00734A76" w:rsidRPr="00EA6851" w:rsidRDefault="00734A76" w:rsidP="00734A76">
            <w:pPr>
              <w:widowControl w:val="0"/>
              <w:autoSpaceDE w:val="0"/>
              <w:autoSpaceDN w:val="0"/>
              <w:adjustRightInd w:val="0"/>
              <w:spacing w:after="0"/>
              <w:jc w:val="center"/>
              <w:rPr>
                <w:sz w:val="20"/>
                <w:szCs w:val="20"/>
              </w:rPr>
            </w:pPr>
            <w:r w:rsidRPr="00EA6851">
              <w:rPr>
                <w:sz w:val="20"/>
                <w:szCs w:val="20"/>
              </w:rPr>
              <w:t>21 042 909</w:t>
            </w:r>
          </w:p>
        </w:tc>
        <w:tc>
          <w:tcPr>
            <w:tcW w:w="575" w:type="pct"/>
            <w:tcBorders>
              <w:bottom w:val="single" w:sz="4" w:space="0" w:color="auto"/>
            </w:tcBorders>
            <w:shd w:val="clear" w:color="auto" w:fill="auto"/>
            <w:vAlign w:val="center"/>
          </w:tcPr>
          <w:p w:rsidR="00734A76" w:rsidRPr="00EA6851" w:rsidRDefault="00734A76" w:rsidP="00734A76">
            <w:pPr>
              <w:widowControl w:val="0"/>
              <w:autoSpaceDE w:val="0"/>
              <w:autoSpaceDN w:val="0"/>
              <w:adjustRightInd w:val="0"/>
              <w:spacing w:after="0"/>
              <w:jc w:val="center"/>
              <w:rPr>
                <w:sz w:val="20"/>
                <w:szCs w:val="20"/>
              </w:rPr>
            </w:pPr>
            <w:r w:rsidRPr="00EA6851">
              <w:rPr>
                <w:sz w:val="20"/>
                <w:szCs w:val="20"/>
              </w:rPr>
              <w:t>21 042 909</w:t>
            </w:r>
          </w:p>
        </w:tc>
        <w:tc>
          <w:tcPr>
            <w:tcW w:w="574" w:type="pct"/>
            <w:tcBorders>
              <w:bottom w:val="single" w:sz="4" w:space="0" w:color="auto"/>
            </w:tcBorders>
            <w:shd w:val="clear" w:color="auto" w:fill="auto"/>
            <w:vAlign w:val="center"/>
          </w:tcPr>
          <w:p w:rsidR="00734A76" w:rsidRPr="00EA6851" w:rsidRDefault="00734A76" w:rsidP="00734A76">
            <w:pPr>
              <w:widowControl w:val="0"/>
              <w:autoSpaceDE w:val="0"/>
              <w:autoSpaceDN w:val="0"/>
              <w:adjustRightInd w:val="0"/>
              <w:spacing w:after="0"/>
              <w:jc w:val="center"/>
              <w:rPr>
                <w:sz w:val="20"/>
                <w:szCs w:val="20"/>
              </w:rPr>
            </w:pPr>
            <w:r w:rsidRPr="00EA6851">
              <w:rPr>
                <w:sz w:val="20"/>
                <w:szCs w:val="20"/>
              </w:rPr>
              <w:t>21 042 909</w:t>
            </w:r>
          </w:p>
        </w:tc>
      </w:tr>
    </w:tbl>
    <w:p w:rsidR="00734A76" w:rsidRPr="00EA6851" w:rsidRDefault="00734A76" w:rsidP="00734A76"/>
    <w:p w:rsidR="00734A76" w:rsidRPr="00EA6851" w:rsidRDefault="00734A76" w:rsidP="006D0447">
      <w:r w:rsidRPr="00EA6851">
        <w:t xml:space="preserve">Основните приоритети на </w:t>
      </w:r>
      <w:r w:rsidRPr="003E754F">
        <w:rPr>
          <w:i/>
        </w:rPr>
        <w:t xml:space="preserve">държавното финансово подпомагане на реалния сектор в областта на транспорта и съобщенията </w:t>
      </w:r>
      <w:r w:rsidRPr="00EA6851">
        <w:t>са насочени към предоставяне на средства под формата на субсидии, компенсации и капиталови трансфери за нефинансови предприятия. Със средствата от държавния бюджет за нефинансовите предприятия се покриват само необходимите разходи, възникнали при изпълнение на възложените им от държавата задължения, свързани с предоставяне на обществени услуги, с цел избягване на свръхкомпенсация на предприятията. Предоставянето на средствата е обвързано с конкретни изисквания и критерии, като по този начин се цели повишаване на качеството на изпълняваните услуги и ефективно разходване на средствата от държавния бюджет за съответната дейност.</w:t>
      </w:r>
    </w:p>
    <w:p w:rsidR="00734A76" w:rsidRPr="00EA6851" w:rsidRDefault="00734A76" w:rsidP="006D0447">
      <w:r w:rsidRPr="00EA6851">
        <w:t xml:space="preserve">В това направление са разчетени </w:t>
      </w:r>
      <w:r w:rsidRPr="00EA6851">
        <w:rPr>
          <w:b/>
          <w:color w:val="852010" w:themeColor="accent3" w:themeShade="BF"/>
        </w:rPr>
        <w:t>субсидии и други текущи трансфери</w:t>
      </w:r>
      <w:r w:rsidRPr="00EA6851">
        <w:rPr>
          <w:color w:val="E65B01" w:themeColor="accent1" w:themeShade="BF"/>
        </w:rPr>
        <w:t xml:space="preserve"> </w:t>
      </w:r>
      <w:r w:rsidRPr="00EA6851">
        <w:t>за нефинансови предприятия, както следва:</w:t>
      </w:r>
    </w:p>
    <w:p w:rsidR="00734A76" w:rsidRPr="00EA6851" w:rsidRDefault="00734A76" w:rsidP="006D0447">
      <w:pPr>
        <w:numPr>
          <w:ilvl w:val="0"/>
          <w:numId w:val="5"/>
        </w:numPr>
        <w:rPr>
          <w:b/>
          <w:i/>
        </w:rPr>
      </w:pPr>
      <w:r w:rsidRPr="00EA6851">
        <w:rPr>
          <w:b/>
          <w:i/>
        </w:rPr>
        <w:t>„Национална компания „Железопътна инфраструктура“</w:t>
      </w:r>
    </w:p>
    <w:p w:rsidR="00734A76" w:rsidRPr="00EA6851" w:rsidRDefault="00734A76" w:rsidP="006D0447">
      <w:r w:rsidRPr="00EA6851">
        <w:t xml:space="preserve">В изпълнение на чл. 25, ал. 1 от Закона за железопътния транспорт, държавата участва във финансирането на дейностите по изграждането, поддържането, развитието и експлоатацията на железопътната инфраструктура. Съгласно действащото законодателство, стопанисването и управлението на предоставените активи – публична и частна държавна собственост, и изпълнението на посочените дейности е възложено на Национална компания „Железопътна инфраструктура”. </w:t>
      </w:r>
    </w:p>
    <w:p w:rsidR="00734A76" w:rsidRPr="00EA6851" w:rsidRDefault="00734A76" w:rsidP="006D0447">
      <w:r w:rsidRPr="00EA6851">
        <w:t xml:space="preserve">Предвидените средства за субсидии за „Национална компания „Железопътна инфраструктура“ са съобразени с тенденциите и възможностите за реализиране на приходи от други дейности на управителя на железопътната инфраструктура, като </w:t>
      </w:r>
      <w:r w:rsidR="009027B6" w:rsidRPr="00EA6851">
        <w:t xml:space="preserve">за 2024 г. </w:t>
      </w:r>
      <w:r w:rsidRPr="00EA6851">
        <w:t xml:space="preserve">са планирани средства </w:t>
      </w:r>
      <w:r w:rsidR="009027B6" w:rsidRPr="00EA6851">
        <w:t xml:space="preserve">в размер на </w:t>
      </w:r>
      <w:r w:rsidR="007607B4">
        <w:t>301 230,0</w:t>
      </w:r>
      <w:r w:rsidR="00DA5902" w:rsidRPr="00EA6851">
        <w:t xml:space="preserve"> хил. лв., </w:t>
      </w:r>
      <w:r w:rsidR="009027B6" w:rsidRPr="00EA6851">
        <w:t xml:space="preserve">а </w:t>
      </w:r>
      <w:r w:rsidR="00DA5902" w:rsidRPr="00EA6851">
        <w:t xml:space="preserve">за 2025  </w:t>
      </w:r>
      <w:r w:rsidR="00573A22" w:rsidRPr="00EA6851">
        <w:t xml:space="preserve">г. </w:t>
      </w:r>
      <w:r w:rsidR="00DA5902" w:rsidRPr="00EA6851">
        <w:t xml:space="preserve">и 2026 г. в размер на </w:t>
      </w:r>
      <w:r w:rsidR="007607B4">
        <w:t>331 210,0</w:t>
      </w:r>
      <w:r w:rsidR="00DA5902" w:rsidRPr="00EA6851">
        <w:t xml:space="preserve"> хил. лв.</w:t>
      </w:r>
      <w:r w:rsidR="00573A22" w:rsidRPr="00EA6851">
        <w:t xml:space="preserve"> на година.</w:t>
      </w:r>
    </w:p>
    <w:p w:rsidR="00734A76" w:rsidRPr="00EA6851" w:rsidRDefault="00734A76" w:rsidP="006D0447">
      <w:pPr>
        <w:numPr>
          <w:ilvl w:val="0"/>
          <w:numId w:val="5"/>
        </w:numPr>
        <w:rPr>
          <w:b/>
          <w:i/>
        </w:rPr>
      </w:pPr>
      <w:r w:rsidRPr="00EA6851">
        <w:rPr>
          <w:b/>
          <w:i/>
        </w:rPr>
        <w:t xml:space="preserve">„БДЖ-Пътнически превози“ ЕООД </w:t>
      </w:r>
    </w:p>
    <w:p w:rsidR="00734A76" w:rsidRPr="00EA6851" w:rsidRDefault="00734A76" w:rsidP="006D0447">
      <w:r w:rsidRPr="00EA6851">
        <w:t>Средствата за субсидии се предоставят на „БДЖ-Пътнически превози“ ЕООД за осигуряване изпълнението на възложеното му задължение за извършване на обществени превозни услуги по договор, сключен между министъра на транспорта и съобщенията и дружеството.</w:t>
      </w:r>
    </w:p>
    <w:p w:rsidR="00734A76" w:rsidRPr="00EA6851" w:rsidRDefault="00734A76" w:rsidP="006D0447">
      <w:r w:rsidRPr="00EA6851">
        <w:t xml:space="preserve">Средствата за субсидии за „БДЖ-Пътнически превози“ ЕООД се предоставят и отчитат чрез бюджета на Министерството на транспорта и съобщенията. За периода 2024-2026 г. са планирани </w:t>
      </w:r>
      <w:r w:rsidR="009639C6" w:rsidRPr="00EA6851">
        <w:t xml:space="preserve">средства в размер на </w:t>
      </w:r>
      <w:r w:rsidR="007607B4">
        <w:t>209 890,0</w:t>
      </w:r>
      <w:r w:rsidR="009639C6" w:rsidRPr="00EA6851">
        <w:t xml:space="preserve"> хил. лв. на година.</w:t>
      </w:r>
    </w:p>
    <w:p w:rsidR="00734A76" w:rsidRPr="00EA6851" w:rsidRDefault="00734A76" w:rsidP="006D0447">
      <w:pPr>
        <w:numPr>
          <w:ilvl w:val="0"/>
          <w:numId w:val="5"/>
        </w:numPr>
        <w:rPr>
          <w:b/>
          <w:i/>
        </w:rPr>
      </w:pPr>
      <w:r w:rsidRPr="00EA6851">
        <w:rPr>
          <w:b/>
          <w:i/>
        </w:rPr>
        <w:t xml:space="preserve">„Български пощи“ ЕАД </w:t>
      </w:r>
    </w:p>
    <w:p w:rsidR="00734A76" w:rsidRPr="00EA6851" w:rsidRDefault="00734A76" w:rsidP="00B30642">
      <w:pPr>
        <w:numPr>
          <w:ilvl w:val="0"/>
          <w:numId w:val="49"/>
        </w:numPr>
        <w:tabs>
          <w:tab w:val="left" w:pos="709"/>
          <w:tab w:val="center" w:pos="4153"/>
          <w:tab w:val="right" w:pos="8306"/>
        </w:tabs>
        <w:suppressAutoHyphens/>
        <w:rPr>
          <w:bCs/>
          <w:szCs w:val="24"/>
        </w:rPr>
      </w:pPr>
      <w:r w:rsidRPr="00EA6851">
        <w:t xml:space="preserve">Средствата за субсидии се предоставят </w:t>
      </w:r>
      <w:r w:rsidR="00C14DA4" w:rsidRPr="00EA6851">
        <w:rPr>
          <w:bCs/>
        </w:rPr>
        <w:t>чрез бюджета на Министерството на транспорта и съобщенията</w:t>
      </w:r>
      <w:r w:rsidR="00C14DA4" w:rsidRPr="00EA6851">
        <w:t xml:space="preserve"> </w:t>
      </w:r>
      <w:r w:rsidRPr="00EA6851">
        <w:t>на „Български пощи“ ЕАД с</w:t>
      </w:r>
      <w:r w:rsidRPr="00EA6851">
        <w:rPr>
          <w:bCs/>
          <w:szCs w:val="24"/>
        </w:rPr>
        <w:t xml:space="preserve">ъгласно разпоредбите на чл. 29, ал. 6 и 7 от Закона за пощенските услуги (ЗПУ). Средствата за компенсиране на несправедливата финансова тежест от извършване на универсалната пощенска услуга се предоставят авансово за текущата година от държавния бюджет на Република България на пощенския оператор със </w:t>
      </w:r>
      <w:r w:rsidRPr="00EB28A6">
        <w:rPr>
          <w:bCs/>
          <w:szCs w:val="24"/>
        </w:rPr>
        <w:t xml:space="preserve">задължение на извършване на универсалната пощенска услуга. </w:t>
      </w:r>
      <w:r w:rsidR="0058523B" w:rsidRPr="00EB28A6">
        <w:rPr>
          <w:bCs/>
          <w:szCs w:val="24"/>
        </w:rPr>
        <w:t xml:space="preserve">Размерът на авансово предоставените средства е равен на определения размер на компенсацията за съответната година. </w:t>
      </w:r>
      <w:r w:rsidR="00C14DA4" w:rsidRPr="00EB28A6">
        <w:rPr>
          <w:bCs/>
          <w:szCs w:val="24"/>
        </w:rPr>
        <w:t>З</w:t>
      </w:r>
      <w:r w:rsidRPr="00EB28A6">
        <w:rPr>
          <w:bCs/>
          <w:szCs w:val="24"/>
        </w:rPr>
        <w:t xml:space="preserve">а субсидии </w:t>
      </w:r>
      <w:r w:rsidR="008F686F" w:rsidRPr="00EB28A6">
        <w:rPr>
          <w:bCs/>
          <w:szCs w:val="24"/>
        </w:rPr>
        <w:t xml:space="preserve">на </w:t>
      </w:r>
      <w:r w:rsidR="008F686F" w:rsidRPr="00EB28A6">
        <w:t>„Български пощи“ ЕАД</w:t>
      </w:r>
      <w:r w:rsidR="008F686F" w:rsidRPr="00EB28A6">
        <w:rPr>
          <w:bCs/>
          <w:szCs w:val="24"/>
        </w:rPr>
        <w:t xml:space="preserve"> </w:t>
      </w:r>
      <w:r w:rsidR="00C14DA4" w:rsidRPr="00EB28A6">
        <w:rPr>
          <w:bCs/>
          <w:szCs w:val="24"/>
        </w:rPr>
        <w:t xml:space="preserve">са </w:t>
      </w:r>
      <w:r w:rsidR="008F686F" w:rsidRPr="00EB28A6">
        <w:rPr>
          <w:bCs/>
          <w:szCs w:val="24"/>
        </w:rPr>
        <w:t xml:space="preserve">разчетени средства по направления </w:t>
      </w:r>
      <w:r w:rsidRPr="00EB28A6">
        <w:rPr>
          <w:bCs/>
          <w:szCs w:val="24"/>
        </w:rPr>
        <w:t>за компенсиране</w:t>
      </w:r>
      <w:r w:rsidRPr="00EA6851">
        <w:rPr>
          <w:bCs/>
          <w:szCs w:val="24"/>
        </w:rPr>
        <w:t xml:space="preserve"> на несправедливата финансова тежест от извършването на универсалната пощенска услуга през текущата година – </w:t>
      </w:r>
      <w:r w:rsidR="00573A22" w:rsidRPr="00EA6851">
        <w:rPr>
          <w:bCs/>
          <w:szCs w:val="24"/>
        </w:rPr>
        <w:t xml:space="preserve">по </w:t>
      </w:r>
      <w:r w:rsidRPr="00EA6851">
        <w:rPr>
          <w:bCs/>
          <w:szCs w:val="24"/>
        </w:rPr>
        <w:t>28</w:t>
      </w:r>
      <w:r w:rsidR="006D0447" w:rsidRPr="00EA6851">
        <w:rPr>
          <w:bCs/>
          <w:szCs w:val="24"/>
        </w:rPr>
        <w:t> </w:t>
      </w:r>
      <w:r w:rsidRPr="00EA6851">
        <w:rPr>
          <w:bCs/>
          <w:szCs w:val="24"/>
        </w:rPr>
        <w:t>456</w:t>
      </w:r>
      <w:r w:rsidR="006D0447" w:rsidRPr="00EA6851">
        <w:rPr>
          <w:bCs/>
          <w:szCs w:val="24"/>
        </w:rPr>
        <w:t>,0</w:t>
      </w:r>
      <w:r w:rsidRPr="00EA6851">
        <w:rPr>
          <w:bCs/>
          <w:szCs w:val="24"/>
        </w:rPr>
        <w:t xml:space="preserve"> хил. лв.</w:t>
      </w:r>
      <w:r w:rsidR="00573A22" w:rsidRPr="00EA6851">
        <w:rPr>
          <w:bCs/>
          <w:szCs w:val="24"/>
        </w:rPr>
        <w:t xml:space="preserve"> годишно за периода 2024-2026 г.;</w:t>
      </w:r>
    </w:p>
    <w:p w:rsidR="00734A76" w:rsidRPr="00EA6851" w:rsidRDefault="00C14DA4" w:rsidP="00B30642">
      <w:pPr>
        <w:numPr>
          <w:ilvl w:val="0"/>
          <w:numId w:val="49"/>
        </w:numPr>
        <w:tabs>
          <w:tab w:val="left" w:pos="709"/>
          <w:tab w:val="center" w:pos="4153"/>
          <w:tab w:val="right" w:pos="8306"/>
        </w:tabs>
        <w:suppressAutoHyphens/>
        <w:rPr>
          <w:bCs/>
          <w:szCs w:val="24"/>
        </w:rPr>
      </w:pPr>
      <w:r w:rsidRPr="00EA6851">
        <w:rPr>
          <w:bCs/>
          <w:szCs w:val="24"/>
        </w:rPr>
        <w:t>З</w:t>
      </w:r>
      <w:r w:rsidR="00734A76" w:rsidRPr="00EA6851">
        <w:rPr>
          <w:bCs/>
          <w:szCs w:val="24"/>
        </w:rPr>
        <w:t>а ав</w:t>
      </w:r>
      <w:r w:rsidR="006D0447" w:rsidRPr="00EA6851">
        <w:rPr>
          <w:bCs/>
          <w:szCs w:val="24"/>
        </w:rPr>
        <w:t>ансово предоставени средства за</w:t>
      </w:r>
      <w:r w:rsidR="00734A76" w:rsidRPr="00EA6851">
        <w:rPr>
          <w:bCs/>
          <w:szCs w:val="24"/>
        </w:rPr>
        <w:t xml:space="preserve"> компенсиране на услугата от общ икономически интерес по разпространение на периодични печатни издания (вестници и списания) с отстъпки на едро и дребно, директно или на абонаментна основа на територията на Република България през текуща година – по 27</w:t>
      </w:r>
      <w:r w:rsidR="006D0447" w:rsidRPr="00EA6851">
        <w:rPr>
          <w:bCs/>
          <w:szCs w:val="24"/>
        </w:rPr>
        <w:t> </w:t>
      </w:r>
      <w:r w:rsidR="00734A76" w:rsidRPr="00EA6851">
        <w:rPr>
          <w:bCs/>
          <w:szCs w:val="24"/>
        </w:rPr>
        <w:t>000</w:t>
      </w:r>
      <w:r w:rsidR="006D0447" w:rsidRPr="00EA6851">
        <w:rPr>
          <w:bCs/>
          <w:szCs w:val="24"/>
        </w:rPr>
        <w:t>,0</w:t>
      </w:r>
      <w:r w:rsidR="00734A76" w:rsidRPr="00EA6851">
        <w:rPr>
          <w:bCs/>
          <w:szCs w:val="24"/>
        </w:rPr>
        <w:t xml:space="preserve"> хил. лв. годишно за прогнозния период;</w:t>
      </w:r>
    </w:p>
    <w:p w:rsidR="00734A76" w:rsidRPr="00EA6851" w:rsidRDefault="00C14DA4" w:rsidP="00B30642">
      <w:pPr>
        <w:numPr>
          <w:ilvl w:val="0"/>
          <w:numId w:val="49"/>
        </w:numPr>
        <w:tabs>
          <w:tab w:val="left" w:pos="709"/>
          <w:tab w:val="center" w:pos="4153"/>
          <w:tab w:val="right" w:pos="8306"/>
        </w:tabs>
        <w:suppressAutoHyphens/>
        <w:rPr>
          <w:bCs/>
          <w:szCs w:val="24"/>
        </w:rPr>
      </w:pPr>
      <w:r w:rsidRPr="00EA6851">
        <w:rPr>
          <w:bCs/>
          <w:szCs w:val="24"/>
        </w:rPr>
        <w:t>З</w:t>
      </w:r>
      <w:r w:rsidR="00734A76" w:rsidRPr="00EA6851">
        <w:rPr>
          <w:bCs/>
          <w:szCs w:val="24"/>
        </w:rPr>
        <w:t xml:space="preserve">а възлагане на Български пощи“ ЕАД да извършва услуга от общ икономически интерес – посредничество при заявяване на административни и електронни административни услуги и получаване на резултата от тях, чрез пощенски станции са предвидени </w:t>
      </w:r>
      <w:r w:rsidR="007C7116" w:rsidRPr="00EA6851">
        <w:rPr>
          <w:bCs/>
          <w:szCs w:val="24"/>
        </w:rPr>
        <w:t xml:space="preserve">средства съответно в размер на </w:t>
      </w:r>
      <w:r w:rsidR="00734A76" w:rsidRPr="00EA6851">
        <w:rPr>
          <w:bCs/>
          <w:szCs w:val="24"/>
        </w:rPr>
        <w:t xml:space="preserve">18 478,3 хил. </w:t>
      </w:r>
      <w:r w:rsidR="006D0447" w:rsidRPr="00EA6851">
        <w:rPr>
          <w:bCs/>
          <w:szCs w:val="24"/>
        </w:rPr>
        <w:t>лв.</w:t>
      </w:r>
      <w:r w:rsidR="007C7116" w:rsidRPr="00EA6851">
        <w:rPr>
          <w:bCs/>
          <w:szCs w:val="24"/>
        </w:rPr>
        <w:t xml:space="preserve"> за 2024 г.</w:t>
      </w:r>
      <w:r w:rsidR="006D0447" w:rsidRPr="00EA6851">
        <w:rPr>
          <w:bCs/>
          <w:szCs w:val="24"/>
        </w:rPr>
        <w:t xml:space="preserve">, </w:t>
      </w:r>
      <w:r w:rsidR="00734A76" w:rsidRPr="00EA6851">
        <w:rPr>
          <w:bCs/>
          <w:szCs w:val="24"/>
        </w:rPr>
        <w:t xml:space="preserve">18 700,2 хил. лв. </w:t>
      </w:r>
      <w:r w:rsidR="007C7116" w:rsidRPr="00EA6851">
        <w:rPr>
          <w:bCs/>
          <w:szCs w:val="24"/>
        </w:rPr>
        <w:t xml:space="preserve">за 2025 г. </w:t>
      </w:r>
      <w:r w:rsidR="00734A76" w:rsidRPr="00EA6851">
        <w:rPr>
          <w:bCs/>
          <w:szCs w:val="24"/>
        </w:rPr>
        <w:t xml:space="preserve">и </w:t>
      </w:r>
      <w:r w:rsidR="007C7116" w:rsidRPr="00EA6851">
        <w:rPr>
          <w:bCs/>
          <w:szCs w:val="24"/>
        </w:rPr>
        <w:t xml:space="preserve">25 434,6 хил. лв. </w:t>
      </w:r>
      <w:r w:rsidR="00734A76" w:rsidRPr="00EA6851">
        <w:rPr>
          <w:bCs/>
          <w:szCs w:val="24"/>
        </w:rPr>
        <w:t>за 2026 г.</w:t>
      </w:r>
      <w:r w:rsidR="007C7116" w:rsidRPr="00EA6851">
        <w:rPr>
          <w:bCs/>
          <w:szCs w:val="24"/>
        </w:rPr>
        <w:t>;</w:t>
      </w:r>
    </w:p>
    <w:p w:rsidR="00734A76" w:rsidRPr="00EA6851" w:rsidRDefault="00C14DA4" w:rsidP="00CA6497">
      <w:pPr>
        <w:numPr>
          <w:ilvl w:val="0"/>
          <w:numId w:val="49"/>
        </w:numPr>
        <w:tabs>
          <w:tab w:val="left" w:pos="709"/>
          <w:tab w:val="center" w:pos="4153"/>
          <w:tab w:val="right" w:pos="8306"/>
        </w:tabs>
        <w:suppressAutoHyphens/>
        <w:rPr>
          <w:bCs/>
          <w:szCs w:val="24"/>
        </w:rPr>
      </w:pPr>
      <w:r w:rsidRPr="00EA6851">
        <w:rPr>
          <w:bCs/>
          <w:szCs w:val="24"/>
        </w:rPr>
        <w:t>З</w:t>
      </w:r>
      <w:r w:rsidR="00734A76" w:rsidRPr="00EA6851">
        <w:rPr>
          <w:bCs/>
          <w:szCs w:val="24"/>
        </w:rPr>
        <w:t xml:space="preserve">а възлагане на Български пощи“ ЕАД да извършва услуга от общ икономически интерес – осигуряване на достъп до базови телемедицински услуги от разстояние чрез пощенски станции на територията на Република България </w:t>
      </w:r>
      <w:r w:rsidR="00CA6497" w:rsidRPr="00EA6851">
        <w:rPr>
          <w:bCs/>
          <w:szCs w:val="24"/>
        </w:rPr>
        <w:t xml:space="preserve">са предвидени средства съответно </w:t>
      </w:r>
      <w:r w:rsidR="007C7116" w:rsidRPr="00EA6851">
        <w:rPr>
          <w:bCs/>
          <w:szCs w:val="24"/>
        </w:rPr>
        <w:t xml:space="preserve">в размер </w:t>
      </w:r>
      <w:r w:rsidR="00CA6497" w:rsidRPr="00EA6851">
        <w:rPr>
          <w:bCs/>
          <w:szCs w:val="24"/>
        </w:rPr>
        <w:t xml:space="preserve">на </w:t>
      </w:r>
      <w:r w:rsidR="00734A76" w:rsidRPr="00EA6851">
        <w:rPr>
          <w:bCs/>
          <w:szCs w:val="24"/>
        </w:rPr>
        <w:t xml:space="preserve">12 602,4 хил. </w:t>
      </w:r>
      <w:r w:rsidR="006D0447" w:rsidRPr="00EA6851">
        <w:rPr>
          <w:bCs/>
          <w:szCs w:val="24"/>
        </w:rPr>
        <w:t>лв.</w:t>
      </w:r>
      <w:r w:rsidR="00CA6497" w:rsidRPr="00EA6851">
        <w:rPr>
          <w:bCs/>
          <w:szCs w:val="24"/>
        </w:rPr>
        <w:t xml:space="preserve"> за 2024 г.</w:t>
      </w:r>
      <w:r w:rsidR="006D0447" w:rsidRPr="00EA6851">
        <w:rPr>
          <w:bCs/>
          <w:szCs w:val="24"/>
        </w:rPr>
        <w:t xml:space="preserve">, </w:t>
      </w:r>
      <w:r w:rsidR="00734A76" w:rsidRPr="00EA6851">
        <w:rPr>
          <w:bCs/>
          <w:szCs w:val="24"/>
        </w:rPr>
        <w:t xml:space="preserve">16 929,6 хил. лв. </w:t>
      </w:r>
      <w:r w:rsidR="00CA6497" w:rsidRPr="00EA6851">
        <w:rPr>
          <w:bCs/>
          <w:szCs w:val="24"/>
        </w:rPr>
        <w:t xml:space="preserve">за 2025 г. </w:t>
      </w:r>
      <w:r w:rsidR="00734A76" w:rsidRPr="00EA6851">
        <w:rPr>
          <w:bCs/>
          <w:szCs w:val="24"/>
        </w:rPr>
        <w:t>и  14 066,0 хил. лв.</w:t>
      </w:r>
      <w:r w:rsidR="00CA6497" w:rsidRPr="00EA6851">
        <w:rPr>
          <w:bCs/>
          <w:szCs w:val="24"/>
        </w:rPr>
        <w:t xml:space="preserve"> за 2026 г.</w:t>
      </w:r>
    </w:p>
    <w:p w:rsidR="006D0447" w:rsidRPr="00EA6851" w:rsidRDefault="008F686F" w:rsidP="006D0447">
      <w:pPr>
        <w:numPr>
          <w:ilvl w:val="0"/>
          <w:numId w:val="5"/>
        </w:numPr>
        <w:rPr>
          <w:b/>
          <w:i/>
        </w:rPr>
      </w:pPr>
      <w:r w:rsidRPr="00EA6851" w:rsidDel="008F686F">
        <w:rPr>
          <w:bCs/>
          <w:szCs w:val="24"/>
        </w:rPr>
        <w:t xml:space="preserve"> </w:t>
      </w:r>
      <w:r w:rsidR="00734A76" w:rsidRPr="00EA6851">
        <w:rPr>
          <w:b/>
          <w:i/>
        </w:rPr>
        <w:t xml:space="preserve">„България Хели Мед Сървиз“ ЕАД </w:t>
      </w:r>
    </w:p>
    <w:p w:rsidR="00734A76" w:rsidRPr="00EA6851" w:rsidRDefault="00AA5749" w:rsidP="006D0447">
      <w:pPr>
        <w:rPr>
          <w:b/>
          <w:i/>
        </w:rPr>
      </w:pPr>
      <w:r w:rsidRPr="00EA6851">
        <w:t>Чрез бюджета на МТС са предвидени субсидии  съответно в размер на 5 976,5 хил. лв. за 2024 г., на 9 520,6 хил. лв. за 2025 г. и на 14 263,4 хил. лв. за 2026 г. з</w:t>
      </w:r>
      <w:r w:rsidR="00734A76" w:rsidRPr="00EA6851">
        <w:t>а възлагане на</w:t>
      </w:r>
      <w:r w:rsidR="006B7E20" w:rsidRPr="00EA6851">
        <w:t xml:space="preserve"> „България Хели Мед Сървиз“ ЕАД</w:t>
      </w:r>
      <w:r w:rsidR="00734A76" w:rsidRPr="00EA6851">
        <w:t xml:space="preserve"> да извършва услуга</w:t>
      </w:r>
      <w:r w:rsidR="006D0447" w:rsidRPr="00EA6851">
        <w:t xml:space="preserve"> от общ икономически интерес - </w:t>
      </w:r>
      <w:r w:rsidR="00734A76" w:rsidRPr="00EA6851">
        <w:t>полети за осигуряване на въздушен транспорт с вертолети за нуждите на спешната медицинска помощ, организирана от държавата с цел бързо транспортиране чрез превозване на медицински персонал или медицински доставки или болни или ранени лица и други пряко свързани лица, при условията и по реда на Регламент (ЕС) № 965/2012 на Комисията от 5 октомври 2012 година за определяне на технически изисквания и административни процедури във връзка с въздушните опера</w:t>
      </w:r>
      <w:r w:rsidR="006D0447" w:rsidRPr="00EA6851">
        <w:t>ции в съответствие с Регламент (</w:t>
      </w:r>
      <w:r w:rsidR="00734A76" w:rsidRPr="00EA6851">
        <w:t>ЕО) № 216/2008 на Европейския парламент и на Съвета от авиационен оператор със свидетелство за авиационен оператор и SPA.HEMS одобрение, издадено от главния директор на Главна дирекция „Гражданска въздухоплавателна администрация“</w:t>
      </w:r>
      <w:r w:rsidRPr="00EA6851">
        <w:t>.</w:t>
      </w:r>
    </w:p>
    <w:p w:rsidR="00734A76" w:rsidRPr="00EA6851" w:rsidRDefault="00A73BF9" w:rsidP="006D0447">
      <w:r w:rsidRPr="00A73BF9">
        <w:rPr>
          <w:b/>
          <w:color w:val="852010" w:themeColor="accent3" w:themeShade="BF"/>
        </w:rPr>
        <w:t>Индикативен размер на к</w:t>
      </w:r>
      <w:r w:rsidR="00734A76" w:rsidRPr="00EA6851">
        <w:rPr>
          <w:b/>
          <w:color w:val="852010" w:themeColor="accent3" w:themeShade="BF"/>
        </w:rPr>
        <w:t xml:space="preserve">апиталовите трансфери </w:t>
      </w:r>
      <w:r w:rsidR="00734A76" w:rsidRPr="00EA6851">
        <w:t>в сектора на транспорта са насочени към:</w:t>
      </w:r>
    </w:p>
    <w:p w:rsidR="00FD4B9E" w:rsidRPr="00EA6851" w:rsidRDefault="00FD4B9E" w:rsidP="00FD4B9E">
      <w:pPr>
        <w:numPr>
          <w:ilvl w:val="0"/>
          <w:numId w:val="5"/>
        </w:numPr>
        <w:spacing w:before="120"/>
        <w:ind w:left="502"/>
        <w:rPr>
          <w:b/>
          <w:i/>
        </w:rPr>
      </w:pPr>
      <w:r w:rsidRPr="00EA6851">
        <w:rPr>
          <w:b/>
          <w:i/>
        </w:rPr>
        <w:t>Национална компания „Железопътна инфраструктура”</w:t>
      </w:r>
    </w:p>
    <w:p w:rsidR="00FD4B9E" w:rsidRPr="00EA6851" w:rsidRDefault="00FD4B9E" w:rsidP="00FD4B9E">
      <w:pPr>
        <w:tabs>
          <w:tab w:val="center" w:pos="4153"/>
          <w:tab w:val="right" w:pos="8306"/>
        </w:tabs>
        <w:rPr>
          <w:szCs w:val="24"/>
          <w:lang w:eastAsia="zh-CN"/>
        </w:rPr>
      </w:pPr>
      <w:r w:rsidRPr="00EA6851">
        <w:rPr>
          <w:szCs w:val="24"/>
          <w:lang w:eastAsia="zh-CN"/>
        </w:rPr>
        <w:t xml:space="preserve">Цялостната инвестиционна програма на Национална компания „Железопътна инфраструктура”, свързана с изграждането, рехабилитацията и развитието на железопътната инфраструктура, ще се осъществява със средства от Оперативна програма „Транспорт и транспортна инфраструктура” 2014-2020 г., Оперативна програма „Транспортна свързаност” 2021-2027 г., Механизма за свързване на Европа и със средства под формата на капиталови трансфери. </w:t>
      </w:r>
    </w:p>
    <w:p w:rsidR="00FD4B9E" w:rsidRPr="00EA6851" w:rsidRDefault="00FD4B9E" w:rsidP="00FD4B9E">
      <w:pPr>
        <w:tabs>
          <w:tab w:val="center" w:pos="4153"/>
          <w:tab w:val="right" w:pos="8306"/>
        </w:tabs>
        <w:rPr>
          <w:szCs w:val="24"/>
          <w:lang w:eastAsia="zh-CN"/>
        </w:rPr>
      </w:pPr>
      <w:r w:rsidRPr="00EA6851">
        <w:rPr>
          <w:szCs w:val="24"/>
          <w:lang w:eastAsia="zh-CN"/>
        </w:rPr>
        <w:t>На този етап, инвестиционната програма е насочена към ускорена реализация на проекти, свързани с европейските транспортни оси и коридори на територията на страната, с оглед привеждане на инфраструктурата в съответствие с европейските норми, изисквания и стандарти, и повишаване на качеството и нивото на безопасност на железопътните превози.</w:t>
      </w:r>
    </w:p>
    <w:p w:rsidR="00FD4B9E" w:rsidRPr="00EA6851" w:rsidRDefault="00FD4B9E" w:rsidP="00FD4B9E">
      <w:pPr>
        <w:tabs>
          <w:tab w:val="center" w:pos="4153"/>
          <w:tab w:val="right" w:pos="8306"/>
        </w:tabs>
        <w:rPr>
          <w:szCs w:val="24"/>
          <w:lang w:eastAsia="zh-CN"/>
        </w:rPr>
      </w:pPr>
      <w:r w:rsidRPr="00EA6851">
        <w:rPr>
          <w:szCs w:val="24"/>
          <w:lang w:eastAsia="zh-CN"/>
        </w:rPr>
        <w:t xml:space="preserve">В основната си част капиталовите трансфери се насочват за поддържане на техническото и експлоатационното състояние на съществуващата железопътна инфраструктура и съоръженията по сигнализация и безопасно управление на превозната дейност. </w:t>
      </w:r>
    </w:p>
    <w:p w:rsidR="00A73BF9" w:rsidRPr="00A73BF9" w:rsidRDefault="00A73BF9" w:rsidP="00A73BF9">
      <w:pPr>
        <w:tabs>
          <w:tab w:val="center" w:pos="4153"/>
          <w:tab w:val="right" w:pos="8306"/>
        </w:tabs>
        <w:rPr>
          <w:szCs w:val="24"/>
          <w:lang w:eastAsia="zh-CN"/>
        </w:rPr>
      </w:pPr>
      <w:r w:rsidRPr="00A73BF9">
        <w:rPr>
          <w:szCs w:val="24"/>
          <w:lang w:eastAsia="zh-CN"/>
        </w:rPr>
        <w:t>Прдвидените капиталови трансфери за периода 2024-2026 г. за Национална компания „Железопътна инфраструктура” са в индикативен размер на 183 519,0 хил. лв. за всяка година, както и 16 880,0 хил. лв. за надграждане на части от железопътната линия Русе - Варна за достигане на скорост от 160 км/ч.</w:t>
      </w:r>
    </w:p>
    <w:p w:rsidR="00FD4B9E" w:rsidRPr="00EA6851" w:rsidRDefault="00FD4B9E" w:rsidP="00FD4B9E">
      <w:pPr>
        <w:numPr>
          <w:ilvl w:val="0"/>
          <w:numId w:val="5"/>
        </w:numPr>
        <w:spacing w:before="120"/>
        <w:ind w:left="502"/>
        <w:rPr>
          <w:b/>
          <w:i/>
        </w:rPr>
      </w:pPr>
      <w:r w:rsidRPr="00EA6851">
        <w:rPr>
          <w:b/>
          <w:i/>
        </w:rPr>
        <w:t>БДЖ – Пътнически превози” ЕООД</w:t>
      </w:r>
    </w:p>
    <w:p w:rsidR="00FD4B9E" w:rsidRPr="00EA6851" w:rsidRDefault="00A85530" w:rsidP="00FD4B9E">
      <w:pPr>
        <w:spacing w:before="120"/>
      </w:pPr>
      <w:r w:rsidRPr="00A85530">
        <w:t xml:space="preserve">За всяка година от периода 2024-2026 г. за „БДЖ – Пътнически превози” ЕООД са предвидени капиталови трансфери в индикативен размер на 67 930,3 хил. лв. на година. </w:t>
      </w:r>
      <w:r w:rsidR="00FD4B9E" w:rsidRPr="00EA6851">
        <w:t>С предвидените средства за капиталови трансфери ще се даде възможност да се осигури финансиране за закупуване на нов подвижен състав, както и за необходими ремонти на съществуваща техника. Разпределението на средствата в рамките на отделните години от периода 2024-2026 г. следва да се осъществява в съответствие с провежданата от МТС политика по отношение на железопътния транспорт и предвидените в тази връзка мероприятия и дейности.</w:t>
      </w:r>
    </w:p>
    <w:p w:rsidR="00734A76" w:rsidRPr="00EA6851" w:rsidRDefault="00734A76" w:rsidP="006D0447">
      <w:pPr>
        <w:numPr>
          <w:ilvl w:val="0"/>
          <w:numId w:val="5"/>
        </w:numPr>
        <w:rPr>
          <w:b/>
          <w:i/>
        </w:rPr>
      </w:pPr>
      <w:r w:rsidRPr="00EA6851">
        <w:rPr>
          <w:b/>
          <w:i/>
        </w:rPr>
        <w:t xml:space="preserve">ДП „Пристанищна инфраструктура” </w:t>
      </w:r>
    </w:p>
    <w:p w:rsidR="00734A76" w:rsidRPr="00EA6851" w:rsidRDefault="00734A76" w:rsidP="006D0447">
      <w:pPr>
        <w:rPr>
          <w:szCs w:val="24"/>
          <w:lang w:eastAsia="zh-CN"/>
        </w:rPr>
      </w:pPr>
      <w:r w:rsidRPr="00EA6851">
        <w:rPr>
          <w:szCs w:val="24"/>
          <w:lang w:eastAsia="zh-CN"/>
        </w:rPr>
        <w:t>Капиталовите трансфери през периода 2024-2026 г. се предвижда да бъдат насочени както за ремонтно-възстановителни, рехабилитационни и укрепителни дейности на пристанищната инфраструктура, така и за модернизация на пристанищните съоръжения и дейности, свързани с тяхната проходимост.</w:t>
      </w:r>
    </w:p>
    <w:p w:rsidR="00A85530" w:rsidRPr="00A85530" w:rsidRDefault="00A85530" w:rsidP="00A85530">
      <w:pPr>
        <w:rPr>
          <w:szCs w:val="24"/>
          <w:lang w:eastAsia="zh-CN"/>
        </w:rPr>
      </w:pPr>
      <w:r w:rsidRPr="00A85530">
        <w:rPr>
          <w:szCs w:val="24"/>
          <w:lang w:eastAsia="zh-CN"/>
        </w:rPr>
        <w:t xml:space="preserve">Предвидените капиталови трансфери за ДП „Пристанищна инфраструктура“ са в индикативен размер съответно - 39 660,0 хил. лв. за 2024 г., 38 600 хил. лв. за 2025 г. и 34 800 хил. лв. за 2026 г. </w:t>
      </w:r>
    </w:p>
    <w:p w:rsidR="00734A76" w:rsidRPr="00EA6851" w:rsidRDefault="00734A76" w:rsidP="00734A76">
      <w:r w:rsidRPr="00EA6851">
        <w:t xml:space="preserve">В областта на транспорта са предвидени и </w:t>
      </w:r>
      <w:r w:rsidR="009F4582" w:rsidRPr="00EA6851">
        <w:t>средства</w:t>
      </w:r>
      <w:r w:rsidRPr="00EA6851">
        <w:t xml:space="preserve"> за</w:t>
      </w:r>
      <w:r w:rsidRPr="00EA6851">
        <w:rPr>
          <w:b/>
          <w:color w:val="852010" w:themeColor="accent3" w:themeShade="BF"/>
        </w:rPr>
        <w:t xml:space="preserve"> превоз на пътници по нерентабилни автобусни линии </w:t>
      </w:r>
      <w:r w:rsidRPr="00EA6851">
        <w:t xml:space="preserve">във вътрешноградския транспорт и транспорта в планински и други райони, както и за </w:t>
      </w:r>
      <w:r w:rsidRPr="00EA6851">
        <w:rPr>
          <w:b/>
          <w:color w:val="852010" w:themeColor="accent3" w:themeShade="BF"/>
        </w:rPr>
        <w:t>компенсиране на намалените приходи от прилагането на цени за пътуване</w:t>
      </w:r>
      <w:r w:rsidRPr="00EA6851">
        <w:t>, предвидени в нормативните актове</w:t>
      </w:r>
      <w:r w:rsidRPr="00EA6851">
        <w:rPr>
          <w:b/>
        </w:rPr>
        <w:t xml:space="preserve"> </w:t>
      </w:r>
      <w:r w:rsidRPr="00EA6851">
        <w:t>за определени категории пътници.</w:t>
      </w:r>
    </w:p>
    <w:p w:rsidR="00734A76" w:rsidRPr="00EA6851" w:rsidRDefault="009F4582" w:rsidP="00B30642">
      <w:pPr>
        <w:numPr>
          <w:ilvl w:val="0"/>
          <w:numId w:val="20"/>
        </w:numPr>
        <w:rPr>
          <w:b/>
          <w:color w:val="852010" w:themeColor="accent3" w:themeShade="BF"/>
        </w:rPr>
      </w:pPr>
      <w:r w:rsidRPr="00EA6851">
        <w:rPr>
          <w:b/>
          <w:color w:val="852010" w:themeColor="accent3" w:themeShade="BF"/>
        </w:rPr>
        <w:t>П</w:t>
      </w:r>
      <w:r w:rsidR="00734A76" w:rsidRPr="00EA6851">
        <w:rPr>
          <w:b/>
          <w:color w:val="852010" w:themeColor="accent3" w:themeShade="BF"/>
        </w:rPr>
        <w:t>ревоз на пътници по нерентабилни автобусни линии във вътрешноградския транспорт и транспорта в планински и други райони</w:t>
      </w:r>
    </w:p>
    <w:p w:rsidR="00734A76" w:rsidRPr="00EA6851" w:rsidRDefault="00734A76" w:rsidP="00734A76">
      <w:pPr>
        <w:tabs>
          <w:tab w:val="center" w:pos="4153"/>
          <w:tab w:val="right" w:pos="8306"/>
        </w:tabs>
        <w:rPr>
          <w:szCs w:val="24"/>
          <w:lang w:eastAsia="zh-CN"/>
        </w:rPr>
      </w:pPr>
      <w:r w:rsidRPr="00EA6851">
        <w:rPr>
          <w:szCs w:val="24"/>
          <w:lang w:eastAsia="zh-CN"/>
        </w:rPr>
        <w:t>В съответствие с § 4, ал. 1, т. 1 от заключителните разпоредби на Закона за автомобилните превози, в държавния бюджет се предвиждат средства за субсидии за превоз на пътници по нерентабилни автобусни линии във вътрешноградския транспорт и транспорта в планински и други райони.</w:t>
      </w:r>
      <w:r w:rsidRPr="00EA6851">
        <w:rPr>
          <w:b/>
          <w:szCs w:val="24"/>
          <w:lang w:eastAsia="zh-CN"/>
        </w:rPr>
        <w:t xml:space="preserve"> </w:t>
      </w:r>
      <w:r w:rsidRPr="00EA6851">
        <w:rPr>
          <w:szCs w:val="24"/>
          <w:lang w:eastAsia="zh-CN"/>
        </w:rPr>
        <w:t>Тези превози имат предимно социална насоченост – масови превози до и от работните места в чертите на града, и превози до малки отдалечени селища, осигуряващи връзка с общинския център.</w:t>
      </w:r>
    </w:p>
    <w:p w:rsidR="00734A76" w:rsidRPr="00EA6851" w:rsidRDefault="00734A76" w:rsidP="00734A76">
      <w:pPr>
        <w:tabs>
          <w:tab w:val="center" w:pos="4153"/>
          <w:tab w:val="right" w:pos="8306"/>
        </w:tabs>
        <w:rPr>
          <w:szCs w:val="24"/>
          <w:lang w:eastAsia="zh-CN"/>
        </w:rPr>
      </w:pPr>
      <w:r w:rsidRPr="00EA6851">
        <w:rPr>
          <w:szCs w:val="24"/>
          <w:lang w:eastAsia="zh-CN"/>
        </w:rPr>
        <w:t>Чрез този вид финансово подпомагане държавата осигурява задоволяване потребностите на населението от пътнически превози при определено гарантирано качествено ниво и достъпни цени, съобразени с покупателната способност, посредством въвеждането на определени задължения за превоз за транспортните оператори. Изпълнението на параметрите за качество, надеждност и достъпни цени на автомобилните превози ще съдейства и за постигане на целите за повишаване на мобилността и комуникациите на населението, минимизиране на регионалните различия, подобряване на заетостта и намаляване на безработицата. В резултат от изпълнението на този социален ангажимент се очаква постигане на основни правителствени приоритети като социално включване и повишаване на жизнения стандарт на населението.</w:t>
      </w:r>
    </w:p>
    <w:p w:rsidR="00E32E0E" w:rsidRPr="00EA6851" w:rsidRDefault="00A95DA0" w:rsidP="00734A76">
      <w:pPr>
        <w:tabs>
          <w:tab w:val="center" w:pos="4153"/>
          <w:tab w:val="right" w:pos="8306"/>
        </w:tabs>
        <w:rPr>
          <w:szCs w:val="24"/>
          <w:lang w:eastAsia="zh-CN"/>
        </w:rPr>
      </w:pPr>
      <w:r w:rsidRPr="00EA6851">
        <w:rPr>
          <w:szCs w:val="24"/>
          <w:lang w:eastAsia="zh-CN"/>
        </w:rPr>
        <w:t>За 2024 г. средствата са общо 188,0 млн. лв., в т.ч. 89,0 млн. лв. за Столична община - вътрешноградски транспорт и 99,0 млн. лв. за превоз на пътници по нерентабилни автобусни линии във вътрешноградския транспорт и транспорта в планински и други райони. За 2025 г. и 2026 г. средст</w:t>
      </w:r>
      <w:r w:rsidR="00796936" w:rsidRPr="00EA6851">
        <w:rPr>
          <w:szCs w:val="24"/>
          <w:lang w:eastAsia="zh-CN"/>
        </w:rPr>
        <w:t>в</w:t>
      </w:r>
      <w:r w:rsidRPr="00EA6851">
        <w:rPr>
          <w:szCs w:val="24"/>
          <w:lang w:eastAsia="zh-CN"/>
        </w:rPr>
        <w:t xml:space="preserve">ата са общо </w:t>
      </w:r>
      <w:r w:rsidR="00796936" w:rsidRPr="00EA6851">
        <w:rPr>
          <w:szCs w:val="24"/>
          <w:lang w:eastAsia="zh-CN"/>
        </w:rPr>
        <w:t xml:space="preserve">по </w:t>
      </w:r>
      <w:r w:rsidRPr="00EA6851">
        <w:rPr>
          <w:szCs w:val="24"/>
          <w:lang w:eastAsia="zh-CN"/>
        </w:rPr>
        <w:t>189,0 млн. лв., в т.ч. 90,0 млн. лв. за Столична община - вътрешноградски транспорт и 99,0 млн. лв. за превоз на пътници по нерентабилни автобусни линии във вътрешноградския транспорт и транспорта в планински и други райони.</w:t>
      </w:r>
    </w:p>
    <w:p w:rsidR="00734A76" w:rsidRPr="00EA6851" w:rsidRDefault="009F4582" w:rsidP="00B30642">
      <w:pPr>
        <w:numPr>
          <w:ilvl w:val="0"/>
          <w:numId w:val="21"/>
        </w:numPr>
        <w:rPr>
          <w:b/>
          <w:color w:val="852010" w:themeColor="accent3" w:themeShade="BF"/>
        </w:rPr>
      </w:pPr>
      <w:r w:rsidRPr="00EA6851">
        <w:rPr>
          <w:b/>
          <w:color w:val="852010" w:themeColor="accent3" w:themeShade="BF"/>
        </w:rPr>
        <w:t>К</w:t>
      </w:r>
      <w:r w:rsidR="00734A76" w:rsidRPr="00EA6851">
        <w:rPr>
          <w:b/>
          <w:color w:val="852010" w:themeColor="accent3" w:themeShade="BF"/>
        </w:rPr>
        <w:t xml:space="preserve">омпенсиране на намалените приходи от прилагането на цени за пътуване, предвидени в нормативните актове за определени категории пътници </w:t>
      </w:r>
    </w:p>
    <w:p w:rsidR="00734A76" w:rsidRPr="00EA6851" w:rsidRDefault="00734A76" w:rsidP="00734A76">
      <w:pPr>
        <w:tabs>
          <w:tab w:val="center" w:pos="4153"/>
          <w:tab w:val="right" w:pos="8306"/>
        </w:tabs>
        <w:rPr>
          <w:szCs w:val="24"/>
          <w:lang w:eastAsia="zh-CN"/>
        </w:rPr>
      </w:pPr>
      <w:r w:rsidRPr="00EA6851">
        <w:rPr>
          <w:szCs w:val="24"/>
          <w:lang w:eastAsia="zh-CN"/>
        </w:rPr>
        <w:t xml:space="preserve">Предоставянето на права за безплатни и по намалени цени превози в обществения транспорт (железопътен, автомобилен или друг вид транспорт) на определени категории правоимащи лица е елемент на провежданата социална политика, която обхваща част от населението на страната. Средствата за компенсиране на намалените приходи от прилагането на цени за пътуване, предвидени в нормативните актове за определени категории пътници, се осигуряват ежегодно от държавния бюджет на основание § 4, ал. 1, т. 2 от заключителните разпоредби на Закона за автомобилните превози, чл. 52 от Закона за железопътния транспорт, разпоредби на Закона за Министерството на вътрешните работи, Закона за изпълнение на наказанията и задържането под стража, Закона за съдебната власт, </w:t>
      </w:r>
      <w:r w:rsidRPr="00EA6851">
        <w:rPr>
          <w:szCs w:val="24"/>
          <w:lang w:eastAsia="zh-CN"/>
        </w:rPr>
        <w:tab/>
        <w:t>Закона за защита на лица, застрашени във връзка с наказателно производство, Закона за Държавна агенция „Национална сигурност“, Закона за специалните разузнавателни средства, Закона за защита на класифицираната информация и Закона за противодействие на корупцията и за отнемане на незаконно придобитото имущество.</w:t>
      </w:r>
    </w:p>
    <w:p w:rsidR="00734A76" w:rsidRPr="00EA6851" w:rsidRDefault="00734A76" w:rsidP="009F4582">
      <w:pPr>
        <w:tabs>
          <w:tab w:val="center" w:pos="4153"/>
          <w:tab w:val="right" w:pos="8306"/>
        </w:tabs>
        <w:rPr>
          <w:szCs w:val="24"/>
          <w:lang w:eastAsia="zh-CN"/>
        </w:rPr>
      </w:pPr>
      <w:r w:rsidRPr="00EA6851">
        <w:rPr>
          <w:szCs w:val="24"/>
          <w:lang w:eastAsia="zh-CN"/>
        </w:rPr>
        <w:t>Средствата от държавния бюджет за компенсиране на намалените приходи от прилагането на цени за пътуване, предвидени в нормативните актове за определени категории пътници, са предназначени да покрият разликата между цената на издадените превозни документи с намаление и тази по редовна тарифа на определени категории пътници, в т.ч. ветерани от войните, военноинвалиди, военнопострадали, лица, получаващи пенсия при условията на глава шеста от Кодекса за социалното осигуряване, навършили възраст по чл. 68, ал. 1-3 от същия кодекс, деца до 7 навършени години и деца от 7 до 1</w:t>
      </w:r>
      <w:r w:rsidR="00E95867">
        <w:rPr>
          <w:szCs w:val="24"/>
          <w:lang w:eastAsia="zh-CN"/>
        </w:rPr>
        <w:t>4</w:t>
      </w:r>
      <w:r w:rsidRPr="00EA6851">
        <w:rPr>
          <w:szCs w:val="24"/>
          <w:lang w:eastAsia="zh-CN"/>
        </w:rPr>
        <w:t xml:space="preserve"> навършени години, ученици, студенти и докторанти в редовна форма на обучение, многодетни майки, инв</w:t>
      </w:r>
      <w:r w:rsidR="009F4582" w:rsidRPr="00EA6851">
        <w:rPr>
          <w:szCs w:val="24"/>
          <w:lang w:eastAsia="zh-CN"/>
        </w:rPr>
        <w:t>алиди и други правоимащи лица.</w:t>
      </w:r>
    </w:p>
    <w:p w:rsidR="00E4156C" w:rsidRPr="00EA6851" w:rsidRDefault="002864C2" w:rsidP="009F4582">
      <w:pPr>
        <w:tabs>
          <w:tab w:val="center" w:pos="4153"/>
          <w:tab w:val="right" w:pos="8306"/>
        </w:tabs>
        <w:rPr>
          <w:szCs w:val="24"/>
          <w:lang w:eastAsia="zh-CN"/>
        </w:rPr>
      </w:pPr>
      <w:r w:rsidRPr="00EA6851">
        <w:rPr>
          <w:szCs w:val="24"/>
          <w:lang w:eastAsia="zh-CN"/>
        </w:rPr>
        <w:t>За пътувания с железопътния транспорт з</w:t>
      </w:r>
      <w:r w:rsidR="00A95DA0" w:rsidRPr="00EA6851">
        <w:rPr>
          <w:szCs w:val="24"/>
          <w:lang w:eastAsia="zh-CN"/>
        </w:rPr>
        <w:t xml:space="preserve">а </w:t>
      </w:r>
      <w:r w:rsidR="00E4156C" w:rsidRPr="00EA6851">
        <w:rPr>
          <w:szCs w:val="24"/>
          <w:lang w:eastAsia="zh-CN"/>
        </w:rPr>
        <w:t xml:space="preserve">периода </w:t>
      </w:r>
      <w:r w:rsidR="00A95DA0" w:rsidRPr="00EA6851">
        <w:rPr>
          <w:szCs w:val="24"/>
          <w:lang w:eastAsia="zh-CN"/>
        </w:rPr>
        <w:t>2024</w:t>
      </w:r>
      <w:r w:rsidR="00E4156C" w:rsidRPr="00EA6851">
        <w:rPr>
          <w:szCs w:val="24"/>
          <w:lang w:eastAsia="zh-CN"/>
        </w:rPr>
        <w:t>-2026</w:t>
      </w:r>
      <w:r w:rsidR="00A95DA0" w:rsidRPr="00EA6851">
        <w:rPr>
          <w:szCs w:val="24"/>
          <w:lang w:eastAsia="zh-CN"/>
        </w:rPr>
        <w:t xml:space="preserve"> г. се предвиждат </w:t>
      </w:r>
      <w:r w:rsidR="00E4156C" w:rsidRPr="00EA6851">
        <w:rPr>
          <w:szCs w:val="24"/>
          <w:lang w:eastAsia="zh-CN"/>
        </w:rPr>
        <w:t xml:space="preserve">по </w:t>
      </w:r>
      <w:r w:rsidR="00A95DA0" w:rsidRPr="00EA6851">
        <w:rPr>
          <w:szCs w:val="24"/>
          <w:lang w:eastAsia="zh-CN"/>
        </w:rPr>
        <w:t xml:space="preserve">13,0 млн. лв. </w:t>
      </w:r>
      <w:r w:rsidR="00E4156C" w:rsidRPr="00EA6851">
        <w:rPr>
          <w:szCs w:val="24"/>
          <w:lang w:eastAsia="zh-CN"/>
        </w:rPr>
        <w:t>на година.</w:t>
      </w:r>
    </w:p>
    <w:p w:rsidR="00E4156C" w:rsidRDefault="00E4156C" w:rsidP="009F4582">
      <w:pPr>
        <w:tabs>
          <w:tab w:val="center" w:pos="4153"/>
          <w:tab w:val="right" w:pos="8306"/>
        </w:tabs>
        <w:rPr>
          <w:szCs w:val="24"/>
          <w:lang w:eastAsia="zh-CN"/>
        </w:rPr>
      </w:pPr>
      <w:r w:rsidRPr="00EA6851">
        <w:rPr>
          <w:szCs w:val="24"/>
          <w:lang w:eastAsia="zh-CN"/>
        </w:rPr>
        <w:t>За пътувания с вътрешноградския транспорт и междуселищния автомобилен транспорт</w:t>
      </w:r>
      <w:r w:rsidR="00A95DA0" w:rsidRPr="00EA6851">
        <w:rPr>
          <w:szCs w:val="24"/>
          <w:lang w:eastAsia="zh-CN"/>
        </w:rPr>
        <w:t xml:space="preserve"> </w:t>
      </w:r>
      <w:r w:rsidRPr="00EA6851">
        <w:rPr>
          <w:szCs w:val="24"/>
          <w:lang w:eastAsia="zh-CN"/>
        </w:rPr>
        <w:t xml:space="preserve">се предвиждат средства в размер съответно на </w:t>
      </w:r>
      <w:r w:rsidR="00A95DA0" w:rsidRPr="00E95867">
        <w:rPr>
          <w:szCs w:val="24"/>
          <w:lang w:eastAsia="zh-CN"/>
        </w:rPr>
        <w:t>1</w:t>
      </w:r>
      <w:r w:rsidR="00E95867">
        <w:rPr>
          <w:szCs w:val="24"/>
          <w:lang w:eastAsia="zh-CN"/>
        </w:rPr>
        <w:t>4</w:t>
      </w:r>
      <w:r w:rsidR="00A95DA0" w:rsidRPr="00E95867">
        <w:rPr>
          <w:szCs w:val="24"/>
          <w:lang w:eastAsia="zh-CN"/>
        </w:rPr>
        <w:t>1,4</w:t>
      </w:r>
      <w:r w:rsidR="00A95DA0" w:rsidRPr="00EA6851">
        <w:rPr>
          <w:szCs w:val="24"/>
          <w:lang w:eastAsia="zh-CN"/>
        </w:rPr>
        <w:t xml:space="preserve"> млн. лв.</w:t>
      </w:r>
      <w:r w:rsidRPr="00EA6851">
        <w:rPr>
          <w:szCs w:val="24"/>
          <w:lang w:eastAsia="zh-CN"/>
        </w:rPr>
        <w:t xml:space="preserve"> за 2024 г.</w:t>
      </w:r>
      <w:r w:rsidR="00E95867">
        <w:rPr>
          <w:szCs w:val="24"/>
          <w:lang w:eastAsia="zh-CN"/>
        </w:rPr>
        <w:t>, 145,6 млн. лв. за 2025 г. и 15</w:t>
      </w:r>
      <w:r w:rsidRPr="00EA6851">
        <w:rPr>
          <w:szCs w:val="24"/>
          <w:lang w:eastAsia="zh-CN"/>
        </w:rPr>
        <w:t>0,0 млн. лв.за 2026 г.</w:t>
      </w:r>
    </w:p>
    <w:p w:rsidR="00DD1E64" w:rsidRPr="00DD1E64" w:rsidRDefault="00DD1E64" w:rsidP="00DD1E64">
      <w:pPr>
        <w:tabs>
          <w:tab w:val="center" w:pos="4153"/>
          <w:tab w:val="right" w:pos="8306"/>
        </w:tabs>
        <w:rPr>
          <w:szCs w:val="24"/>
          <w:lang w:eastAsia="zh-CN"/>
        </w:rPr>
      </w:pPr>
      <w:r>
        <w:rPr>
          <w:szCs w:val="24"/>
          <w:lang w:eastAsia="zh-CN"/>
        </w:rPr>
        <w:t xml:space="preserve">За </w:t>
      </w:r>
      <w:r w:rsidRPr="00DD1E64">
        <w:rPr>
          <w:szCs w:val="24"/>
          <w:lang w:eastAsia="zh-CN"/>
        </w:rPr>
        <w:t>транспорт на деца и ученици по чл. 283, ал. 2 от Закона за предучилищното и училищното образование</w:t>
      </w:r>
      <w:r>
        <w:rPr>
          <w:szCs w:val="24"/>
          <w:lang w:eastAsia="zh-CN"/>
        </w:rPr>
        <w:t xml:space="preserve"> предвидените средства</w:t>
      </w:r>
      <w:r w:rsidRPr="00DD1E64">
        <w:rPr>
          <w:szCs w:val="24"/>
          <w:lang w:eastAsia="zh-CN"/>
        </w:rPr>
        <w:t xml:space="preserve"> </w:t>
      </w:r>
      <w:r>
        <w:rPr>
          <w:szCs w:val="24"/>
          <w:lang w:eastAsia="zh-CN"/>
        </w:rPr>
        <w:t>з</w:t>
      </w:r>
      <w:r w:rsidRPr="00DD1E64">
        <w:rPr>
          <w:szCs w:val="24"/>
          <w:lang w:eastAsia="zh-CN"/>
        </w:rPr>
        <w:t>а периода 2024-2026 г.</w:t>
      </w:r>
      <w:r>
        <w:rPr>
          <w:szCs w:val="24"/>
          <w:lang w:eastAsia="zh-CN"/>
        </w:rPr>
        <w:t xml:space="preserve"> са по </w:t>
      </w:r>
      <w:r w:rsidRPr="00DD1E64">
        <w:rPr>
          <w:szCs w:val="24"/>
          <w:lang w:eastAsia="zh-CN"/>
        </w:rPr>
        <w:t>69,3 млн. лв.</w:t>
      </w:r>
      <w:r>
        <w:rPr>
          <w:szCs w:val="24"/>
          <w:lang w:eastAsia="zh-CN"/>
        </w:rPr>
        <w:t xml:space="preserve"> на година.</w:t>
      </w:r>
    </w:p>
    <w:p w:rsidR="00F76B9F" w:rsidRPr="00EA6851" w:rsidRDefault="00E4156C" w:rsidP="009F4582">
      <w:pPr>
        <w:tabs>
          <w:tab w:val="center" w:pos="4153"/>
          <w:tab w:val="right" w:pos="8306"/>
        </w:tabs>
        <w:rPr>
          <w:szCs w:val="24"/>
          <w:lang w:eastAsia="zh-CN"/>
        </w:rPr>
      </w:pPr>
      <w:r w:rsidRPr="00EA6851">
        <w:rPr>
          <w:szCs w:val="24"/>
          <w:lang w:eastAsia="zh-CN"/>
        </w:rPr>
        <w:t>За превоз на служители, ползващи право на безплатно пътуване при изпълнение на служебните си задължения в изпълнение на разпоредбите на определени закони</w:t>
      </w:r>
      <w:r w:rsidR="002864C2" w:rsidRPr="00EA6851">
        <w:rPr>
          <w:szCs w:val="24"/>
          <w:lang w:eastAsia="zh-CN"/>
        </w:rPr>
        <w:t>,</w:t>
      </w:r>
      <w:r w:rsidRPr="00EA6851">
        <w:rPr>
          <w:szCs w:val="24"/>
          <w:lang w:eastAsia="zh-CN"/>
        </w:rPr>
        <w:t xml:space="preserve"> се превдиждат по 17,1 млн. лв. на</w:t>
      </w:r>
      <w:r w:rsidR="004631B4">
        <w:rPr>
          <w:szCs w:val="24"/>
          <w:lang w:eastAsia="zh-CN"/>
        </w:rPr>
        <w:t xml:space="preserve"> година за периода 2024-2026 г.</w:t>
      </w:r>
    </w:p>
    <w:p w:rsidR="00734A76" w:rsidRPr="00EA6851" w:rsidRDefault="00734A76" w:rsidP="00734A76">
      <w:pPr>
        <w:pStyle w:val="Heading4"/>
      </w:pPr>
      <w:r w:rsidRPr="00EA6851">
        <w:t>Политика в областта на съобщенията и цифровата свързаност</w:t>
      </w:r>
    </w:p>
    <w:p w:rsidR="00734A76" w:rsidRPr="00EA6851" w:rsidRDefault="00734A76" w:rsidP="00B36DE8">
      <w:pPr>
        <w:rPr>
          <w:bCs/>
        </w:rPr>
      </w:pPr>
      <w:r w:rsidRPr="00EA6851">
        <w:rPr>
          <w:bCs/>
        </w:rPr>
        <w:t>Изпълнението на стратегическата цел на политиката за успешна цифрова свързаност ще допринесе за реализация на визията на Националната програма за развитие България 2030 и на нейните национални цели. Това е свързано с осигуряване на ефективен координационен механизъм и административен ресурс за постигане на реални резултати в полза на българските граждани и бизнес. Министерството на транспорта и съобщенията формира и развива националната политическа рамка в сътрудничество с останалите държавни институции и участва във формирането на европейската политическа рамка.</w:t>
      </w:r>
    </w:p>
    <w:p w:rsidR="00734A76" w:rsidRPr="00EA6851" w:rsidRDefault="00734A76" w:rsidP="00B36DE8">
      <w:pPr>
        <w:rPr>
          <w:bCs/>
        </w:rPr>
      </w:pPr>
      <w:r w:rsidRPr="00EA6851">
        <w:rPr>
          <w:bCs/>
        </w:rPr>
        <w:t>Важен приоритет е широколентовият достъп до интернет, който представлява основен елемент на цифровата трансформация. Недискриминационният, безопасен и ефективен достъп до интернет трябва да бъде осигурен като услуга в обществен интерес, за да може всеки да участва в икономическия и обществен живот. Без висококачествена и устойчива цифрова инфраструктура е ограничено или затруднено ефективното използване на цифрови услуги, както и използването и развитието на технологиите и различните иновационни решения.</w:t>
      </w:r>
    </w:p>
    <w:p w:rsidR="00734A76" w:rsidRPr="00EA6851" w:rsidRDefault="00734A76" w:rsidP="00B36DE8">
      <w:r w:rsidRPr="00EA6851">
        <w:t>Политиката в областта на съобщенията отразява необходимостта от установяване на подходящ баланс между интересите на всички участници на пазара, както на електронните съобщителни мрежи и услуги, от една страна и от друга – хармонизация на законодателството в съответствие с европейската регулаторна рамка в областта на съобщенията при отчитане на националните особености.</w:t>
      </w:r>
    </w:p>
    <w:p w:rsidR="00734A76" w:rsidRPr="00EA6851" w:rsidRDefault="00734A76" w:rsidP="00B36DE8">
      <w:r w:rsidRPr="00EA6851">
        <w:t>Държавната политика в областта на съобщенията и цифровата свързаност за периода 2024-2026 г. е насочена към изпълнението на следните приоритети:</w:t>
      </w:r>
    </w:p>
    <w:p w:rsidR="00734A76" w:rsidRPr="00EA6851" w:rsidRDefault="00734A76" w:rsidP="00B30642">
      <w:pPr>
        <w:numPr>
          <w:ilvl w:val="0"/>
          <w:numId w:val="41"/>
        </w:numPr>
        <w:tabs>
          <w:tab w:val="num" w:pos="0"/>
          <w:tab w:val="num" w:pos="426"/>
        </w:tabs>
      </w:pPr>
      <w:r w:rsidRPr="00EA6851">
        <w:t>Осигуряване на условия за свободна, лоялна и ефективна конкуренция както на пазара на електронните съобщения, така и на пазара на пощенските услуги, като част от единния вътрешен пазар в ЕС;</w:t>
      </w:r>
    </w:p>
    <w:p w:rsidR="00734A76" w:rsidRPr="00EA6851" w:rsidRDefault="00734A76" w:rsidP="00B30642">
      <w:pPr>
        <w:numPr>
          <w:ilvl w:val="0"/>
          <w:numId w:val="41"/>
        </w:numPr>
        <w:tabs>
          <w:tab w:val="num" w:pos="0"/>
          <w:tab w:val="num" w:pos="426"/>
        </w:tabs>
      </w:pPr>
      <w:r w:rsidRPr="00EA6851">
        <w:t>Развитие на надеждна и сигурна високоскоростна електронна съобщителна инфраструктура;</w:t>
      </w:r>
    </w:p>
    <w:p w:rsidR="00734A76" w:rsidRPr="00EA6851" w:rsidRDefault="00734A76" w:rsidP="00B30642">
      <w:pPr>
        <w:numPr>
          <w:ilvl w:val="0"/>
          <w:numId w:val="41"/>
        </w:numPr>
        <w:tabs>
          <w:tab w:val="num" w:pos="0"/>
          <w:tab w:val="num" w:pos="426"/>
        </w:tabs>
      </w:pPr>
      <w:r w:rsidRPr="00EA6851">
        <w:t>Създаване на условия за ускорено изграждане на високоскоростни и свръх високоскоростни електронни съобщителни мрежи;</w:t>
      </w:r>
    </w:p>
    <w:p w:rsidR="00734A76" w:rsidRPr="00EA6851" w:rsidRDefault="00734A76" w:rsidP="00B30642">
      <w:pPr>
        <w:numPr>
          <w:ilvl w:val="0"/>
          <w:numId w:val="41"/>
        </w:numPr>
        <w:tabs>
          <w:tab w:val="num" w:pos="0"/>
          <w:tab w:val="num" w:pos="426"/>
        </w:tabs>
      </w:pPr>
      <w:r w:rsidRPr="00EA6851">
        <w:t>Преодоляване на изоставането в изграждането и развитието на електронната съобщителна инфраструктура в слабо населени и отдалечени райони чрез подобряване на възможностите за публична интервенция;</w:t>
      </w:r>
    </w:p>
    <w:p w:rsidR="00734A76" w:rsidRPr="00EA6851" w:rsidRDefault="00734A76" w:rsidP="00B30642">
      <w:pPr>
        <w:numPr>
          <w:ilvl w:val="0"/>
          <w:numId w:val="41"/>
        </w:numPr>
        <w:tabs>
          <w:tab w:val="num" w:pos="0"/>
          <w:tab w:val="num" w:pos="426"/>
        </w:tabs>
      </w:pPr>
      <w:r w:rsidRPr="00EA6851">
        <w:t>Защита на правата на потребителите.</w:t>
      </w:r>
    </w:p>
    <w:p w:rsidR="00734A76" w:rsidRPr="00EA6851" w:rsidRDefault="00734A76" w:rsidP="00E96255">
      <w:pPr>
        <w:rPr>
          <w:b/>
          <w:sz w:val="20"/>
          <w:szCs w:val="20"/>
        </w:rPr>
      </w:pPr>
      <w:r w:rsidRPr="00EA6851">
        <w:rPr>
          <w:b/>
          <w:sz w:val="20"/>
          <w:szCs w:val="20"/>
        </w:rPr>
        <w:t>КЛЮЧОВИ ИНДИКАТОРИ ЗА ИЗПЪЛНЕНИЕ И ЦЕЛЕВИ СТОЙНОСТИ</w:t>
      </w:r>
    </w:p>
    <w:tbl>
      <w:tblPr>
        <w:tblW w:w="5000" w:type="pct"/>
        <w:tblBorders>
          <w:top w:val="single" w:sz="4" w:space="0" w:color="auto"/>
          <w:bottom w:val="single" w:sz="4" w:space="0" w:color="auto"/>
        </w:tblBorders>
        <w:tblCellMar>
          <w:left w:w="0" w:type="dxa"/>
          <w:right w:w="0" w:type="dxa"/>
        </w:tblCellMar>
        <w:tblLook w:val="0000" w:firstRow="0" w:lastRow="0" w:firstColumn="0" w:lastColumn="0" w:noHBand="0" w:noVBand="0"/>
      </w:tblPr>
      <w:tblGrid>
        <w:gridCol w:w="4113"/>
        <w:gridCol w:w="1085"/>
        <w:gridCol w:w="983"/>
        <w:gridCol w:w="963"/>
        <w:gridCol w:w="963"/>
        <w:gridCol w:w="963"/>
      </w:tblGrid>
      <w:tr w:rsidR="00734A76" w:rsidRPr="00EA6851" w:rsidTr="00734A76">
        <w:trPr>
          <w:trHeight w:val="277"/>
          <w:tblHeader/>
        </w:trPr>
        <w:tc>
          <w:tcPr>
            <w:tcW w:w="2267" w:type="pct"/>
            <w:tcBorders>
              <w:top w:val="single" w:sz="4" w:space="0" w:color="auto"/>
              <w:bottom w:val="nil"/>
            </w:tcBorders>
            <w:shd w:val="clear" w:color="auto" w:fill="auto"/>
            <w:vAlign w:val="center"/>
          </w:tcPr>
          <w:p w:rsidR="00734A76" w:rsidRPr="00EA6851" w:rsidRDefault="00734A76" w:rsidP="00734A76">
            <w:pPr>
              <w:spacing w:after="0" w:line="0" w:lineRule="atLeast"/>
              <w:jc w:val="center"/>
              <w:rPr>
                <w:b/>
                <w:i/>
                <w:sz w:val="18"/>
                <w:szCs w:val="18"/>
              </w:rPr>
            </w:pPr>
            <w:r w:rsidRPr="00EA6851">
              <w:rPr>
                <w:b/>
                <w:i/>
                <w:sz w:val="18"/>
                <w:szCs w:val="18"/>
              </w:rPr>
              <w:t>Политика в областта на съобщенията и цифровата свързаност</w:t>
            </w:r>
          </w:p>
        </w:tc>
        <w:tc>
          <w:tcPr>
            <w:tcW w:w="598" w:type="pct"/>
            <w:vMerge w:val="restart"/>
            <w:tcBorders>
              <w:top w:val="single" w:sz="4" w:space="0" w:color="auto"/>
              <w:bottom w:val="nil"/>
            </w:tcBorders>
            <w:shd w:val="clear" w:color="auto" w:fill="F2F2F2"/>
            <w:vAlign w:val="center"/>
          </w:tcPr>
          <w:p w:rsidR="00734A76" w:rsidRPr="00EA6851" w:rsidRDefault="00734A76" w:rsidP="00734A76">
            <w:pPr>
              <w:spacing w:after="0" w:line="0" w:lineRule="atLeast"/>
              <w:jc w:val="center"/>
              <w:rPr>
                <w:sz w:val="18"/>
                <w:szCs w:val="18"/>
              </w:rPr>
            </w:pPr>
            <w:r w:rsidRPr="00EA6851">
              <w:rPr>
                <w:b/>
                <w:sz w:val="18"/>
                <w:szCs w:val="18"/>
              </w:rPr>
              <w:t>Мерна единица</w:t>
            </w:r>
          </w:p>
        </w:tc>
        <w:tc>
          <w:tcPr>
            <w:tcW w:w="542" w:type="pct"/>
            <w:tcBorders>
              <w:top w:val="single" w:sz="4" w:space="0" w:color="auto"/>
              <w:bottom w:val="single" w:sz="4" w:space="0" w:color="auto"/>
            </w:tcBorders>
            <w:shd w:val="clear" w:color="auto" w:fill="auto"/>
            <w:vAlign w:val="center"/>
          </w:tcPr>
          <w:p w:rsidR="00734A76" w:rsidRPr="00EA6851" w:rsidRDefault="00734A76" w:rsidP="00734A76">
            <w:pPr>
              <w:spacing w:after="0" w:line="0" w:lineRule="atLeast"/>
              <w:jc w:val="center"/>
              <w:rPr>
                <w:sz w:val="18"/>
                <w:szCs w:val="18"/>
              </w:rPr>
            </w:pPr>
          </w:p>
        </w:tc>
        <w:tc>
          <w:tcPr>
            <w:tcW w:w="1062" w:type="pct"/>
            <w:gridSpan w:val="2"/>
            <w:tcBorders>
              <w:top w:val="single" w:sz="4" w:space="0" w:color="auto"/>
              <w:bottom w:val="single" w:sz="4" w:space="0" w:color="auto"/>
            </w:tcBorders>
            <w:shd w:val="clear" w:color="auto" w:fill="auto"/>
            <w:vAlign w:val="center"/>
          </w:tcPr>
          <w:p w:rsidR="00734A76" w:rsidRPr="00EA6851" w:rsidRDefault="00734A76" w:rsidP="00734A76">
            <w:pPr>
              <w:spacing w:after="0" w:line="0" w:lineRule="atLeast"/>
              <w:ind w:left="180"/>
              <w:jc w:val="center"/>
              <w:rPr>
                <w:b/>
                <w:sz w:val="18"/>
                <w:szCs w:val="18"/>
              </w:rPr>
            </w:pPr>
            <w:r w:rsidRPr="00EA6851">
              <w:rPr>
                <w:b/>
                <w:sz w:val="18"/>
                <w:szCs w:val="18"/>
              </w:rPr>
              <w:t>Целева стойност</w:t>
            </w:r>
          </w:p>
        </w:tc>
        <w:tc>
          <w:tcPr>
            <w:tcW w:w="531" w:type="pct"/>
            <w:tcBorders>
              <w:top w:val="single" w:sz="4" w:space="0" w:color="auto"/>
              <w:bottom w:val="single" w:sz="4" w:space="0" w:color="auto"/>
            </w:tcBorders>
            <w:shd w:val="clear" w:color="auto" w:fill="auto"/>
            <w:vAlign w:val="center"/>
          </w:tcPr>
          <w:p w:rsidR="00734A76" w:rsidRPr="00EA6851" w:rsidRDefault="00734A76" w:rsidP="00734A76">
            <w:pPr>
              <w:spacing w:after="0" w:line="0" w:lineRule="atLeast"/>
              <w:jc w:val="center"/>
              <w:rPr>
                <w:sz w:val="18"/>
                <w:szCs w:val="18"/>
              </w:rPr>
            </w:pPr>
          </w:p>
        </w:tc>
      </w:tr>
      <w:tr w:rsidR="00734A76" w:rsidRPr="00EA6851" w:rsidTr="00734A76">
        <w:trPr>
          <w:trHeight w:val="276"/>
          <w:tblHeader/>
        </w:trPr>
        <w:tc>
          <w:tcPr>
            <w:tcW w:w="2267" w:type="pct"/>
            <w:tcBorders>
              <w:top w:val="nil"/>
              <w:bottom w:val="single" w:sz="4" w:space="0" w:color="auto"/>
            </w:tcBorders>
            <w:shd w:val="clear" w:color="auto" w:fill="auto"/>
            <w:vAlign w:val="center"/>
          </w:tcPr>
          <w:p w:rsidR="00734A76" w:rsidRPr="00EA6851" w:rsidRDefault="00734A76" w:rsidP="00734A76">
            <w:pPr>
              <w:spacing w:after="0" w:line="0" w:lineRule="atLeast"/>
              <w:jc w:val="center"/>
              <w:rPr>
                <w:b/>
                <w:sz w:val="18"/>
                <w:szCs w:val="18"/>
              </w:rPr>
            </w:pPr>
            <w:r w:rsidRPr="00EA6851">
              <w:rPr>
                <w:b/>
                <w:sz w:val="18"/>
                <w:szCs w:val="18"/>
              </w:rPr>
              <w:t>Наименование на индикатора</w:t>
            </w:r>
          </w:p>
        </w:tc>
        <w:tc>
          <w:tcPr>
            <w:tcW w:w="598" w:type="pct"/>
            <w:vMerge/>
            <w:tcBorders>
              <w:top w:val="nil"/>
              <w:bottom w:val="single" w:sz="4" w:space="0" w:color="auto"/>
            </w:tcBorders>
            <w:shd w:val="clear" w:color="auto" w:fill="F2F2F2"/>
            <w:vAlign w:val="center"/>
          </w:tcPr>
          <w:p w:rsidR="00734A76" w:rsidRPr="00EA6851" w:rsidRDefault="00734A76" w:rsidP="00734A76">
            <w:pPr>
              <w:spacing w:after="0" w:line="0" w:lineRule="atLeast"/>
              <w:jc w:val="center"/>
              <w:rPr>
                <w:b/>
                <w:sz w:val="18"/>
                <w:szCs w:val="18"/>
              </w:rPr>
            </w:pPr>
          </w:p>
        </w:tc>
        <w:tc>
          <w:tcPr>
            <w:tcW w:w="542" w:type="pct"/>
            <w:tcBorders>
              <w:top w:val="single" w:sz="4" w:space="0" w:color="auto"/>
              <w:bottom w:val="single" w:sz="4" w:space="0" w:color="auto"/>
            </w:tcBorders>
            <w:shd w:val="clear" w:color="auto" w:fill="auto"/>
            <w:vAlign w:val="center"/>
          </w:tcPr>
          <w:p w:rsidR="00734A76" w:rsidRPr="00EA6851" w:rsidRDefault="00734A76" w:rsidP="00734A76">
            <w:pPr>
              <w:spacing w:after="0" w:line="0" w:lineRule="atLeast"/>
              <w:jc w:val="center"/>
              <w:rPr>
                <w:b/>
                <w:i/>
                <w:sz w:val="18"/>
                <w:szCs w:val="18"/>
              </w:rPr>
            </w:pPr>
            <w:r w:rsidRPr="00EA6851">
              <w:rPr>
                <w:b/>
                <w:i/>
                <w:sz w:val="18"/>
                <w:szCs w:val="18"/>
              </w:rPr>
              <w:t xml:space="preserve">Програма </w:t>
            </w:r>
            <w:r w:rsidRPr="00EA6851">
              <w:rPr>
                <w:b/>
                <w:i/>
                <w:sz w:val="18"/>
                <w:szCs w:val="18"/>
              </w:rPr>
              <w:br/>
            </w:r>
            <w:r w:rsidRPr="00EA6851">
              <w:rPr>
                <w:b/>
                <w:i/>
                <w:w w:val="97"/>
                <w:sz w:val="18"/>
                <w:szCs w:val="18"/>
              </w:rPr>
              <w:t>2023 г.</w:t>
            </w:r>
          </w:p>
        </w:tc>
        <w:tc>
          <w:tcPr>
            <w:tcW w:w="531" w:type="pct"/>
            <w:tcBorders>
              <w:top w:val="single" w:sz="4" w:space="0" w:color="auto"/>
              <w:bottom w:val="single" w:sz="4" w:space="0" w:color="auto"/>
            </w:tcBorders>
            <w:shd w:val="clear" w:color="auto" w:fill="auto"/>
            <w:vAlign w:val="center"/>
          </w:tcPr>
          <w:p w:rsidR="00734A76" w:rsidRPr="00EA6851" w:rsidRDefault="00734A76" w:rsidP="00734A76">
            <w:pPr>
              <w:spacing w:after="0" w:line="0" w:lineRule="atLeast"/>
              <w:jc w:val="center"/>
              <w:rPr>
                <w:b/>
                <w:i/>
                <w:sz w:val="18"/>
                <w:szCs w:val="18"/>
              </w:rPr>
            </w:pPr>
            <w:r w:rsidRPr="00EA6851">
              <w:rPr>
                <w:b/>
                <w:i/>
                <w:sz w:val="18"/>
                <w:szCs w:val="18"/>
              </w:rPr>
              <w:t>Проект 2024 г.</w:t>
            </w:r>
          </w:p>
        </w:tc>
        <w:tc>
          <w:tcPr>
            <w:tcW w:w="531" w:type="pct"/>
            <w:tcBorders>
              <w:top w:val="single" w:sz="4" w:space="0" w:color="auto"/>
              <w:bottom w:val="single" w:sz="4" w:space="0" w:color="auto"/>
            </w:tcBorders>
            <w:shd w:val="clear" w:color="auto" w:fill="auto"/>
            <w:vAlign w:val="center"/>
          </w:tcPr>
          <w:p w:rsidR="00734A76" w:rsidRPr="00EA6851" w:rsidRDefault="00734A76" w:rsidP="00734A76">
            <w:pPr>
              <w:spacing w:after="0" w:line="0" w:lineRule="atLeast"/>
              <w:jc w:val="center"/>
              <w:rPr>
                <w:b/>
                <w:i/>
                <w:sz w:val="18"/>
                <w:szCs w:val="18"/>
              </w:rPr>
            </w:pPr>
            <w:r w:rsidRPr="00EA6851">
              <w:rPr>
                <w:b/>
                <w:i/>
                <w:sz w:val="18"/>
                <w:szCs w:val="18"/>
              </w:rPr>
              <w:t xml:space="preserve">Прогноза </w:t>
            </w:r>
            <w:r w:rsidRPr="00EA6851">
              <w:rPr>
                <w:b/>
                <w:i/>
                <w:w w:val="97"/>
                <w:sz w:val="18"/>
                <w:szCs w:val="18"/>
              </w:rPr>
              <w:t>2025 г.</w:t>
            </w:r>
          </w:p>
        </w:tc>
        <w:tc>
          <w:tcPr>
            <w:tcW w:w="531" w:type="pct"/>
            <w:tcBorders>
              <w:top w:val="single" w:sz="4" w:space="0" w:color="auto"/>
              <w:bottom w:val="single" w:sz="4" w:space="0" w:color="auto"/>
            </w:tcBorders>
            <w:shd w:val="clear" w:color="auto" w:fill="auto"/>
            <w:vAlign w:val="center"/>
          </w:tcPr>
          <w:p w:rsidR="00734A76" w:rsidRPr="00EA6851" w:rsidRDefault="00734A76" w:rsidP="00734A76">
            <w:pPr>
              <w:spacing w:after="0" w:line="0" w:lineRule="atLeast"/>
              <w:jc w:val="center"/>
              <w:rPr>
                <w:b/>
                <w:i/>
                <w:sz w:val="18"/>
                <w:szCs w:val="18"/>
              </w:rPr>
            </w:pPr>
            <w:r w:rsidRPr="00EA6851">
              <w:rPr>
                <w:b/>
                <w:i/>
                <w:sz w:val="18"/>
                <w:szCs w:val="18"/>
              </w:rPr>
              <w:t xml:space="preserve">Прогноза </w:t>
            </w:r>
            <w:r w:rsidRPr="00EA6851">
              <w:rPr>
                <w:b/>
                <w:i/>
                <w:w w:val="97"/>
                <w:sz w:val="18"/>
                <w:szCs w:val="18"/>
              </w:rPr>
              <w:t>2026 г.</w:t>
            </w:r>
          </w:p>
        </w:tc>
      </w:tr>
      <w:tr w:rsidR="00734A76" w:rsidRPr="00EA6851" w:rsidTr="00734A76">
        <w:trPr>
          <w:trHeight w:val="435"/>
        </w:trPr>
        <w:tc>
          <w:tcPr>
            <w:tcW w:w="2267" w:type="pct"/>
            <w:tcBorders>
              <w:top w:val="single" w:sz="4" w:space="0" w:color="auto"/>
            </w:tcBorders>
            <w:shd w:val="clear" w:color="auto" w:fill="auto"/>
            <w:vAlign w:val="bottom"/>
          </w:tcPr>
          <w:p w:rsidR="00734A76" w:rsidRPr="00EA6851" w:rsidRDefault="00734A76" w:rsidP="00734A76">
            <w:pPr>
              <w:widowControl w:val="0"/>
              <w:autoSpaceDE w:val="0"/>
              <w:autoSpaceDN w:val="0"/>
              <w:adjustRightInd w:val="0"/>
              <w:spacing w:after="0"/>
              <w:rPr>
                <w:sz w:val="18"/>
                <w:szCs w:val="18"/>
              </w:rPr>
            </w:pPr>
            <w:r w:rsidRPr="00EA6851">
              <w:rPr>
                <w:sz w:val="18"/>
                <w:szCs w:val="18"/>
              </w:rPr>
              <w:t>1. Цифрова свързаност</w:t>
            </w:r>
          </w:p>
        </w:tc>
        <w:tc>
          <w:tcPr>
            <w:tcW w:w="598" w:type="pct"/>
            <w:tcBorders>
              <w:top w:val="single" w:sz="4" w:space="0" w:color="auto"/>
            </w:tcBorders>
            <w:shd w:val="clear" w:color="auto" w:fill="F2F2F2"/>
            <w:vAlign w:val="center"/>
          </w:tcPr>
          <w:p w:rsidR="00734A76" w:rsidRPr="00EA6851" w:rsidRDefault="00734A76" w:rsidP="00734A76">
            <w:pPr>
              <w:widowControl w:val="0"/>
              <w:autoSpaceDE w:val="0"/>
              <w:autoSpaceDN w:val="0"/>
              <w:adjustRightInd w:val="0"/>
              <w:spacing w:after="0"/>
              <w:jc w:val="center"/>
              <w:rPr>
                <w:sz w:val="18"/>
                <w:szCs w:val="18"/>
              </w:rPr>
            </w:pPr>
            <w:r w:rsidRPr="00EA6851">
              <w:rPr>
                <w:sz w:val="18"/>
                <w:szCs w:val="18"/>
              </w:rPr>
              <w:t>0- 100</w:t>
            </w:r>
          </w:p>
        </w:tc>
        <w:tc>
          <w:tcPr>
            <w:tcW w:w="542" w:type="pct"/>
            <w:tcBorders>
              <w:top w:val="single" w:sz="4" w:space="0" w:color="auto"/>
            </w:tcBorders>
            <w:shd w:val="clear" w:color="auto" w:fill="auto"/>
            <w:vAlign w:val="center"/>
          </w:tcPr>
          <w:p w:rsidR="00734A76" w:rsidRPr="00EA6851" w:rsidRDefault="00734A76" w:rsidP="00734A76">
            <w:pPr>
              <w:widowControl w:val="0"/>
              <w:autoSpaceDE w:val="0"/>
              <w:autoSpaceDN w:val="0"/>
              <w:adjustRightInd w:val="0"/>
              <w:spacing w:after="0"/>
              <w:jc w:val="center"/>
              <w:rPr>
                <w:sz w:val="18"/>
                <w:szCs w:val="18"/>
              </w:rPr>
            </w:pPr>
            <w:r w:rsidRPr="00EA6851">
              <w:rPr>
                <w:sz w:val="18"/>
                <w:szCs w:val="18"/>
              </w:rPr>
              <w:t>51</w:t>
            </w:r>
          </w:p>
        </w:tc>
        <w:tc>
          <w:tcPr>
            <w:tcW w:w="531" w:type="pct"/>
            <w:tcBorders>
              <w:top w:val="single" w:sz="4" w:space="0" w:color="auto"/>
            </w:tcBorders>
            <w:shd w:val="clear" w:color="auto" w:fill="auto"/>
            <w:vAlign w:val="center"/>
          </w:tcPr>
          <w:p w:rsidR="00734A76" w:rsidRPr="00EA6851" w:rsidRDefault="00734A76" w:rsidP="00734A76">
            <w:pPr>
              <w:widowControl w:val="0"/>
              <w:autoSpaceDE w:val="0"/>
              <w:autoSpaceDN w:val="0"/>
              <w:adjustRightInd w:val="0"/>
              <w:spacing w:after="0"/>
              <w:jc w:val="center"/>
              <w:rPr>
                <w:sz w:val="18"/>
                <w:szCs w:val="18"/>
              </w:rPr>
            </w:pPr>
            <w:r w:rsidRPr="00EA6851">
              <w:rPr>
                <w:sz w:val="18"/>
                <w:szCs w:val="18"/>
              </w:rPr>
              <w:t>54</w:t>
            </w:r>
          </w:p>
        </w:tc>
        <w:tc>
          <w:tcPr>
            <w:tcW w:w="531" w:type="pct"/>
            <w:tcBorders>
              <w:top w:val="single" w:sz="4" w:space="0" w:color="auto"/>
            </w:tcBorders>
            <w:shd w:val="clear" w:color="auto" w:fill="auto"/>
            <w:vAlign w:val="center"/>
          </w:tcPr>
          <w:p w:rsidR="00734A76" w:rsidRPr="00EA6851" w:rsidRDefault="00734A76" w:rsidP="00734A76">
            <w:pPr>
              <w:widowControl w:val="0"/>
              <w:autoSpaceDE w:val="0"/>
              <w:autoSpaceDN w:val="0"/>
              <w:adjustRightInd w:val="0"/>
              <w:spacing w:after="0"/>
              <w:jc w:val="center"/>
              <w:rPr>
                <w:sz w:val="18"/>
                <w:szCs w:val="18"/>
              </w:rPr>
            </w:pPr>
            <w:r w:rsidRPr="00EA6851">
              <w:rPr>
                <w:sz w:val="18"/>
                <w:szCs w:val="18"/>
              </w:rPr>
              <w:t>55</w:t>
            </w:r>
          </w:p>
        </w:tc>
        <w:tc>
          <w:tcPr>
            <w:tcW w:w="531" w:type="pct"/>
            <w:tcBorders>
              <w:top w:val="single" w:sz="4" w:space="0" w:color="auto"/>
            </w:tcBorders>
            <w:shd w:val="clear" w:color="auto" w:fill="auto"/>
            <w:vAlign w:val="center"/>
          </w:tcPr>
          <w:p w:rsidR="00734A76" w:rsidRPr="00EA6851" w:rsidRDefault="00734A76" w:rsidP="00734A76">
            <w:pPr>
              <w:widowControl w:val="0"/>
              <w:autoSpaceDE w:val="0"/>
              <w:autoSpaceDN w:val="0"/>
              <w:adjustRightInd w:val="0"/>
              <w:spacing w:after="0"/>
              <w:jc w:val="center"/>
              <w:rPr>
                <w:sz w:val="18"/>
                <w:szCs w:val="18"/>
              </w:rPr>
            </w:pPr>
            <w:r w:rsidRPr="00EA6851">
              <w:rPr>
                <w:sz w:val="18"/>
                <w:szCs w:val="18"/>
              </w:rPr>
              <w:t>56</w:t>
            </w:r>
          </w:p>
        </w:tc>
      </w:tr>
    </w:tbl>
    <w:p w:rsidR="00734A76" w:rsidRPr="00EA6851" w:rsidRDefault="00734A76" w:rsidP="00FA2E91">
      <w:pPr>
        <w:autoSpaceDE w:val="0"/>
        <w:autoSpaceDN w:val="0"/>
        <w:adjustRightInd w:val="0"/>
        <w:spacing w:before="120" w:after="0"/>
        <w:rPr>
          <w:sz w:val="20"/>
          <w:szCs w:val="20"/>
        </w:rPr>
      </w:pPr>
      <w:r w:rsidRPr="00EA6851">
        <w:rPr>
          <w:rFonts w:cs="Arial"/>
          <w:i/>
          <w:sz w:val="20"/>
          <w:szCs w:val="20"/>
        </w:rPr>
        <w:t>*</w:t>
      </w:r>
      <w:r w:rsidRPr="00EA6851">
        <w:rPr>
          <w:rFonts w:eastAsia="Times New Roman" w:cs="Times New Roman"/>
          <w:bCs/>
          <w:i/>
          <w:kern w:val="36"/>
          <w:sz w:val="20"/>
          <w:szCs w:val="20"/>
        </w:rPr>
        <w:t xml:space="preserve"> От септември 2023 г. Европейската комисия изготвя ежегоден </w:t>
      </w:r>
      <w:r w:rsidRPr="00EA6851">
        <w:rPr>
          <w:rFonts w:eastAsia="Cambria" w:cs="Times New Roman"/>
          <w:bCs/>
          <w:i/>
          <w:kern w:val="20"/>
          <w:sz w:val="20"/>
          <w:szCs w:val="20"/>
          <w:lang w:eastAsia="ja-JP"/>
        </w:rPr>
        <w:t xml:space="preserve">Доклад за състоянието на цифровото десетилетие, който интегрира индекса DESI и неговите показатели за изпълнение, което на следващ етап ще наложи промяна в индикаторите и начина им на измерване и отчитане.  </w:t>
      </w:r>
    </w:p>
    <w:p w:rsidR="00734A76" w:rsidRPr="00EA6851" w:rsidRDefault="00734A76" w:rsidP="00FA2E91">
      <w:pPr>
        <w:autoSpaceDE w:val="0"/>
        <w:autoSpaceDN w:val="0"/>
        <w:adjustRightInd w:val="0"/>
        <w:spacing w:before="120" w:after="0"/>
      </w:pPr>
    </w:p>
    <w:p w:rsidR="00734A76" w:rsidRPr="00EA6851" w:rsidRDefault="00734A76" w:rsidP="00B36DE8">
      <w:pPr>
        <w:rPr>
          <w:szCs w:val="24"/>
        </w:rPr>
      </w:pPr>
      <w:r w:rsidRPr="00EA6851">
        <w:rPr>
          <w:szCs w:val="24"/>
        </w:rPr>
        <w:t>Цифровото десетилетие определя две основни цели в областта на широколентовата свързаност за 2030 г.: гигабитово покритие за всички домакинства и 5G във всички населени райони. Те ще се отчитат като част от индекса DESI, който измерва степента на навлизане на цифровизацията в икономиката и обществото на ниво ЕС.</w:t>
      </w:r>
    </w:p>
    <w:p w:rsidR="00734A76" w:rsidRPr="00EA6851" w:rsidRDefault="00734A76" w:rsidP="00B36DE8">
      <w:pPr>
        <w:rPr>
          <w:szCs w:val="24"/>
        </w:rPr>
      </w:pPr>
      <w:r w:rsidRPr="00EA6851">
        <w:rPr>
          <w:szCs w:val="24"/>
        </w:rPr>
        <w:t>Информацията се набира от Европейската комисия от ежегодни проучвания и Евростат. Стойностите средно за ЕС и по държави членки се публикуват веднъж годишно в док</w:t>
      </w:r>
      <w:r w:rsidR="00B36DE8" w:rsidRPr="00EA6851">
        <w:rPr>
          <w:szCs w:val="24"/>
        </w:rPr>
        <w:t>лад, който проследява напредъка</w:t>
      </w:r>
      <w:r w:rsidRPr="00EA6851">
        <w:rPr>
          <w:szCs w:val="24"/>
        </w:rPr>
        <w:t xml:space="preserve"> на държавите членки.</w:t>
      </w:r>
    </w:p>
    <w:p w:rsidR="00734A76" w:rsidRPr="00EA6851" w:rsidRDefault="00734A76" w:rsidP="00B36DE8">
      <w:pPr>
        <w:rPr>
          <w:szCs w:val="24"/>
        </w:rPr>
      </w:pPr>
      <w:r w:rsidRPr="00EA6851">
        <w:rPr>
          <w:b/>
          <w:szCs w:val="24"/>
        </w:rPr>
        <w:t>Комисията за регулиране на съобщенията</w:t>
      </w:r>
      <w:r w:rsidRPr="00EA6851">
        <w:rPr>
          <w:szCs w:val="24"/>
        </w:rPr>
        <w:t xml:space="preserve"> (КРС/Комисията) е специализиран независим държавен орган, изпълняващ политиките в областта на електронните съобщения и пощенските услуги, както и политиката по планиране и разпределение на радиочестотния спектър в Република България.</w:t>
      </w:r>
    </w:p>
    <w:p w:rsidR="00734A76" w:rsidRPr="00EA6851" w:rsidRDefault="00734A76" w:rsidP="00B36DE8">
      <w:pPr>
        <w:rPr>
          <w:szCs w:val="24"/>
        </w:rPr>
      </w:pPr>
      <w:r w:rsidRPr="00EA6851">
        <w:rPr>
          <w:szCs w:val="24"/>
        </w:rPr>
        <w:t>Дейността на Комисията за регулиране на съобщенията е насочена към осигуряване предоставянето на съвременни и качествени електронни съобщителни услуги на гражданите и бизнеса чрез създаване на условия за развитие на пазара на електронните съобщителни мрежи и услуги, част от вътрешния пазар на Европейския съюз, създаване на съгласувани условия за инвестиции в следващо поколение електронни съобщителни мрежи, ефективна и устойчива конкуренция при предоставянето на електронни съобщителни мрежи и услуги, включително по отношение на инфраструктурата, сигурност на мрежите и услугите и равностоен достъп до услугите.</w:t>
      </w:r>
    </w:p>
    <w:p w:rsidR="00734A76" w:rsidRPr="00EA6851" w:rsidRDefault="00734A76" w:rsidP="00B36DE8">
      <w:pPr>
        <w:rPr>
          <w:szCs w:val="24"/>
        </w:rPr>
      </w:pPr>
      <w:r w:rsidRPr="00EA6851">
        <w:rPr>
          <w:szCs w:val="24"/>
        </w:rPr>
        <w:t>КРС ще работи за създаване на организационна, комуникационна и информационна среда за ефективно и прозрачно функциониране на администрацията на КРС, която да е в съответствие с Актуализирана</w:t>
      </w:r>
      <w:r w:rsidR="00486447">
        <w:rPr>
          <w:szCs w:val="24"/>
        </w:rPr>
        <w:t>та</w:t>
      </w:r>
      <w:r w:rsidRPr="00EA6851">
        <w:rPr>
          <w:szCs w:val="24"/>
        </w:rPr>
        <w:t xml:space="preserve"> стратегия за развитие на електронното управление в Република България 2019-2025 г., като осигури внедряване на информационни системи, ориентирани към бизнеса и гражданите, както и развитие и поддръжка на вътрешните електронни услуги. КРС ще прилага и модерни механизми и методики за управление на човешките ресурси с оглед повишаване на тяхната квалификация, осигуряване на приемственост, взаимозаменяемост и кариерно развитие. </w:t>
      </w:r>
    </w:p>
    <w:p w:rsidR="00734A76" w:rsidRPr="00EA6851" w:rsidRDefault="00734A76" w:rsidP="00B36DE8">
      <w:pPr>
        <w:rPr>
          <w:szCs w:val="24"/>
        </w:rPr>
      </w:pPr>
      <w:r w:rsidRPr="00EA6851">
        <w:rPr>
          <w:szCs w:val="24"/>
        </w:rPr>
        <w:t>КРС е орган, който упражнява правомощия и изпълнява функции и задачи, уредени в Закона за електронните съобщения (ЗЕС), Закона за пощенските услуги (ЗПУ), Закона за електронните съобщителни мрежи и физическа инфраструктура (ЗЕСМФИ) и Закона за електронния документ и електронните удостоверителни услуги (ЗЕДЕУУ), както и в техните подзаконови актове. Като национален регулаторен орган, определен в ЗЕС, Комисията извършва наблюдение и надзор на изпълнението на Регламент (ЕС) 2022/612 от 6 април 2022 г. относно роуминга в обществени съобщителни мрежи в рамките на Съюза и на Регламент (ЕС) № 2015/2120 от 25 ноември 2015 г. за определяне на мерки относно достъпа до отворен интернет.</w:t>
      </w:r>
    </w:p>
    <w:p w:rsidR="00734A76" w:rsidRPr="00EA6851" w:rsidRDefault="00734A76" w:rsidP="003E00FF">
      <w:pPr>
        <w:rPr>
          <w:szCs w:val="24"/>
        </w:rPr>
      </w:pPr>
      <w:r w:rsidRPr="00EA6851">
        <w:rPr>
          <w:szCs w:val="24"/>
        </w:rPr>
        <w:t>Дейността на Комисията за регулиране на съобщенията попада в обхвата на функционална област „Електронн</w:t>
      </w:r>
      <w:r w:rsidR="00C97002" w:rsidRPr="00EA6851">
        <w:rPr>
          <w:szCs w:val="24"/>
        </w:rPr>
        <w:t>и съобщения и пощенски услуги“.</w:t>
      </w:r>
    </w:p>
    <w:p w:rsidR="00434D0A" w:rsidRPr="00EA6851" w:rsidRDefault="00E71237" w:rsidP="00E71237">
      <w:pPr>
        <w:pStyle w:val="Heading3"/>
        <w:ind w:left="0"/>
      </w:pPr>
      <w:r w:rsidRPr="00EA6851">
        <w:t>Политика в областта на електронното управление</w:t>
      </w:r>
    </w:p>
    <w:p w:rsidR="00C97002" w:rsidRPr="00EA6851" w:rsidRDefault="00C97002" w:rsidP="0097230C">
      <w:pPr>
        <w:rPr>
          <w:sz w:val="22"/>
        </w:rPr>
      </w:pPr>
      <w:r w:rsidRPr="0030405E">
        <w:rPr>
          <w:b/>
        </w:rPr>
        <w:t xml:space="preserve">Министерството на електронното управление </w:t>
      </w:r>
      <w:r w:rsidRPr="00EA6851">
        <w:t xml:space="preserve">(МЕУ или Министерството) реализира политика, която допринася икономическата и социалната среда да е все по-конкурентоспособна и бързо развиваща се. Министърът на електронното управление провежда държавната политика в областта на електронното управление и в областта на информационното общество и информационните технологии във взаимодействие с другите органи на изпълнителната власт. </w:t>
      </w:r>
    </w:p>
    <w:p w:rsidR="00C97002" w:rsidRPr="00EA6851" w:rsidRDefault="00C97002" w:rsidP="0097230C">
      <w:pPr>
        <w:rPr>
          <w:sz w:val="22"/>
        </w:rPr>
      </w:pPr>
      <w:r w:rsidRPr="00EA6851">
        <w:t>Провежданата държавна политика включва и електронните удостоверителни услуги, електронната идентификация, мрежовата и информационна сигурност, инфраструктурата за пространствена информация и информацията от обществения сектор в машинно-четим отворен формат.</w:t>
      </w:r>
    </w:p>
    <w:p w:rsidR="00C97002" w:rsidRPr="00EA6851" w:rsidRDefault="00C97002" w:rsidP="0097230C">
      <w:pPr>
        <w:rPr>
          <w:szCs w:val="24"/>
        </w:rPr>
      </w:pPr>
      <w:r w:rsidRPr="00EA6851">
        <w:rPr>
          <w:szCs w:val="24"/>
        </w:rPr>
        <w:t>Ключов приоритет на правителството на Република България е подобряване и развитие на електронното управление като основен инструмент за реализиране на важни политики, които правят икономическата и социалната среда все по-конкурентноспособна и бързо развиваща се. Политиката в областта на електронното управление цели да допринесе за постигането на значителен интелигентен, устойчив и приобщаващ цифров растеж, който да гарантира максималното използване на иновационния икономически и социален потенциал на информационните технологии (ИТ) като подготви българските граждани да придобият умения за живот и работа в цифрова среда. Създаването на цифрови институции е основополагащо за постигането на действителен единен цифров пазар. Цифровата трансформация на администрацията и публичните институции води до повишаване на качеството на административните услуги, преминаване към рационални електронни процеси на функциониране и управление в публичния сектор и за достъп по електронен път и повторно използване на информацията. Основната платформа за цифровата трансформация е електронното управление.</w:t>
      </w:r>
    </w:p>
    <w:p w:rsidR="00C97002" w:rsidRPr="00EA6851" w:rsidRDefault="00C97002" w:rsidP="0097230C">
      <w:pPr>
        <w:rPr>
          <w:szCs w:val="24"/>
        </w:rPr>
      </w:pPr>
      <w:r w:rsidRPr="00EA6851">
        <w:rPr>
          <w:szCs w:val="24"/>
        </w:rPr>
        <w:t>Изпълнението на политиката в областта на електронното управление ще допринесе пряко за постигането на поетите ангажименти в Националната програма за развитие „България 2030” (НПР България 2030) и Програмата за управление на Република България юни 2023 г.</w:t>
      </w:r>
      <w:r w:rsidR="0069165F" w:rsidRPr="00EA6851">
        <w:rPr>
          <w:szCs w:val="24"/>
        </w:rPr>
        <w:t xml:space="preserve"> </w:t>
      </w:r>
      <w:r w:rsidRPr="00EA6851">
        <w:rPr>
          <w:szCs w:val="24"/>
        </w:rPr>
        <w:t>-</w:t>
      </w:r>
      <w:r w:rsidR="0069165F" w:rsidRPr="00EA6851">
        <w:rPr>
          <w:szCs w:val="24"/>
        </w:rPr>
        <w:t xml:space="preserve"> </w:t>
      </w:r>
      <w:r w:rsidRPr="00EA6851">
        <w:rPr>
          <w:szCs w:val="24"/>
        </w:rPr>
        <w:t>декември 2024 г. В приоритет 10 от НПР България 2030 са очертани предизвикателствата пред цифровизацията на публичната администрация и персонализираните електронни административни услуги като особено значими за развитието на икономиката и за държавно управление, фокусирано върху нуждите на гражданите и бизнеса. Поставените цели в НПР България 2030 по подприоритет 10.3 „Електронно управление” са свързани с изпълнението на мерки за цифровизацията и управление на данни, създаване на модели от данни с оглед осигуряване на условия за предоставяне на електронни административни услуги, реализация на ключови услуги от типа „епизоди от живота/бизнеса“ и проактивни услуги и др. В Програмата за управление на Република България юни 2023 г.</w:t>
      </w:r>
      <w:r w:rsidR="0069165F" w:rsidRPr="00EA6851">
        <w:rPr>
          <w:szCs w:val="24"/>
        </w:rPr>
        <w:t xml:space="preserve"> </w:t>
      </w:r>
      <w:r w:rsidRPr="00EA6851">
        <w:rPr>
          <w:szCs w:val="24"/>
        </w:rPr>
        <w:t>-</w:t>
      </w:r>
      <w:r w:rsidR="0069165F" w:rsidRPr="00EA6851">
        <w:rPr>
          <w:szCs w:val="24"/>
        </w:rPr>
        <w:t xml:space="preserve"> </w:t>
      </w:r>
      <w:r w:rsidRPr="00EA6851">
        <w:rPr>
          <w:szCs w:val="24"/>
        </w:rPr>
        <w:t xml:space="preserve">декември 2024 г., направление „Електронно и ефективно управление“ са заложени реалистични цели и мерки, които да доведат до реални и измерими резултати. </w:t>
      </w:r>
    </w:p>
    <w:p w:rsidR="00C97002" w:rsidRPr="00EA6851" w:rsidRDefault="00C97002" w:rsidP="0097230C">
      <w:pPr>
        <w:rPr>
          <w:szCs w:val="24"/>
        </w:rPr>
      </w:pPr>
      <w:r w:rsidRPr="00EA6851">
        <w:rPr>
          <w:color w:val="000000"/>
          <w:szCs w:val="24"/>
        </w:rPr>
        <w:t>Прилагането на европейската рамка за цифрова трансформация до 2030 г. ще доведе до необходимост от разработване на нов координационен механизъм в тази сфера, цялостна преработка на националния стратегически документ „Цифрова трансформаци</w:t>
      </w:r>
      <w:r w:rsidR="008935CB" w:rsidRPr="00EA6851">
        <w:rPr>
          <w:color w:val="000000"/>
          <w:szCs w:val="24"/>
        </w:rPr>
        <w:t>я на България за периода 2020-</w:t>
      </w:r>
      <w:r w:rsidRPr="00EA6851">
        <w:rPr>
          <w:color w:val="000000"/>
          <w:szCs w:val="24"/>
        </w:rPr>
        <w:t>2030 г.“, включително и изготвяне на Пътна карта за неговото изпълнение и актуализиране на редица национални документи (напр. Националната програма за развитие България 2030, Национална</w:t>
      </w:r>
      <w:r w:rsidR="0069165F" w:rsidRPr="00EA6851">
        <w:rPr>
          <w:color w:val="000000"/>
          <w:szCs w:val="24"/>
        </w:rPr>
        <w:t>та</w:t>
      </w:r>
      <w:r w:rsidRPr="00EA6851">
        <w:rPr>
          <w:color w:val="000000"/>
          <w:szCs w:val="24"/>
        </w:rPr>
        <w:t xml:space="preserve"> програма „Цифрова България 2025” и др.). Във функциите на МЕУ е включена и координацията на дейности по </w:t>
      </w:r>
      <w:r w:rsidR="0069165F" w:rsidRPr="00EA6851">
        <w:rPr>
          <w:color w:val="000000"/>
          <w:szCs w:val="24"/>
        </w:rPr>
        <w:t xml:space="preserve">противодействие на </w:t>
      </w:r>
      <w:r w:rsidRPr="00EA6851">
        <w:rPr>
          <w:color w:val="000000"/>
          <w:szCs w:val="24"/>
        </w:rPr>
        <w:t>дезинформация</w:t>
      </w:r>
      <w:r w:rsidR="0069165F" w:rsidRPr="00EA6851">
        <w:rPr>
          <w:color w:val="000000"/>
          <w:szCs w:val="24"/>
        </w:rPr>
        <w:t>та</w:t>
      </w:r>
      <w:r w:rsidRPr="00EA6851">
        <w:rPr>
          <w:color w:val="000000"/>
          <w:szCs w:val="24"/>
        </w:rPr>
        <w:t>, недостатъчна</w:t>
      </w:r>
      <w:r w:rsidR="0069165F" w:rsidRPr="00EA6851">
        <w:rPr>
          <w:color w:val="000000"/>
          <w:szCs w:val="24"/>
        </w:rPr>
        <w:t>та</w:t>
      </w:r>
      <w:r w:rsidRPr="00EA6851">
        <w:rPr>
          <w:color w:val="000000"/>
          <w:szCs w:val="24"/>
        </w:rPr>
        <w:t xml:space="preserve"> и погрешна информация; </w:t>
      </w:r>
      <w:r w:rsidR="0069165F" w:rsidRPr="00EA6851">
        <w:rPr>
          <w:color w:val="000000"/>
          <w:szCs w:val="24"/>
        </w:rPr>
        <w:t xml:space="preserve">осигуряване на </w:t>
      </w:r>
      <w:r w:rsidRPr="00EA6851">
        <w:rPr>
          <w:color w:val="000000"/>
          <w:szCs w:val="24"/>
        </w:rPr>
        <w:t xml:space="preserve">безопасност на децата онлайн; равнопоставеност на половете и др. </w:t>
      </w:r>
    </w:p>
    <w:p w:rsidR="00C97002" w:rsidRPr="00EA6851" w:rsidRDefault="00C97002" w:rsidP="0097230C">
      <w:pPr>
        <w:rPr>
          <w:szCs w:val="24"/>
        </w:rPr>
      </w:pPr>
      <w:r w:rsidRPr="00EA6851">
        <w:rPr>
          <w:szCs w:val="24"/>
        </w:rPr>
        <w:t>В приоритетна област 4 „Осигуряване на ефективни и висококачествени публични електронни услуги за бизнеса, гражданите и държавното управление“ на Национална програма „Цифрова България 2025” е заложено трансформирането на публичната администрация в цифрова, с акцент върху иновативните технологии, като изкуствен интелект и технологии с блокчейн за подобряване на предоставянето на публични услуги, за обработка на огромни масиви от данни и др. с оглед сигурно и надеждно предоставяне на електронни административни услуги.</w:t>
      </w:r>
    </w:p>
    <w:p w:rsidR="00C97002" w:rsidRPr="00EA6851" w:rsidRDefault="00C97002" w:rsidP="0097230C">
      <w:pPr>
        <w:rPr>
          <w:b/>
          <w:i/>
          <w:szCs w:val="24"/>
        </w:rPr>
      </w:pPr>
      <w:r w:rsidRPr="00EA6851">
        <w:rPr>
          <w:szCs w:val="24"/>
        </w:rPr>
        <w:t>Актуализираната Стратегия за развитие на електронното управле</w:t>
      </w:r>
      <w:r w:rsidR="008935CB" w:rsidRPr="00EA6851">
        <w:rPr>
          <w:szCs w:val="24"/>
        </w:rPr>
        <w:t>ние в Република България 2019-</w:t>
      </w:r>
      <w:r w:rsidRPr="00EA6851">
        <w:rPr>
          <w:szCs w:val="24"/>
        </w:rPr>
        <w:t>2025 г. предвижда до 2025 г. постигането на необратима цифрова трансформация на публичния сектор в Република България, като част от целите за това са насочени към електронно административно обслужване, ориентирано към потребителя, оптимизация на работните процеси в администрацията и промяна на модела на данни за предоставяне на електронни услуги по подразбиране (Digital by default), осигуряване на оперативна съвместимост на информационните ресурси по подразбиране и на цифрови решения, информационни системи и споделени ресурси на електронното управление.</w:t>
      </w:r>
    </w:p>
    <w:p w:rsidR="00C97002" w:rsidRPr="00EA6851" w:rsidRDefault="00C97002" w:rsidP="0097230C">
      <w:pPr>
        <w:rPr>
          <w:szCs w:val="24"/>
        </w:rPr>
      </w:pPr>
      <w:r w:rsidRPr="00EA6851">
        <w:rPr>
          <w:szCs w:val="24"/>
        </w:rPr>
        <w:t>Въпреки осезаемия положителен ефект и напредъка от всички реализирани във времето инициативи в областта на електронното управление, цифровизацията във всички сфери на живота, особено в публичния сектор, както в европейски, така и в световен мащаб, продължава своите тенденциите на активно развитие. В глобален план е вече разпространена парадигмата за дигиталното общество, в което функционират управлението и икономиката, базирани на данните.</w:t>
      </w:r>
    </w:p>
    <w:p w:rsidR="00C97002" w:rsidRPr="00EA6851" w:rsidRDefault="00C97002" w:rsidP="0097230C">
      <w:pPr>
        <w:rPr>
          <w:szCs w:val="24"/>
        </w:rPr>
      </w:pPr>
      <w:r w:rsidRPr="00EA6851">
        <w:rPr>
          <w:szCs w:val="24"/>
        </w:rPr>
        <w:t>В съответствие с тенденциите за развитие през новото десетилетие, като съществен приоритет в цифровата трансформация на публичния сектор, са изведени данните, които се определят като ключов капитал за обществото. Цифровите данни имат потенциала да се превърнат в двигател на икономическото развитие, иновациите и преодоляването на редица обществени предизвикателства. Наличието на все повече цифрови данни и подобряването на начина, по който те се управляват и използват, е от съществено значение за справяне с предизвикателствата в демографската, социално-икономическ</w:t>
      </w:r>
      <w:r w:rsidR="00574F0F" w:rsidRPr="00EA6851">
        <w:rPr>
          <w:szCs w:val="24"/>
        </w:rPr>
        <w:t>ата</w:t>
      </w:r>
      <w:r w:rsidRPr="00EA6851">
        <w:rPr>
          <w:szCs w:val="24"/>
        </w:rPr>
        <w:t xml:space="preserve"> и административната сфер</w:t>
      </w:r>
      <w:r w:rsidR="00574F0F" w:rsidRPr="00EA6851">
        <w:rPr>
          <w:szCs w:val="24"/>
        </w:rPr>
        <w:t>а</w:t>
      </w:r>
      <w:r w:rsidRPr="00EA6851">
        <w:rPr>
          <w:szCs w:val="24"/>
        </w:rPr>
        <w:t>, климата и околната среда, допринасяйки за по-здраво, проспериращо и по-устойчиво общество. Визията и инициативите на европейско ниво определят нов цялостен подход към „икономика на данни“, който има за цел да увеличи търсенето и използването на цифрови данни и базираните на тях услуги, продукти и процеси в рамките на Единния европейски пазар. Съгласно Европейската стратегия за данните се предвижда създаването на Единно европейско пространство на данните и прилагането на нови модели за събиране, обработка, използване и повторн</w:t>
      </w:r>
      <w:r w:rsidR="008935CB" w:rsidRPr="00EA6851">
        <w:rPr>
          <w:szCs w:val="24"/>
        </w:rPr>
        <w:t>о</w:t>
      </w:r>
      <w:r w:rsidRPr="00EA6851">
        <w:rPr>
          <w:szCs w:val="24"/>
        </w:rPr>
        <w:t xml:space="preserve"> използване, съхранение и сигурност на данните.</w:t>
      </w:r>
    </w:p>
    <w:p w:rsidR="00C97002" w:rsidRPr="00EA6851" w:rsidRDefault="00C97002" w:rsidP="0097230C">
      <w:pPr>
        <w:rPr>
          <w:szCs w:val="24"/>
        </w:rPr>
      </w:pPr>
      <w:r w:rsidRPr="00EA6851">
        <w:rPr>
          <w:szCs w:val="24"/>
        </w:rPr>
        <w:t>Напредъкът в развитието на електронното управление се свързва с прилагането на принципите и изискванията на Закона за електронното управление, както и привеждането в съответствие с него на законодателната рамка в отделните области на политики, в които нормативни актове въвеждат изключения от реда, предвиден в Закона за електронното управление.</w:t>
      </w:r>
    </w:p>
    <w:p w:rsidR="00C97002" w:rsidRPr="00EA6851" w:rsidRDefault="00C97002" w:rsidP="0097230C">
      <w:pPr>
        <w:rPr>
          <w:szCs w:val="24"/>
        </w:rPr>
      </w:pPr>
      <w:r w:rsidRPr="00EA6851">
        <w:rPr>
          <w:szCs w:val="24"/>
        </w:rPr>
        <w:t xml:space="preserve">Наред с нормативния аспект, важна роля за развитие на електронното управление има и изграждането и надграждане на информационни ресурси, включително споделени, хоризонтални и централизирани информационни системи и инфраструктурата, чрез които се осъществява служебният и автоматизиран обмен на данни и информация, и чрез които се предоставят електронни административни услуги или ИТ услуги. Така налагането на единна архитектура на електронното управление и транслирането на нейните изисквания към секторните архитектури по различните области на политики е в основата на ефективното, ефикасно и икономично разходване на публичните средства за електронно управление и информационни и комуникационни технологии в администрацията. Без висококачествена и устойчива цифрова инфраструктура не само ефективното използване на цифрови услуги е ограничено или затруднено значително, но и използването и развитието на технологиите и различните иновативни решения. </w:t>
      </w:r>
    </w:p>
    <w:p w:rsidR="00C97002" w:rsidRPr="00EA6851" w:rsidRDefault="00C97002" w:rsidP="0097230C">
      <w:pPr>
        <w:rPr>
          <w:szCs w:val="24"/>
        </w:rPr>
      </w:pPr>
      <w:r w:rsidRPr="00EA6851">
        <w:rPr>
          <w:szCs w:val="24"/>
        </w:rPr>
        <w:t xml:space="preserve">Основополагащ елемент от цялостната архитектура е наличието на технологична възможност за електронна идентификация, чрез която се гарантира високо ниво на сигурност при предоставянето на електронни административни услуги за гражданите и бизнеса. Тя представлява отключващ фактор за повишаване на използваемостта на електронните административни услуги и повишаване на доверието при взаимодействие по електронен път между гражданите, бизнеса и публичните органи. </w:t>
      </w:r>
    </w:p>
    <w:p w:rsidR="00C97002" w:rsidRPr="00EA6851" w:rsidRDefault="00C97002" w:rsidP="0097230C">
      <w:pPr>
        <w:rPr>
          <w:szCs w:val="24"/>
        </w:rPr>
      </w:pPr>
      <w:r w:rsidRPr="00EA6851">
        <w:rPr>
          <w:szCs w:val="24"/>
        </w:rPr>
        <w:t>Ще продължат усилията за изграждане на електронно управление, чрез доизграждане на необходимата инфраструктура, свързване на ключови регистри и осигуряване на оперативна съвместимост за преминаване към автоматизиран обмен на данни и електронни документи.</w:t>
      </w:r>
    </w:p>
    <w:p w:rsidR="00C97002" w:rsidRPr="00EA6851" w:rsidRDefault="00C97002" w:rsidP="0097230C">
      <w:pPr>
        <w:rPr>
          <w:szCs w:val="24"/>
        </w:rPr>
      </w:pPr>
      <w:r w:rsidRPr="00EA6851">
        <w:rPr>
          <w:szCs w:val="24"/>
        </w:rPr>
        <w:t>Политиката в сферата на електронното управление цели минимизиране на инстанциите, пътя и времето, които са нужни на гражданите и бизнеса за ползването на административни услуги, намалявайки административната тежест и подобрявайки условията за живот и правене на бизнес. Ще се направят инвестиции за цифровизацията на административни услуги както на централно, така и на местно ниво.</w:t>
      </w:r>
    </w:p>
    <w:p w:rsidR="00C97002" w:rsidRPr="00EA6851" w:rsidRDefault="00C97002" w:rsidP="0097230C">
      <w:pPr>
        <w:rPr>
          <w:szCs w:val="24"/>
        </w:rPr>
      </w:pPr>
      <w:r w:rsidRPr="00EA6851">
        <w:rPr>
          <w:szCs w:val="24"/>
        </w:rPr>
        <w:t xml:space="preserve">Ключов аспект в тази политика ще e предоставянето на удобен потребителски интерфейс и консолидирането на точките за ползване на цифрови административни услуги чрез ясно обособени интернет портали. За целта ще са нужни и инвестиции в цифровизацията на всички бази данни, имащи отношение към предоставянето на административните услуги, включително държавни и местни архиви, както и разширяване на използването от административните органи на хоризонталните системи на електронното управление и на средата за междурегистров обмен. Важен елемент ще бъде и преминаването към използването на споделените ресурси на електронното управление, като Държавен хибриден частен облак и Единна електронна съобщителна мрежа. </w:t>
      </w:r>
    </w:p>
    <w:p w:rsidR="00C97002" w:rsidRPr="00EA6851" w:rsidRDefault="008935CB" w:rsidP="0097230C">
      <w:pPr>
        <w:rPr>
          <w:szCs w:val="24"/>
        </w:rPr>
      </w:pPr>
      <w:r w:rsidRPr="00EA6851">
        <w:rPr>
          <w:szCs w:val="24"/>
        </w:rPr>
        <w:t>А</w:t>
      </w:r>
      <w:r w:rsidR="00C97002" w:rsidRPr="00EA6851">
        <w:rPr>
          <w:szCs w:val="24"/>
        </w:rPr>
        <w:t xml:space="preserve">ктивно </w:t>
      </w:r>
      <w:r w:rsidRPr="00EA6851">
        <w:rPr>
          <w:szCs w:val="24"/>
        </w:rPr>
        <w:t xml:space="preserve">ще се работи </w:t>
      </w:r>
      <w:r w:rsidR="00C97002" w:rsidRPr="00EA6851">
        <w:rPr>
          <w:szCs w:val="24"/>
        </w:rPr>
        <w:t xml:space="preserve">за внедряването и прилагането на нови технологии в администрацията, базирани на Интернет на нещата, изкуствен интелект, блокчейн, и др., които способстват за автоматизираното предоставяне на информация в реално време, за обработката на големи масиви от данни и за защита и проследимост на използването на данни. </w:t>
      </w:r>
      <w:r w:rsidRPr="00EA6851">
        <w:rPr>
          <w:szCs w:val="24"/>
        </w:rPr>
        <w:t>П</w:t>
      </w:r>
      <w:r w:rsidR="00C97002" w:rsidRPr="00EA6851">
        <w:rPr>
          <w:szCs w:val="24"/>
        </w:rPr>
        <w:t>олитиката за отворени данни</w:t>
      </w:r>
      <w:r w:rsidRPr="00EA6851">
        <w:rPr>
          <w:szCs w:val="24"/>
        </w:rPr>
        <w:t xml:space="preserve"> </w:t>
      </w:r>
      <w:r w:rsidR="00E04690" w:rsidRPr="00EA6851">
        <w:rPr>
          <w:szCs w:val="24"/>
        </w:rPr>
        <w:t xml:space="preserve">също </w:t>
      </w:r>
      <w:r w:rsidRPr="00EA6851">
        <w:rPr>
          <w:szCs w:val="24"/>
        </w:rPr>
        <w:t>ще продължи да се развива</w:t>
      </w:r>
      <w:r w:rsidR="00C97002" w:rsidRPr="00EA6851">
        <w:rPr>
          <w:szCs w:val="24"/>
        </w:rPr>
        <w:t xml:space="preserve"> чрез отварянето на нови масиви от данни на публичните институции.</w:t>
      </w:r>
    </w:p>
    <w:p w:rsidR="00C97002" w:rsidRPr="00EA6851" w:rsidRDefault="00C97002" w:rsidP="0097230C">
      <w:pPr>
        <w:rPr>
          <w:szCs w:val="24"/>
        </w:rPr>
      </w:pPr>
      <w:r w:rsidRPr="00EA6851">
        <w:rPr>
          <w:szCs w:val="24"/>
        </w:rPr>
        <w:t>Министерството активно ще участва в изграждането на интегрирана национална екосистема за киберсигурност със способности за адаптиране към динамиката на глобалните киберзаплахи и за реакция при мащабни атаки срещу българските информационни ресурси. Тя ще бъде напълно интегрирана в системата за киберсигурност на Европейския съюз и призната за надежден партньор на водещите европейски структури. Сигурното киберпространство и доверието са двигатели на търсенето и използването на продуктите и услугите, базирани на ИКТ и са основни фактори за успешна цифрова трансформация.</w:t>
      </w:r>
    </w:p>
    <w:p w:rsidR="00C97002" w:rsidRPr="00EA6851" w:rsidRDefault="00C97002" w:rsidP="003E754F">
      <w:pPr>
        <w:rPr>
          <w:szCs w:val="24"/>
        </w:rPr>
      </w:pPr>
      <w:r w:rsidRPr="00EA6851">
        <w:rPr>
          <w:szCs w:val="24"/>
        </w:rPr>
        <w:t>Постигането на работещо електронно управление се предвижда чрез:</w:t>
      </w:r>
    </w:p>
    <w:p w:rsidR="00C97002" w:rsidRPr="00EA6851" w:rsidRDefault="00C97002" w:rsidP="00B30642">
      <w:pPr>
        <w:pStyle w:val="ListParagraph"/>
        <w:numPr>
          <w:ilvl w:val="0"/>
          <w:numId w:val="58"/>
        </w:numPr>
        <w:tabs>
          <w:tab w:val="left" w:pos="1134"/>
          <w:tab w:val="left" w:pos="1276"/>
        </w:tabs>
        <w:rPr>
          <w:szCs w:val="24"/>
        </w:rPr>
      </w:pPr>
      <w:r w:rsidRPr="00EA6851">
        <w:rPr>
          <w:szCs w:val="24"/>
        </w:rPr>
        <w:t>Координирано планиране и реализация на проекти и дейности на национално и местно ниво – от самоцелни инициативи към реализиране на ясно дефинирани приоритети;</w:t>
      </w:r>
    </w:p>
    <w:p w:rsidR="00C97002" w:rsidRPr="00EA6851" w:rsidRDefault="00C97002" w:rsidP="00B30642">
      <w:pPr>
        <w:pStyle w:val="ListParagraph"/>
        <w:numPr>
          <w:ilvl w:val="0"/>
          <w:numId w:val="58"/>
        </w:numPr>
        <w:tabs>
          <w:tab w:val="left" w:pos="1134"/>
          <w:tab w:val="left" w:pos="1276"/>
        </w:tabs>
        <w:rPr>
          <w:szCs w:val="24"/>
        </w:rPr>
      </w:pPr>
      <w:r w:rsidRPr="00EA6851">
        <w:rPr>
          <w:szCs w:val="24"/>
        </w:rPr>
        <w:t xml:space="preserve">Изграждане на „цифрова администрация” – администрация, структурирана в съответствие със съвременните управленски технологии и постиженията на информационните и комуникационните технологии с акцент развитие и оптимизиране на споделените ресурси на електронното управление; </w:t>
      </w:r>
    </w:p>
    <w:p w:rsidR="00C97002" w:rsidRPr="00EA6851" w:rsidRDefault="00C97002" w:rsidP="00B30642">
      <w:pPr>
        <w:pStyle w:val="ListParagraph"/>
        <w:numPr>
          <w:ilvl w:val="0"/>
          <w:numId w:val="58"/>
        </w:numPr>
        <w:tabs>
          <w:tab w:val="left" w:pos="1134"/>
          <w:tab w:val="left" w:pos="1276"/>
        </w:tabs>
        <w:rPr>
          <w:szCs w:val="24"/>
        </w:rPr>
      </w:pPr>
      <w:r w:rsidRPr="00EA6851">
        <w:rPr>
          <w:szCs w:val="24"/>
        </w:rPr>
        <w:t>Осигуряване на равнопоставен и широк достъп до ефективни, качествени и сигурни услуги на информационното общество за гражданите, бизнеса и държавното управление, както и равни възможности за придобиване на умения за използването им;</w:t>
      </w:r>
    </w:p>
    <w:p w:rsidR="00C97002" w:rsidRPr="00EA6851" w:rsidRDefault="00C97002" w:rsidP="00B30642">
      <w:pPr>
        <w:pStyle w:val="ListParagraph"/>
        <w:numPr>
          <w:ilvl w:val="0"/>
          <w:numId w:val="58"/>
        </w:numPr>
        <w:tabs>
          <w:tab w:val="left" w:pos="1134"/>
          <w:tab w:val="left" w:pos="1276"/>
        </w:tabs>
        <w:rPr>
          <w:szCs w:val="24"/>
        </w:rPr>
      </w:pPr>
      <w:r w:rsidRPr="00EA6851">
        <w:rPr>
          <w:szCs w:val="24"/>
        </w:rPr>
        <w:t>Постигане на оперативна съвместимост, включително семантична оперативна съвместимост, чрез която различните институции да разбират смисъла на информацията по еднакъв начин и да се постигат изцяло автоматизирани процеси;</w:t>
      </w:r>
    </w:p>
    <w:p w:rsidR="00C97002" w:rsidRPr="00EA6851" w:rsidRDefault="00C97002" w:rsidP="00B30642">
      <w:pPr>
        <w:pStyle w:val="ListParagraph"/>
        <w:numPr>
          <w:ilvl w:val="0"/>
          <w:numId w:val="58"/>
        </w:numPr>
        <w:tabs>
          <w:tab w:val="left" w:pos="1134"/>
          <w:tab w:val="left" w:pos="1276"/>
        </w:tabs>
        <w:rPr>
          <w:szCs w:val="24"/>
        </w:rPr>
      </w:pPr>
      <w:r w:rsidRPr="00EA6851">
        <w:rPr>
          <w:szCs w:val="24"/>
        </w:rPr>
        <w:t>Цифровизация на данни, изграждане на единни пространства от данни и прилагане на единни, общи модели на данни и общ стандартизиран инструментариум за работа с данните в публичния сектор, като  предпоставка за функционирането на икономика и управление, базирани на данните</w:t>
      </w:r>
      <w:r w:rsidR="00E4086A" w:rsidRPr="00EA6851">
        <w:rPr>
          <w:szCs w:val="24"/>
        </w:rPr>
        <w:t>;</w:t>
      </w:r>
    </w:p>
    <w:p w:rsidR="00C97002" w:rsidRPr="00EA6851" w:rsidRDefault="00C97002" w:rsidP="00B30642">
      <w:pPr>
        <w:pStyle w:val="ListParagraph"/>
        <w:numPr>
          <w:ilvl w:val="0"/>
          <w:numId w:val="58"/>
        </w:numPr>
        <w:tabs>
          <w:tab w:val="left" w:pos="1134"/>
          <w:tab w:val="left" w:pos="1276"/>
        </w:tabs>
        <w:rPr>
          <w:szCs w:val="24"/>
        </w:rPr>
      </w:pPr>
      <w:r w:rsidRPr="00EA6851">
        <w:rPr>
          <w:szCs w:val="24"/>
        </w:rPr>
        <w:t>Поддържане на високо общо ниво на мрежовата и информационната сигурност в държавата чрез реализиране на съвременни и адекватни организационни, технически и технологични мерки, както и мерки за информиране и превенция;</w:t>
      </w:r>
    </w:p>
    <w:p w:rsidR="00C97002" w:rsidRPr="00EA6851" w:rsidRDefault="00C97002" w:rsidP="00B30642">
      <w:pPr>
        <w:pStyle w:val="ListParagraph"/>
        <w:numPr>
          <w:ilvl w:val="0"/>
          <w:numId w:val="58"/>
        </w:numPr>
        <w:tabs>
          <w:tab w:val="left" w:pos="1134"/>
          <w:tab w:val="left" w:pos="1276"/>
        </w:tabs>
        <w:rPr>
          <w:szCs w:val="24"/>
        </w:rPr>
      </w:pPr>
      <w:r w:rsidRPr="00EA6851">
        <w:rPr>
          <w:szCs w:val="24"/>
        </w:rPr>
        <w:t xml:space="preserve">Ориентиране към резултати – изместване на фокуса от изпълнение на дейности към постигане на резултати; </w:t>
      </w:r>
    </w:p>
    <w:p w:rsidR="00C97002" w:rsidRPr="00EA6851" w:rsidRDefault="00C97002" w:rsidP="00B30642">
      <w:pPr>
        <w:pStyle w:val="ListParagraph"/>
        <w:numPr>
          <w:ilvl w:val="0"/>
          <w:numId w:val="58"/>
        </w:numPr>
        <w:tabs>
          <w:tab w:val="left" w:pos="1134"/>
          <w:tab w:val="left" w:pos="1276"/>
        </w:tabs>
        <w:rPr>
          <w:szCs w:val="24"/>
        </w:rPr>
      </w:pPr>
      <w:r w:rsidRPr="00EA6851">
        <w:rPr>
          <w:szCs w:val="24"/>
        </w:rPr>
        <w:t xml:space="preserve">Удобен достъп до административни услуги, чрез развитие на хоризонталните системи на електронното управление и повишаване на достъпността на уебсайтове и мобилни приложения в съответствие с актуалните изисквания за откритост, прозрачност и достъпност на държавните институции; </w:t>
      </w:r>
    </w:p>
    <w:p w:rsidR="00C97002" w:rsidRPr="00EA6851" w:rsidRDefault="00C97002" w:rsidP="00B30642">
      <w:pPr>
        <w:pStyle w:val="ListParagraph"/>
        <w:numPr>
          <w:ilvl w:val="0"/>
          <w:numId w:val="58"/>
        </w:numPr>
        <w:tabs>
          <w:tab w:val="left" w:pos="1134"/>
          <w:tab w:val="left" w:pos="1276"/>
        </w:tabs>
        <w:rPr>
          <w:szCs w:val="24"/>
        </w:rPr>
      </w:pPr>
      <w:r w:rsidRPr="00EA6851">
        <w:rPr>
          <w:szCs w:val="24"/>
        </w:rPr>
        <w:t>Осигуряване на надеждни и сигурни комуникации за нуждите на държавното управление и националната сигурност в мирно време и в кризисни ситуации;</w:t>
      </w:r>
    </w:p>
    <w:p w:rsidR="00C97002" w:rsidRPr="00EA6851" w:rsidRDefault="00C97002" w:rsidP="00B30642">
      <w:pPr>
        <w:pStyle w:val="ListParagraph"/>
        <w:numPr>
          <w:ilvl w:val="0"/>
          <w:numId w:val="58"/>
        </w:numPr>
        <w:tabs>
          <w:tab w:val="left" w:pos="1134"/>
          <w:tab w:val="left" w:pos="1276"/>
        </w:tabs>
        <w:rPr>
          <w:szCs w:val="24"/>
        </w:rPr>
      </w:pPr>
      <w:r w:rsidRPr="00EA6851">
        <w:rPr>
          <w:szCs w:val="24"/>
        </w:rPr>
        <w:t>Разширяване на националното покритие на широколентовата инфраструктура и подобряване на публичните е-услуги чрез нея;</w:t>
      </w:r>
    </w:p>
    <w:p w:rsidR="00C97002" w:rsidRPr="00EA6851" w:rsidRDefault="00C97002" w:rsidP="00B30642">
      <w:pPr>
        <w:pStyle w:val="ListParagraph"/>
        <w:numPr>
          <w:ilvl w:val="0"/>
          <w:numId w:val="58"/>
        </w:numPr>
        <w:tabs>
          <w:tab w:val="left" w:pos="1134"/>
          <w:tab w:val="left" w:pos="1276"/>
        </w:tabs>
        <w:rPr>
          <w:szCs w:val="24"/>
        </w:rPr>
      </w:pPr>
      <w:r w:rsidRPr="00EA6851">
        <w:rPr>
          <w:szCs w:val="24"/>
        </w:rPr>
        <w:t>Прилагане и развитие и налагане на архитектурата на електронното управление в Република България.</w:t>
      </w:r>
    </w:p>
    <w:p w:rsidR="0097230C" w:rsidRPr="00EA6851" w:rsidRDefault="00C97002" w:rsidP="0097230C">
      <w:pPr>
        <w:rPr>
          <w:szCs w:val="24"/>
        </w:rPr>
      </w:pPr>
      <w:r w:rsidRPr="00EA6851">
        <w:rPr>
          <w:szCs w:val="24"/>
        </w:rPr>
        <w:t>МЕУ е институцията, която участва в изпълнение на политиката в областта на информационното общество и информационните технологии съгласно политиките на Европейския съюз, на Международния съюз по далекосъобщенията, Съвета на Европа, ОИСР, ЮНЕСКО</w:t>
      </w:r>
      <w:r w:rsidR="00E4086A" w:rsidRPr="00EA6851">
        <w:rPr>
          <w:rStyle w:val="FootnoteReference"/>
          <w:szCs w:val="24"/>
        </w:rPr>
        <w:footnoteReference w:id="33"/>
      </w:r>
      <w:r w:rsidRPr="00EA6851">
        <w:rPr>
          <w:szCs w:val="24"/>
        </w:rPr>
        <w:t xml:space="preserve"> и др. международни организации, работи в сътрудничество с всички държавни институции и е институционален партньор и на ГД</w:t>
      </w:r>
      <w:r w:rsidR="00E4086A" w:rsidRPr="00EA6851">
        <w:rPr>
          <w:rStyle w:val="FootnoteReference"/>
          <w:szCs w:val="24"/>
        </w:rPr>
        <w:footnoteReference w:id="34"/>
      </w:r>
      <w:r w:rsidRPr="00EA6851">
        <w:rPr>
          <w:szCs w:val="24"/>
        </w:rPr>
        <w:t xml:space="preserve"> „Съобщителни мрежи, съдържание и технологии“ и ГД „Конкурентоспособност“ на ЕК.</w:t>
      </w:r>
    </w:p>
    <w:p w:rsidR="00C97002" w:rsidRPr="00EA6851" w:rsidRDefault="00C97002" w:rsidP="00C97002">
      <w:pPr>
        <w:rPr>
          <w:b/>
          <w:sz w:val="20"/>
          <w:szCs w:val="20"/>
        </w:rPr>
      </w:pPr>
      <w:r w:rsidRPr="00EA6851">
        <w:rPr>
          <w:b/>
          <w:sz w:val="20"/>
          <w:szCs w:val="20"/>
        </w:rPr>
        <w:t>КЛЮЧОВИ ИНДИКАТОРИ ЗА ИЗПЪЛНЕНИЕ И ЦЕЛЕВИ СТОЙНОСТИ</w:t>
      </w:r>
    </w:p>
    <w:tbl>
      <w:tblPr>
        <w:tblW w:w="5000" w:type="pct"/>
        <w:jc w:val="center"/>
        <w:tblCellMar>
          <w:left w:w="70" w:type="dxa"/>
          <w:right w:w="70" w:type="dxa"/>
        </w:tblCellMar>
        <w:tblLook w:val="04A0" w:firstRow="1" w:lastRow="0" w:firstColumn="1" w:lastColumn="0" w:noHBand="0" w:noVBand="1"/>
      </w:tblPr>
      <w:tblGrid>
        <w:gridCol w:w="4249"/>
        <w:gridCol w:w="1049"/>
        <w:gridCol w:w="920"/>
        <w:gridCol w:w="1098"/>
        <w:gridCol w:w="877"/>
        <w:gridCol w:w="877"/>
      </w:tblGrid>
      <w:tr w:rsidR="00C97002" w:rsidRPr="00EA6851" w:rsidTr="0097230C">
        <w:trPr>
          <w:trHeight w:val="480"/>
          <w:tblHeader/>
          <w:jc w:val="center"/>
        </w:trPr>
        <w:tc>
          <w:tcPr>
            <w:tcW w:w="2352" w:type="pct"/>
            <w:tcBorders>
              <w:top w:val="single" w:sz="4" w:space="0" w:color="auto"/>
              <w:left w:val="nil"/>
              <w:bottom w:val="nil"/>
              <w:right w:val="nil"/>
            </w:tcBorders>
            <w:vAlign w:val="center"/>
            <w:hideMark/>
          </w:tcPr>
          <w:p w:rsidR="00C97002" w:rsidRPr="00EA6851" w:rsidRDefault="00C97002" w:rsidP="0097230C">
            <w:pPr>
              <w:spacing w:after="0" w:line="276" w:lineRule="auto"/>
              <w:jc w:val="center"/>
              <w:rPr>
                <w:b/>
                <w:bCs/>
                <w:i/>
                <w:iCs/>
                <w:color w:val="000000"/>
                <w:sz w:val="18"/>
                <w:szCs w:val="18"/>
              </w:rPr>
            </w:pPr>
            <w:r w:rsidRPr="00EA6851">
              <w:rPr>
                <w:b/>
                <w:bCs/>
                <w:i/>
                <w:iCs/>
                <w:color w:val="000000"/>
                <w:sz w:val="18"/>
                <w:szCs w:val="18"/>
              </w:rPr>
              <w:t>Политика в областта на електронното управление</w:t>
            </w:r>
          </w:p>
        </w:tc>
        <w:tc>
          <w:tcPr>
            <w:tcW w:w="588" w:type="pct"/>
            <w:vMerge w:val="restart"/>
            <w:tcBorders>
              <w:top w:val="single" w:sz="4" w:space="0" w:color="auto"/>
              <w:left w:val="nil"/>
              <w:bottom w:val="single" w:sz="4" w:space="0" w:color="auto"/>
              <w:right w:val="nil"/>
            </w:tcBorders>
            <w:shd w:val="clear" w:color="auto" w:fill="F2F2F2"/>
            <w:vAlign w:val="center"/>
            <w:hideMark/>
          </w:tcPr>
          <w:p w:rsidR="00C97002" w:rsidRPr="00EA6851" w:rsidRDefault="00C97002" w:rsidP="0097230C">
            <w:pPr>
              <w:spacing w:after="0" w:line="276" w:lineRule="auto"/>
              <w:jc w:val="center"/>
              <w:rPr>
                <w:b/>
                <w:bCs/>
                <w:color w:val="000000"/>
                <w:sz w:val="18"/>
                <w:szCs w:val="18"/>
              </w:rPr>
            </w:pPr>
            <w:r w:rsidRPr="00EA6851">
              <w:rPr>
                <w:b/>
                <w:bCs/>
                <w:color w:val="000000"/>
                <w:sz w:val="18"/>
                <w:szCs w:val="18"/>
              </w:rPr>
              <w:t>Мерна единица</w:t>
            </w:r>
          </w:p>
        </w:tc>
        <w:tc>
          <w:tcPr>
            <w:tcW w:w="2059" w:type="pct"/>
            <w:gridSpan w:val="4"/>
            <w:tcBorders>
              <w:top w:val="single" w:sz="4" w:space="0" w:color="auto"/>
              <w:left w:val="nil"/>
              <w:bottom w:val="single" w:sz="4" w:space="0" w:color="auto"/>
              <w:right w:val="nil"/>
            </w:tcBorders>
            <w:vAlign w:val="center"/>
            <w:hideMark/>
          </w:tcPr>
          <w:p w:rsidR="00C97002" w:rsidRPr="00EA6851" w:rsidRDefault="00C97002" w:rsidP="0097230C">
            <w:pPr>
              <w:spacing w:after="0" w:line="276" w:lineRule="auto"/>
              <w:jc w:val="center"/>
              <w:rPr>
                <w:b/>
                <w:bCs/>
                <w:color w:val="000000"/>
                <w:sz w:val="18"/>
                <w:szCs w:val="18"/>
              </w:rPr>
            </w:pPr>
            <w:r w:rsidRPr="00EA6851">
              <w:rPr>
                <w:b/>
                <w:bCs/>
                <w:color w:val="000000"/>
                <w:sz w:val="18"/>
                <w:szCs w:val="18"/>
              </w:rPr>
              <w:t>Целева стойност</w:t>
            </w:r>
          </w:p>
        </w:tc>
      </w:tr>
      <w:tr w:rsidR="00C97002" w:rsidRPr="00EA6851" w:rsidTr="0097230C">
        <w:trPr>
          <w:trHeight w:val="480"/>
          <w:tblHeader/>
          <w:jc w:val="center"/>
        </w:trPr>
        <w:tc>
          <w:tcPr>
            <w:tcW w:w="2352" w:type="pct"/>
            <w:tcBorders>
              <w:top w:val="nil"/>
              <w:left w:val="nil"/>
              <w:bottom w:val="single" w:sz="4" w:space="0" w:color="auto"/>
              <w:right w:val="nil"/>
            </w:tcBorders>
            <w:vAlign w:val="center"/>
            <w:hideMark/>
          </w:tcPr>
          <w:p w:rsidR="00C97002" w:rsidRPr="00EA6851" w:rsidRDefault="00C97002" w:rsidP="0097230C">
            <w:pPr>
              <w:spacing w:after="0" w:line="276" w:lineRule="auto"/>
              <w:jc w:val="center"/>
              <w:rPr>
                <w:b/>
                <w:bCs/>
                <w:color w:val="000000"/>
                <w:sz w:val="18"/>
                <w:szCs w:val="18"/>
              </w:rPr>
            </w:pPr>
            <w:r w:rsidRPr="00EA6851">
              <w:rPr>
                <w:b/>
                <w:bCs/>
                <w:color w:val="000000"/>
                <w:sz w:val="18"/>
                <w:szCs w:val="18"/>
              </w:rPr>
              <w:t>Наименование на индикатора</w:t>
            </w:r>
          </w:p>
        </w:tc>
        <w:tc>
          <w:tcPr>
            <w:tcW w:w="588" w:type="pct"/>
            <w:vMerge/>
            <w:tcBorders>
              <w:top w:val="single" w:sz="4" w:space="0" w:color="auto"/>
              <w:left w:val="nil"/>
              <w:bottom w:val="single" w:sz="4" w:space="0" w:color="auto"/>
              <w:right w:val="nil"/>
            </w:tcBorders>
            <w:vAlign w:val="center"/>
            <w:hideMark/>
          </w:tcPr>
          <w:p w:rsidR="00C97002" w:rsidRPr="00EA6851" w:rsidRDefault="00C97002" w:rsidP="0097230C">
            <w:pPr>
              <w:spacing w:after="0" w:line="276" w:lineRule="auto"/>
              <w:jc w:val="left"/>
              <w:rPr>
                <w:b/>
                <w:bCs/>
                <w:color w:val="000000"/>
                <w:sz w:val="18"/>
                <w:szCs w:val="18"/>
              </w:rPr>
            </w:pPr>
          </w:p>
        </w:tc>
        <w:tc>
          <w:tcPr>
            <w:tcW w:w="516" w:type="pct"/>
            <w:tcBorders>
              <w:top w:val="nil"/>
              <w:left w:val="nil"/>
              <w:bottom w:val="single" w:sz="4" w:space="0" w:color="auto"/>
              <w:right w:val="nil"/>
            </w:tcBorders>
            <w:hideMark/>
          </w:tcPr>
          <w:p w:rsidR="00C97002" w:rsidRPr="00EA6851" w:rsidRDefault="00C97002" w:rsidP="0097230C">
            <w:pPr>
              <w:spacing w:before="240"/>
              <w:jc w:val="center"/>
              <w:rPr>
                <w:b/>
                <w:bCs/>
                <w:i/>
                <w:color w:val="000000"/>
                <w:sz w:val="18"/>
                <w:szCs w:val="18"/>
              </w:rPr>
            </w:pPr>
            <w:r w:rsidRPr="00EA6851">
              <w:rPr>
                <w:b/>
                <w:bCs/>
                <w:i/>
                <w:color w:val="000000"/>
                <w:sz w:val="18"/>
                <w:szCs w:val="18"/>
              </w:rPr>
              <w:t>Програма 2023 г.</w:t>
            </w:r>
          </w:p>
        </w:tc>
        <w:tc>
          <w:tcPr>
            <w:tcW w:w="616" w:type="pct"/>
            <w:tcBorders>
              <w:top w:val="nil"/>
              <w:left w:val="nil"/>
              <w:bottom w:val="single" w:sz="4" w:space="0" w:color="auto"/>
              <w:right w:val="nil"/>
            </w:tcBorders>
            <w:vAlign w:val="center"/>
            <w:hideMark/>
          </w:tcPr>
          <w:p w:rsidR="00C97002" w:rsidRPr="00EA6851" w:rsidRDefault="00C97002" w:rsidP="0097230C">
            <w:pPr>
              <w:spacing w:after="0" w:line="276" w:lineRule="auto"/>
              <w:jc w:val="center"/>
              <w:rPr>
                <w:b/>
                <w:bCs/>
                <w:i/>
                <w:iCs/>
                <w:color w:val="000000"/>
                <w:sz w:val="18"/>
                <w:szCs w:val="18"/>
              </w:rPr>
            </w:pPr>
            <w:r w:rsidRPr="00EA6851">
              <w:rPr>
                <w:b/>
                <w:bCs/>
                <w:i/>
                <w:iCs/>
                <w:color w:val="000000"/>
                <w:sz w:val="18"/>
                <w:szCs w:val="18"/>
              </w:rPr>
              <w:t>Проект</w:t>
            </w:r>
            <w:r w:rsidRPr="00EA6851">
              <w:rPr>
                <w:b/>
                <w:bCs/>
                <w:i/>
                <w:iCs/>
                <w:color w:val="000000"/>
                <w:sz w:val="18"/>
                <w:szCs w:val="18"/>
              </w:rPr>
              <w:br/>
              <w:t xml:space="preserve"> 2024 г.</w:t>
            </w:r>
          </w:p>
        </w:tc>
        <w:tc>
          <w:tcPr>
            <w:tcW w:w="455" w:type="pct"/>
            <w:tcBorders>
              <w:top w:val="nil"/>
              <w:left w:val="nil"/>
              <w:bottom w:val="single" w:sz="4" w:space="0" w:color="auto"/>
              <w:right w:val="nil"/>
            </w:tcBorders>
            <w:vAlign w:val="center"/>
            <w:hideMark/>
          </w:tcPr>
          <w:p w:rsidR="00C97002" w:rsidRPr="00EA6851" w:rsidRDefault="00C97002" w:rsidP="0097230C">
            <w:pPr>
              <w:spacing w:after="0" w:line="276" w:lineRule="auto"/>
              <w:jc w:val="center"/>
              <w:rPr>
                <w:b/>
                <w:bCs/>
                <w:i/>
                <w:iCs/>
                <w:color w:val="000000"/>
                <w:sz w:val="18"/>
                <w:szCs w:val="18"/>
              </w:rPr>
            </w:pPr>
            <w:r w:rsidRPr="00EA6851">
              <w:rPr>
                <w:b/>
                <w:bCs/>
                <w:i/>
                <w:iCs/>
                <w:color w:val="000000"/>
                <w:sz w:val="18"/>
                <w:szCs w:val="18"/>
              </w:rPr>
              <w:t>Прогноза</w:t>
            </w:r>
            <w:r w:rsidRPr="00EA6851">
              <w:rPr>
                <w:b/>
                <w:bCs/>
                <w:i/>
                <w:iCs/>
                <w:color w:val="000000"/>
                <w:sz w:val="18"/>
                <w:szCs w:val="18"/>
              </w:rPr>
              <w:br/>
              <w:t xml:space="preserve"> 2025 г.</w:t>
            </w:r>
          </w:p>
        </w:tc>
        <w:tc>
          <w:tcPr>
            <w:tcW w:w="473" w:type="pct"/>
            <w:tcBorders>
              <w:top w:val="nil"/>
              <w:left w:val="nil"/>
              <w:bottom w:val="single" w:sz="4" w:space="0" w:color="auto"/>
              <w:right w:val="nil"/>
            </w:tcBorders>
            <w:vAlign w:val="center"/>
            <w:hideMark/>
          </w:tcPr>
          <w:p w:rsidR="00C97002" w:rsidRPr="00EA6851" w:rsidRDefault="00C97002" w:rsidP="0097230C">
            <w:pPr>
              <w:spacing w:after="0" w:line="276" w:lineRule="auto"/>
              <w:jc w:val="center"/>
              <w:rPr>
                <w:b/>
                <w:bCs/>
                <w:i/>
                <w:iCs/>
                <w:color w:val="000000"/>
                <w:sz w:val="18"/>
                <w:szCs w:val="18"/>
              </w:rPr>
            </w:pPr>
            <w:r w:rsidRPr="00EA6851">
              <w:rPr>
                <w:b/>
                <w:bCs/>
                <w:i/>
                <w:iCs/>
                <w:color w:val="000000"/>
                <w:sz w:val="18"/>
                <w:szCs w:val="18"/>
              </w:rPr>
              <w:t>Прогноза</w:t>
            </w:r>
            <w:r w:rsidRPr="00EA6851">
              <w:rPr>
                <w:b/>
                <w:bCs/>
                <w:i/>
                <w:iCs/>
                <w:color w:val="000000"/>
                <w:sz w:val="18"/>
                <w:szCs w:val="18"/>
              </w:rPr>
              <w:br/>
              <w:t xml:space="preserve"> 2026 г.</w:t>
            </w:r>
          </w:p>
        </w:tc>
      </w:tr>
      <w:tr w:rsidR="00C97002" w:rsidRPr="00EA6851" w:rsidTr="0097230C">
        <w:trPr>
          <w:trHeight w:val="530"/>
          <w:jc w:val="center"/>
        </w:trPr>
        <w:tc>
          <w:tcPr>
            <w:tcW w:w="2352" w:type="pct"/>
            <w:tcBorders>
              <w:top w:val="single" w:sz="4" w:space="0" w:color="auto"/>
              <w:left w:val="nil"/>
              <w:bottom w:val="nil"/>
              <w:right w:val="nil"/>
            </w:tcBorders>
            <w:shd w:val="clear" w:color="auto" w:fill="FFFFFF"/>
            <w:hideMark/>
          </w:tcPr>
          <w:p w:rsidR="00C97002" w:rsidRPr="00EA6851" w:rsidRDefault="00C97002" w:rsidP="0097230C">
            <w:pPr>
              <w:spacing w:after="0" w:line="276" w:lineRule="auto"/>
              <w:rPr>
                <w:color w:val="000000"/>
                <w:sz w:val="18"/>
                <w:szCs w:val="18"/>
                <w:lang w:eastAsia="en-US"/>
              </w:rPr>
            </w:pPr>
            <w:r w:rsidRPr="00EA6851">
              <w:rPr>
                <w:color w:val="000000"/>
                <w:sz w:val="18"/>
                <w:szCs w:val="18"/>
                <w:lang w:eastAsia="en-US"/>
              </w:rPr>
              <w:t>1.</w:t>
            </w:r>
            <w:r w:rsidRPr="00EA6851">
              <w:t xml:space="preserve"> </w:t>
            </w:r>
            <w:r w:rsidRPr="00EA6851">
              <w:rPr>
                <w:color w:val="000000"/>
                <w:sz w:val="18"/>
                <w:szCs w:val="18"/>
                <w:lang w:eastAsia="en-US"/>
              </w:rPr>
              <w:t xml:space="preserve">Реализирана и поддържана информационна система за централизирано изграждане и поддържане на регистри (ИСЦИПР) </w:t>
            </w:r>
          </w:p>
        </w:tc>
        <w:tc>
          <w:tcPr>
            <w:tcW w:w="588" w:type="pct"/>
            <w:tcBorders>
              <w:top w:val="single" w:sz="4" w:space="0" w:color="auto"/>
              <w:left w:val="nil"/>
              <w:bottom w:val="nil"/>
              <w:right w:val="nil"/>
            </w:tcBorders>
            <w:shd w:val="clear" w:color="auto" w:fill="F2F2F2"/>
            <w:hideMark/>
          </w:tcPr>
          <w:p w:rsidR="00C97002" w:rsidRPr="00EA6851" w:rsidRDefault="00C97002" w:rsidP="0097230C">
            <w:pPr>
              <w:spacing w:before="240" w:after="0" w:line="276" w:lineRule="auto"/>
              <w:jc w:val="center"/>
              <w:rPr>
                <w:color w:val="000000"/>
                <w:sz w:val="18"/>
                <w:szCs w:val="18"/>
                <w:lang w:eastAsia="en-US"/>
              </w:rPr>
            </w:pPr>
            <w:r w:rsidRPr="00EA6851">
              <w:rPr>
                <w:color w:val="000000"/>
                <w:sz w:val="18"/>
                <w:szCs w:val="18"/>
                <w:lang w:eastAsia="en-US"/>
              </w:rPr>
              <w:t>Брой</w:t>
            </w:r>
          </w:p>
        </w:tc>
        <w:tc>
          <w:tcPr>
            <w:tcW w:w="516" w:type="pct"/>
            <w:tcBorders>
              <w:top w:val="single" w:sz="4" w:space="0" w:color="auto"/>
              <w:left w:val="nil"/>
              <w:bottom w:val="nil"/>
              <w:right w:val="nil"/>
            </w:tcBorders>
            <w:shd w:val="clear" w:color="auto" w:fill="FFFFFF"/>
            <w:vAlign w:val="center"/>
            <w:hideMark/>
          </w:tcPr>
          <w:p w:rsidR="00C97002" w:rsidRPr="00EA6851" w:rsidRDefault="00C97002" w:rsidP="0097230C">
            <w:pPr>
              <w:spacing w:before="240"/>
              <w:jc w:val="center"/>
              <w:rPr>
                <w:color w:val="000000"/>
                <w:sz w:val="18"/>
                <w:szCs w:val="18"/>
                <w:lang w:eastAsia="en-US"/>
              </w:rPr>
            </w:pPr>
            <w:r w:rsidRPr="00EA6851">
              <w:rPr>
                <w:color w:val="000000"/>
                <w:sz w:val="18"/>
                <w:szCs w:val="18"/>
                <w:lang w:eastAsia="en-US"/>
              </w:rPr>
              <w:t>0</w:t>
            </w:r>
          </w:p>
        </w:tc>
        <w:tc>
          <w:tcPr>
            <w:tcW w:w="616" w:type="pct"/>
            <w:tcBorders>
              <w:top w:val="single" w:sz="4" w:space="0" w:color="auto"/>
              <w:left w:val="nil"/>
              <w:bottom w:val="nil"/>
              <w:right w:val="nil"/>
            </w:tcBorders>
            <w:shd w:val="clear" w:color="auto" w:fill="FFFFFF"/>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1</w:t>
            </w:r>
          </w:p>
        </w:tc>
        <w:tc>
          <w:tcPr>
            <w:tcW w:w="455" w:type="pct"/>
            <w:tcBorders>
              <w:top w:val="single" w:sz="4" w:space="0" w:color="auto"/>
              <w:left w:val="nil"/>
              <w:bottom w:val="nil"/>
              <w:right w:val="nil"/>
            </w:tcBorders>
            <w:shd w:val="clear" w:color="auto" w:fill="FFFFFF"/>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1</w:t>
            </w:r>
          </w:p>
        </w:tc>
        <w:tc>
          <w:tcPr>
            <w:tcW w:w="473" w:type="pct"/>
            <w:tcBorders>
              <w:top w:val="single" w:sz="4" w:space="0" w:color="auto"/>
              <w:left w:val="nil"/>
              <w:bottom w:val="nil"/>
              <w:right w:val="nil"/>
            </w:tcBorders>
            <w:shd w:val="clear" w:color="auto" w:fill="FFFFFF"/>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1</w:t>
            </w:r>
          </w:p>
        </w:tc>
      </w:tr>
      <w:tr w:rsidR="00C97002" w:rsidRPr="00EA6851" w:rsidTr="0097230C">
        <w:trPr>
          <w:trHeight w:val="530"/>
          <w:jc w:val="center"/>
        </w:trPr>
        <w:tc>
          <w:tcPr>
            <w:tcW w:w="2352" w:type="pct"/>
            <w:shd w:val="clear" w:color="auto" w:fill="FFFFFF"/>
            <w:hideMark/>
          </w:tcPr>
          <w:p w:rsidR="00C97002" w:rsidRPr="00EA6851" w:rsidRDefault="00C97002" w:rsidP="0097230C">
            <w:pPr>
              <w:spacing w:after="0" w:line="276" w:lineRule="auto"/>
              <w:rPr>
                <w:color w:val="000000"/>
                <w:sz w:val="18"/>
                <w:szCs w:val="18"/>
                <w:lang w:eastAsia="en-US"/>
              </w:rPr>
            </w:pPr>
            <w:r w:rsidRPr="00EA6851">
              <w:rPr>
                <w:color w:val="000000"/>
                <w:sz w:val="18"/>
                <w:szCs w:val="18"/>
                <w:lang w:eastAsia="en-US"/>
              </w:rPr>
              <w:t>2. Идентифицирани и оптимизирани за дигитализация ключови работни процеси в администрацията.</w:t>
            </w:r>
          </w:p>
        </w:tc>
        <w:tc>
          <w:tcPr>
            <w:tcW w:w="588" w:type="pct"/>
            <w:shd w:val="clear" w:color="auto" w:fill="F2F2F2"/>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Брой</w:t>
            </w:r>
          </w:p>
        </w:tc>
        <w:tc>
          <w:tcPr>
            <w:tcW w:w="516" w:type="pct"/>
            <w:shd w:val="clear" w:color="auto" w:fill="FFFFFF"/>
            <w:vAlign w:val="center"/>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5</w:t>
            </w:r>
          </w:p>
        </w:tc>
        <w:tc>
          <w:tcPr>
            <w:tcW w:w="616" w:type="pct"/>
            <w:shd w:val="clear" w:color="auto" w:fill="FFFFFF"/>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5</w:t>
            </w:r>
          </w:p>
        </w:tc>
        <w:tc>
          <w:tcPr>
            <w:tcW w:w="455" w:type="pct"/>
            <w:shd w:val="clear" w:color="auto" w:fill="FFFFFF"/>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6</w:t>
            </w:r>
          </w:p>
        </w:tc>
        <w:tc>
          <w:tcPr>
            <w:tcW w:w="473" w:type="pct"/>
            <w:shd w:val="clear" w:color="auto" w:fill="FFFFFF"/>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6</w:t>
            </w:r>
          </w:p>
        </w:tc>
      </w:tr>
      <w:tr w:rsidR="00C97002" w:rsidRPr="00EA6851" w:rsidTr="0097230C">
        <w:trPr>
          <w:trHeight w:val="341"/>
          <w:jc w:val="center"/>
        </w:trPr>
        <w:tc>
          <w:tcPr>
            <w:tcW w:w="2352" w:type="pct"/>
            <w:shd w:val="clear" w:color="auto" w:fill="FFFFFF"/>
            <w:hideMark/>
          </w:tcPr>
          <w:p w:rsidR="00C97002" w:rsidRPr="00EA6851" w:rsidRDefault="00C97002" w:rsidP="0097230C">
            <w:pPr>
              <w:spacing w:after="0" w:line="276" w:lineRule="auto"/>
              <w:rPr>
                <w:color w:val="000000"/>
                <w:sz w:val="18"/>
                <w:szCs w:val="18"/>
                <w:lang w:eastAsia="en-US"/>
              </w:rPr>
            </w:pPr>
            <w:r w:rsidRPr="00EA6851">
              <w:rPr>
                <w:color w:val="000000"/>
                <w:sz w:val="18"/>
                <w:szCs w:val="18"/>
                <w:lang w:eastAsia="en-US"/>
              </w:rPr>
              <w:t xml:space="preserve">3. Дял на административните органи, които изпълняват изискванията на чл. 24-25 от Наредбата за минималните изисквания за мрежова и информационна сигурност (НМИМИС) </w:t>
            </w:r>
          </w:p>
        </w:tc>
        <w:tc>
          <w:tcPr>
            <w:tcW w:w="588" w:type="pct"/>
            <w:shd w:val="clear" w:color="auto" w:fill="F2F2F2"/>
            <w:hideMark/>
          </w:tcPr>
          <w:p w:rsidR="00C97002" w:rsidRPr="00EA6851" w:rsidRDefault="00C97002" w:rsidP="0097230C">
            <w:pPr>
              <w:spacing w:before="240" w:after="0" w:line="276" w:lineRule="auto"/>
              <w:jc w:val="center"/>
              <w:rPr>
                <w:color w:val="000000"/>
                <w:sz w:val="18"/>
                <w:szCs w:val="18"/>
                <w:lang w:eastAsia="en-US"/>
              </w:rPr>
            </w:pPr>
            <w:r w:rsidRPr="00EA6851">
              <w:rPr>
                <w:color w:val="000000"/>
                <w:sz w:val="18"/>
                <w:szCs w:val="18"/>
                <w:lang w:eastAsia="en-US"/>
              </w:rPr>
              <w:t>%</w:t>
            </w:r>
          </w:p>
        </w:tc>
        <w:tc>
          <w:tcPr>
            <w:tcW w:w="516" w:type="pct"/>
            <w:shd w:val="clear" w:color="auto" w:fill="FFFFFF"/>
            <w:vAlign w:val="center"/>
          </w:tcPr>
          <w:p w:rsidR="00C97002" w:rsidRPr="00EA6851" w:rsidRDefault="00C97002" w:rsidP="0097230C">
            <w:pPr>
              <w:spacing w:before="240" w:line="276" w:lineRule="auto"/>
              <w:jc w:val="center"/>
              <w:rPr>
                <w:color w:val="000000"/>
                <w:sz w:val="18"/>
                <w:szCs w:val="18"/>
                <w:lang w:eastAsia="en-US"/>
              </w:rPr>
            </w:pPr>
            <w:r w:rsidRPr="00EA6851">
              <w:rPr>
                <w:color w:val="000000"/>
                <w:sz w:val="18"/>
                <w:szCs w:val="18"/>
                <w:lang w:eastAsia="en-US"/>
              </w:rPr>
              <w:t>60</w:t>
            </w:r>
          </w:p>
        </w:tc>
        <w:tc>
          <w:tcPr>
            <w:tcW w:w="616" w:type="pct"/>
            <w:shd w:val="clear" w:color="auto" w:fill="FFFFFF"/>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75</w:t>
            </w:r>
          </w:p>
        </w:tc>
        <w:tc>
          <w:tcPr>
            <w:tcW w:w="455" w:type="pct"/>
            <w:shd w:val="clear" w:color="auto" w:fill="FFFFFF"/>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90</w:t>
            </w:r>
          </w:p>
        </w:tc>
        <w:tc>
          <w:tcPr>
            <w:tcW w:w="473" w:type="pct"/>
            <w:shd w:val="clear" w:color="auto" w:fill="FFFFFF"/>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90</w:t>
            </w:r>
          </w:p>
        </w:tc>
      </w:tr>
      <w:tr w:rsidR="00C97002" w:rsidRPr="00EA6851" w:rsidTr="0097230C">
        <w:trPr>
          <w:trHeight w:val="347"/>
          <w:jc w:val="center"/>
        </w:trPr>
        <w:tc>
          <w:tcPr>
            <w:tcW w:w="2352" w:type="pct"/>
            <w:shd w:val="clear" w:color="auto" w:fill="FFFFFF"/>
            <w:hideMark/>
          </w:tcPr>
          <w:p w:rsidR="00C97002" w:rsidRPr="00EA6851" w:rsidRDefault="00C97002" w:rsidP="0097230C">
            <w:pPr>
              <w:spacing w:after="0" w:line="276" w:lineRule="auto"/>
              <w:rPr>
                <w:color w:val="000000"/>
                <w:sz w:val="18"/>
                <w:szCs w:val="18"/>
                <w:lang w:eastAsia="en-US"/>
              </w:rPr>
            </w:pPr>
            <w:r w:rsidRPr="00EA6851">
              <w:rPr>
                <w:color w:val="000000"/>
                <w:sz w:val="18"/>
                <w:szCs w:val="18"/>
                <w:lang w:eastAsia="en-US"/>
              </w:rPr>
              <w:t>4. Надграждане и поддържане на eIDAS възел за осигуряване на възможност за трансгранична електронна идентификация.</w:t>
            </w:r>
          </w:p>
        </w:tc>
        <w:tc>
          <w:tcPr>
            <w:tcW w:w="588" w:type="pct"/>
            <w:shd w:val="clear" w:color="auto" w:fill="F2F2F2"/>
            <w:hideMark/>
          </w:tcPr>
          <w:p w:rsidR="00C97002" w:rsidRPr="00EA6851" w:rsidRDefault="00C97002" w:rsidP="0097230C">
            <w:pPr>
              <w:spacing w:before="240" w:after="0" w:line="276" w:lineRule="auto"/>
              <w:jc w:val="center"/>
              <w:rPr>
                <w:color w:val="000000"/>
                <w:sz w:val="18"/>
                <w:szCs w:val="18"/>
                <w:lang w:eastAsia="en-US"/>
              </w:rPr>
            </w:pPr>
            <w:r w:rsidRPr="00EA6851">
              <w:rPr>
                <w:color w:val="000000"/>
                <w:sz w:val="18"/>
                <w:szCs w:val="18"/>
                <w:lang w:eastAsia="en-US"/>
              </w:rPr>
              <w:t>Брой</w:t>
            </w:r>
          </w:p>
        </w:tc>
        <w:tc>
          <w:tcPr>
            <w:tcW w:w="516" w:type="pct"/>
            <w:shd w:val="clear" w:color="auto" w:fill="FFFFFF"/>
            <w:vAlign w:val="center"/>
            <w:hideMark/>
          </w:tcPr>
          <w:p w:rsidR="00C97002" w:rsidRPr="00EA6851" w:rsidRDefault="00C97002" w:rsidP="0097230C">
            <w:pPr>
              <w:spacing w:before="240"/>
              <w:jc w:val="center"/>
              <w:rPr>
                <w:color w:val="000000"/>
                <w:sz w:val="18"/>
                <w:szCs w:val="18"/>
                <w:lang w:eastAsia="en-US"/>
              </w:rPr>
            </w:pPr>
            <w:r w:rsidRPr="00EA6851">
              <w:rPr>
                <w:color w:val="000000"/>
                <w:sz w:val="18"/>
                <w:szCs w:val="18"/>
                <w:lang w:eastAsia="en-US"/>
              </w:rPr>
              <w:t>1</w:t>
            </w:r>
          </w:p>
        </w:tc>
        <w:tc>
          <w:tcPr>
            <w:tcW w:w="616" w:type="pct"/>
            <w:shd w:val="clear" w:color="auto" w:fill="FFFFFF"/>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1</w:t>
            </w:r>
          </w:p>
        </w:tc>
        <w:tc>
          <w:tcPr>
            <w:tcW w:w="455" w:type="pct"/>
            <w:shd w:val="clear" w:color="auto" w:fill="FFFFFF"/>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1</w:t>
            </w:r>
          </w:p>
        </w:tc>
        <w:tc>
          <w:tcPr>
            <w:tcW w:w="473" w:type="pct"/>
            <w:shd w:val="clear" w:color="auto" w:fill="FFFFFF"/>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1</w:t>
            </w:r>
          </w:p>
        </w:tc>
      </w:tr>
      <w:tr w:rsidR="00C97002" w:rsidRPr="00EA6851" w:rsidTr="0097230C">
        <w:trPr>
          <w:trHeight w:val="80"/>
          <w:jc w:val="center"/>
        </w:trPr>
        <w:tc>
          <w:tcPr>
            <w:tcW w:w="2352" w:type="pct"/>
            <w:shd w:val="clear" w:color="auto" w:fill="FFFFFF"/>
            <w:vAlign w:val="center"/>
            <w:hideMark/>
          </w:tcPr>
          <w:p w:rsidR="00C97002" w:rsidRPr="00EA6851" w:rsidRDefault="00C97002" w:rsidP="0097230C">
            <w:pPr>
              <w:spacing w:after="0" w:line="276" w:lineRule="auto"/>
              <w:rPr>
                <w:color w:val="000000"/>
                <w:sz w:val="18"/>
                <w:szCs w:val="18"/>
                <w:lang w:eastAsia="en-US"/>
              </w:rPr>
            </w:pPr>
            <w:r w:rsidRPr="00EA6851">
              <w:rPr>
                <w:color w:val="000000"/>
                <w:sz w:val="18"/>
                <w:szCs w:val="18"/>
                <w:lang w:eastAsia="en-US"/>
              </w:rPr>
              <w:t>5. Поддръжка и развитие на Държавен хибриден частен облак, Защитен интернет възел (ЗИВ) и Единна електронна съобщителна мрежа (ЕЕСМ). Увеличен преносен капацитет между опорни възли на ЕЕСМ.</w:t>
            </w:r>
          </w:p>
        </w:tc>
        <w:tc>
          <w:tcPr>
            <w:tcW w:w="588" w:type="pct"/>
            <w:shd w:val="clear" w:color="auto" w:fill="F2F2F2"/>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Брой</w:t>
            </w:r>
          </w:p>
        </w:tc>
        <w:tc>
          <w:tcPr>
            <w:tcW w:w="516" w:type="pct"/>
            <w:shd w:val="clear" w:color="auto" w:fill="FFFFFF"/>
            <w:vAlign w:val="center"/>
            <w:hideMark/>
          </w:tcPr>
          <w:p w:rsidR="00C97002" w:rsidRPr="00EA6851" w:rsidRDefault="00C97002" w:rsidP="0097230C">
            <w:pPr>
              <w:spacing w:before="240"/>
              <w:jc w:val="center"/>
              <w:rPr>
                <w:color w:val="000000"/>
                <w:sz w:val="18"/>
                <w:szCs w:val="18"/>
                <w:lang w:eastAsia="en-US"/>
              </w:rPr>
            </w:pPr>
            <w:r w:rsidRPr="00EA6851">
              <w:rPr>
                <w:color w:val="000000"/>
                <w:sz w:val="18"/>
                <w:szCs w:val="18"/>
                <w:lang w:eastAsia="en-US"/>
              </w:rPr>
              <w:t>1</w:t>
            </w:r>
          </w:p>
        </w:tc>
        <w:tc>
          <w:tcPr>
            <w:tcW w:w="616" w:type="pct"/>
            <w:shd w:val="clear" w:color="auto" w:fill="FFFFFF"/>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1</w:t>
            </w:r>
          </w:p>
        </w:tc>
        <w:tc>
          <w:tcPr>
            <w:tcW w:w="455" w:type="pct"/>
            <w:shd w:val="clear" w:color="auto" w:fill="FFFFFF"/>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1</w:t>
            </w:r>
          </w:p>
        </w:tc>
        <w:tc>
          <w:tcPr>
            <w:tcW w:w="473" w:type="pct"/>
            <w:shd w:val="clear" w:color="auto" w:fill="FFFFFF"/>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1</w:t>
            </w:r>
          </w:p>
        </w:tc>
      </w:tr>
      <w:tr w:rsidR="00C97002" w:rsidRPr="00EA6851" w:rsidTr="0097230C">
        <w:trPr>
          <w:trHeight w:val="80"/>
          <w:jc w:val="center"/>
        </w:trPr>
        <w:tc>
          <w:tcPr>
            <w:tcW w:w="2352" w:type="pct"/>
            <w:shd w:val="clear" w:color="auto" w:fill="FFFFFF"/>
            <w:vAlign w:val="center"/>
            <w:hideMark/>
          </w:tcPr>
          <w:p w:rsidR="00C97002" w:rsidRPr="00EA6851" w:rsidRDefault="00C97002" w:rsidP="0097230C">
            <w:pPr>
              <w:spacing w:after="0" w:line="276" w:lineRule="auto"/>
              <w:rPr>
                <w:color w:val="000000"/>
                <w:sz w:val="18"/>
                <w:szCs w:val="18"/>
                <w:lang w:eastAsia="en-US"/>
              </w:rPr>
            </w:pPr>
            <w:r w:rsidRPr="00EA6851">
              <w:rPr>
                <w:color w:val="000000"/>
                <w:sz w:val="18"/>
                <w:szCs w:val="18"/>
                <w:lang w:eastAsia="en-US"/>
              </w:rPr>
              <w:t xml:space="preserve">6. </w:t>
            </w:r>
            <w:r w:rsidRPr="00EA6851">
              <w:rPr>
                <w:sz w:val="18"/>
                <w:szCs w:val="18"/>
              </w:rPr>
              <w:t>Развитие на секторната CSIRT мрежа и и</w:t>
            </w:r>
            <w:r w:rsidRPr="00EA6851">
              <w:rPr>
                <w:color w:val="000000"/>
                <w:sz w:val="18"/>
                <w:szCs w:val="18"/>
                <w:lang w:eastAsia="en-US"/>
              </w:rPr>
              <w:t>зграждане на възможност за автоматично докладване на инциденти от конституентите на Националния екип за реагиране при инциденти в компютърната сигурност (НЕРИКС)</w:t>
            </w:r>
          </w:p>
        </w:tc>
        <w:tc>
          <w:tcPr>
            <w:tcW w:w="588" w:type="pct"/>
            <w:shd w:val="clear" w:color="auto" w:fill="F2F2F2"/>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Брой</w:t>
            </w:r>
          </w:p>
        </w:tc>
        <w:tc>
          <w:tcPr>
            <w:tcW w:w="516" w:type="pct"/>
            <w:shd w:val="clear" w:color="auto" w:fill="FFFFFF"/>
            <w:vAlign w:val="center"/>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3</w:t>
            </w:r>
          </w:p>
        </w:tc>
        <w:tc>
          <w:tcPr>
            <w:tcW w:w="616" w:type="pct"/>
            <w:shd w:val="clear" w:color="auto" w:fill="FFFFFF"/>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7</w:t>
            </w:r>
          </w:p>
        </w:tc>
        <w:tc>
          <w:tcPr>
            <w:tcW w:w="455" w:type="pct"/>
            <w:shd w:val="clear" w:color="auto" w:fill="FFFFFF"/>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10</w:t>
            </w:r>
          </w:p>
        </w:tc>
        <w:tc>
          <w:tcPr>
            <w:tcW w:w="473" w:type="pct"/>
            <w:shd w:val="clear" w:color="auto" w:fill="FFFFFF"/>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6</w:t>
            </w:r>
          </w:p>
        </w:tc>
      </w:tr>
      <w:tr w:rsidR="00C97002" w:rsidRPr="00EA6851" w:rsidTr="0097230C">
        <w:trPr>
          <w:trHeight w:val="80"/>
          <w:jc w:val="center"/>
        </w:trPr>
        <w:tc>
          <w:tcPr>
            <w:tcW w:w="2352" w:type="pct"/>
            <w:shd w:val="clear" w:color="auto" w:fill="FFFFFF"/>
            <w:vAlign w:val="center"/>
            <w:hideMark/>
          </w:tcPr>
          <w:p w:rsidR="00C97002" w:rsidRPr="00EA6851" w:rsidRDefault="00C97002" w:rsidP="0097230C">
            <w:pPr>
              <w:spacing w:after="0" w:line="276" w:lineRule="auto"/>
              <w:rPr>
                <w:color w:val="000000"/>
                <w:sz w:val="18"/>
                <w:szCs w:val="18"/>
                <w:lang w:eastAsia="en-US"/>
              </w:rPr>
            </w:pPr>
            <w:r w:rsidRPr="00EA6851">
              <w:rPr>
                <w:color w:val="000000"/>
                <w:sz w:val="18"/>
                <w:szCs w:val="18"/>
                <w:lang w:eastAsia="en-US"/>
              </w:rPr>
              <w:t>7.</w:t>
            </w:r>
            <w:r w:rsidRPr="00EA6851">
              <w:rPr>
                <w:rFonts w:eastAsia="Times New Roman" w:cs="Times New Roman"/>
                <w:szCs w:val="24"/>
              </w:rPr>
              <w:t xml:space="preserve"> </w:t>
            </w:r>
            <w:r w:rsidRPr="00EA6851">
              <w:rPr>
                <w:color w:val="000000"/>
                <w:sz w:val="18"/>
                <w:szCs w:val="18"/>
                <w:lang w:eastAsia="en-US"/>
              </w:rPr>
              <w:t>Поддържане на технически протокол за обмен на електронни документи.</w:t>
            </w:r>
          </w:p>
        </w:tc>
        <w:tc>
          <w:tcPr>
            <w:tcW w:w="588" w:type="pct"/>
            <w:shd w:val="clear" w:color="auto" w:fill="F2F2F2"/>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Брой</w:t>
            </w:r>
          </w:p>
        </w:tc>
        <w:tc>
          <w:tcPr>
            <w:tcW w:w="516" w:type="pct"/>
            <w:shd w:val="clear" w:color="auto" w:fill="FFFFFF"/>
            <w:vAlign w:val="center"/>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1</w:t>
            </w:r>
          </w:p>
        </w:tc>
        <w:tc>
          <w:tcPr>
            <w:tcW w:w="616" w:type="pct"/>
            <w:shd w:val="clear" w:color="auto" w:fill="FFFFFF"/>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1</w:t>
            </w:r>
          </w:p>
        </w:tc>
        <w:tc>
          <w:tcPr>
            <w:tcW w:w="455" w:type="pct"/>
            <w:shd w:val="clear" w:color="auto" w:fill="FFFFFF"/>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1</w:t>
            </w:r>
          </w:p>
        </w:tc>
        <w:tc>
          <w:tcPr>
            <w:tcW w:w="473" w:type="pct"/>
            <w:shd w:val="clear" w:color="auto" w:fill="FFFFFF"/>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1</w:t>
            </w:r>
          </w:p>
        </w:tc>
      </w:tr>
      <w:tr w:rsidR="00C97002" w:rsidRPr="00EA6851" w:rsidTr="0097230C">
        <w:trPr>
          <w:trHeight w:val="80"/>
          <w:jc w:val="center"/>
        </w:trPr>
        <w:tc>
          <w:tcPr>
            <w:tcW w:w="2352" w:type="pct"/>
            <w:shd w:val="clear" w:color="auto" w:fill="FFFFFF"/>
            <w:vAlign w:val="center"/>
            <w:hideMark/>
          </w:tcPr>
          <w:p w:rsidR="00C97002" w:rsidRPr="00EA6851" w:rsidRDefault="00C97002" w:rsidP="0097230C">
            <w:pPr>
              <w:spacing w:after="0" w:line="276" w:lineRule="auto"/>
              <w:rPr>
                <w:color w:val="000000"/>
                <w:sz w:val="18"/>
                <w:szCs w:val="18"/>
                <w:lang w:eastAsia="en-US"/>
              </w:rPr>
            </w:pPr>
            <w:r w:rsidRPr="00EA6851">
              <w:rPr>
                <w:color w:val="000000"/>
                <w:sz w:val="18"/>
                <w:szCs w:val="18"/>
                <w:lang w:eastAsia="en-US"/>
              </w:rPr>
              <w:t>8. Извършени проверки по ЗЕУ, ЗКС, ЗДОИ, ЗДПД</w:t>
            </w:r>
          </w:p>
        </w:tc>
        <w:tc>
          <w:tcPr>
            <w:tcW w:w="588" w:type="pct"/>
            <w:shd w:val="clear" w:color="auto" w:fill="F2F2F2"/>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Брой</w:t>
            </w:r>
          </w:p>
        </w:tc>
        <w:tc>
          <w:tcPr>
            <w:tcW w:w="516" w:type="pct"/>
            <w:shd w:val="clear" w:color="auto" w:fill="FFFFFF"/>
            <w:vAlign w:val="center"/>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120</w:t>
            </w:r>
          </w:p>
        </w:tc>
        <w:tc>
          <w:tcPr>
            <w:tcW w:w="616" w:type="pct"/>
            <w:shd w:val="clear" w:color="auto" w:fill="FFFFFF"/>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300</w:t>
            </w:r>
          </w:p>
        </w:tc>
        <w:tc>
          <w:tcPr>
            <w:tcW w:w="455" w:type="pct"/>
            <w:shd w:val="clear" w:color="auto" w:fill="FFFFFF"/>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350</w:t>
            </w:r>
          </w:p>
        </w:tc>
        <w:tc>
          <w:tcPr>
            <w:tcW w:w="473" w:type="pct"/>
            <w:shd w:val="clear" w:color="auto" w:fill="FFFFFF"/>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400</w:t>
            </w:r>
          </w:p>
        </w:tc>
      </w:tr>
      <w:tr w:rsidR="00C97002" w:rsidRPr="00EA6851" w:rsidTr="0097230C">
        <w:trPr>
          <w:trHeight w:val="724"/>
          <w:jc w:val="center"/>
        </w:trPr>
        <w:tc>
          <w:tcPr>
            <w:tcW w:w="2352" w:type="pct"/>
            <w:tcBorders>
              <w:top w:val="nil"/>
              <w:left w:val="nil"/>
              <w:bottom w:val="single" w:sz="4" w:space="0" w:color="auto"/>
              <w:right w:val="nil"/>
            </w:tcBorders>
            <w:shd w:val="clear" w:color="auto" w:fill="FFFFFF"/>
            <w:vAlign w:val="center"/>
            <w:hideMark/>
          </w:tcPr>
          <w:p w:rsidR="00C97002" w:rsidRPr="00EA6851" w:rsidRDefault="00C97002" w:rsidP="0097230C">
            <w:pPr>
              <w:spacing w:after="0" w:line="276" w:lineRule="auto"/>
              <w:rPr>
                <w:color w:val="000000"/>
                <w:sz w:val="18"/>
                <w:szCs w:val="18"/>
                <w:lang w:eastAsia="en-US"/>
              </w:rPr>
            </w:pPr>
            <w:r w:rsidRPr="00EA6851">
              <w:rPr>
                <w:color w:val="000000"/>
                <w:sz w:val="18"/>
                <w:szCs w:val="18"/>
                <w:lang w:eastAsia="en-US"/>
              </w:rPr>
              <w:t>9. Съставен индекс за цифрова икономика и общество (Digital Economy and Society Index, DESI) за България</w:t>
            </w:r>
          </w:p>
        </w:tc>
        <w:tc>
          <w:tcPr>
            <w:tcW w:w="588" w:type="pct"/>
            <w:tcBorders>
              <w:top w:val="nil"/>
              <w:left w:val="nil"/>
              <w:bottom w:val="single" w:sz="4" w:space="0" w:color="auto"/>
              <w:right w:val="nil"/>
            </w:tcBorders>
            <w:shd w:val="clear" w:color="auto" w:fill="F2F2F2"/>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0-100</w:t>
            </w:r>
          </w:p>
        </w:tc>
        <w:tc>
          <w:tcPr>
            <w:tcW w:w="516" w:type="pct"/>
            <w:tcBorders>
              <w:top w:val="nil"/>
              <w:left w:val="nil"/>
              <w:bottom w:val="single" w:sz="4" w:space="0" w:color="auto"/>
              <w:right w:val="nil"/>
            </w:tcBorders>
            <w:shd w:val="clear" w:color="auto" w:fill="FFFFFF"/>
            <w:vAlign w:val="center"/>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39</w:t>
            </w:r>
          </w:p>
        </w:tc>
        <w:tc>
          <w:tcPr>
            <w:tcW w:w="616" w:type="pct"/>
            <w:tcBorders>
              <w:top w:val="nil"/>
              <w:left w:val="nil"/>
              <w:bottom w:val="single" w:sz="4" w:space="0" w:color="auto"/>
              <w:right w:val="nil"/>
            </w:tcBorders>
            <w:shd w:val="clear" w:color="auto" w:fill="FFFFFF"/>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39</w:t>
            </w:r>
          </w:p>
        </w:tc>
        <w:tc>
          <w:tcPr>
            <w:tcW w:w="455" w:type="pct"/>
            <w:tcBorders>
              <w:top w:val="nil"/>
              <w:left w:val="nil"/>
              <w:bottom w:val="single" w:sz="4" w:space="0" w:color="auto"/>
              <w:right w:val="nil"/>
            </w:tcBorders>
            <w:shd w:val="clear" w:color="auto" w:fill="FFFFFF"/>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41</w:t>
            </w:r>
          </w:p>
        </w:tc>
        <w:tc>
          <w:tcPr>
            <w:tcW w:w="473" w:type="pct"/>
            <w:tcBorders>
              <w:top w:val="nil"/>
              <w:left w:val="nil"/>
              <w:bottom w:val="single" w:sz="4" w:space="0" w:color="auto"/>
              <w:right w:val="nil"/>
            </w:tcBorders>
            <w:shd w:val="clear" w:color="auto" w:fill="FFFFFF"/>
            <w:vAlign w:val="center"/>
            <w:hideMark/>
          </w:tcPr>
          <w:p w:rsidR="00C97002" w:rsidRPr="00EA6851" w:rsidRDefault="00C97002" w:rsidP="0097230C">
            <w:pPr>
              <w:spacing w:after="0" w:line="276" w:lineRule="auto"/>
              <w:jc w:val="center"/>
              <w:rPr>
                <w:color w:val="000000"/>
                <w:sz w:val="18"/>
                <w:szCs w:val="18"/>
                <w:lang w:eastAsia="en-US"/>
              </w:rPr>
            </w:pPr>
            <w:r w:rsidRPr="00EA6851">
              <w:rPr>
                <w:color w:val="000000"/>
                <w:sz w:val="18"/>
                <w:szCs w:val="18"/>
                <w:lang w:eastAsia="en-US"/>
              </w:rPr>
              <w:t>42</w:t>
            </w:r>
          </w:p>
        </w:tc>
      </w:tr>
    </w:tbl>
    <w:p w:rsidR="00C97002" w:rsidRPr="00EA6851" w:rsidRDefault="00C97002" w:rsidP="00C97002">
      <w:pPr>
        <w:rPr>
          <w:i/>
          <w:sz w:val="18"/>
          <w:szCs w:val="18"/>
        </w:rPr>
      </w:pPr>
      <w:r w:rsidRPr="00EA6851">
        <w:rPr>
          <w:b/>
          <w:i/>
          <w:sz w:val="18"/>
          <w:szCs w:val="18"/>
        </w:rPr>
        <w:t>Забележка:</w:t>
      </w:r>
      <w:r w:rsidRPr="00EA6851">
        <w:rPr>
          <w:i/>
          <w:sz w:val="18"/>
          <w:szCs w:val="18"/>
        </w:rPr>
        <w:t xml:space="preserve"> Закон за електронно управление (ЗЕУ), Закон за киберсигурност (ЗКС), Закон за достъп до обществена информация (ЗДОИ) и Закон за достъп до пространствени данни (ЗДПД)</w:t>
      </w:r>
    </w:p>
    <w:p w:rsidR="00C97002" w:rsidRPr="00EA6851" w:rsidRDefault="00C97002" w:rsidP="00B30642">
      <w:pPr>
        <w:numPr>
          <w:ilvl w:val="0"/>
          <w:numId w:val="50"/>
        </w:numPr>
        <w:tabs>
          <w:tab w:val="left" w:pos="284"/>
        </w:tabs>
        <w:ind w:left="0" w:firstLine="0"/>
        <w:rPr>
          <w:b/>
          <w:color w:val="000000"/>
          <w:sz w:val="22"/>
        </w:rPr>
      </w:pPr>
      <w:r w:rsidRPr="00EA6851">
        <w:rPr>
          <w:b/>
          <w:color w:val="000000"/>
          <w:sz w:val="22"/>
        </w:rPr>
        <w:t xml:space="preserve">Реализирана и поддържана информационна система за централизирано изграждане и поддържане на регистри (ИСЦИПР) </w:t>
      </w:r>
    </w:p>
    <w:p w:rsidR="00C97002" w:rsidRPr="00EA6851" w:rsidRDefault="00C97002" w:rsidP="0097230C">
      <w:pPr>
        <w:rPr>
          <w:i/>
          <w:color w:val="000000"/>
          <w:sz w:val="22"/>
        </w:rPr>
      </w:pPr>
      <w:r w:rsidRPr="00EA6851">
        <w:rPr>
          <w:i/>
          <w:color w:val="000000"/>
          <w:sz w:val="22"/>
        </w:rPr>
        <w:t>Измерва степента на изпълнение на Стратегическа цел 2: Трансформиране на администрацията в цифрова и развитие на услуги, ориентирани към потребителя.</w:t>
      </w:r>
    </w:p>
    <w:p w:rsidR="00C97002" w:rsidRPr="00EA6851" w:rsidRDefault="00C97002" w:rsidP="0097230C">
      <w:pPr>
        <w:rPr>
          <w:i/>
          <w:color w:val="000000"/>
          <w:sz w:val="22"/>
        </w:rPr>
      </w:pPr>
      <w:r w:rsidRPr="00EA6851">
        <w:rPr>
          <w:i/>
          <w:color w:val="000000"/>
          <w:sz w:val="22"/>
        </w:rPr>
        <w:t xml:space="preserve">Ефективното дигитализиране на над 15 000 регистъра в държавната </w:t>
      </w:r>
      <w:r w:rsidRPr="00EA6851">
        <w:rPr>
          <w:i/>
          <w:sz w:val="22"/>
        </w:rPr>
        <w:t>администрация</w:t>
      </w:r>
      <w:r w:rsidRPr="00EA6851">
        <w:rPr>
          <w:i/>
          <w:color w:val="000000"/>
          <w:sz w:val="22"/>
        </w:rPr>
        <w:t xml:space="preserve"> налага предоставянето на централизирано средство за създаване и управление на регистри. В процес на изграждане е информационна система за централизирано изграждане и поддържане на регистри. </w:t>
      </w:r>
    </w:p>
    <w:p w:rsidR="00C97002" w:rsidRPr="00EA6851" w:rsidRDefault="00C97002" w:rsidP="0097230C">
      <w:pPr>
        <w:rPr>
          <w:color w:val="000000"/>
          <w:sz w:val="22"/>
        </w:rPr>
      </w:pPr>
      <w:r w:rsidRPr="00EA6851">
        <w:rPr>
          <w:i/>
          <w:color w:val="000000"/>
          <w:sz w:val="22"/>
        </w:rPr>
        <w:t xml:space="preserve">Системата предоставя възможност всяка администрация автоматизирано да създаде структура от данни и изпълнение на работните процеси, свързани с предоставяните чрез регистъра услуги (вписване, промяна и удостоверяване на обстоятелства), както и графични потребителски интерфейси за достъп до съответните услуги. Освен това системата предоставя възможност една администрация да поддържа данните в множество регистри, за които е първичен администратор на данни (ПАД), в изолирани пространства (tenants), както и множество администрации да поддържат един или повече регистри в предоставено чрез системата изолирано пространство </w:t>
      </w:r>
      <w:r w:rsidR="00E4086A" w:rsidRPr="00EA6851">
        <w:rPr>
          <w:i/>
          <w:color w:val="000000"/>
          <w:sz w:val="22"/>
        </w:rPr>
        <w:t>(</w:t>
      </w:r>
      <w:r w:rsidRPr="00EA6851">
        <w:rPr>
          <w:i/>
          <w:color w:val="000000"/>
          <w:sz w:val="22"/>
        </w:rPr>
        <w:t>ДХЧО</w:t>
      </w:r>
      <w:r w:rsidR="00E4086A" w:rsidRPr="00EA6851">
        <w:rPr>
          <w:i/>
          <w:color w:val="000000"/>
          <w:sz w:val="22"/>
        </w:rPr>
        <w:t>)</w:t>
      </w:r>
      <w:r w:rsidRPr="00EA6851">
        <w:rPr>
          <w:i/>
          <w:color w:val="000000"/>
          <w:sz w:val="22"/>
        </w:rPr>
        <w:t>. Системата автоматизирано генерира уеб услуги, необходими за взаимодействие с външни системи</w:t>
      </w:r>
      <w:r w:rsidRPr="00EA6851">
        <w:rPr>
          <w:color w:val="000000"/>
          <w:sz w:val="22"/>
        </w:rPr>
        <w:t>.</w:t>
      </w:r>
    </w:p>
    <w:p w:rsidR="00C97002" w:rsidRPr="00EA6851" w:rsidRDefault="00C97002" w:rsidP="00B30642">
      <w:pPr>
        <w:numPr>
          <w:ilvl w:val="0"/>
          <w:numId w:val="50"/>
        </w:numPr>
        <w:tabs>
          <w:tab w:val="left" w:pos="284"/>
        </w:tabs>
        <w:ind w:left="0" w:firstLine="0"/>
        <w:rPr>
          <w:b/>
          <w:color w:val="000000"/>
          <w:sz w:val="22"/>
        </w:rPr>
      </w:pPr>
      <w:r w:rsidRPr="00EA6851">
        <w:rPr>
          <w:b/>
          <w:color w:val="000000"/>
          <w:sz w:val="22"/>
        </w:rPr>
        <w:t xml:space="preserve">Идентифицирани и оптимизирани за дигитализация ключови работни процеси в администрацията </w:t>
      </w:r>
    </w:p>
    <w:p w:rsidR="00C97002" w:rsidRPr="00EA6851" w:rsidRDefault="00C97002" w:rsidP="0097230C">
      <w:pPr>
        <w:rPr>
          <w:i/>
          <w:color w:val="000000"/>
          <w:sz w:val="22"/>
        </w:rPr>
      </w:pPr>
      <w:r w:rsidRPr="00EA6851">
        <w:rPr>
          <w:i/>
          <w:color w:val="000000"/>
          <w:sz w:val="22"/>
        </w:rPr>
        <w:t>Измерва степента на изпълнение на Стратегическа цел 2: Трансформиране на администрацията в цифрова и развитие на услуги, ориентирани към потребителя.</w:t>
      </w:r>
    </w:p>
    <w:p w:rsidR="00C97002" w:rsidRPr="00EA6851" w:rsidRDefault="00C97002" w:rsidP="0097230C">
      <w:pPr>
        <w:rPr>
          <w:i/>
          <w:color w:val="000000"/>
          <w:sz w:val="22"/>
        </w:rPr>
      </w:pPr>
      <w:r w:rsidRPr="00EA6851">
        <w:rPr>
          <w:i/>
          <w:sz w:val="22"/>
        </w:rPr>
        <w:t>Работните</w:t>
      </w:r>
      <w:r w:rsidRPr="00EA6851">
        <w:rPr>
          <w:i/>
          <w:color w:val="000000"/>
          <w:sz w:val="22"/>
        </w:rPr>
        <w:t xml:space="preserve"> процеси в администрацията продължават да бъдат насочени предимно към работа с документи на хартиен носител. Дори и процеси, които през годините са електронизирани, показват съществени слабости, свързани с незавършен докрай процес на </w:t>
      </w:r>
      <w:r w:rsidRPr="00EA6851">
        <w:rPr>
          <w:i/>
          <w:sz w:val="22"/>
        </w:rPr>
        <w:t>оптимизация</w:t>
      </w:r>
      <w:r w:rsidRPr="00EA6851">
        <w:rPr>
          <w:i/>
          <w:color w:val="000000"/>
          <w:sz w:val="22"/>
        </w:rPr>
        <w:t xml:space="preserve"> на вътрешния ход на процедурите, наличие на ненужни стъпки и незаконосъобразно изискване от гражданите и бизнеса на информация и данни, </w:t>
      </w:r>
      <w:r w:rsidRPr="00EA6851">
        <w:rPr>
          <w:i/>
          <w:sz w:val="22"/>
        </w:rPr>
        <w:t>вече</w:t>
      </w:r>
      <w:r w:rsidRPr="00EA6851">
        <w:rPr>
          <w:i/>
          <w:color w:val="000000"/>
          <w:sz w:val="22"/>
        </w:rPr>
        <w:t xml:space="preserve"> налични в администрацията. Налице е електронизация на административното бреме. Също така в много от случаите са налице и нормативни пречки за необходимата оптимизация и привеждане в </w:t>
      </w:r>
      <w:r w:rsidRPr="00EA6851">
        <w:rPr>
          <w:i/>
          <w:sz w:val="22"/>
        </w:rPr>
        <w:t>съответствие</w:t>
      </w:r>
      <w:r w:rsidRPr="00EA6851">
        <w:rPr>
          <w:i/>
          <w:color w:val="000000"/>
          <w:sz w:val="22"/>
        </w:rPr>
        <w:t xml:space="preserve"> с изискванията на Закона за електронното управление. </w:t>
      </w:r>
    </w:p>
    <w:p w:rsidR="00C97002" w:rsidRPr="00EA6851" w:rsidRDefault="00C97002" w:rsidP="0097230C">
      <w:pPr>
        <w:rPr>
          <w:i/>
          <w:color w:val="000000"/>
          <w:sz w:val="22"/>
        </w:rPr>
      </w:pPr>
      <w:r w:rsidRPr="00EA6851">
        <w:rPr>
          <w:i/>
          <w:sz w:val="22"/>
        </w:rPr>
        <w:t>Министерството</w:t>
      </w:r>
      <w:r w:rsidRPr="00EA6851">
        <w:rPr>
          <w:i/>
          <w:color w:val="000000"/>
          <w:sz w:val="22"/>
        </w:rPr>
        <w:t xml:space="preserve"> на електронното управление ще идентифицира и </w:t>
      </w:r>
      <w:r w:rsidRPr="00EA6851">
        <w:rPr>
          <w:i/>
          <w:sz w:val="22"/>
        </w:rPr>
        <w:t>оптимизира</w:t>
      </w:r>
      <w:r w:rsidRPr="00EA6851">
        <w:rPr>
          <w:i/>
          <w:color w:val="000000"/>
          <w:sz w:val="22"/>
        </w:rPr>
        <w:t xml:space="preserve"> ключови ра</w:t>
      </w:r>
      <w:r w:rsidR="00CD46E2" w:rsidRPr="00EA6851">
        <w:rPr>
          <w:i/>
          <w:color w:val="000000"/>
          <w:sz w:val="22"/>
        </w:rPr>
        <w:t>ботни процеси в администрацията</w:t>
      </w:r>
      <w:r w:rsidRPr="00EA6851">
        <w:rPr>
          <w:i/>
          <w:color w:val="000000"/>
          <w:sz w:val="22"/>
        </w:rPr>
        <w:t xml:space="preserve"> за последващото им дигитализиране. Цялостният подход ще бъде допълнен с разработване при необходимост на проекти на нормативни изменения.</w:t>
      </w:r>
    </w:p>
    <w:p w:rsidR="00C97002" w:rsidRPr="00EA6851" w:rsidRDefault="00C97002" w:rsidP="00B30642">
      <w:pPr>
        <w:numPr>
          <w:ilvl w:val="0"/>
          <w:numId w:val="50"/>
        </w:numPr>
        <w:tabs>
          <w:tab w:val="left" w:pos="284"/>
        </w:tabs>
        <w:ind w:left="0" w:firstLine="0"/>
        <w:rPr>
          <w:b/>
          <w:color w:val="000000"/>
          <w:sz w:val="22"/>
        </w:rPr>
      </w:pPr>
      <w:r w:rsidRPr="00EA6851">
        <w:rPr>
          <w:b/>
          <w:color w:val="000000"/>
          <w:sz w:val="22"/>
        </w:rPr>
        <w:t xml:space="preserve">Дял на административните органи, които изпълняват </w:t>
      </w:r>
      <w:r w:rsidRPr="00EA6851">
        <w:rPr>
          <w:b/>
          <w:sz w:val="22"/>
        </w:rPr>
        <w:t>изискванията</w:t>
      </w:r>
      <w:r w:rsidRPr="00EA6851">
        <w:rPr>
          <w:b/>
          <w:color w:val="000000"/>
          <w:sz w:val="22"/>
        </w:rPr>
        <w:t xml:space="preserve"> на чл. 24-25 от </w:t>
      </w:r>
      <w:r w:rsidR="00E4086A" w:rsidRPr="00EA6851">
        <w:rPr>
          <w:b/>
          <w:color w:val="000000"/>
          <w:sz w:val="22"/>
        </w:rPr>
        <w:t xml:space="preserve">Наредбата за минималните изисквания за мрежова и информационна сигурност </w:t>
      </w:r>
      <w:r w:rsidR="00F101DD" w:rsidRPr="00EA6851">
        <w:rPr>
          <w:b/>
          <w:color w:val="000000"/>
          <w:sz w:val="22"/>
        </w:rPr>
        <w:t>(</w:t>
      </w:r>
      <w:r w:rsidRPr="00EA6851">
        <w:rPr>
          <w:b/>
          <w:color w:val="000000"/>
          <w:sz w:val="22"/>
        </w:rPr>
        <w:t>НМИМИС</w:t>
      </w:r>
      <w:r w:rsidR="00F101DD" w:rsidRPr="00EA6851">
        <w:rPr>
          <w:b/>
          <w:color w:val="000000"/>
          <w:sz w:val="22"/>
        </w:rPr>
        <w:t>)</w:t>
      </w:r>
    </w:p>
    <w:p w:rsidR="00C97002" w:rsidRPr="00EA6851" w:rsidRDefault="00C97002" w:rsidP="0097230C">
      <w:pPr>
        <w:rPr>
          <w:i/>
          <w:color w:val="000000"/>
          <w:sz w:val="22"/>
        </w:rPr>
      </w:pPr>
      <w:r w:rsidRPr="00EA6851">
        <w:rPr>
          <w:i/>
          <w:color w:val="000000"/>
          <w:sz w:val="22"/>
        </w:rPr>
        <w:t>Измерва степента на изпълнение на Стратегическа цел 4: Повишаване нивото на мрежовата и информационната сигурност.</w:t>
      </w:r>
    </w:p>
    <w:p w:rsidR="00C97002" w:rsidRPr="00EA6851" w:rsidRDefault="00C97002" w:rsidP="0097230C">
      <w:pPr>
        <w:rPr>
          <w:i/>
          <w:color w:val="000000"/>
          <w:sz w:val="22"/>
        </w:rPr>
      </w:pPr>
      <w:r w:rsidRPr="00EA6851">
        <w:rPr>
          <w:i/>
          <w:color w:val="000000"/>
          <w:sz w:val="22"/>
        </w:rPr>
        <w:t xml:space="preserve">Изискванията на чл. 24-25 от НМИМИС са насочени към осигуряване на защита на уеб сървъри и защита на Domain Name System. Изпълнението на посочените изисквания е важна стъпка за осигуряване на високо ниво на мрежова и информационна сигурност. </w:t>
      </w:r>
    </w:p>
    <w:p w:rsidR="00C97002" w:rsidRPr="00EA6851" w:rsidRDefault="00C97002" w:rsidP="00B30642">
      <w:pPr>
        <w:numPr>
          <w:ilvl w:val="0"/>
          <w:numId w:val="50"/>
        </w:numPr>
        <w:tabs>
          <w:tab w:val="left" w:pos="284"/>
          <w:tab w:val="left" w:pos="993"/>
        </w:tabs>
        <w:ind w:left="0" w:firstLine="0"/>
        <w:rPr>
          <w:b/>
          <w:color w:val="000000"/>
          <w:sz w:val="22"/>
        </w:rPr>
      </w:pPr>
      <w:r w:rsidRPr="00EA6851">
        <w:rPr>
          <w:b/>
          <w:color w:val="000000"/>
          <w:sz w:val="22"/>
        </w:rPr>
        <w:t>Надграждане и поддържане на eIDAS възел за осигуряване на възможност за трансгранична електронна идентификация</w:t>
      </w:r>
    </w:p>
    <w:p w:rsidR="00C97002" w:rsidRPr="00EA6851" w:rsidRDefault="00C97002" w:rsidP="0097230C">
      <w:pPr>
        <w:rPr>
          <w:i/>
          <w:color w:val="000000"/>
          <w:sz w:val="22"/>
        </w:rPr>
      </w:pPr>
      <w:r w:rsidRPr="00EA6851">
        <w:rPr>
          <w:i/>
          <w:color w:val="000000"/>
          <w:sz w:val="22"/>
        </w:rPr>
        <w:t>Измерва степента на изпълнение на Стратегическа цел 2: Трансформиране на администрацията в цифрова и развитие на услуги, ориентирани към потребителя.</w:t>
      </w:r>
    </w:p>
    <w:p w:rsidR="00C97002" w:rsidRPr="00EA6851" w:rsidRDefault="00C97002" w:rsidP="0097230C">
      <w:pPr>
        <w:rPr>
          <w:i/>
          <w:color w:val="000000"/>
          <w:sz w:val="22"/>
        </w:rPr>
      </w:pPr>
      <w:r w:rsidRPr="00EA6851">
        <w:rPr>
          <w:i/>
          <w:color w:val="000000"/>
          <w:sz w:val="22"/>
        </w:rPr>
        <w:t>Чрез eIDAS възела се изпълняват задълженията по Регламент (ЕС) № 910/2014 г. във връзка с трансграничната електронна идентификация. Той представлява точка на свързване, която е част от архитектурата за оперативна съвместимост на електронната идентификация и участва в трансграничното удостоверяване на автентичността на лица, като е в състояние да разпознава и обработва или препраща предавания на данни към други възли, с което дава възможност на националната инфраструктура за електронна идентификация на една държава членка да се свързва с националната инфраструктура за електронна идентификация на други държави членки.</w:t>
      </w:r>
    </w:p>
    <w:p w:rsidR="00C97002" w:rsidRPr="00EA6851" w:rsidRDefault="00C97002" w:rsidP="00B30642">
      <w:pPr>
        <w:numPr>
          <w:ilvl w:val="0"/>
          <w:numId w:val="50"/>
        </w:numPr>
        <w:tabs>
          <w:tab w:val="left" w:pos="284"/>
          <w:tab w:val="left" w:pos="993"/>
        </w:tabs>
        <w:ind w:left="0" w:firstLine="0"/>
        <w:rPr>
          <w:b/>
          <w:color w:val="000000"/>
          <w:sz w:val="22"/>
        </w:rPr>
      </w:pPr>
      <w:r w:rsidRPr="00EA6851">
        <w:rPr>
          <w:b/>
          <w:color w:val="000000"/>
          <w:sz w:val="22"/>
        </w:rPr>
        <w:t xml:space="preserve"> Поддръжка и развитие на Държавен хибриден частен облак, </w:t>
      </w:r>
      <w:r w:rsidR="0071219D" w:rsidRPr="00EA6851">
        <w:rPr>
          <w:b/>
          <w:color w:val="000000"/>
          <w:sz w:val="22"/>
        </w:rPr>
        <w:t>Защитен интернет възел (</w:t>
      </w:r>
      <w:r w:rsidRPr="00EA6851">
        <w:rPr>
          <w:b/>
          <w:color w:val="000000"/>
          <w:sz w:val="22"/>
        </w:rPr>
        <w:t>ЗИВ</w:t>
      </w:r>
      <w:r w:rsidR="0071219D" w:rsidRPr="00EA6851">
        <w:rPr>
          <w:b/>
          <w:color w:val="000000"/>
          <w:sz w:val="22"/>
        </w:rPr>
        <w:t>)</w:t>
      </w:r>
      <w:r w:rsidRPr="00EA6851">
        <w:rPr>
          <w:b/>
          <w:color w:val="000000"/>
          <w:sz w:val="22"/>
        </w:rPr>
        <w:t xml:space="preserve"> и </w:t>
      </w:r>
      <w:r w:rsidR="0071219D" w:rsidRPr="00EA6851">
        <w:rPr>
          <w:b/>
          <w:color w:val="000000"/>
          <w:sz w:val="22"/>
        </w:rPr>
        <w:t>Единна електронна съобщителна мрежа (</w:t>
      </w:r>
      <w:r w:rsidRPr="00EA6851">
        <w:rPr>
          <w:b/>
          <w:color w:val="000000"/>
          <w:sz w:val="22"/>
        </w:rPr>
        <w:t>ЕЕСМ</w:t>
      </w:r>
      <w:r w:rsidR="0071219D" w:rsidRPr="00EA6851">
        <w:rPr>
          <w:b/>
          <w:color w:val="000000"/>
          <w:sz w:val="22"/>
        </w:rPr>
        <w:t>)</w:t>
      </w:r>
      <w:r w:rsidRPr="00EA6851">
        <w:rPr>
          <w:b/>
          <w:color w:val="000000"/>
          <w:sz w:val="22"/>
        </w:rPr>
        <w:t>. Увеличен капацитет между опорни възли на ЕЕСМ</w:t>
      </w:r>
    </w:p>
    <w:p w:rsidR="00C97002" w:rsidRPr="00EA6851" w:rsidRDefault="00C97002" w:rsidP="0097230C">
      <w:pPr>
        <w:rPr>
          <w:i/>
          <w:color w:val="000000"/>
          <w:sz w:val="22"/>
        </w:rPr>
      </w:pPr>
      <w:r w:rsidRPr="00EA6851">
        <w:rPr>
          <w:i/>
          <w:color w:val="000000"/>
          <w:sz w:val="22"/>
        </w:rPr>
        <w:t xml:space="preserve">Измерва степента на изпълнение на Стратегическа цел 3: Развитие на споделените ресурси на електронното управление. </w:t>
      </w:r>
    </w:p>
    <w:p w:rsidR="00C97002" w:rsidRPr="00EA6851" w:rsidRDefault="00C97002" w:rsidP="0097230C">
      <w:pPr>
        <w:rPr>
          <w:i/>
          <w:color w:val="000000"/>
          <w:sz w:val="22"/>
        </w:rPr>
      </w:pPr>
      <w:r w:rsidRPr="00EA6851">
        <w:rPr>
          <w:i/>
          <w:color w:val="000000"/>
          <w:sz w:val="22"/>
        </w:rPr>
        <w:t>Държавният хибриден частен облак е основен компонент на споделените ресурси на електронното управление. Ефективното им използване зависи в голяма степен от осигуряването на необходимия ресурс за технологична поддръжка, популяризиране на техните възможности и налагане използването на услугите на облака. Необходимо е управляемо преминаване към по-високо използване на ресурси и облачни услуги.</w:t>
      </w:r>
    </w:p>
    <w:p w:rsidR="00C97002" w:rsidRPr="00EA6851" w:rsidRDefault="00C97002" w:rsidP="0097230C">
      <w:pPr>
        <w:tabs>
          <w:tab w:val="left" w:pos="284"/>
          <w:tab w:val="left" w:pos="993"/>
        </w:tabs>
        <w:rPr>
          <w:i/>
          <w:color w:val="000000"/>
          <w:sz w:val="22"/>
        </w:rPr>
      </w:pPr>
      <w:r w:rsidRPr="00EA6851">
        <w:rPr>
          <w:i/>
          <w:color w:val="000000"/>
          <w:sz w:val="22"/>
        </w:rPr>
        <w:t>Разширяване на ЕЕСМ до нови потребители – държавни институции и общини, ще доведе до разширяване на националното покритие на широколентовата инфраструктура и подобряване на качеството на предоставяните публичните е-услуги чрез нея, както и ще даде възможност за осигуряване на надеждни и сигурни комуникации за нуждите на държавното управление и националната сигурност в мирно време и в кризисни ситуации и оптимизиране на комуникационна среда за облачни услуги и системи.</w:t>
      </w:r>
    </w:p>
    <w:p w:rsidR="00C97002" w:rsidRPr="00EA6851" w:rsidRDefault="00C97002" w:rsidP="0097230C">
      <w:pPr>
        <w:rPr>
          <w:i/>
          <w:color w:val="000000"/>
          <w:sz w:val="22"/>
        </w:rPr>
      </w:pPr>
      <w:r w:rsidRPr="00EA6851">
        <w:rPr>
          <w:i/>
          <w:color w:val="000000"/>
          <w:sz w:val="22"/>
        </w:rPr>
        <w:t xml:space="preserve">Увеличението на обема информация/трафик по Единната електронна съобщителна мрежа  налага оптимизиране на топология и увеличаване на </w:t>
      </w:r>
      <w:r w:rsidR="0071219D" w:rsidRPr="00EA6851">
        <w:rPr>
          <w:i/>
          <w:color w:val="000000"/>
          <w:sz w:val="22"/>
        </w:rPr>
        <w:t xml:space="preserve">нейния </w:t>
      </w:r>
      <w:r w:rsidRPr="00EA6851">
        <w:rPr>
          <w:i/>
          <w:color w:val="000000"/>
          <w:sz w:val="22"/>
        </w:rPr>
        <w:t>пренос</w:t>
      </w:r>
      <w:r w:rsidR="0071219D" w:rsidRPr="00EA6851">
        <w:rPr>
          <w:i/>
          <w:color w:val="000000"/>
          <w:sz w:val="22"/>
        </w:rPr>
        <w:t>ен</w:t>
      </w:r>
      <w:r w:rsidRPr="00EA6851">
        <w:rPr>
          <w:i/>
          <w:color w:val="000000"/>
          <w:sz w:val="22"/>
        </w:rPr>
        <w:t xml:space="preserve"> капацитет.</w:t>
      </w:r>
    </w:p>
    <w:p w:rsidR="00C97002" w:rsidRPr="00EA6851" w:rsidRDefault="00C97002" w:rsidP="00B30642">
      <w:pPr>
        <w:numPr>
          <w:ilvl w:val="0"/>
          <w:numId w:val="50"/>
        </w:numPr>
        <w:tabs>
          <w:tab w:val="left" w:pos="284"/>
          <w:tab w:val="left" w:pos="993"/>
        </w:tabs>
        <w:ind w:left="0" w:firstLine="0"/>
        <w:rPr>
          <w:b/>
          <w:color w:val="000000"/>
          <w:sz w:val="22"/>
        </w:rPr>
      </w:pPr>
      <w:r w:rsidRPr="00EA6851">
        <w:rPr>
          <w:b/>
          <w:color w:val="000000"/>
          <w:sz w:val="22"/>
        </w:rPr>
        <w:t xml:space="preserve"> Развитие на секторната CSIRT мрежа и изграждане на възможност за автоматично докладване на инциденти от конституентите на Националния екип за реагиране при инциденти в компютърната сигурност (НЕРИКС)</w:t>
      </w:r>
    </w:p>
    <w:p w:rsidR="00C97002" w:rsidRPr="00EA6851" w:rsidRDefault="00C97002" w:rsidP="0097230C">
      <w:pPr>
        <w:rPr>
          <w:i/>
          <w:color w:val="000000"/>
          <w:sz w:val="22"/>
        </w:rPr>
      </w:pPr>
      <w:r w:rsidRPr="00EA6851">
        <w:rPr>
          <w:i/>
          <w:color w:val="000000"/>
          <w:sz w:val="22"/>
        </w:rPr>
        <w:t>Измерва степента на изпълнение на Стратегическа цел 4: Повишаване нивото на мрежовата и информационната сигурност.</w:t>
      </w:r>
    </w:p>
    <w:p w:rsidR="00C97002" w:rsidRPr="00EA6851" w:rsidRDefault="00C97002" w:rsidP="0097230C">
      <w:pPr>
        <w:rPr>
          <w:i/>
          <w:sz w:val="22"/>
        </w:rPr>
      </w:pPr>
      <w:r w:rsidRPr="00EA6851">
        <w:rPr>
          <w:i/>
          <w:sz w:val="22"/>
        </w:rPr>
        <w:t>В съответствие със Закон</w:t>
      </w:r>
      <w:r w:rsidR="00DA42C9" w:rsidRPr="00EA6851">
        <w:rPr>
          <w:i/>
          <w:sz w:val="22"/>
        </w:rPr>
        <w:t>а</w:t>
      </w:r>
      <w:r w:rsidRPr="00EA6851">
        <w:rPr>
          <w:i/>
          <w:sz w:val="22"/>
        </w:rPr>
        <w:t xml:space="preserve"> за киберсигурност е създадена мрежа от Екипи за реагиране на инциденти с компютърна сигурност (ЕРИКС ), определени чрез решение на Министерски съвет, които осъществяват задачи в съответния си сектор, като регистрират инциденти и подпомагат конституентите в сектора. Чрез развитието на секторната мрежа ще се разшири обхватът на осигуряването на киберсигурност в секторите на икономиката и ще се подобри общото ниво на мрежовата и информационна сигурност.</w:t>
      </w:r>
    </w:p>
    <w:p w:rsidR="00C97002" w:rsidRPr="00EA6851" w:rsidRDefault="00C97002" w:rsidP="00B30642">
      <w:pPr>
        <w:numPr>
          <w:ilvl w:val="0"/>
          <w:numId w:val="50"/>
        </w:numPr>
        <w:tabs>
          <w:tab w:val="left" w:pos="284"/>
          <w:tab w:val="left" w:pos="993"/>
        </w:tabs>
        <w:ind w:left="0" w:firstLine="0"/>
        <w:rPr>
          <w:b/>
          <w:color w:val="000000"/>
          <w:sz w:val="22"/>
        </w:rPr>
      </w:pPr>
      <w:r w:rsidRPr="00EA6851">
        <w:rPr>
          <w:b/>
          <w:color w:val="000000"/>
          <w:sz w:val="22"/>
        </w:rPr>
        <w:t xml:space="preserve"> Поддържане на технически протокол за обмен на електронни документи </w:t>
      </w:r>
    </w:p>
    <w:p w:rsidR="00C97002" w:rsidRPr="00EA6851" w:rsidRDefault="00C97002" w:rsidP="0097230C">
      <w:pPr>
        <w:rPr>
          <w:i/>
          <w:color w:val="000000"/>
          <w:sz w:val="22"/>
        </w:rPr>
      </w:pPr>
      <w:r w:rsidRPr="00EA6851">
        <w:rPr>
          <w:i/>
          <w:color w:val="000000"/>
          <w:sz w:val="22"/>
        </w:rPr>
        <w:t>Измерва степента на изпълнение на Стратегическа цел 2: Трансформиране на администрацията в цифрова и развитие на услуги, ориентирани към потребителя.</w:t>
      </w:r>
    </w:p>
    <w:p w:rsidR="00C97002" w:rsidRPr="00EA6851" w:rsidRDefault="00C97002" w:rsidP="0097230C">
      <w:pPr>
        <w:rPr>
          <w:i/>
          <w:color w:val="000000"/>
          <w:sz w:val="22"/>
        </w:rPr>
      </w:pPr>
      <w:r w:rsidRPr="00EA6851">
        <w:rPr>
          <w:i/>
          <w:color w:val="000000"/>
          <w:sz w:val="22"/>
        </w:rPr>
        <w:t xml:space="preserve">Преустановяването на хартиения обмен между администрациите е всеобхватна мярка на национално равнище за премахване на хартиената администрация и за намаляване на административната тежест за гражданите, за бизнеса и за самите администрации. Изцяло електронният документооборот е видима стъпка за преодоляване на „аналоговата“ култура в администрацията, стъпка, която е от ключово значение за цифровизацията на административните процеси на всички равнища. </w:t>
      </w:r>
    </w:p>
    <w:p w:rsidR="00C97002" w:rsidRPr="00EA6851" w:rsidRDefault="00C97002" w:rsidP="00B30642">
      <w:pPr>
        <w:numPr>
          <w:ilvl w:val="0"/>
          <w:numId w:val="50"/>
        </w:numPr>
        <w:tabs>
          <w:tab w:val="left" w:pos="284"/>
          <w:tab w:val="left" w:pos="993"/>
        </w:tabs>
        <w:ind w:left="0" w:firstLine="0"/>
        <w:rPr>
          <w:b/>
          <w:color w:val="000000"/>
          <w:sz w:val="22"/>
        </w:rPr>
      </w:pPr>
      <w:r w:rsidRPr="00EA6851">
        <w:rPr>
          <w:b/>
          <w:color w:val="000000"/>
          <w:sz w:val="22"/>
        </w:rPr>
        <w:t xml:space="preserve"> Извършване на проверки и контрол по Закона за електронно управление (ЗЕУ), Закона за киберсигурност (ЗКС), Закона за достъп до обществена информация (ЗДОИ) и Закона за достъп до пространствени данни (ЗДПД)</w:t>
      </w:r>
    </w:p>
    <w:p w:rsidR="00C97002" w:rsidRPr="00EA6851" w:rsidRDefault="00C97002" w:rsidP="0097230C">
      <w:pPr>
        <w:tabs>
          <w:tab w:val="left" w:pos="851"/>
        </w:tabs>
        <w:rPr>
          <w:i/>
          <w:color w:val="000000"/>
          <w:sz w:val="22"/>
        </w:rPr>
      </w:pPr>
      <w:r w:rsidRPr="00EA6851">
        <w:rPr>
          <w:i/>
          <w:color w:val="000000"/>
          <w:sz w:val="22"/>
        </w:rPr>
        <w:t>Измерва степента на изпълнение на Стратегическа цел 1: Развитие и контрол на политиките за е-управление и мрежова и информационна сигурност.</w:t>
      </w:r>
    </w:p>
    <w:p w:rsidR="00C97002" w:rsidRPr="00EA6851" w:rsidRDefault="00C97002" w:rsidP="0097230C">
      <w:pPr>
        <w:tabs>
          <w:tab w:val="left" w:pos="851"/>
        </w:tabs>
        <w:rPr>
          <w:i/>
          <w:color w:val="000000"/>
          <w:sz w:val="22"/>
        </w:rPr>
      </w:pPr>
      <w:r w:rsidRPr="00EA6851">
        <w:rPr>
          <w:i/>
          <w:color w:val="000000"/>
          <w:sz w:val="22"/>
        </w:rPr>
        <w:t>Извършването на ефективен контрол по спазване на изискванията на ЗЕУ, ЗКС, ЗДОИ, ЗДПД и подзаконовите нормативни актове по прилагането им цели повишаване на нивото на електронния обмен на документи и данни между административните органи, гражданите и бизнеса, на предоставянето на електронни административни услуги от лицата по чл. 1, ал. 1 и ал. 2 от ЗЕУ и достъпността на техните уебсайтове, както и нивото на мрежова и информационна сигурност.</w:t>
      </w:r>
    </w:p>
    <w:p w:rsidR="00C97002" w:rsidRPr="00EA6851" w:rsidRDefault="00C97002" w:rsidP="00B30642">
      <w:pPr>
        <w:numPr>
          <w:ilvl w:val="0"/>
          <w:numId w:val="50"/>
        </w:numPr>
        <w:tabs>
          <w:tab w:val="left" w:pos="284"/>
          <w:tab w:val="left" w:pos="993"/>
        </w:tabs>
        <w:ind w:left="0" w:firstLine="0"/>
        <w:rPr>
          <w:b/>
          <w:color w:val="000000"/>
          <w:sz w:val="22"/>
        </w:rPr>
      </w:pPr>
      <w:r w:rsidRPr="00EA6851">
        <w:rPr>
          <w:b/>
          <w:color w:val="000000"/>
          <w:sz w:val="22"/>
        </w:rPr>
        <w:t xml:space="preserve"> Съставен индекс за цифрова икономика и общество (Digital Economy and Society Index, DESI) за България</w:t>
      </w:r>
    </w:p>
    <w:p w:rsidR="00C97002" w:rsidRPr="00EA6851" w:rsidRDefault="00C97002" w:rsidP="0097230C">
      <w:pPr>
        <w:tabs>
          <w:tab w:val="left" w:pos="851"/>
          <w:tab w:val="left" w:pos="993"/>
        </w:tabs>
        <w:rPr>
          <w:i/>
          <w:color w:val="000000"/>
          <w:sz w:val="22"/>
        </w:rPr>
      </w:pPr>
      <w:r w:rsidRPr="00EA6851">
        <w:rPr>
          <w:i/>
          <w:color w:val="000000"/>
          <w:sz w:val="22"/>
        </w:rPr>
        <w:t>Измерва степента на изпълнение на Стратегическа цел 5: Осигуряване на равнопоставен и широк достъп до ефективни, качествени и сигурни услуги на информационното общество за гражданите, бизнеса и държавното управление, както и равни възможности за придобиване на умения за използването им.</w:t>
      </w:r>
    </w:p>
    <w:p w:rsidR="00C97002" w:rsidRPr="00EA6851" w:rsidRDefault="00C97002" w:rsidP="0097230C">
      <w:pPr>
        <w:tabs>
          <w:tab w:val="left" w:pos="851"/>
          <w:tab w:val="left" w:pos="993"/>
        </w:tabs>
        <w:rPr>
          <w:i/>
          <w:color w:val="000000"/>
          <w:sz w:val="22"/>
        </w:rPr>
      </w:pPr>
      <w:r w:rsidRPr="00EA6851">
        <w:rPr>
          <w:i/>
          <w:color w:val="000000"/>
          <w:sz w:val="22"/>
        </w:rPr>
        <w:t>DESI измерва степента на изпълнение на четирите политически области: човешки капитал, свързаност, внедряване на цифрови технологии и цифрови публични услуги, като обобщава съответните показатели за цифровизацията</w:t>
      </w:r>
      <w:r w:rsidR="0071219D" w:rsidRPr="00EA6851">
        <w:rPr>
          <w:i/>
          <w:color w:val="000000"/>
          <w:sz w:val="22"/>
        </w:rPr>
        <w:t xml:space="preserve"> в Европа като цяло и държавите-</w:t>
      </w:r>
      <w:r w:rsidRPr="00EA6851">
        <w:rPr>
          <w:i/>
          <w:color w:val="000000"/>
          <w:sz w:val="22"/>
        </w:rPr>
        <w:t>членки на ЕС поотделно. Той е структуриран в четири глави:</w:t>
      </w:r>
    </w:p>
    <w:tbl>
      <w:tblPr>
        <w:tblW w:w="9210" w:type="dxa"/>
        <w:tblBorders>
          <w:bottom w:val="single" w:sz="4" w:space="0" w:color="auto"/>
        </w:tblBorders>
        <w:tblLayout w:type="fixed"/>
        <w:tblLook w:val="04A0" w:firstRow="1" w:lastRow="0" w:firstColumn="1" w:lastColumn="0" w:noHBand="0" w:noVBand="1"/>
      </w:tblPr>
      <w:tblGrid>
        <w:gridCol w:w="3962"/>
        <w:gridCol w:w="5248"/>
      </w:tblGrid>
      <w:tr w:rsidR="00C97002" w:rsidRPr="00EA6851" w:rsidTr="00E04690">
        <w:trPr>
          <w:trHeight w:val="534"/>
        </w:trPr>
        <w:tc>
          <w:tcPr>
            <w:tcW w:w="3964" w:type="dxa"/>
            <w:tcBorders>
              <w:top w:val="single" w:sz="4" w:space="0" w:color="auto"/>
              <w:left w:val="nil"/>
              <w:bottom w:val="single" w:sz="4" w:space="0" w:color="auto"/>
              <w:right w:val="nil"/>
            </w:tcBorders>
            <w:vAlign w:val="center"/>
            <w:hideMark/>
          </w:tcPr>
          <w:p w:rsidR="00C97002" w:rsidRPr="00EA6851" w:rsidRDefault="00C97002" w:rsidP="0097230C">
            <w:pPr>
              <w:tabs>
                <w:tab w:val="left" w:pos="851"/>
                <w:tab w:val="left" w:pos="993"/>
              </w:tabs>
              <w:rPr>
                <w:i/>
                <w:sz w:val="22"/>
              </w:rPr>
            </w:pPr>
            <w:r w:rsidRPr="00EA6851">
              <w:rPr>
                <w:b/>
                <w:i/>
                <w:sz w:val="22"/>
              </w:rPr>
              <w:t xml:space="preserve">1. Свързаност </w:t>
            </w:r>
          </w:p>
        </w:tc>
        <w:tc>
          <w:tcPr>
            <w:tcW w:w="5250" w:type="dxa"/>
            <w:tcBorders>
              <w:top w:val="single" w:sz="4" w:space="0" w:color="auto"/>
              <w:left w:val="nil"/>
              <w:bottom w:val="single" w:sz="4" w:space="0" w:color="auto"/>
              <w:right w:val="nil"/>
            </w:tcBorders>
            <w:hideMark/>
          </w:tcPr>
          <w:p w:rsidR="00C97002" w:rsidRPr="00EA6851" w:rsidRDefault="00C97002" w:rsidP="0097230C">
            <w:pPr>
              <w:tabs>
                <w:tab w:val="left" w:pos="851"/>
                <w:tab w:val="left" w:pos="993"/>
              </w:tabs>
              <w:rPr>
                <w:i/>
                <w:sz w:val="22"/>
              </w:rPr>
            </w:pPr>
            <w:r w:rsidRPr="00EA6851">
              <w:rPr>
                <w:i/>
                <w:sz w:val="22"/>
              </w:rPr>
              <w:t xml:space="preserve">Фиксирана широколентова свързаност, мобилна широколентова свързаност и цени </w:t>
            </w:r>
          </w:p>
        </w:tc>
      </w:tr>
      <w:tr w:rsidR="00C97002" w:rsidRPr="00EA6851" w:rsidTr="0097230C">
        <w:trPr>
          <w:trHeight w:val="403"/>
        </w:trPr>
        <w:tc>
          <w:tcPr>
            <w:tcW w:w="3964" w:type="dxa"/>
            <w:tcBorders>
              <w:top w:val="single" w:sz="4" w:space="0" w:color="auto"/>
              <w:left w:val="nil"/>
              <w:bottom w:val="single" w:sz="4" w:space="0" w:color="auto"/>
              <w:right w:val="nil"/>
            </w:tcBorders>
            <w:vAlign w:val="center"/>
            <w:hideMark/>
          </w:tcPr>
          <w:p w:rsidR="00C97002" w:rsidRPr="00EA6851" w:rsidRDefault="00C97002" w:rsidP="0097230C">
            <w:pPr>
              <w:tabs>
                <w:tab w:val="left" w:pos="851"/>
                <w:tab w:val="left" w:pos="993"/>
              </w:tabs>
              <w:rPr>
                <w:i/>
                <w:sz w:val="22"/>
              </w:rPr>
            </w:pPr>
            <w:r w:rsidRPr="00EA6851">
              <w:rPr>
                <w:b/>
                <w:i/>
                <w:sz w:val="22"/>
              </w:rPr>
              <w:t xml:space="preserve">2. Човешки капитал </w:t>
            </w:r>
          </w:p>
        </w:tc>
        <w:tc>
          <w:tcPr>
            <w:tcW w:w="5250" w:type="dxa"/>
            <w:tcBorders>
              <w:top w:val="single" w:sz="4" w:space="0" w:color="auto"/>
              <w:left w:val="nil"/>
              <w:bottom w:val="single" w:sz="4" w:space="0" w:color="auto"/>
              <w:right w:val="nil"/>
            </w:tcBorders>
            <w:hideMark/>
          </w:tcPr>
          <w:p w:rsidR="00C97002" w:rsidRPr="00EA6851" w:rsidRDefault="00C97002" w:rsidP="0097230C">
            <w:pPr>
              <w:tabs>
                <w:tab w:val="left" w:pos="851"/>
                <w:tab w:val="left" w:pos="993"/>
              </w:tabs>
              <w:rPr>
                <w:i/>
                <w:sz w:val="22"/>
              </w:rPr>
            </w:pPr>
            <w:r w:rsidRPr="00EA6851">
              <w:rPr>
                <w:i/>
                <w:sz w:val="22"/>
              </w:rPr>
              <w:t xml:space="preserve">Използване на интернет, основни и специализирани умения в областта на цифровите технологии </w:t>
            </w:r>
          </w:p>
        </w:tc>
      </w:tr>
      <w:tr w:rsidR="00C97002" w:rsidRPr="00EA6851" w:rsidTr="00E04690">
        <w:trPr>
          <w:trHeight w:val="615"/>
        </w:trPr>
        <w:tc>
          <w:tcPr>
            <w:tcW w:w="3964" w:type="dxa"/>
            <w:tcBorders>
              <w:top w:val="single" w:sz="4" w:space="0" w:color="auto"/>
              <w:left w:val="nil"/>
              <w:bottom w:val="single" w:sz="4" w:space="0" w:color="auto"/>
              <w:right w:val="nil"/>
            </w:tcBorders>
            <w:vAlign w:val="center"/>
            <w:hideMark/>
          </w:tcPr>
          <w:p w:rsidR="00C97002" w:rsidRPr="00EA6851" w:rsidRDefault="00C97002" w:rsidP="0097230C">
            <w:pPr>
              <w:tabs>
                <w:tab w:val="left" w:pos="641"/>
              </w:tabs>
              <w:jc w:val="left"/>
              <w:rPr>
                <w:i/>
                <w:sz w:val="22"/>
              </w:rPr>
            </w:pPr>
            <w:r w:rsidRPr="00EA6851">
              <w:rPr>
                <w:b/>
                <w:i/>
                <w:sz w:val="22"/>
              </w:rPr>
              <w:t xml:space="preserve">3. Внедряване на цифрови технологии </w:t>
            </w:r>
          </w:p>
        </w:tc>
        <w:tc>
          <w:tcPr>
            <w:tcW w:w="5250" w:type="dxa"/>
            <w:tcBorders>
              <w:top w:val="single" w:sz="4" w:space="0" w:color="auto"/>
              <w:left w:val="nil"/>
              <w:bottom w:val="single" w:sz="4" w:space="0" w:color="auto"/>
              <w:right w:val="nil"/>
            </w:tcBorders>
            <w:hideMark/>
          </w:tcPr>
          <w:p w:rsidR="00C97002" w:rsidRPr="00EA6851" w:rsidRDefault="00C97002" w:rsidP="0097230C">
            <w:pPr>
              <w:tabs>
                <w:tab w:val="left" w:pos="851"/>
                <w:tab w:val="left" w:pos="993"/>
              </w:tabs>
              <w:rPr>
                <w:i/>
                <w:sz w:val="22"/>
              </w:rPr>
            </w:pPr>
            <w:r w:rsidRPr="00EA6851">
              <w:rPr>
                <w:i/>
                <w:sz w:val="22"/>
              </w:rPr>
              <w:t>Цифровизация на стопанската дейност и електронна търговия</w:t>
            </w:r>
          </w:p>
        </w:tc>
      </w:tr>
      <w:tr w:rsidR="00C97002" w:rsidRPr="00EA6851" w:rsidTr="0097230C">
        <w:trPr>
          <w:trHeight w:val="320"/>
        </w:trPr>
        <w:tc>
          <w:tcPr>
            <w:tcW w:w="3964" w:type="dxa"/>
            <w:tcBorders>
              <w:top w:val="single" w:sz="4" w:space="0" w:color="auto"/>
              <w:left w:val="nil"/>
              <w:bottom w:val="single" w:sz="4" w:space="0" w:color="auto"/>
              <w:right w:val="nil"/>
            </w:tcBorders>
            <w:vAlign w:val="center"/>
            <w:hideMark/>
          </w:tcPr>
          <w:p w:rsidR="00C97002" w:rsidRPr="00EA6851" w:rsidRDefault="00C97002" w:rsidP="0097230C">
            <w:pPr>
              <w:tabs>
                <w:tab w:val="left" w:pos="851"/>
                <w:tab w:val="left" w:pos="993"/>
              </w:tabs>
              <w:rPr>
                <w:b/>
                <w:i/>
                <w:sz w:val="22"/>
              </w:rPr>
            </w:pPr>
            <w:r w:rsidRPr="00EA6851">
              <w:rPr>
                <w:b/>
                <w:i/>
                <w:sz w:val="22"/>
              </w:rPr>
              <w:t>4. Цифрови обществени услуги</w:t>
            </w:r>
          </w:p>
        </w:tc>
        <w:tc>
          <w:tcPr>
            <w:tcW w:w="5250" w:type="dxa"/>
            <w:tcBorders>
              <w:top w:val="single" w:sz="4" w:space="0" w:color="auto"/>
              <w:left w:val="nil"/>
              <w:bottom w:val="single" w:sz="4" w:space="0" w:color="auto"/>
              <w:right w:val="nil"/>
            </w:tcBorders>
            <w:hideMark/>
          </w:tcPr>
          <w:p w:rsidR="00C97002" w:rsidRPr="00EA6851" w:rsidRDefault="00C97002" w:rsidP="0097230C">
            <w:pPr>
              <w:tabs>
                <w:tab w:val="left" w:pos="851"/>
                <w:tab w:val="left" w:pos="993"/>
              </w:tabs>
              <w:rPr>
                <w:i/>
                <w:sz w:val="22"/>
              </w:rPr>
            </w:pPr>
            <w:r w:rsidRPr="00EA6851">
              <w:rPr>
                <w:i/>
                <w:sz w:val="22"/>
              </w:rPr>
              <w:t xml:space="preserve">Електронно управление и електронно здравеопазване </w:t>
            </w:r>
          </w:p>
        </w:tc>
      </w:tr>
    </w:tbl>
    <w:p w:rsidR="002E00B3" w:rsidRPr="00EA6851" w:rsidRDefault="002E00B3" w:rsidP="0097230C">
      <w:pPr>
        <w:tabs>
          <w:tab w:val="left" w:pos="851"/>
          <w:tab w:val="left" w:pos="993"/>
        </w:tabs>
        <w:contextualSpacing/>
        <w:rPr>
          <w:i/>
          <w:color w:val="000000"/>
          <w:sz w:val="22"/>
        </w:rPr>
      </w:pPr>
    </w:p>
    <w:p w:rsidR="00C97002" w:rsidRPr="00EA6851" w:rsidRDefault="00C97002" w:rsidP="0097230C">
      <w:pPr>
        <w:tabs>
          <w:tab w:val="left" w:pos="851"/>
          <w:tab w:val="left" w:pos="993"/>
        </w:tabs>
        <w:rPr>
          <w:i/>
          <w:color w:val="000000"/>
          <w:sz w:val="22"/>
        </w:rPr>
      </w:pPr>
      <w:r w:rsidRPr="00EA6851">
        <w:rPr>
          <w:i/>
          <w:color w:val="000000"/>
          <w:sz w:val="22"/>
        </w:rPr>
        <w:t xml:space="preserve">Напредъкът по четирите политически области ще се измерва с 16 ключови показатели за ефективност/КПЕ. 11 КПЕ са съществуващите показатели за DESI: основни цифрови умения, специалисти в областта на ИКТ, гигабитова свързаност, 5G покритие, МСП с поне основно ниво на цифров интензитет, изчисления в облак, големи информационни масиви/данни, изкуствен интелект, еднорози и онлайн публични услуги за гражданите и предприятията. Освен това има пет нови КПЕ, за които все още няма базови стойности: квантови изчисления, електронно здравеопазване, електронна идентификация, полупроводници и периферни възли. Комисията ще наблюдава напредъка на Съюза по отношение на постигането на общите и цифровите цели, като за тази цел ще разчита на DESI и ще определя посредством акт за изпълнение КПЕ за всяка цифрова цел. </w:t>
      </w:r>
    </w:p>
    <w:p w:rsidR="00C97002" w:rsidRPr="00EA6851" w:rsidRDefault="00C97002" w:rsidP="0071219D">
      <w:pPr>
        <w:tabs>
          <w:tab w:val="left" w:pos="851"/>
          <w:tab w:val="left" w:pos="993"/>
        </w:tabs>
        <w:rPr>
          <w:i/>
          <w:color w:val="000000"/>
          <w:sz w:val="22"/>
        </w:rPr>
      </w:pPr>
      <w:r w:rsidRPr="00EA6851">
        <w:rPr>
          <w:b/>
          <w:i/>
          <w:color w:val="000000"/>
          <w:sz w:val="22"/>
        </w:rPr>
        <w:t>Предимства:</w:t>
      </w:r>
      <w:r w:rsidRPr="00EA6851">
        <w:rPr>
          <w:i/>
          <w:color w:val="000000"/>
          <w:sz w:val="22"/>
        </w:rPr>
        <w:t xml:space="preserve"> Информацията се набира от Европейската комисия от меродавни източници, като Евростат и ежегодни проучвания. Стойностите средно за ЕС и по държави членки се публикуват веднъж годишно в Доклада относно DESI, който проследява напредъка, отбелязан от държавите членки по отношение на цифровизацията. Това дава възможност за сравнение, както по отношение на напредъка във времето, така и по отношение на разликите между </w:t>
      </w:r>
      <w:r w:rsidR="0071219D" w:rsidRPr="00EA6851">
        <w:rPr>
          <w:i/>
          <w:color w:val="000000"/>
          <w:sz w:val="22"/>
        </w:rPr>
        <w:t>отделните държави</w:t>
      </w:r>
      <w:r w:rsidR="007F2F7C" w:rsidRPr="00EA6851">
        <w:rPr>
          <w:i/>
          <w:color w:val="000000"/>
          <w:sz w:val="22"/>
        </w:rPr>
        <w:t>-</w:t>
      </w:r>
      <w:r w:rsidR="0071219D" w:rsidRPr="00EA6851">
        <w:rPr>
          <w:i/>
          <w:color w:val="000000"/>
          <w:sz w:val="22"/>
        </w:rPr>
        <w:t>членки на ЕС.</w:t>
      </w:r>
    </w:p>
    <w:p w:rsidR="00E71237" w:rsidRPr="00EA6851" w:rsidRDefault="00E71237" w:rsidP="00E71237">
      <w:pPr>
        <w:pStyle w:val="Heading3"/>
        <w:ind w:left="0"/>
      </w:pPr>
      <w:r w:rsidRPr="00EA6851">
        <w:t>Политика в областта на туризма</w:t>
      </w:r>
    </w:p>
    <w:p w:rsidR="00C97002" w:rsidRPr="0030405E" w:rsidRDefault="00C97002" w:rsidP="0097230C">
      <w:pPr>
        <w:rPr>
          <w:i/>
        </w:rPr>
      </w:pPr>
      <w:r w:rsidRPr="0030405E">
        <w:rPr>
          <w:b/>
        </w:rPr>
        <w:t>Министерството на туризма</w:t>
      </w:r>
      <w:r w:rsidRPr="00EA6851">
        <w:t xml:space="preserve"> изпълнява </w:t>
      </w:r>
      <w:r w:rsidRPr="0030405E">
        <w:rPr>
          <w:i/>
        </w:rPr>
        <w:t>политиката в областта на устойчивото развитие на туризма.</w:t>
      </w:r>
    </w:p>
    <w:p w:rsidR="00C97002" w:rsidRPr="00EA6851" w:rsidRDefault="00C97002" w:rsidP="0097230C">
      <w:pPr>
        <w:rPr>
          <w:rFonts w:cs="Times New Roman"/>
          <w:szCs w:val="24"/>
        </w:rPr>
      </w:pPr>
      <w:r w:rsidRPr="00EA6851">
        <w:t xml:space="preserve">Политиката за устойчиво развитие на туризма е в подкрепа на устойчивото икономическо развитие на страната, като провеждането й гарантира повишаване на конкурентоспособността на този сектор и по-доброто позициониране на бранд </w:t>
      </w:r>
      <w:r w:rsidR="00B64F29">
        <w:t>„</w:t>
      </w:r>
      <w:r w:rsidRPr="00EA6851">
        <w:t>България</w:t>
      </w:r>
      <w:r w:rsidR="00B64F29">
        <w:t>“</w:t>
      </w:r>
      <w:r w:rsidRPr="00EA6851">
        <w:t xml:space="preserve"> и българския туристически продукт. Това ще доведе до насърчаване на вътрешния туризъм и възстановяване на туристическите посещения на чужденци в България и оттам повишаване на броя на нощувките и на приходите от туризъм и свързани с него дейности.</w:t>
      </w:r>
    </w:p>
    <w:p w:rsidR="00C97002" w:rsidRPr="00EA6851" w:rsidRDefault="0071219D" w:rsidP="0097230C">
      <w:pPr>
        <w:rPr>
          <w:rFonts w:cs="Times New Roman"/>
          <w:szCs w:val="24"/>
        </w:rPr>
      </w:pPr>
      <w:r w:rsidRPr="00EA6851">
        <w:rPr>
          <w:rFonts w:cs="Times New Roman"/>
          <w:szCs w:val="24"/>
        </w:rPr>
        <w:t>Министерство</w:t>
      </w:r>
      <w:r w:rsidR="00F120AF" w:rsidRPr="00EA6851">
        <w:rPr>
          <w:rFonts w:cs="Times New Roman"/>
          <w:szCs w:val="24"/>
        </w:rPr>
        <w:t>то</w:t>
      </w:r>
      <w:r w:rsidRPr="00EA6851">
        <w:rPr>
          <w:rFonts w:cs="Times New Roman"/>
          <w:szCs w:val="24"/>
        </w:rPr>
        <w:t xml:space="preserve"> на туризма</w:t>
      </w:r>
      <w:r w:rsidR="00C97002" w:rsidRPr="00EA6851">
        <w:rPr>
          <w:rFonts w:cs="Times New Roman"/>
          <w:szCs w:val="24"/>
        </w:rPr>
        <w:t xml:space="preserve"> ориентира дейността си към постигане на устойчиво развитие на сектора с ясен стремеж за достигане на по-голям относителен дял от БВП. Мисията на Министерството на туризма е да води ясна и прозрачна туристическа политика, която защитава държавния и обществения интерес и е основана на европейските принципи. М</w:t>
      </w:r>
      <w:r w:rsidR="00F120AF" w:rsidRPr="00EA6851">
        <w:rPr>
          <w:rFonts w:cs="Times New Roman"/>
          <w:szCs w:val="24"/>
        </w:rPr>
        <w:t>инистерството на туризма</w:t>
      </w:r>
      <w:r w:rsidR="00C97002" w:rsidRPr="00EA6851">
        <w:rPr>
          <w:rFonts w:cs="Times New Roman"/>
          <w:szCs w:val="24"/>
        </w:rPr>
        <w:t xml:space="preserve"> ще работи за създаване на условия за устойчиво развитие на дестинацията и туристическите райони през четирите сезона, повишаване на конкурентоспособността на туристическия сектор и качеството на туристическия продукт, на основата на партньорство между всички заинтересовани страни. </w:t>
      </w:r>
    </w:p>
    <w:p w:rsidR="00C97002" w:rsidRPr="00EA6851" w:rsidRDefault="00C97002" w:rsidP="0097230C">
      <w:pPr>
        <w:rPr>
          <w:rFonts w:cs="Times New Roman"/>
          <w:szCs w:val="24"/>
        </w:rPr>
      </w:pPr>
      <w:r w:rsidRPr="00EA6851">
        <w:rPr>
          <w:rFonts w:cs="Times New Roman"/>
          <w:szCs w:val="24"/>
        </w:rPr>
        <w:t>За пер</w:t>
      </w:r>
      <w:r w:rsidR="0071219D" w:rsidRPr="00EA6851">
        <w:rPr>
          <w:rFonts w:cs="Times New Roman"/>
          <w:szCs w:val="24"/>
        </w:rPr>
        <w:t>иода 202</w:t>
      </w:r>
      <w:r w:rsidR="00F120AF" w:rsidRPr="00EA6851">
        <w:rPr>
          <w:rFonts w:cs="Times New Roman"/>
          <w:szCs w:val="24"/>
        </w:rPr>
        <w:t>4</w:t>
      </w:r>
      <w:r w:rsidR="0071219D" w:rsidRPr="00EA6851">
        <w:rPr>
          <w:rFonts w:cs="Times New Roman"/>
          <w:szCs w:val="24"/>
        </w:rPr>
        <w:t>-</w:t>
      </w:r>
      <w:r w:rsidRPr="00EA6851">
        <w:rPr>
          <w:rFonts w:cs="Times New Roman"/>
          <w:szCs w:val="24"/>
        </w:rPr>
        <w:t>2026 г. М</w:t>
      </w:r>
      <w:r w:rsidR="00F120AF" w:rsidRPr="00EA6851">
        <w:rPr>
          <w:rFonts w:cs="Times New Roman"/>
          <w:szCs w:val="24"/>
        </w:rPr>
        <w:t>инистерството на туризма</w:t>
      </w:r>
      <w:r w:rsidRPr="00EA6851">
        <w:rPr>
          <w:rFonts w:cs="Times New Roman"/>
          <w:szCs w:val="24"/>
        </w:rPr>
        <w:t xml:space="preserve"> ще работи за устойчиво повишаване </w:t>
      </w:r>
      <w:r w:rsidR="006E459E">
        <w:rPr>
          <w:rFonts w:cs="Times New Roman"/>
          <w:szCs w:val="24"/>
        </w:rPr>
        <w:t xml:space="preserve">на </w:t>
      </w:r>
      <w:r w:rsidRPr="00EA6851">
        <w:rPr>
          <w:rFonts w:cs="Times New Roman"/>
          <w:szCs w:val="24"/>
        </w:rPr>
        <w:t>административния капацитет, включително и чрез допълнително прецизиране и адаптиране на структурата и на функциите на администрацията и на административните структури към министъра на туризма, качествено обслужване на гражданите и бизнеса, и благоприятстване на устойчив икономически растеж и заетост.</w:t>
      </w:r>
    </w:p>
    <w:p w:rsidR="00C97002" w:rsidRPr="00EA6851" w:rsidRDefault="00C97002" w:rsidP="0097230C">
      <w:pPr>
        <w:rPr>
          <w:rFonts w:cs="Times New Roman"/>
          <w:szCs w:val="24"/>
        </w:rPr>
      </w:pPr>
      <w:r w:rsidRPr="00EA6851">
        <w:rPr>
          <w:rFonts w:cs="Times New Roman"/>
          <w:szCs w:val="24"/>
        </w:rPr>
        <w:t xml:space="preserve">Министерството на туризма ще развива политиката в областта на туризма с акцент върху развитие на специализираните форми на туризъм, в подкрепа на устойчивото икономическо развитие на страната, като провеждането ѝ да гарантира повишаване на конкурентоспособността на сектора при новите реалности, които предполагат правилно и точно позициониране на българския туристически продукт. Това ще доведе до насърчаване на вътрешния туризъм и възстановяване на туристическите посещения на чужденци в България, при спазване на всички необходими санитарни и здравни изисквания – със заложени ключови думи сигурност и предвидимост при планиране на туристическите сезони.  </w:t>
      </w:r>
    </w:p>
    <w:p w:rsidR="00C97002" w:rsidRPr="00EA6851" w:rsidRDefault="00C97002" w:rsidP="0097230C">
      <w:pPr>
        <w:rPr>
          <w:rFonts w:cs="Times New Roman"/>
          <w:szCs w:val="24"/>
        </w:rPr>
      </w:pPr>
      <w:r w:rsidRPr="00EA6851">
        <w:rPr>
          <w:rFonts w:cs="Times New Roman"/>
          <w:szCs w:val="24"/>
        </w:rPr>
        <w:t xml:space="preserve">Политиката в туризма е ориентирана към справяне с безпрецедентния натиск от страна на новите предизвикателства върху туристическата екосистема. </w:t>
      </w:r>
    </w:p>
    <w:p w:rsidR="00C97002" w:rsidRPr="00EA6851" w:rsidRDefault="00C97002" w:rsidP="0097230C">
      <w:pPr>
        <w:rPr>
          <w:rFonts w:cs="Times New Roman"/>
          <w:color w:val="000000"/>
          <w:szCs w:val="24"/>
        </w:rPr>
      </w:pPr>
      <w:r w:rsidRPr="00EA6851">
        <w:rPr>
          <w:rFonts w:cs="Times New Roman"/>
          <w:color w:val="000000"/>
          <w:szCs w:val="24"/>
        </w:rPr>
        <w:t>Министерството на туризма ще продължи да подпомага бизнеса от сектор туризъм правилно да идентифицира възможностите за подкрепа като кандидатства по програмите на Плана за възстановяване и устойчивост и да се интегрира успешно в европейските рамки.</w:t>
      </w:r>
    </w:p>
    <w:p w:rsidR="00C97002" w:rsidRPr="00EA6851" w:rsidRDefault="00C97002" w:rsidP="0097230C">
      <w:r w:rsidRPr="00EA6851">
        <w:t>Предвидените средства за периода 2024-2026 г. са насочени към:</w:t>
      </w:r>
    </w:p>
    <w:p w:rsidR="00C97002" w:rsidRPr="00EA6851" w:rsidRDefault="00C97002" w:rsidP="00B30642">
      <w:pPr>
        <w:pStyle w:val="ListParagraph"/>
        <w:numPr>
          <w:ilvl w:val="0"/>
          <w:numId w:val="54"/>
        </w:numPr>
        <w:tabs>
          <w:tab w:val="left" w:pos="993"/>
          <w:tab w:val="left" w:pos="1134"/>
        </w:tabs>
      </w:pPr>
      <w:r w:rsidRPr="00EA6851">
        <w:t>Оптимизиране на модела за планиране и управление на туристическото развитие на България с оглед постигане на висок и устойчив икономически растеж;</w:t>
      </w:r>
    </w:p>
    <w:p w:rsidR="00C97002" w:rsidRPr="00EA6851" w:rsidRDefault="00C97002" w:rsidP="00B30642">
      <w:pPr>
        <w:pStyle w:val="ListParagraph"/>
        <w:numPr>
          <w:ilvl w:val="0"/>
          <w:numId w:val="54"/>
        </w:numPr>
        <w:tabs>
          <w:tab w:val="left" w:pos="993"/>
          <w:tab w:val="left" w:pos="1134"/>
        </w:tabs>
      </w:pPr>
      <w:r w:rsidRPr="00EA6851">
        <w:t>Подобряване на рамковите условия за стимулиране качеството на туристическия продукт, защита на потребителите на туристически услуги и намаляване на клиентския риск на българските и чуждестранни потребители на националния туристически продукт. Мониторинг върху качеството на услугите в туристическите обекти и туристическия продукт, предлаган от България като туристическа дестинация, чрез системата за регистриране, категоризиране, сертифициране и вписване;</w:t>
      </w:r>
    </w:p>
    <w:p w:rsidR="00C97002" w:rsidRPr="00EA6851" w:rsidRDefault="00C97002" w:rsidP="00B30642">
      <w:pPr>
        <w:pStyle w:val="ListParagraph"/>
        <w:numPr>
          <w:ilvl w:val="0"/>
          <w:numId w:val="54"/>
        </w:numPr>
        <w:tabs>
          <w:tab w:val="left" w:pos="993"/>
          <w:tab w:val="left" w:pos="1134"/>
        </w:tabs>
      </w:pPr>
      <w:r w:rsidRPr="00EA6851">
        <w:t>Позициониране на България като туристическа дестинация в по-висок клас на световния туристически пазар като качество и добавена стойност, чрез реализиране на дейности по изпълнение на проекти с външно финансиране;</w:t>
      </w:r>
    </w:p>
    <w:p w:rsidR="00C97002" w:rsidRPr="00EA6851" w:rsidRDefault="00C97002" w:rsidP="00B30642">
      <w:pPr>
        <w:pStyle w:val="ListParagraph"/>
        <w:numPr>
          <w:ilvl w:val="0"/>
          <w:numId w:val="54"/>
        </w:numPr>
        <w:tabs>
          <w:tab w:val="left" w:pos="993"/>
          <w:tab w:val="left" w:pos="1134"/>
        </w:tabs>
      </w:pPr>
      <w:r w:rsidRPr="00EA6851">
        <w:t>Събиране, обработване, съхраняване и представяне на статистически данни за туризма;</w:t>
      </w:r>
    </w:p>
    <w:p w:rsidR="00C97002" w:rsidRPr="00EA6851" w:rsidRDefault="00C97002" w:rsidP="00B30642">
      <w:pPr>
        <w:pStyle w:val="ListParagraph"/>
        <w:numPr>
          <w:ilvl w:val="0"/>
          <w:numId w:val="54"/>
        </w:numPr>
        <w:tabs>
          <w:tab w:val="left" w:pos="993"/>
          <w:tab w:val="left" w:pos="1134"/>
        </w:tabs>
      </w:pPr>
      <w:r w:rsidRPr="00EA6851">
        <w:t>Възлагане на концесия и отдаване под наем на морски плажове.</w:t>
      </w:r>
    </w:p>
    <w:p w:rsidR="00C97002" w:rsidRPr="00EA6851" w:rsidRDefault="00C97002" w:rsidP="00C97002">
      <w:pPr>
        <w:spacing w:after="120" w:line="360" w:lineRule="auto"/>
        <w:rPr>
          <w:rFonts w:cs="Times New Roman"/>
          <w:szCs w:val="24"/>
        </w:rPr>
      </w:pPr>
    </w:p>
    <w:p w:rsidR="00C97002" w:rsidRPr="00EA6851" w:rsidRDefault="00C97002" w:rsidP="00C97002">
      <w:pPr>
        <w:rPr>
          <w:b/>
          <w:sz w:val="20"/>
          <w:szCs w:val="20"/>
        </w:rPr>
      </w:pPr>
      <w:r w:rsidRPr="00EA6851">
        <w:rPr>
          <w:b/>
          <w:sz w:val="20"/>
          <w:szCs w:val="20"/>
        </w:rPr>
        <w:t>КЛЮЧОВИ ИНДИКАТОРИ ЗА ИЗПЪЛНЕНИЕ И ЦЕЛЕВИ СТОЙНОСТИ</w:t>
      </w:r>
    </w:p>
    <w:tbl>
      <w:tblPr>
        <w:tblW w:w="5000" w:type="pct"/>
        <w:jc w:val="center"/>
        <w:tblCellMar>
          <w:left w:w="70" w:type="dxa"/>
          <w:right w:w="70" w:type="dxa"/>
        </w:tblCellMar>
        <w:tblLook w:val="04A0" w:firstRow="1" w:lastRow="0" w:firstColumn="1" w:lastColumn="0" w:noHBand="0" w:noVBand="1"/>
      </w:tblPr>
      <w:tblGrid>
        <w:gridCol w:w="3805"/>
        <w:gridCol w:w="1105"/>
        <w:gridCol w:w="920"/>
        <w:gridCol w:w="1080"/>
        <w:gridCol w:w="1080"/>
        <w:gridCol w:w="1080"/>
      </w:tblGrid>
      <w:tr w:rsidR="00C97002" w:rsidRPr="00EA6851" w:rsidTr="0097230C">
        <w:trPr>
          <w:trHeight w:val="56"/>
          <w:tblHeader/>
          <w:jc w:val="center"/>
        </w:trPr>
        <w:tc>
          <w:tcPr>
            <w:tcW w:w="2118" w:type="pct"/>
            <w:tcBorders>
              <w:top w:val="single" w:sz="4" w:space="0" w:color="auto"/>
              <w:left w:val="nil"/>
              <w:bottom w:val="nil"/>
              <w:right w:val="nil"/>
            </w:tcBorders>
            <w:shd w:val="clear" w:color="auto" w:fill="auto"/>
            <w:vAlign w:val="center"/>
            <w:hideMark/>
          </w:tcPr>
          <w:p w:rsidR="00C97002" w:rsidRPr="00EA6851" w:rsidRDefault="00C97002" w:rsidP="00C97002">
            <w:pPr>
              <w:spacing w:after="0" w:line="0" w:lineRule="atLeast"/>
              <w:jc w:val="center"/>
              <w:rPr>
                <w:b/>
                <w:i/>
                <w:sz w:val="18"/>
                <w:szCs w:val="18"/>
              </w:rPr>
            </w:pPr>
            <w:r w:rsidRPr="00EA6851">
              <w:rPr>
                <w:b/>
                <w:i/>
                <w:sz w:val="18"/>
                <w:szCs w:val="18"/>
              </w:rPr>
              <w:t xml:space="preserve">Политика в областта на устойчивото развитие на туризма </w:t>
            </w:r>
          </w:p>
        </w:tc>
        <w:tc>
          <w:tcPr>
            <w:tcW w:w="591" w:type="pct"/>
            <w:vMerge w:val="restart"/>
            <w:tcBorders>
              <w:top w:val="single" w:sz="4" w:space="0" w:color="auto"/>
              <w:left w:val="nil"/>
              <w:bottom w:val="nil"/>
              <w:right w:val="nil"/>
            </w:tcBorders>
            <w:shd w:val="clear" w:color="auto" w:fill="F2F2F2"/>
            <w:vAlign w:val="center"/>
            <w:hideMark/>
          </w:tcPr>
          <w:p w:rsidR="00C97002" w:rsidRPr="00EA6851" w:rsidRDefault="00C97002" w:rsidP="00C97002">
            <w:pPr>
              <w:spacing w:after="0" w:line="0" w:lineRule="atLeast"/>
              <w:jc w:val="center"/>
              <w:rPr>
                <w:b/>
                <w:sz w:val="18"/>
                <w:szCs w:val="18"/>
              </w:rPr>
            </w:pPr>
            <w:r w:rsidRPr="00EA6851">
              <w:rPr>
                <w:b/>
                <w:sz w:val="18"/>
                <w:szCs w:val="18"/>
              </w:rPr>
              <w:t xml:space="preserve">Мерна </w:t>
            </w:r>
          </w:p>
          <w:p w:rsidR="00C97002" w:rsidRPr="00EA6851" w:rsidRDefault="00C97002" w:rsidP="00C97002">
            <w:pPr>
              <w:spacing w:after="0" w:line="0" w:lineRule="atLeast"/>
              <w:jc w:val="center"/>
              <w:rPr>
                <w:b/>
                <w:sz w:val="18"/>
                <w:szCs w:val="18"/>
              </w:rPr>
            </w:pPr>
            <w:r w:rsidRPr="00EA6851">
              <w:rPr>
                <w:b/>
                <w:sz w:val="18"/>
                <w:szCs w:val="18"/>
              </w:rPr>
              <w:t>единица</w:t>
            </w:r>
          </w:p>
        </w:tc>
        <w:tc>
          <w:tcPr>
            <w:tcW w:w="1675" w:type="pct"/>
            <w:gridSpan w:val="3"/>
            <w:tcBorders>
              <w:top w:val="single" w:sz="4" w:space="0" w:color="auto"/>
              <w:left w:val="nil"/>
              <w:bottom w:val="single" w:sz="4" w:space="0" w:color="auto"/>
              <w:right w:val="nil"/>
            </w:tcBorders>
            <w:shd w:val="clear" w:color="auto" w:fill="auto"/>
            <w:vAlign w:val="center"/>
            <w:hideMark/>
          </w:tcPr>
          <w:p w:rsidR="00C97002" w:rsidRPr="00EA6851" w:rsidRDefault="00C97002" w:rsidP="00C97002">
            <w:pPr>
              <w:spacing w:after="0" w:line="0" w:lineRule="atLeast"/>
              <w:jc w:val="center"/>
              <w:rPr>
                <w:b/>
                <w:sz w:val="18"/>
                <w:szCs w:val="18"/>
              </w:rPr>
            </w:pPr>
            <w:r w:rsidRPr="00EA6851">
              <w:rPr>
                <w:b/>
                <w:sz w:val="18"/>
                <w:szCs w:val="18"/>
              </w:rPr>
              <w:t>Целева стойност</w:t>
            </w:r>
          </w:p>
        </w:tc>
        <w:tc>
          <w:tcPr>
            <w:tcW w:w="615" w:type="pct"/>
            <w:tcBorders>
              <w:top w:val="single" w:sz="4" w:space="0" w:color="auto"/>
              <w:left w:val="nil"/>
              <w:bottom w:val="single" w:sz="4" w:space="0" w:color="auto"/>
              <w:right w:val="nil"/>
            </w:tcBorders>
          </w:tcPr>
          <w:p w:rsidR="00C97002" w:rsidRPr="00EA6851" w:rsidRDefault="00C97002" w:rsidP="00C97002">
            <w:pPr>
              <w:spacing w:after="0" w:line="0" w:lineRule="atLeast"/>
              <w:jc w:val="center"/>
              <w:rPr>
                <w:b/>
                <w:sz w:val="18"/>
                <w:szCs w:val="18"/>
              </w:rPr>
            </w:pPr>
          </w:p>
        </w:tc>
      </w:tr>
      <w:tr w:rsidR="00C97002" w:rsidRPr="00EA6851" w:rsidTr="0097230C">
        <w:trPr>
          <w:trHeight w:val="56"/>
          <w:tblHeader/>
          <w:jc w:val="center"/>
        </w:trPr>
        <w:tc>
          <w:tcPr>
            <w:tcW w:w="2118" w:type="pct"/>
            <w:tcBorders>
              <w:top w:val="nil"/>
              <w:left w:val="nil"/>
              <w:bottom w:val="single" w:sz="4" w:space="0" w:color="auto"/>
              <w:right w:val="nil"/>
            </w:tcBorders>
            <w:shd w:val="clear" w:color="auto" w:fill="auto"/>
            <w:vAlign w:val="center"/>
            <w:hideMark/>
          </w:tcPr>
          <w:p w:rsidR="00C97002" w:rsidRPr="00EA6851" w:rsidRDefault="00C97002" w:rsidP="00C97002">
            <w:pPr>
              <w:spacing w:after="0" w:line="0" w:lineRule="atLeast"/>
              <w:jc w:val="center"/>
              <w:rPr>
                <w:b/>
                <w:sz w:val="18"/>
                <w:szCs w:val="18"/>
              </w:rPr>
            </w:pPr>
            <w:r w:rsidRPr="00EA6851">
              <w:rPr>
                <w:b/>
                <w:sz w:val="18"/>
                <w:szCs w:val="18"/>
              </w:rPr>
              <w:t>Наименование на индикатора</w:t>
            </w:r>
          </w:p>
        </w:tc>
        <w:tc>
          <w:tcPr>
            <w:tcW w:w="591" w:type="pct"/>
            <w:vMerge/>
            <w:tcBorders>
              <w:top w:val="single" w:sz="4" w:space="0" w:color="auto"/>
              <w:left w:val="nil"/>
              <w:bottom w:val="single" w:sz="4" w:space="0" w:color="auto"/>
              <w:right w:val="nil"/>
            </w:tcBorders>
            <w:shd w:val="clear" w:color="auto" w:fill="F2F2F2"/>
            <w:vAlign w:val="center"/>
            <w:hideMark/>
          </w:tcPr>
          <w:p w:rsidR="00C97002" w:rsidRPr="00EA6851" w:rsidRDefault="00C97002" w:rsidP="00C97002">
            <w:pPr>
              <w:spacing w:after="0" w:line="0" w:lineRule="atLeast"/>
              <w:jc w:val="left"/>
              <w:rPr>
                <w:b/>
                <w:i/>
                <w:sz w:val="18"/>
                <w:szCs w:val="18"/>
              </w:rPr>
            </w:pPr>
          </w:p>
        </w:tc>
        <w:tc>
          <w:tcPr>
            <w:tcW w:w="443" w:type="pct"/>
            <w:tcBorders>
              <w:top w:val="nil"/>
              <w:left w:val="nil"/>
              <w:bottom w:val="single" w:sz="4" w:space="0" w:color="auto"/>
              <w:right w:val="nil"/>
            </w:tcBorders>
            <w:shd w:val="clear" w:color="auto" w:fill="auto"/>
            <w:vAlign w:val="center"/>
          </w:tcPr>
          <w:p w:rsidR="00C97002" w:rsidRPr="00EA6851" w:rsidRDefault="00C97002" w:rsidP="00C97002">
            <w:pPr>
              <w:spacing w:after="0" w:line="0" w:lineRule="atLeast"/>
              <w:jc w:val="center"/>
              <w:rPr>
                <w:b/>
                <w:i/>
                <w:sz w:val="18"/>
                <w:szCs w:val="18"/>
              </w:rPr>
            </w:pPr>
            <w:r w:rsidRPr="00EA6851">
              <w:rPr>
                <w:b/>
                <w:i/>
                <w:sz w:val="18"/>
                <w:szCs w:val="18"/>
              </w:rPr>
              <w:t>Програма                    2023 г.</w:t>
            </w:r>
          </w:p>
        </w:tc>
        <w:tc>
          <w:tcPr>
            <w:tcW w:w="616" w:type="pct"/>
            <w:tcBorders>
              <w:top w:val="nil"/>
              <w:left w:val="nil"/>
              <w:bottom w:val="single" w:sz="4" w:space="0" w:color="auto"/>
              <w:right w:val="nil"/>
            </w:tcBorders>
            <w:shd w:val="clear" w:color="auto" w:fill="auto"/>
            <w:vAlign w:val="center"/>
            <w:hideMark/>
          </w:tcPr>
          <w:p w:rsidR="00C97002" w:rsidRPr="00EA6851" w:rsidRDefault="00C97002" w:rsidP="00C97002">
            <w:pPr>
              <w:spacing w:after="0" w:line="0" w:lineRule="atLeast"/>
              <w:jc w:val="center"/>
              <w:rPr>
                <w:b/>
                <w:i/>
                <w:sz w:val="18"/>
                <w:szCs w:val="18"/>
              </w:rPr>
            </w:pPr>
            <w:r w:rsidRPr="00EA6851">
              <w:rPr>
                <w:b/>
                <w:i/>
                <w:sz w:val="18"/>
                <w:szCs w:val="18"/>
              </w:rPr>
              <w:t>Проект 2024 г.</w:t>
            </w:r>
          </w:p>
        </w:tc>
        <w:tc>
          <w:tcPr>
            <w:tcW w:w="616" w:type="pct"/>
            <w:tcBorders>
              <w:top w:val="nil"/>
              <w:left w:val="nil"/>
              <w:bottom w:val="single" w:sz="4" w:space="0" w:color="auto"/>
              <w:right w:val="nil"/>
            </w:tcBorders>
            <w:shd w:val="clear" w:color="auto" w:fill="auto"/>
            <w:vAlign w:val="center"/>
            <w:hideMark/>
          </w:tcPr>
          <w:p w:rsidR="00C97002" w:rsidRPr="00EA6851" w:rsidRDefault="00C97002" w:rsidP="00C97002">
            <w:pPr>
              <w:spacing w:after="0" w:line="0" w:lineRule="atLeast"/>
              <w:jc w:val="center"/>
              <w:rPr>
                <w:b/>
                <w:i/>
                <w:sz w:val="18"/>
                <w:szCs w:val="18"/>
              </w:rPr>
            </w:pPr>
            <w:r w:rsidRPr="00EA6851">
              <w:rPr>
                <w:b/>
                <w:i/>
                <w:sz w:val="18"/>
                <w:szCs w:val="18"/>
              </w:rPr>
              <w:t>Прогноза 2025 г.</w:t>
            </w:r>
          </w:p>
        </w:tc>
        <w:tc>
          <w:tcPr>
            <w:tcW w:w="615" w:type="pct"/>
            <w:tcBorders>
              <w:top w:val="nil"/>
              <w:left w:val="nil"/>
              <w:bottom w:val="single" w:sz="4" w:space="0" w:color="auto"/>
              <w:right w:val="nil"/>
            </w:tcBorders>
            <w:vAlign w:val="center"/>
          </w:tcPr>
          <w:p w:rsidR="00C97002" w:rsidRPr="00EA6851" w:rsidRDefault="00C97002" w:rsidP="00C97002">
            <w:pPr>
              <w:spacing w:after="0" w:line="0" w:lineRule="atLeast"/>
              <w:jc w:val="center"/>
              <w:rPr>
                <w:b/>
                <w:i/>
                <w:sz w:val="18"/>
                <w:szCs w:val="18"/>
              </w:rPr>
            </w:pPr>
            <w:r w:rsidRPr="00EA6851">
              <w:rPr>
                <w:b/>
                <w:i/>
                <w:sz w:val="18"/>
                <w:szCs w:val="18"/>
              </w:rPr>
              <w:t>Прогноза 2026 г.</w:t>
            </w:r>
          </w:p>
        </w:tc>
      </w:tr>
      <w:tr w:rsidR="00C97002" w:rsidRPr="00EA6851" w:rsidTr="0097230C">
        <w:trPr>
          <w:trHeight w:val="150"/>
          <w:jc w:val="center"/>
        </w:trPr>
        <w:tc>
          <w:tcPr>
            <w:tcW w:w="2118" w:type="pct"/>
            <w:tcBorders>
              <w:top w:val="single" w:sz="4" w:space="0" w:color="auto"/>
              <w:left w:val="nil"/>
              <w:bottom w:val="nil"/>
              <w:right w:val="nil"/>
            </w:tcBorders>
            <w:shd w:val="clear" w:color="auto" w:fill="auto"/>
            <w:hideMark/>
          </w:tcPr>
          <w:p w:rsidR="00C97002" w:rsidRPr="00EA6851" w:rsidRDefault="00C97002" w:rsidP="00C97002">
            <w:pPr>
              <w:widowControl w:val="0"/>
              <w:autoSpaceDE w:val="0"/>
              <w:autoSpaceDN w:val="0"/>
              <w:adjustRightInd w:val="0"/>
              <w:spacing w:after="0"/>
              <w:rPr>
                <w:sz w:val="18"/>
                <w:szCs w:val="18"/>
              </w:rPr>
            </w:pPr>
            <w:r w:rsidRPr="00EA6851">
              <w:rPr>
                <w:sz w:val="18"/>
                <w:szCs w:val="18"/>
              </w:rPr>
              <w:t>1. Годишен ръст на броя на туристическите посещения от чужденци</w:t>
            </w:r>
            <w:r w:rsidRPr="00EA6851">
              <w:rPr>
                <w:i/>
                <w:sz w:val="18"/>
                <w:szCs w:val="18"/>
              </w:rPr>
              <w:t>*</w:t>
            </w:r>
          </w:p>
        </w:tc>
        <w:tc>
          <w:tcPr>
            <w:tcW w:w="591" w:type="pct"/>
            <w:tcBorders>
              <w:top w:val="single" w:sz="4" w:space="0" w:color="auto"/>
              <w:left w:val="nil"/>
              <w:bottom w:val="nil"/>
              <w:right w:val="nil"/>
            </w:tcBorders>
            <w:shd w:val="clear" w:color="auto" w:fill="F2F2F2"/>
            <w:hideMark/>
          </w:tcPr>
          <w:p w:rsidR="00C97002" w:rsidRPr="00EA6851" w:rsidRDefault="00C97002" w:rsidP="00C97002">
            <w:pPr>
              <w:widowControl w:val="0"/>
              <w:autoSpaceDE w:val="0"/>
              <w:autoSpaceDN w:val="0"/>
              <w:adjustRightInd w:val="0"/>
              <w:spacing w:after="0"/>
              <w:jc w:val="center"/>
              <w:rPr>
                <w:sz w:val="18"/>
                <w:szCs w:val="18"/>
              </w:rPr>
            </w:pPr>
            <w:r w:rsidRPr="00EA6851">
              <w:rPr>
                <w:sz w:val="18"/>
                <w:szCs w:val="18"/>
              </w:rPr>
              <w:t>% спрямо предходната година</w:t>
            </w:r>
          </w:p>
        </w:tc>
        <w:tc>
          <w:tcPr>
            <w:tcW w:w="443" w:type="pct"/>
            <w:tcBorders>
              <w:top w:val="single" w:sz="4" w:space="0" w:color="auto"/>
              <w:left w:val="nil"/>
              <w:bottom w:val="nil"/>
              <w:right w:val="nil"/>
            </w:tcBorders>
            <w:shd w:val="clear" w:color="auto" w:fill="auto"/>
          </w:tcPr>
          <w:p w:rsidR="00C97002" w:rsidRPr="00EA6851" w:rsidRDefault="00C97002" w:rsidP="00C97002">
            <w:pPr>
              <w:widowControl w:val="0"/>
              <w:autoSpaceDE w:val="0"/>
              <w:autoSpaceDN w:val="0"/>
              <w:adjustRightInd w:val="0"/>
              <w:spacing w:after="0"/>
              <w:jc w:val="center"/>
              <w:rPr>
                <w:sz w:val="18"/>
                <w:szCs w:val="18"/>
              </w:rPr>
            </w:pPr>
            <w:r w:rsidRPr="00EA6851">
              <w:rPr>
                <w:sz w:val="18"/>
                <w:szCs w:val="18"/>
              </w:rPr>
              <w:t>5,0</w:t>
            </w:r>
          </w:p>
        </w:tc>
        <w:tc>
          <w:tcPr>
            <w:tcW w:w="616" w:type="pct"/>
            <w:tcBorders>
              <w:top w:val="single" w:sz="4" w:space="0" w:color="auto"/>
              <w:left w:val="nil"/>
              <w:bottom w:val="nil"/>
              <w:right w:val="nil"/>
            </w:tcBorders>
            <w:shd w:val="clear" w:color="auto" w:fill="auto"/>
            <w:hideMark/>
          </w:tcPr>
          <w:p w:rsidR="00C97002" w:rsidRPr="00EA6851" w:rsidRDefault="00C97002" w:rsidP="00C97002">
            <w:pPr>
              <w:widowControl w:val="0"/>
              <w:autoSpaceDE w:val="0"/>
              <w:autoSpaceDN w:val="0"/>
              <w:adjustRightInd w:val="0"/>
              <w:spacing w:after="0"/>
              <w:jc w:val="center"/>
              <w:rPr>
                <w:sz w:val="18"/>
                <w:szCs w:val="18"/>
              </w:rPr>
            </w:pPr>
            <w:r w:rsidRPr="00EA6851">
              <w:rPr>
                <w:sz w:val="18"/>
                <w:szCs w:val="18"/>
              </w:rPr>
              <w:t>4,0</w:t>
            </w:r>
          </w:p>
        </w:tc>
        <w:tc>
          <w:tcPr>
            <w:tcW w:w="616" w:type="pct"/>
            <w:tcBorders>
              <w:top w:val="single" w:sz="4" w:space="0" w:color="auto"/>
              <w:left w:val="nil"/>
              <w:bottom w:val="nil"/>
              <w:right w:val="nil"/>
            </w:tcBorders>
            <w:shd w:val="clear" w:color="auto" w:fill="auto"/>
            <w:hideMark/>
          </w:tcPr>
          <w:p w:rsidR="00C97002" w:rsidRPr="00EA6851" w:rsidRDefault="00C97002" w:rsidP="00C97002">
            <w:pPr>
              <w:widowControl w:val="0"/>
              <w:autoSpaceDE w:val="0"/>
              <w:autoSpaceDN w:val="0"/>
              <w:adjustRightInd w:val="0"/>
              <w:spacing w:after="0"/>
              <w:jc w:val="center"/>
              <w:rPr>
                <w:sz w:val="18"/>
                <w:szCs w:val="18"/>
              </w:rPr>
            </w:pPr>
            <w:r w:rsidRPr="00EA6851">
              <w:rPr>
                <w:sz w:val="18"/>
                <w:szCs w:val="18"/>
              </w:rPr>
              <w:t>3,0</w:t>
            </w:r>
          </w:p>
        </w:tc>
        <w:tc>
          <w:tcPr>
            <w:tcW w:w="615" w:type="pct"/>
            <w:tcBorders>
              <w:top w:val="single" w:sz="4" w:space="0" w:color="auto"/>
              <w:left w:val="nil"/>
              <w:bottom w:val="nil"/>
              <w:right w:val="nil"/>
            </w:tcBorders>
          </w:tcPr>
          <w:p w:rsidR="00C97002" w:rsidRPr="00EA6851" w:rsidRDefault="00C97002" w:rsidP="00C97002">
            <w:pPr>
              <w:widowControl w:val="0"/>
              <w:autoSpaceDE w:val="0"/>
              <w:autoSpaceDN w:val="0"/>
              <w:adjustRightInd w:val="0"/>
              <w:spacing w:after="0"/>
              <w:jc w:val="center"/>
              <w:rPr>
                <w:sz w:val="18"/>
                <w:szCs w:val="18"/>
              </w:rPr>
            </w:pPr>
            <w:r w:rsidRPr="00EA6851">
              <w:rPr>
                <w:sz w:val="18"/>
                <w:szCs w:val="18"/>
              </w:rPr>
              <w:t>3,0</w:t>
            </w:r>
          </w:p>
        </w:tc>
      </w:tr>
      <w:tr w:rsidR="00C97002" w:rsidRPr="00EA6851" w:rsidTr="0097230C">
        <w:trPr>
          <w:trHeight w:val="922"/>
          <w:jc w:val="center"/>
        </w:trPr>
        <w:tc>
          <w:tcPr>
            <w:tcW w:w="2118" w:type="pct"/>
            <w:tcBorders>
              <w:top w:val="nil"/>
              <w:left w:val="nil"/>
              <w:bottom w:val="nil"/>
              <w:right w:val="nil"/>
            </w:tcBorders>
            <w:shd w:val="clear" w:color="auto" w:fill="auto"/>
            <w:hideMark/>
          </w:tcPr>
          <w:p w:rsidR="00C97002" w:rsidRPr="00EA6851" w:rsidRDefault="00C97002" w:rsidP="00C97002">
            <w:pPr>
              <w:widowControl w:val="0"/>
              <w:autoSpaceDE w:val="0"/>
              <w:autoSpaceDN w:val="0"/>
              <w:adjustRightInd w:val="0"/>
              <w:spacing w:after="0"/>
              <w:rPr>
                <w:sz w:val="18"/>
                <w:szCs w:val="18"/>
              </w:rPr>
            </w:pPr>
            <w:r w:rsidRPr="00EA6851">
              <w:rPr>
                <w:sz w:val="18"/>
                <w:szCs w:val="18"/>
              </w:rPr>
              <w:t>2. Годишен ръст на броя на българските туристи, реализирали нощувки в страната в категоризирани места за настаняване с 10 и повече легла</w:t>
            </w:r>
            <w:r w:rsidRPr="00EA6851">
              <w:rPr>
                <w:i/>
                <w:sz w:val="18"/>
                <w:szCs w:val="18"/>
              </w:rPr>
              <w:t>**</w:t>
            </w:r>
          </w:p>
        </w:tc>
        <w:tc>
          <w:tcPr>
            <w:tcW w:w="591" w:type="pct"/>
            <w:tcBorders>
              <w:top w:val="nil"/>
              <w:left w:val="nil"/>
              <w:bottom w:val="nil"/>
              <w:right w:val="nil"/>
            </w:tcBorders>
            <w:shd w:val="clear" w:color="auto" w:fill="F2F2F2"/>
            <w:hideMark/>
          </w:tcPr>
          <w:p w:rsidR="00C97002" w:rsidRPr="00EA6851" w:rsidRDefault="00C97002" w:rsidP="00C97002">
            <w:pPr>
              <w:widowControl w:val="0"/>
              <w:autoSpaceDE w:val="0"/>
              <w:autoSpaceDN w:val="0"/>
              <w:adjustRightInd w:val="0"/>
              <w:spacing w:after="0"/>
              <w:jc w:val="center"/>
              <w:rPr>
                <w:sz w:val="18"/>
                <w:szCs w:val="18"/>
              </w:rPr>
            </w:pPr>
            <w:r w:rsidRPr="00EA6851">
              <w:rPr>
                <w:sz w:val="18"/>
                <w:szCs w:val="18"/>
              </w:rPr>
              <w:t>% спрямо предходната година</w:t>
            </w:r>
          </w:p>
        </w:tc>
        <w:tc>
          <w:tcPr>
            <w:tcW w:w="443" w:type="pct"/>
            <w:tcBorders>
              <w:top w:val="nil"/>
              <w:left w:val="nil"/>
              <w:bottom w:val="nil"/>
              <w:right w:val="nil"/>
            </w:tcBorders>
            <w:shd w:val="clear" w:color="auto" w:fill="auto"/>
          </w:tcPr>
          <w:p w:rsidR="00C97002" w:rsidRPr="00EA6851" w:rsidRDefault="00C97002" w:rsidP="00C97002">
            <w:pPr>
              <w:widowControl w:val="0"/>
              <w:autoSpaceDE w:val="0"/>
              <w:autoSpaceDN w:val="0"/>
              <w:adjustRightInd w:val="0"/>
              <w:spacing w:after="0"/>
              <w:jc w:val="center"/>
              <w:rPr>
                <w:sz w:val="18"/>
                <w:szCs w:val="18"/>
              </w:rPr>
            </w:pPr>
            <w:r w:rsidRPr="00EA6851">
              <w:rPr>
                <w:sz w:val="18"/>
                <w:szCs w:val="18"/>
              </w:rPr>
              <w:t>2,0</w:t>
            </w:r>
          </w:p>
        </w:tc>
        <w:tc>
          <w:tcPr>
            <w:tcW w:w="616" w:type="pct"/>
            <w:tcBorders>
              <w:top w:val="nil"/>
              <w:left w:val="nil"/>
              <w:bottom w:val="nil"/>
              <w:right w:val="nil"/>
            </w:tcBorders>
            <w:shd w:val="clear" w:color="auto" w:fill="auto"/>
            <w:hideMark/>
          </w:tcPr>
          <w:p w:rsidR="00C97002" w:rsidRPr="00EA6851" w:rsidRDefault="00C97002" w:rsidP="00C97002">
            <w:pPr>
              <w:widowControl w:val="0"/>
              <w:autoSpaceDE w:val="0"/>
              <w:autoSpaceDN w:val="0"/>
              <w:adjustRightInd w:val="0"/>
              <w:spacing w:after="0"/>
              <w:jc w:val="center"/>
              <w:rPr>
                <w:sz w:val="18"/>
                <w:szCs w:val="18"/>
              </w:rPr>
            </w:pPr>
            <w:r w:rsidRPr="00EA6851">
              <w:rPr>
                <w:sz w:val="18"/>
                <w:szCs w:val="18"/>
              </w:rPr>
              <w:t>1,0</w:t>
            </w:r>
          </w:p>
        </w:tc>
        <w:tc>
          <w:tcPr>
            <w:tcW w:w="616" w:type="pct"/>
            <w:tcBorders>
              <w:top w:val="nil"/>
              <w:left w:val="nil"/>
              <w:bottom w:val="nil"/>
              <w:right w:val="nil"/>
            </w:tcBorders>
            <w:shd w:val="clear" w:color="auto" w:fill="auto"/>
            <w:hideMark/>
          </w:tcPr>
          <w:p w:rsidR="00C97002" w:rsidRPr="00EA6851" w:rsidRDefault="00C97002" w:rsidP="00C97002">
            <w:pPr>
              <w:widowControl w:val="0"/>
              <w:autoSpaceDE w:val="0"/>
              <w:autoSpaceDN w:val="0"/>
              <w:adjustRightInd w:val="0"/>
              <w:spacing w:after="0"/>
              <w:jc w:val="center"/>
              <w:rPr>
                <w:sz w:val="18"/>
                <w:szCs w:val="18"/>
              </w:rPr>
            </w:pPr>
            <w:r w:rsidRPr="00EA6851">
              <w:rPr>
                <w:sz w:val="18"/>
                <w:szCs w:val="18"/>
              </w:rPr>
              <w:t>1,0</w:t>
            </w:r>
          </w:p>
        </w:tc>
        <w:tc>
          <w:tcPr>
            <w:tcW w:w="615" w:type="pct"/>
            <w:tcBorders>
              <w:top w:val="nil"/>
              <w:left w:val="nil"/>
              <w:bottom w:val="nil"/>
              <w:right w:val="nil"/>
            </w:tcBorders>
          </w:tcPr>
          <w:p w:rsidR="00C97002" w:rsidRPr="00EA6851" w:rsidRDefault="00C97002" w:rsidP="00C97002">
            <w:pPr>
              <w:widowControl w:val="0"/>
              <w:autoSpaceDE w:val="0"/>
              <w:autoSpaceDN w:val="0"/>
              <w:adjustRightInd w:val="0"/>
              <w:spacing w:after="0"/>
              <w:jc w:val="center"/>
              <w:rPr>
                <w:sz w:val="18"/>
                <w:szCs w:val="18"/>
              </w:rPr>
            </w:pPr>
            <w:r w:rsidRPr="00EA6851">
              <w:rPr>
                <w:sz w:val="18"/>
                <w:szCs w:val="18"/>
              </w:rPr>
              <w:t>1,0</w:t>
            </w:r>
          </w:p>
        </w:tc>
      </w:tr>
      <w:tr w:rsidR="00C97002" w:rsidRPr="00EA6851" w:rsidTr="0097230C">
        <w:trPr>
          <w:trHeight w:val="510"/>
          <w:jc w:val="center"/>
        </w:trPr>
        <w:tc>
          <w:tcPr>
            <w:tcW w:w="2118" w:type="pct"/>
            <w:tcBorders>
              <w:top w:val="nil"/>
              <w:left w:val="nil"/>
              <w:bottom w:val="single" w:sz="4" w:space="0" w:color="auto"/>
              <w:right w:val="nil"/>
            </w:tcBorders>
            <w:shd w:val="clear" w:color="auto" w:fill="auto"/>
            <w:hideMark/>
          </w:tcPr>
          <w:p w:rsidR="00C97002" w:rsidRPr="00EA6851" w:rsidRDefault="00C97002" w:rsidP="00C97002">
            <w:pPr>
              <w:widowControl w:val="0"/>
              <w:autoSpaceDE w:val="0"/>
              <w:autoSpaceDN w:val="0"/>
              <w:adjustRightInd w:val="0"/>
              <w:spacing w:after="0"/>
              <w:rPr>
                <w:sz w:val="18"/>
                <w:szCs w:val="18"/>
              </w:rPr>
            </w:pPr>
            <w:r w:rsidRPr="00EA6851">
              <w:rPr>
                <w:sz w:val="18"/>
                <w:szCs w:val="18"/>
              </w:rPr>
              <w:t>3. Принос на туризма и свързани с него икономически дейности към БВП</w:t>
            </w:r>
            <w:r w:rsidRPr="00EA6851">
              <w:rPr>
                <w:i/>
                <w:sz w:val="18"/>
                <w:szCs w:val="18"/>
              </w:rPr>
              <w:t>***</w:t>
            </w:r>
          </w:p>
        </w:tc>
        <w:tc>
          <w:tcPr>
            <w:tcW w:w="591" w:type="pct"/>
            <w:tcBorders>
              <w:top w:val="nil"/>
              <w:left w:val="nil"/>
              <w:bottom w:val="single" w:sz="4" w:space="0" w:color="auto"/>
              <w:right w:val="nil"/>
            </w:tcBorders>
            <w:shd w:val="clear" w:color="auto" w:fill="F2F2F2"/>
            <w:hideMark/>
          </w:tcPr>
          <w:p w:rsidR="00C97002" w:rsidRPr="00EA6851" w:rsidRDefault="00C97002" w:rsidP="00C97002">
            <w:pPr>
              <w:widowControl w:val="0"/>
              <w:autoSpaceDE w:val="0"/>
              <w:autoSpaceDN w:val="0"/>
              <w:adjustRightInd w:val="0"/>
              <w:spacing w:after="0"/>
              <w:jc w:val="center"/>
              <w:rPr>
                <w:sz w:val="18"/>
                <w:szCs w:val="18"/>
              </w:rPr>
            </w:pPr>
            <w:r w:rsidRPr="00EA6851">
              <w:rPr>
                <w:sz w:val="18"/>
                <w:szCs w:val="18"/>
              </w:rPr>
              <w:t xml:space="preserve">дял от </w:t>
            </w:r>
            <w:r w:rsidRPr="00EA6851">
              <w:rPr>
                <w:sz w:val="18"/>
                <w:szCs w:val="18"/>
              </w:rPr>
              <w:br/>
              <w:t>БВП в %</w:t>
            </w:r>
          </w:p>
        </w:tc>
        <w:tc>
          <w:tcPr>
            <w:tcW w:w="443" w:type="pct"/>
            <w:tcBorders>
              <w:top w:val="nil"/>
              <w:left w:val="nil"/>
              <w:bottom w:val="single" w:sz="4" w:space="0" w:color="auto"/>
              <w:right w:val="nil"/>
            </w:tcBorders>
            <w:shd w:val="clear" w:color="auto" w:fill="auto"/>
          </w:tcPr>
          <w:p w:rsidR="00C97002" w:rsidRPr="00EA6851" w:rsidRDefault="00C97002" w:rsidP="00C97002">
            <w:pPr>
              <w:widowControl w:val="0"/>
              <w:autoSpaceDE w:val="0"/>
              <w:autoSpaceDN w:val="0"/>
              <w:adjustRightInd w:val="0"/>
              <w:spacing w:after="0"/>
              <w:jc w:val="center"/>
              <w:rPr>
                <w:sz w:val="18"/>
                <w:szCs w:val="18"/>
              </w:rPr>
            </w:pPr>
            <w:r w:rsidRPr="00EA6851">
              <w:rPr>
                <w:sz w:val="18"/>
                <w:szCs w:val="18"/>
              </w:rPr>
              <w:t>6,0</w:t>
            </w:r>
          </w:p>
        </w:tc>
        <w:tc>
          <w:tcPr>
            <w:tcW w:w="616" w:type="pct"/>
            <w:tcBorders>
              <w:top w:val="nil"/>
              <w:left w:val="nil"/>
              <w:bottom w:val="single" w:sz="4" w:space="0" w:color="auto"/>
              <w:right w:val="nil"/>
            </w:tcBorders>
            <w:shd w:val="clear" w:color="auto" w:fill="auto"/>
            <w:hideMark/>
          </w:tcPr>
          <w:p w:rsidR="00C97002" w:rsidRPr="00EA6851" w:rsidRDefault="00C97002" w:rsidP="00C97002">
            <w:pPr>
              <w:widowControl w:val="0"/>
              <w:autoSpaceDE w:val="0"/>
              <w:autoSpaceDN w:val="0"/>
              <w:adjustRightInd w:val="0"/>
              <w:spacing w:after="0"/>
              <w:jc w:val="center"/>
              <w:rPr>
                <w:sz w:val="18"/>
                <w:szCs w:val="18"/>
              </w:rPr>
            </w:pPr>
            <w:r w:rsidRPr="00EA6851">
              <w:rPr>
                <w:sz w:val="18"/>
                <w:szCs w:val="18"/>
              </w:rPr>
              <w:t>8,3</w:t>
            </w:r>
          </w:p>
        </w:tc>
        <w:tc>
          <w:tcPr>
            <w:tcW w:w="616" w:type="pct"/>
            <w:tcBorders>
              <w:top w:val="nil"/>
              <w:left w:val="nil"/>
              <w:bottom w:val="single" w:sz="4" w:space="0" w:color="auto"/>
              <w:right w:val="nil"/>
            </w:tcBorders>
            <w:shd w:val="clear" w:color="auto" w:fill="auto"/>
            <w:hideMark/>
          </w:tcPr>
          <w:p w:rsidR="00C97002" w:rsidRPr="00EA6851" w:rsidRDefault="00C97002" w:rsidP="00C97002">
            <w:pPr>
              <w:widowControl w:val="0"/>
              <w:autoSpaceDE w:val="0"/>
              <w:autoSpaceDN w:val="0"/>
              <w:adjustRightInd w:val="0"/>
              <w:spacing w:after="0"/>
              <w:jc w:val="center"/>
              <w:rPr>
                <w:sz w:val="18"/>
                <w:szCs w:val="18"/>
              </w:rPr>
            </w:pPr>
            <w:r w:rsidRPr="00EA6851">
              <w:rPr>
                <w:sz w:val="18"/>
                <w:szCs w:val="18"/>
              </w:rPr>
              <w:t>9,1</w:t>
            </w:r>
          </w:p>
        </w:tc>
        <w:tc>
          <w:tcPr>
            <w:tcW w:w="615" w:type="pct"/>
            <w:tcBorders>
              <w:top w:val="nil"/>
              <w:left w:val="nil"/>
              <w:bottom w:val="single" w:sz="4" w:space="0" w:color="auto"/>
              <w:right w:val="nil"/>
            </w:tcBorders>
          </w:tcPr>
          <w:p w:rsidR="00C97002" w:rsidRPr="00EA6851" w:rsidRDefault="00C97002" w:rsidP="00C97002">
            <w:pPr>
              <w:widowControl w:val="0"/>
              <w:autoSpaceDE w:val="0"/>
              <w:autoSpaceDN w:val="0"/>
              <w:adjustRightInd w:val="0"/>
              <w:spacing w:after="0"/>
              <w:jc w:val="center"/>
              <w:rPr>
                <w:sz w:val="18"/>
                <w:szCs w:val="18"/>
              </w:rPr>
            </w:pPr>
            <w:r w:rsidRPr="00EA6851">
              <w:rPr>
                <w:sz w:val="18"/>
                <w:szCs w:val="18"/>
              </w:rPr>
              <w:t>9,4</w:t>
            </w:r>
          </w:p>
        </w:tc>
      </w:tr>
    </w:tbl>
    <w:p w:rsidR="00C97002" w:rsidRPr="00EA6851" w:rsidRDefault="00C97002" w:rsidP="00360EFC">
      <w:pPr>
        <w:spacing w:before="120" w:after="0"/>
        <w:rPr>
          <w:rFonts w:eastAsia="Calibri"/>
          <w:i/>
          <w:sz w:val="18"/>
          <w:szCs w:val="18"/>
          <w:lang w:eastAsia="en-US"/>
        </w:rPr>
      </w:pPr>
      <w:r w:rsidRPr="00EA6851">
        <w:rPr>
          <w:rFonts w:eastAsia="Calibri"/>
          <w:i/>
          <w:sz w:val="18"/>
          <w:szCs w:val="18"/>
          <w:lang w:eastAsia="en-US"/>
        </w:rPr>
        <w:t xml:space="preserve">*Отчетени съгласно методологията на Световната организация по туризъм, но без транзит. </w:t>
      </w:r>
      <w:r w:rsidRPr="00EA6851">
        <w:rPr>
          <w:i/>
          <w:sz w:val="18"/>
          <w:szCs w:val="18"/>
        </w:rPr>
        <w:t>Промяната в целевата стойност на ключовия индикатор за 2024 г. е свързана с броя на туристическите посещения от чужденци и увеличаване на входящия туристопоток.</w:t>
      </w:r>
    </w:p>
    <w:p w:rsidR="00C97002" w:rsidRPr="00EA6851" w:rsidRDefault="00C97002" w:rsidP="00360EFC">
      <w:pPr>
        <w:spacing w:before="120" w:after="0"/>
        <w:rPr>
          <w:rFonts w:eastAsia="Calibri"/>
          <w:i/>
          <w:sz w:val="18"/>
          <w:szCs w:val="18"/>
          <w:lang w:eastAsia="en-US"/>
        </w:rPr>
      </w:pPr>
      <w:r w:rsidRPr="00EA6851">
        <w:rPr>
          <w:rFonts w:eastAsia="Calibri"/>
          <w:i/>
          <w:sz w:val="18"/>
          <w:szCs w:val="18"/>
          <w:lang w:eastAsia="en-US"/>
        </w:rPr>
        <w:t>**Съгласно методологията на отчитане на НСИ на показателя пренощували лица.</w:t>
      </w:r>
    </w:p>
    <w:p w:rsidR="00C97002" w:rsidRPr="00EA6851" w:rsidRDefault="00C97002" w:rsidP="00360EFC">
      <w:pPr>
        <w:spacing w:before="120" w:after="0"/>
        <w:rPr>
          <w:rFonts w:eastAsia="Calibri"/>
          <w:i/>
          <w:sz w:val="18"/>
          <w:szCs w:val="18"/>
          <w:lang w:eastAsia="en-US"/>
        </w:rPr>
      </w:pPr>
      <w:r w:rsidRPr="00EA6851">
        <w:rPr>
          <w:rFonts w:eastAsia="Calibri"/>
          <w:i/>
          <w:sz w:val="18"/>
          <w:szCs w:val="18"/>
          <w:lang w:eastAsia="en-US"/>
        </w:rPr>
        <w:t>***</w:t>
      </w:r>
      <w:r w:rsidRPr="00EA6851">
        <w:t xml:space="preserve"> </w:t>
      </w:r>
      <w:r w:rsidRPr="00EA6851">
        <w:rPr>
          <w:rFonts w:eastAsia="Calibri"/>
          <w:i/>
          <w:sz w:val="18"/>
          <w:szCs w:val="18"/>
          <w:lang w:eastAsia="en-US"/>
        </w:rPr>
        <w:t xml:space="preserve">В таблицата е отразена само една от възможните хипотези, като по-оптимистични и песимистични варианти не са изключени. </w:t>
      </w:r>
      <w:r w:rsidRPr="00EA6851">
        <w:rPr>
          <w:i/>
          <w:sz w:val="18"/>
          <w:szCs w:val="18"/>
        </w:rPr>
        <w:t>Промяната в целевата стойност на ключовия индикатор за 2024 г. и 2025 г. е свързана с очакването за повишаване</w:t>
      </w:r>
      <w:r w:rsidRPr="00EA6851">
        <w:rPr>
          <w:rFonts w:cs="Times New Roman"/>
          <w:i/>
          <w:sz w:val="18"/>
          <w:szCs w:val="18"/>
        </w:rPr>
        <w:t xml:space="preserve"> на заетостта, понижаване на безработицата и индиректно подобряване на благосъстоянието на живот.</w:t>
      </w:r>
    </w:p>
    <w:p w:rsidR="00C97002" w:rsidRPr="00EA6851" w:rsidRDefault="00C97002" w:rsidP="00C97002">
      <w:pPr>
        <w:spacing w:after="120"/>
        <w:rPr>
          <w:szCs w:val="24"/>
        </w:rPr>
      </w:pPr>
    </w:p>
    <w:p w:rsidR="00C97002" w:rsidRPr="00EA6851" w:rsidRDefault="00C97002" w:rsidP="0097230C">
      <w:pPr>
        <w:rPr>
          <w:rFonts w:eastAsia="Calibri" w:cs="Times New Roman"/>
          <w:szCs w:val="24"/>
        </w:rPr>
      </w:pPr>
      <w:r w:rsidRPr="00EA6851">
        <w:rPr>
          <w:szCs w:val="24"/>
        </w:rPr>
        <w:t>От макроикономическа гледна точка туристическият сектор в България е не само важен компонент на БВП, но и съществен източник на приток на чуждестранна валута за платежн</w:t>
      </w:r>
      <w:r w:rsidR="00360EFC" w:rsidRPr="00EA6851">
        <w:rPr>
          <w:szCs w:val="24"/>
        </w:rPr>
        <w:t>ия</w:t>
      </w:r>
      <w:r w:rsidRPr="00EA6851">
        <w:rPr>
          <w:szCs w:val="24"/>
        </w:rPr>
        <w:t xml:space="preserve"> баланс на страната.</w:t>
      </w:r>
    </w:p>
    <w:p w:rsidR="00C97002" w:rsidRPr="00EA6851" w:rsidRDefault="00C97002" w:rsidP="0097230C">
      <w:pPr>
        <w:rPr>
          <w:szCs w:val="24"/>
        </w:rPr>
      </w:pPr>
      <w:r w:rsidRPr="00EA6851">
        <w:rPr>
          <w:rFonts w:eastAsia="Calibri" w:cs="Times New Roman"/>
          <w:szCs w:val="24"/>
        </w:rPr>
        <w:t xml:space="preserve">Съществуват опасения, че част от планираните инвестиции в туризма в близките години биха могли да бъдат временно отложени. </w:t>
      </w:r>
      <w:r w:rsidRPr="00EA6851">
        <w:rPr>
          <w:szCs w:val="24"/>
        </w:rPr>
        <w:t xml:space="preserve">Ограничаването на несигурността (доколкото е възможно) и възвръщането на потребителското и бизнес доверие ще са ключови в следващите години. </w:t>
      </w:r>
    </w:p>
    <w:p w:rsidR="00C97002" w:rsidRPr="00EA6851" w:rsidRDefault="00C97002" w:rsidP="0097230C">
      <w:pPr>
        <w:rPr>
          <w:rFonts w:eastAsia="Calibri" w:cs="Times New Roman"/>
          <w:szCs w:val="24"/>
        </w:rPr>
      </w:pPr>
      <w:r w:rsidRPr="00EA6851">
        <w:rPr>
          <w:rFonts w:eastAsia="Calibri" w:cs="Times New Roman"/>
          <w:szCs w:val="24"/>
        </w:rPr>
        <w:t>Като резултат може да се очаква, че през следващите години приносът на туризма к</w:t>
      </w:r>
      <w:r w:rsidR="00360EFC" w:rsidRPr="00EA6851">
        <w:rPr>
          <w:rFonts w:eastAsia="Calibri" w:cs="Times New Roman"/>
          <w:szCs w:val="24"/>
        </w:rPr>
        <w:t>ъм БВП на страната ще остане по-</w:t>
      </w:r>
      <w:r w:rsidRPr="00EA6851">
        <w:rPr>
          <w:rFonts w:eastAsia="Calibri" w:cs="Times New Roman"/>
          <w:szCs w:val="24"/>
        </w:rPr>
        <w:t>нисък от постигнатото равнище през 2019 г., но с изразена тенденция към възстановяване.</w:t>
      </w:r>
    </w:p>
    <w:p w:rsidR="00C97002" w:rsidRPr="00EA6851" w:rsidRDefault="00C97002" w:rsidP="0097230C">
      <w:pPr>
        <w:rPr>
          <w:rFonts w:eastAsia="Times New Roman" w:cs="Times New Roman"/>
          <w:color w:val="000000"/>
          <w:szCs w:val="24"/>
        </w:rPr>
      </w:pPr>
      <w:r w:rsidRPr="00EA6851">
        <w:rPr>
          <w:szCs w:val="24"/>
        </w:rPr>
        <w:t xml:space="preserve">В процеса на възстановяването ще се изисква и по-гъвкав подход за решаване на ликвидните проблеми на бизнеса, </w:t>
      </w:r>
      <w:r w:rsidR="00360EFC" w:rsidRPr="00EA6851">
        <w:rPr>
          <w:szCs w:val="24"/>
        </w:rPr>
        <w:t xml:space="preserve">както </w:t>
      </w:r>
      <w:r w:rsidRPr="00EA6851">
        <w:rPr>
          <w:szCs w:val="24"/>
        </w:rPr>
        <w:t xml:space="preserve">и </w:t>
      </w:r>
      <w:r w:rsidRPr="00EA6851">
        <w:rPr>
          <w:rFonts w:eastAsia="Times New Roman" w:cs="Times New Roman"/>
          <w:color w:val="000000"/>
          <w:szCs w:val="24"/>
        </w:rPr>
        <w:t>трайни законодателни решения</w:t>
      </w:r>
      <w:r w:rsidRPr="00EA6851">
        <w:rPr>
          <w:szCs w:val="24"/>
        </w:rPr>
        <w:t xml:space="preserve">, което </w:t>
      </w:r>
      <w:r w:rsidRPr="00EA6851">
        <w:rPr>
          <w:rFonts w:eastAsia="Times New Roman" w:cs="Times New Roman"/>
          <w:color w:val="000000"/>
          <w:szCs w:val="24"/>
        </w:rPr>
        <w:t xml:space="preserve">ще допринесе съществено не само за стимулиране на вътрешния пазар на туристическите услуги, но </w:t>
      </w:r>
      <w:r w:rsidR="00360EFC" w:rsidRPr="00EA6851">
        <w:rPr>
          <w:rFonts w:eastAsia="Times New Roman" w:cs="Times New Roman"/>
          <w:color w:val="000000"/>
          <w:szCs w:val="24"/>
        </w:rPr>
        <w:t xml:space="preserve">и </w:t>
      </w:r>
      <w:r w:rsidRPr="00EA6851">
        <w:rPr>
          <w:rFonts w:eastAsia="Times New Roman" w:cs="Times New Roman"/>
          <w:color w:val="000000"/>
          <w:szCs w:val="24"/>
        </w:rPr>
        <w:t xml:space="preserve">ще се отрази положително на други сектори на икономиката, следвайки веригите на доставки на стоки и услуги, както и при запазването на работни места, включително такива, които са в риск. </w:t>
      </w:r>
    </w:p>
    <w:p w:rsidR="009C3AC1" w:rsidRPr="00EA6851" w:rsidRDefault="00C97002" w:rsidP="0097230C">
      <w:pPr>
        <w:rPr>
          <w:szCs w:val="24"/>
        </w:rPr>
      </w:pPr>
      <w:r w:rsidRPr="00EA6851">
        <w:rPr>
          <w:rFonts w:eastAsia="Times New Roman" w:cs="Times New Roman"/>
          <w:szCs w:val="24"/>
        </w:rPr>
        <w:t xml:space="preserve">Устойчивото провеждане на политиките в областта на маркетинга и рекламата и нуждата да се отговаря адекватно на промените в туристическия бизнес са пряко свързани с възможностите за навременна реакция и адекватно увеличаване на финансирането за национален маркетинг. </w:t>
      </w:r>
      <w:r w:rsidRPr="00EA6851">
        <w:rPr>
          <w:szCs w:val="24"/>
        </w:rPr>
        <w:t xml:space="preserve">Засилването на рекламата на дестинация България ще допринесе за по-видимото позициониране на бранд </w:t>
      </w:r>
      <w:r w:rsidR="00B64F29">
        <w:rPr>
          <w:szCs w:val="24"/>
        </w:rPr>
        <w:t>„</w:t>
      </w:r>
      <w:r w:rsidRPr="00EA6851">
        <w:rPr>
          <w:szCs w:val="24"/>
        </w:rPr>
        <w:t>България</w:t>
      </w:r>
      <w:r w:rsidR="00B64F29">
        <w:rPr>
          <w:szCs w:val="24"/>
        </w:rPr>
        <w:t>“</w:t>
      </w:r>
      <w:r w:rsidRPr="00EA6851">
        <w:rPr>
          <w:szCs w:val="24"/>
        </w:rPr>
        <w:t xml:space="preserve"> и промотиране на нашия комбиниран туристически продукт.</w:t>
      </w:r>
    </w:p>
    <w:p w:rsidR="00E71237" w:rsidRPr="00EA6851" w:rsidRDefault="00E71237" w:rsidP="00E71237">
      <w:pPr>
        <w:pStyle w:val="Heading3"/>
        <w:ind w:left="0"/>
      </w:pPr>
      <w:r w:rsidRPr="00EA6851">
        <w:t>Политика в областта на селското стопанство</w:t>
      </w:r>
    </w:p>
    <w:p w:rsidR="00C97002" w:rsidRPr="00EA6851" w:rsidRDefault="00C97002" w:rsidP="0097230C">
      <w:r w:rsidRPr="00EA6851">
        <w:t>Предизвикателствата пред съвременното селско стопанство налагат прилагане на аграрна политика, насочена към повишаване на ефективността и конкурентоспособността на земеделското производство, устойчиво използване и управление на природните ресурси, увеличаване на икономическата активност и нарастване на заетостта в селските райони.</w:t>
      </w:r>
    </w:p>
    <w:p w:rsidR="00C97002" w:rsidRPr="00EA6851" w:rsidRDefault="00C97002" w:rsidP="0097230C">
      <w:pPr>
        <w:pStyle w:val="Heading4"/>
        <w:spacing w:before="0" w:after="200"/>
      </w:pPr>
      <w:r w:rsidRPr="00EA6851">
        <w:t>Политика в областта на земеделието и селските райони</w:t>
      </w:r>
    </w:p>
    <w:p w:rsidR="00C97002" w:rsidRPr="00EA6851" w:rsidRDefault="00C97002" w:rsidP="0097230C">
      <w:r w:rsidRPr="00EA6851">
        <w:t>Прилаганата политика обхваща дейности в подкрепа на ефективното използване и опазване на земеделските земи и водите, съхраняване и подобряване на генетичните ресурси в растениевъдството и животновъдството и развитие на потенциала на двата подсектора за производство на конкурентоспособна продукция, развитие на научните изследвания в аграрната сфера, предоставяне на качествено научно обслужване и консултации на земеделските производители, стабилизиране на пазарите на земеделска продукция и гарантиране на доходите на производителите, сигурност и безопасност по веригата на предлагане на храни.</w:t>
      </w:r>
    </w:p>
    <w:p w:rsidR="00C97002" w:rsidRPr="00EA6851" w:rsidRDefault="00C97002" w:rsidP="0097230C">
      <w:r w:rsidRPr="00EA6851">
        <w:t>Планираните средства в тази област са насочени към:</w:t>
      </w:r>
    </w:p>
    <w:p w:rsidR="00C97002" w:rsidRPr="00EA6851" w:rsidRDefault="00C97002" w:rsidP="00B30642">
      <w:pPr>
        <w:numPr>
          <w:ilvl w:val="0"/>
          <w:numId w:val="33"/>
        </w:numPr>
      </w:pPr>
      <w:r w:rsidRPr="00EA6851">
        <w:t>Развитие на аграрния отрасъл за осигуряване на хранителна сигурност и за производство на продукти с висока добавена стойност при устойчиво управление на природните ресурси;</w:t>
      </w:r>
    </w:p>
    <w:p w:rsidR="00C97002" w:rsidRPr="00EA6851" w:rsidRDefault="00C97002" w:rsidP="00B30642">
      <w:pPr>
        <w:numPr>
          <w:ilvl w:val="0"/>
          <w:numId w:val="33"/>
        </w:numPr>
      </w:pPr>
      <w:r w:rsidRPr="00EA6851">
        <w:t>Мобилизиране на потенциала на селските райони за постигане на балансирано социално и териториално развитие.</w:t>
      </w:r>
    </w:p>
    <w:p w:rsidR="00C97002" w:rsidRPr="00EA6851" w:rsidRDefault="00C97002" w:rsidP="0097230C">
      <w:r w:rsidRPr="00EA6851">
        <w:t xml:space="preserve">Принос за прилагане на политиката, освен структурите в системата на Министерството на земеделието </w:t>
      </w:r>
      <w:r w:rsidR="004B2AD4" w:rsidRPr="00EA6851">
        <w:t xml:space="preserve">и храните </w:t>
      </w:r>
      <w:r w:rsidRPr="00EA6851">
        <w:t>(МЗ</w:t>
      </w:r>
      <w:r w:rsidR="004B2AD4" w:rsidRPr="00EA6851">
        <w:t>Х</w:t>
      </w:r>
      <w:r w:rsidRPr="00EA6851">
        <w:t>), имат Държавен фонд „Земеделие“ (ДФЗ), Агенция „Митници“, неправителствени и браншови организации.</w:t>
      </w:r>
    </w:p>
    <w:p w:rsidR="00C97002" w:rsidRPr="00EA6851" w:rsidRDefault="00C97002" w:rsidP="0097230C">
      <w:r w:rsidRPr="00EA6851">
        <w:t xml:space="preserve">Отговорността за разпределението на публичните разходи за политиката в областта на земеделието и селските райони е на Министерството на земеделието </w:t>
      </w:r>
      <w:r w:rsidR="004B2AD4" w:rsidRPr="00EA6851">
        <w:t xml:space="preserve">и храните </w:t>
      </w:r>
      <w:r w:rsidRPr="00EA6851">
        <w:t>и се осъществява чрез бюджета на министерството, бюджета на ДФЗ и сметките за средства от Европейския съюз.</w:t>
      </w:r>
    </w:p>
    <w:p w:rsidR="00647C44" w:rsidRPr="00EA6851" w:rsidRDefault="00C97002" w:rsidP="00C97002">
      <w:pPr>
        <w:rPr>
          <w:b/>
          <w:sz w:val="20"/>
          <w:szCs w:val="20"/>
        </w:rPr>
      </w:pPr>
      <w:r w:rsidRPr="00EA6851">
        <w:rPr>
          <w:b/>
          <w:sz w:val="20"/>
          <w:szCs w:val="20"/>
        </w:rPr>
        <w:t>КЛЮЧОВИ ИНДИКАТОРИ ЗА ИЗПЪЛНЕНИЕ И ЦЕЛЕВИ СТОЙНОСТИ</w:t>
      </w:r>
    </w:p>
    <w:tbl>
      <w:tblPr>
        <w:tblW w:w="5160" w:type="pct"/>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3151"/>
        <w:gridCol w:w="1112"/>
        <w:gridCol w:w="1202"/>
        <w:gridCol w:w="1344"/>
        <w:gridCol w:w="1368"/>
        <w:gridCol w:w="1183"/>
      </w:tblGrid>
      <w:tr w:rsidR="00C97002" w:rsidRPr="00EA6851" w:rsidTr="00647C44">
        <w:trPr>
          <w:trHeight w:val="70"/>
          <w:tblHeader/>
          <w:jc w:val="center"/>
        </w:trPr>
        <w:tc>
          <w:tcPr>
            <w:tcW w:w="1683" w:type="pct"/>
            <w:tcBorders>
              <w:top w:val="single" w:sz="4" w:space="0" w:color="auto"/>
              <w:left w:val="nil"/>
              <w:bottom w:val="nil"/>
              <w:right w:val="nil"/>
            </w:tcBorders>
            <w:vAlign w:val="center"/>
            <w:hideMark/>
          </w:tcPr>
          <w:p w:rsidR="00C97002" w:rsidRPr="00EA6851" w:rsidRDefault="00C97002" w:rsidP="00C97002">
            <w:pPr>
              <w:spacing w:after="0" w:line="0" w:lineRule="atLeast"/>
              <w:jc w:val="center"/>
              <w:rPr>
                <w:b/>
                <w:i/>
                <w:sz w:val="18"/>
                <w:szCs w:val="18"/>
              </w:rPr>
            </w:pPr>
            <w:r w:rsidRPr="00EA6851">
              <w:rPr>
                <w:b/>
                <w:i/>
                <w:sz w:val="18"/>
                <w:szCs w:val="18"/>
              </w:rPr>
              <w:t>Политика в областта на земеделието и селските райони</w:t>
            </w:r>
          </w:p>
        </w:tc>
        <w:tc>
          <w:tcPr>
            <w:tcW w:w="594" w:type="pct"/>
            <w:vMerge w:val="restart"/>
            <w:tcBorders>
              <w:top w:val="single" w:sz="4" w:space="0" w:color="auto"/>
              <w:left w:val="nil"/>
              <w:bottom w:val="single" w:sz="4" w:space="0" w:color="auto"/>
              <w:right w:val="nil"/>
            </w:tcBorders>
            <w:shd w:val="clear" w:color="auto" w:fill="F2F2F2"/>
            <w:vAlign w:val="center"/>
            <w:hideMark/>
          </w:tcPr>
          <w:p w:rsidR="00C97002" w:rsidRPr="00EA6851" w:rsidRDefault="00C97002" w:rsidP="00C97002">
            <w:pPr>
              <w:spacing w:line="0" w:lineRule="atLeast"/>
              <w:jc w:val="center"/>
              <w:rPr>
                <w:b/>
                <w:sz w:val="18"/>
                <w:szCs w:val="18"/>
              </w:rPr>
            </w:pPr>
            <w:r w:rsidRPr="00EA6851">
              <w:rPr>
                <w:b/>
                <w:sz w:val="18"/>
                <w:szCs w:val="18"/>
              </w:rPr>
              <w:t>Мерна единица</w:t>
            </w:r>
          </w:p>
        </w:tc>
        <w:tc>
          <w:tcPr>
            <w:tcW w:w="2723" w:type="pct"/>
            <w:gridSpan w:val="4"/>
            <w:tcBorders>
              <w:top w:val="single" w:sz="4" w:space="0" w:color="auto"/>
              <w:left w:val="nil"/>
              <w:bottom w:val="single" w:sz="4" w:space="0" w:color="auto"/>
              <w:right w:val="nil"/>
            </w:tcBorders>
            <w:vAlign w:val="center"/>
            <w:hideMark/>
          </w:tcPr>
          <w:p w:rsidR="00C97002" w:rsidRPr="00EA6851" w:rsidRDefault="00C97002" w:rsidP="00C97002">
            <w:pPr>
              <w:spacing w:after="0" w:line="0" w:lineRule="atLeast"/>
              <w:ind w:left="162" w:hanging="162"/>
              <w:jc w:val="center"/>
              <w:rPr>
                <w:b/>
                <w:sz w:val="18"/>
                <w:szCs w:val="18"/>
              </w:rPr>
            </w:pPr>
            <w:r w:rsidRPr="00EA6851">
              <w:rPr>
                <w:b/>
                <w:sz w:val="18"/>
                <w:szCs w:val="18"/>
              </w:rPr>
              <w:t>Целева стойност</w:t>
            </w:r>
          </w:p>
        </w:tc>
      </w:tr>
      <w:tr w:rsidR="00C97002" w:rsidRPr="00EA6851" w:rsidTr="00647C44">
        <w:trPr>
          <w:trHeight w:val="70"/>
          <w:tblHeader/>
          <w:jc w:val="center"/>
        </w:trPr>
        <w:tc>
          <w:tcPr>
            <w:tcW w:w="1683" w:type="pct"/>
            <w:tcBorders>
              <w:top w:val="nil"/>
              <w:left w:val="nil"/>
              <w:bottom w:val="single" w:sz="4" w:space="0" w:color="auto"/>
              <w:right w:val="nil"/>
            </w:tcBorders>
            <w:vAlign w:val="center"/>
            <w:hideMark/>
          </w:tcPr>
          <w:p w:rsidR="00C97002" w:rsidRPr="00EA6851" w:rsidRDefault="00C97002" w:rsidP="00C97002">
            <w:pPr>
              <w:spacing w:after="0" w:line="0" w:lineRule="atLeast"/>
              <w:jc w:val="center"/>
              <w:rPr>
                <w:b/>
                <w:sz w:val="18"/>
                <w:szCs w:val="18"/>
              </w:rPr>
            </w:pPr>
            <w:r w:rsidRPr="00EA6851">
              <w:rPr>
                <w:b/>
                <w:sz w:val="18"/>
                <w:szCs w:val="18"/>
              </w:rPr>
              <w:t>Наименование на индикатора</w:t>
            </w:r>
          </w:p>
        </w:tc>
        <w:tc>
          <w:tcPr>
            <w:tcW w:w="594" w:type="pct"/>
            <w:vMerge/>
            <w:tcBorders>
              <w:top w:val="single" w:sz="4" w:space="0" w:color="auto"/>
              <w:left w:val="nil"/>
              <w:bottom w:val="single" w:sz="4" w:space="0" w:color="auto"/>
              <w:right w:val="nil"/>
            </w:tcBorders>
            <w:vAlign w:val="center"/>
            <w:hideMark/>
          </w:tcPr>
          <w:p w:rsidR="00C97002" w:rsidRPr="00EA6851" w:rsidRDefault="00C97002" w:rsidP="00C97002">
            <w:pPr>
              <w:spacing w:after="0" w:line="276" w:lineRule="auto"/>
              <w:jc w:val="left"/>
              <w:rPr>
                <w:b/>
                <w:sz w:val="18"/>
                <w:szCs w:val="18"/>
              </w:rPr>
            </w:pPr>
          </w:p>
        </w:tc>
        <w:tc>
          <w:tcPr>
            <w:tcW w:w="642" w:type="pct"/>
            <w:tcBorders>
              <w:top w:val="single" w:sz="4" w:space="0" w:color="auto"/>
              <w:left w:val="nil"/>
              <w:bottom w:val="single" w:sz="4" w:space="0" w:color="auto"/>
              <w:right w:val="nil"/>
            </w:tcBorders>
            <w:vAlign w:val="center"/>
            <w:hideMark/>
          </w:tcPr>
          <w:p w:rsidR="00C97002" w:rsidRPr="00EA6851" w:rsidRDefault="00C97002" w:rsidP="00C97002">
            <w:pPr>
              <w:spacing w:after="0" w:line="276" w:lineRule="auto"/>
              <w:jc w:val="center"/>
              <w:rPr>
                <w:b/>
                <w:bCs/>
                <w:i/>
                <w:iCs/>
                <w:sz w:val="18"/>
                <w:szCs w:val="18"/>
              </w:rPr>
            </w:pPr>
            <w:r w:rsidRPr="00EA6851">
              <w:rPr>
                <w:b/>
                <w:bCs/>
                <w:i/>
                <w:iCs/>
                <w:sz w:val="18"/>
                <w:szCs w:val="18"/>
              </w:rPr>
              <w:t>Програма 2023 г.</w:t>
            </w:r>
          </w:p>
        </w:tc>
        <w:tc>
          <w:tcPr>
            <w:tcW w:w="718" w:type="pct"/>
            <w:tcBorders>
              <w:top w:val="single" w:sz="4" w:space="0" w:color="auto"/>
              <w:left w:val="nil"/>
              <w:bottom w:val="single" w:sz="4" w:space="0" w:color="auto"/>
              <w:right w:val="nil"/>
            </w:tcBorders>
            <w:vAlign w:val="center"/>
            <w:hideMark/>
          </w:tcPr>
          <w:p w:rsidR="00C97002" w:rsidRPr="00EA6851" w:rsidRDefault="00C97002" w:rsidP="00C97002">
            <w:pPr>
              <w:spacing w:after="0" w:line="276" w:lineRule="auto"/>
              <w:ind w:left="-55" w:firstLine="55"/>
              <w:jc w:val="center"/>
              <w:rPr>
                <w:b/>
                <w:bCs/>
                <w:i/>
                <w:iCs/>
                <w:sz w:val="18"/>
                <w:szCs w:val="18"/>
              </w:rPr>
            </w:pPr>
            <w:r w:rsidRPr="00EA6851">
              <w:rPr>
                <w:b/>
                <w:bCs/>
                <w:i/>
                <w:iCs/>
                <w:sz w:val="18"/>
                <w:szCs w:val="18"/>
              </w:rPr>
              <w:t xml:space="preserve">Проект </w:t>
            </w:r>
          </w:p>
          <w:p w:rsidR="00C97002" w:rsidRPr="00EA6851" w:rsidRDefault="00C97002" w:rsidP="00C97002">
            <w:pPr>
              <w:spacing w:after="0" w:line="276" w:lineRule="auto"/>
              <w:jc w:val="center"/>
              <w:rPr>
                <w:b/>
                <w:bCs/>
                <w:i/>
                <w:iCs/>
                <w:sz w:val="18"/>
                <w:szCs w:val="18"/>
              </w:rPr>
            </w:pPr>
            <w:r w:rsidRPr="00EA6851">
              <w:rPr>
                <w:b/>
                <w:bCs/>
                <w:i/>
                <w:iCs/>
                <w:sz w:val="18"/>
                <w:szCs w:val="18"/>
              </w:rPr>
              <w:t>2024 г.</w:t>
            </w:r>
          </w:p>
        </w:tc>
        <w:tc>
          <w:tcPr>
            <w:tcW w:w="731" w:type="pct"/>
            <w:tcBorders>
              <w:top w:val="single" w:sz="4" w:space="0" w:color="auto"/>
              <w:left w:val="nil"/>
              <w:bottom w:val="single" w:sz="4" w:space="0" w:color="auto"/>
              <w:right w:val="nil"/>
            </w:tcBorders>
            <w:vAlign w:val="center"/>
            <w:hideMark/>
          </w:tcPr>
          <w:p w:rsidR="00C97002" w:rsidRPr="00EA6851" w:rsidRDefault="00C97002" w:rsidP="00C97002">
            <w:pPr>
              <w:spacing w:after="0" w:line="276" w:lineRule="auto"/>
              <w:ind w:left="-55" w:firstLine="55"/>
              <w:jc w:val="center"/>
              <w:rPr>
                <w:b/>
                <w:bCs/>
                <w:i/>
                <w:iCs/>
                <w:sz w:val="18"/>
                <w:szCs w:val="18"/>
              </w:rPr>
            </w:pPr>
            <w:r w:rsidRPr="00EA6851">
              <w:rPr>
                <w:b/>
                <w:bCs/>
                <w:i/>
                <w:iCs/>
                <w:sz w:val="18"/>
                <w:szCs w:val="18"/>
              </w:rPr>
              <w:t xml:space="preserve">Прогноза </w:t>
            </w:r>
          </w:p>
          <w:p w:rsidR="00C97002" w:rsidRPr="00EA6851" w:rsidRDefault="00C97002" w:rsidP="00C97002">
            <w:pPr>
              <w:spacing w:after="0" w:line="276" w:lineRule="auto"/>
              <w:ind w:left="-55" w:firstLine="55"/>
              <w:jc w:val="center"/>
              <w:rPr>
                <w:b/>
                <w:bCs/>
                <w:i/>
                <w:iCs/>
                <w:sz w:val="18"/>
                <w:szCs w:val="18"/>
              </w:rPr>
            </w:pPr>
            <w:r w:rsidRPr="00EA6851">
              <w:rPr>
                <w:b/>
                <w:bCs/>
                <w:i/>
                <w:iCs/>
                <w:sz w:val="18"/>
                <w:szCs w:val="18"/>
              </w:rPr>
              <w:t>2025 г.</w:t>
            </w:r>
          </w:p>
        </w:tc>
        <w:tc>
          <w:tcPr>
            <w:tcW w:w="632" w:type="pct"/>
            <w:tcBorders>
              <w:top w:val="single" w:sz="4" w:space="0" w:color="auto"/>
              <w:left w:val="nil"/>
              <w:bottom w:val="single" w:sz="4" w:space="0" w:color="auto"/>
              <w:right w:val="nil"/>
            </w:tcBorders>
            <w:vAlign w:val="center"/>
            <w:hideMark/>
          </w:tcPr>
          <w:p w:rsidR="00C97002" w:rsidRPr="00EA6851" w:rsidRDefault="00C97002" w:rsidP="00C97002">
            <w:pPr>
              <w:spacing w:after="0" w:line="276" w:lineRule="auto"/>
              <w:jc w:val="center"/>
              <w:rPr>
                <w:b/>
                <w:bCs/>
                <w:i/>
                <w:iCs/>
                <w:sz w:val="18"/>
                <w:szCs w:val="18"/>
              </w:rPr>
            </w:pPr>
            <w:r w:rsidRPr="00EA6851">
              <w:rPr>
                <w:b/>
                <w:bCs/>
                <w:i/>
                <w:iCs/>
                <w:sz w:val="18"/>
                <w:szCs w:val="18"/>
              </w:rPr>
              <w:t xml:space="preserve">Прогноза </w:t>
            </w:r>
          </w:p>
          <w:p w:rsidR="00C97002" w:rsidRPr="00EA6851" w:rsidRDefault="00C97002" w:rsidP="00C97002">
            <w:pPr>
              <w:spacing w:after="0" w:line="276" w:lineRule="auto"/>
              <w:jc w:val="center"/>
              <w:rPr>
                <w:b/>
                <w:bCs/>
                <w:i/>
                <w:iCs/>
                <w:sz w:val="18"/>
                <w:szCs w:val="18"/>
              </w:rPr>
            </w:pPr>
            <w:r w:rsidRPr="00EA6851">
              <w:rPr>
                <w:b/>
                <w:bCs/>
                <w:i/>
                <w:iCs/>
                <w:sz w:val="18"/>
                <w:szCs w:val="18"/>
              </w:rPr>
              <w:t>2026 г.</w:t>
            </w:r>
          </w:p>
        </w:tc>
      </w:tr>
      <w:tr w:rsidR="00C97002" w:rsidRPr="00EA6851" w:rsidTr="00647C44">
        <w:trPr>
          <w:trHeight w:val="714"/>
          <w:jc w:val="center"/>
        </w:trPr>
        <w:tc>
          <w:tcPr>
            <w:tcW w:w="1683" w:type="pct"/>
            <w:tcBorders>
              <w:top w:val="single" w:sz="4" w:space="0" w:color="auto"/>
              <w:left w:val="nil"/>
              <w:bottom w:val="nil"/>
              <w:right w:val="nil"/>
            </w:tcBorders>
            <w:hideMark/>
          </w:tcPr>
          <w:p w:rsidR="00C97002" w:rsidRPr="00EA6851" w:rsidRDefault="00C97002" w:rsidP="00C97002">
            <w:pPr>
              <w:widowControl w:val="0"/>
              <w:autoSpaceDE w:val="0"/>
              <w:autoSpaceDN w:val="0"/>
              <w:adjustRightInd w:val="0"/>
              <w:spacing w:after="0" w:line="276" w:lineRule="auto"/>
              <w:rPr>
                <w:sz w:val="18"/>
                <w:szCs w:val="18"/>
              </w:rPr>
            </w:pPr>
            <w:r w:rsidRPr="00EA6851">
              <w:rPr>
                <w:sz w:val="18"/>
                <w:szCs w:val="18"/>
              </w:rPr>
              <w:t>1. Минимален размер на Използваната земеделска площ (ИЗП)</w:t>
            </w:r>
          </w:p>
        </w:tc>
        <w:tc>
          <w:tcPr>
            <w:tcW w:w="594" w:type="pct"/>
            <w:tcBorders>
              <w:top w:val="single" w:sz="4" w:space="0" w:color="auto"/>
              <w:left w:val="nil"/>
              <w:bottom w:val="nil"/>
              <w:right w:val="nil"/>
            </w:tcBorders>
            <w:shd w:val="clear" w:color="auto" w:fill="F2F2F2"/>
            <w:hideMark/>
          </w:tcPr>
          <w:p w:rsidR="00C97002" w:rsidRPr="00EA6851" w:rsidRDefault="00C97002" w:rsidP="00C97002">
            <w:pPr>
              <w:widowControl w:val="0"/>
              <w:autoSpaceDE w:val="0"/>
              <w:autoSpaceDN w:val="0"/>
              <w:adjustRightInd w:val="0"/>
              <w:spacing w:after="0" w:line="276" w:lineRule="auto"/>
              <w:jc w:val="center"/>
              <w:rPr>
                <w:sz w:val="18"/>
                <w:szCs w:val="18"/>
              </w:rPr>
            </w:pPr>
            <w:r w:rsidRPr="00EA6851">
              <w:rPr>
                <w:sz w:val="18"/>
                <w:szCs w:val="18"/>
              </w:rPr>
              <w:t>млн. ха</w:t>
            </w:r>
          </w:p>
        </w:tc>
        <w:tc>
          <w:tcPr>
            <w:tcW w:w="642" w:type="pct"/>
            <w:tcBorders>
              <w:top w:val="single" w:sz="4" w:space="0" w:color="auto"/>
              <w:left w:val="nil"/>
              <w:bottom w:val="nil"/>
              <w:right w:val="nil"/>
            </w:tcBorders>
            <w:hideMark/>
          </w:tcPr>
          <w:p w:rsidR="00C97002" w:rsidRPr="00EA6851" w:rsidRDefault="00C97002" w:rsidP="00C97002">
            <w:pPr>
              <w:widowControl w:val="0"/>
              <w:autoSpaceDE w:val="0"/>
              <w:autoSpaceDN w:val="0"/>
              <w:adjustRightInd w:val="0"/>
              <w:spacing w:after="0" w:line="276" w:lineRule="auto"/>
              <w:jc w:val="center"/>
              <w:rPr>
                <w:sz w:val="18"/>
                <w:szCs w:val="18"/>
              </w:rPr>
            </w:pPr>
            <w:r w:rsidRPr="00EA6851">
              <w:rPr>
                <w:sz w:val="18"/>
                <w:szCs w:val="18"/>
              </w:rPr>
              <w:t>5</w:t>
            </w:r>
          </w:p>
        </w:tc>
        <w:tc>
          <w:tcPr>
            <w:tcW w:w="718" w:type="pct"/>
            <w:tcBorders>
              <w:top w:val="single" w:sz="4" w:space="0" w:color="auto"/>
              <w:left w:val="nil"/>
              <w:bottom w:val="nil"/>
              <w:right w:val="nil"/>
            </w:tcBorders>
            <w:hideMark/>
          </w:tcPr>
          <w:p w:rsidR="00C97002" w:rsidRPr="00EA6851" w:rsidRDefault="00C97002" w:rsidP="00C97002">
            <w:pPr>
              <w:widowControl w:val="0"/>
              <w:autoSpaceDE w:val="0"/>
              <w:autoSpaceDN w:val="0"/>
              <w:adjustRightInd w:val="0"/>
              <w:spacing w:after="0" w:line="276" w:lineRule="auto"/>
              <w:jc w:val="center"/>
              <w:rPr>
                <w:sz w:val="18"/>
                <w:szCs w:val="18"/>
              </w:rPr>
            </w:pPr>
            <w:r w:rsidRPr="00EA6851">
              <w:rPr>
                <w:sz w:val="18"/>
                <w:szCs w:val="18"/>
              </w:rPr>
              <w:t>5</w:t>
            </w:r>
          </w:p>
        </w:tc>
        <w:tc>
          <w:tcPr>
            <w:tcW w:w="731" w:type="pct"/>
            <w:tcBorders>
              <w:top w:val="single" w:sz="4" w:space="0" w:color="auto"/>
              <w:left w:val="nil"/>
              <w:bottom w:val="nil"/>
              <w:right w:val="nil"/>
            </w:tcBorders>
            <w:hideMark/>
          </w:tcPr>
          <w:p w:rsidR="00C97002" w:rsidRPr="00EA6851" w:rsidRDefault="00C97002" w:rsidP="00C97002">
            <w:pPr>
              <w:widowControl w:val="0"/>
              <w:autoSpaceDE w:val="0"/>
              <w:autoSpaceDN w:val="0"/>
              <w:adjustRightInd w:val="0"/>
              <w:spacing w:after="0" w:line="276" w:lineRule="auto"/>
              <w:jc w:val="center"/>
              <w:rPr>
                <w:sz w:val="18"/>
                <w:szCs w:val="18"/>
              </w:rPr>
            </w:pPr>
            <w:r w:rsidRPr="00EA6851">
              <w:rPr>
                <w:sz w:val="18"/>
                <w:szCs w:val="18"/>
              </w:rPr>
              <w:t>5</w:t>
            </w:r>
          </w:p>
        </w:tc>
        <w:tc>
          <w:tcPr>
            <w:tcW w:w="632" w:type="pct"/>
            <w:tcBorders>
              <w:top w:val="single" w:sz="4" w:space="0" w:color="auto"/>
              <w:left w:val="nil"/>
              <w:bottom w:val="nil"/>
              <w:right w:val="nil"/>
            </w:tcBorders>
            <w:hideMark/>
          </w:tcPr>
          <w:p w:rsidR="00C97002" w:rsidRPr="00EA6851" w:rsidRDefault="00C97002" w:rsidP="00C97002">
            <w:pPr>
              <w:widowControl w:val="0"/>
              <w:autoSpaceDE w:val="0"/>
              <w:autoSpaceDN w:val="0"/>
              <w:adjustRightInd w:val="0"/>
              <w:spacing w:after="0" w:line="276" w:lineRule="auto"/>
              <w:jc w:val="center"/>
              <w:rPr>
                <w:sz w:val="18"/>
                <w:szCs w:val="18"/>
              </w:rPr>
            </w:pPr>
            <w:r w:rsidRPr="00EA6851">
              <w:rPr>
                <w:sz w:val="18"/>
                <w:szCs w:val="18"/>
              </w:rPr>
              <w:t>5</w:t>
            </w:r>
          </w:p>
        </w:tc>
      </w:tr>
      <w:tr w:rsidR="00C97002" w:rsidRPr="00EA6851" w:rsidTr="00647C44">
        <w:trPr>
          <w:trHeight w:val="544"/>
          <w:jc w:val="center"/>
        </w:trPr>
        <w:tc>
          <w:tcPr>
            <w:tcW w:w="1683" w:type="pct"/>
            <w:tcBorders>
              <w:top w:val="nil"/>
              <w:left w:val="nil"/>
              <w:bottom w:val="nil"/>
              <w:right w:val="nil"/>
            </w:tcBorders>
            <w:hideMark/>
          </w:tcPr>
          <w:p w:rsidR="00C97002" w:rsidRPr="00EA6851" w:rsidRDefault="00C97002" w:rsidP="00C97002">
            <w:pPr>
              <w:widowControl w:val="0"/>
              <w:autoSpaceDE w:val="0"/>
              <w:autoSpaceDN w:val="0"/>
              <w:adjustRightInd w:val="0"/>
              <w:spacing w:after="0" w:line="276" w:lineRule="auto"/>
              <w:rPr>
                <w:sz w:val="18"/>
                <w:szCs w:val="18"/>
              </w:rPr>
            </w:pPr>
            <w:r w:rsidRPr="00EA6851">
              <w:rPr>
                <w:sz w:val="18"/>
                <w:szCs w:val="18"/>
              </w:rPr>
              <w:t>2. Брутна добавена стойност от отрасъл Селско стопанство</w:t>
            </w:r>
          </w:p>
        </w:tc>
        <w:tc>
          <w:tcPr>
            <w:tcW w:w="594" w:type="pct"/>
            <w:tcBorders>
              <w:top w:val="nil"/>
              <w:left w:val="nil"/>
              <w:bottom w:val="nil"/>
              <w:right w:val="nil"/>
            </w:tcBorders>
            <w:shd w:val="clear" w:color="auto" w:fill="F2F2F2"/>
            <w:hideMark/>
          </w:tcPr>
          <w:p w:rsidR="00C97002" w:rsidRPr="00EA6851" w:rsidRDefault="00C97002" w:rsidP="00C97002">
            <w:pPr>
              <w:widowControl w:val="0"/>
              <w:autoSpaceDE w:val="0"/>
              <w:autoSpaceDN w:val="0"/>
              <w:adjustRightInd w:val="0"/>
              <w:spacing w:after="0" w:line="276" w:lineRule="auto"/>
              <w:jc w:val="center"/>
              <w:rPr>
                <w:sz w:val="18"/>
                <w:szCs w:val="18"/>
              </w:rPr>
            </w:pPr>
            <w:r w:rsidRPr="00EA6851">
              <w:rPr>
                <w:sz w:val="18"/>
                <w:szCs w:val="18"/>
              </w:rPr>
              <w:t>млн. лева</w:t>
            </w:r>
          </w:p>
        </w:tc>
        <w:tc>
          <w:tcPr>
            <w:tcW w:w="642" w:type="pct"/>
            <w:tcBorders>
              <w:top w:val="nil"/>
              <w:left w:val="nil"/>
              <w:bottom w:val="nil"/>
              <w:right w:val="nil"/>
            </w:tcBorders>
            <w:hideMark/>
          </w:tcPr>
          <w:p w:rsidR="00C97002" w:rsidRPr="00EA6851" w:rsidRDefault="00C97002" w:rsidP="00C97002">
            <w:pPr>
              <w:widowControl w:val="0"/>
              <w:autoSpaceDE w:val="0"/>
              <w:autoSpaceDN w:val="0"/>
              <w:adjustRightInd w:val="0"/>
              <w:spacing w:after="0" w:line="276" w:lineRule="auto"/>
              <w:jc w:val="center"/>
              <w:rPr>
                <w:sz w:val="18"/>
                <w:szCs w:val="18"/>
              </w:rPr>
            </w:pPr>
            <w:r w:rsidRPr="00EA6851">
              <w:rPr>
                <w:sz w:val="18"/>
                <w:szCs w:val="18"/>
              </w:rPr>
              <w:t>3 600</w:t>
            </w:r>
          </w:p>
        </w:tc>
        <w:tc>
          <w:tcPr>
            <w:tcW w:w="718" w:type="pct"/>
            <w:tcBorders>
              <w:top w:val="nil"/>
              <w:left w:val="nil"/>
              <w:bottom w:val="nil"/>
              <w:right w:val="nil"/>
            </w:tcBorders>
            <w:hideMark/>
          </w:tcPr>
          <w:p w:rsidR="00C97002" w:rsidRPr="00EA6851" w:rsidRDefault="00C97002" w:rsidP="00C97002">
            <w:pPr>
              <w:widowControl w:val="0"/>
              <w:autoSpaceDE w:val="0"/>
              <w:autoSpaceDN w:val="0"/>
              <w:adjustRightInd w:val="0"/>
              <w:spacing w:after="0" w:line="276" w:lineRule="auto"/>
              <w:jc w:val="center"/>
              <w:rPr>
                <w:sz w:val="18"/>
                <w:szCs w:val="18"/>
              </w:rPr>
            </w:pPr>
            <w:r w:rsidRPr="00EA6851">
              <w:rPr>
                <w:sz w:val="18"/>
                <w:szCs w:val="18"/>
              </w:rPr>
              <w:t>4 200</w:t>
            </w:r>
          </w:p>
        </w:tc>
        <w:tc>
          <w:tcPr>
            <w:tcW w:w="731" w:type="pct"/>
            <w:tcBorders>
              <w:top w:val="nil"/>
              <w:left w:val="nil"/>
              <w:bottom w:val="nil"/>
              <w:right w:val="nil"/>
            </w:tcBorders>
            <w:hideMark/>
          </w:tcPr>
          <w:p w:rsidR="00C97002" w:rsidRPr="00EA6851" w:rsidRDefault="00C97002" w:rsidP="00C97002">
            <w:pPr>
              <w:widowControl w:val="0"/>
              <w:autoSpaceDE w:val="0"/>
              <w:autoSpaceDN w:val="0"/>
              <w:adjustRightInd w:val="0"/>
              <w:spacing w:after="0" w:line="276" w:lineRule="auto"/>
              <w:jc w:val="center"/>
              <w:rPr>
                <w:sz w:val="18"/>
                <w:szCs w:val="18"/>
              </w:rPr>
            </w:pPr>
            <w:r w:rsidRPr="00EA6851">
              <w:rPr>
                <w:sz w:val="18"/>
                <w:szCs w:val="18"/>
              </w:rPr>
              <w:t>4 300</w:t>
            </w:r>
          </w:p>
        </w:tc>
        <w:tc>
          <w:tcPr>
            <w:tcW w:w="632" w:type="pct"/>
            <w:tcBorders>
              <w:top w:val="nil"/>
              <w:left w:val="nil"/>
              <w:bottom w:val="nil"/>
              <w:right w:val="nil"/>
            </w:tcBorders>
            <w:hideMark/>
          </w:tcPr>
          <w:p w:rsidR="00C97002" w:rsidRPr="00EA6851" w:rsidRDefault="00C97002" w:rsidP="00C97002">
            <w:pPr>
              <w:widowControl w:val="0"/>
              <w:autoSpaceDE w:val="0"/>
              <w:autoSpaceDN w:val="0"/>
              <w:adjustRightInd w:val="0"/>
              <w:spacing w:after="0" w:line="276" w:lineRule="auto"/>
              <w:jc w:val="center"/>
              <w:rPr>
                <w:sz w:val="18"/>
                <w:szCs w:val="18"/>
              </w:rPr>
            </w:pPr>
            <w:r w:rsidRPr="00EA6851">
              <w:rPr>
                <w:sz w:val="18"/>
                <w:szCs w:val="18"/>
              </w:rPr>
              <w:t>4 400</w:t>
            </w:r>
          </w:p>
        </w:tc>
      </w:tr>
      <w:tr w:rsidR="00C97002" w:rsidRPr="00EA6851" w:rsidTr="00647C44">
        <w:trPr>
          <w:trHeight w:val="724"/>
          <w:jc w:val="center"/>
        </w:trPr>
        <w:tc>
          <w:tcPr>
            <w:tcW w:w="1683" w:type="pct"/>
            <w:tcBorders>
              <w:top w:val="nil"/>
              <w:left w:val="nil"/>
              <w:bottom w:val="nil"/>
              <w:right w:val="nil"/>
            </w:tcBorders>
            <w:hideMark/>
          </w:tcPr>
          <w:p w:rsidR="00C97002" w:rsidRPr="00EA6851" w:rsidRDefault="00C97002" w:rsidP="00C97002">
            <w:pPr>
              <w:widowControl w:val="0"/>
              <w:autoSpaceDE w:val="0"/>
              <w:autoSpaceDN w:val="0"/>
              <w:adjustRightInd w:val="0"/>
              <w:spacing w:after="0" w:line="276" w:lineRule="auto"/>
              <w:rPr>
                <w:sz w:val="18"/>
                <w:szCs w:val="18"/>
              </w:rPr>
            </w:pPr>
            <w:r w:rsidRPr="00EA6851">
              <w:rPr>
                <w:sz w:val="18"/>
                <w:szCs w:val="18"/>
              </w:rPr>
              <w:t>3. Производителност на труда в отрасъл Селско стопанство – БДС/ГРЕ*</w:t>
            </w:r>
          </w:p>
        </w:tc>
        <w:tc>
          <w:tcPr>
            <w:tcW w:w="594" w:type="pct"/>
            <w:tcBorders>
              <w:top w:val="nil"/>
              <w:left w:val="nil"/>
              <w:bottom w:val="nil"/>
              <w:right w:val="nil"/>
            </w:tcBorders>
            <w:shd w:val="clear" w:color="auto" w:fill="F2F2F2"/>
            <w:hideMark/>
          </w:tcPr>
          <w:p w:rsidR="00C97002" w:rsidRPr="00EA6851" w:rsidRDefault="00C97002" w:rsidP="00C97002">
            <w:pPr>
              <w:widowControl w:val="0"/>
              <w:autoSpaceDE w:val="0"/>
              <w:autoSpaceDN w:val="0"/>
              <w:adjustRightInd w:val="0"/>
              <w:spacing w:after="0" w:line="276" w:lineRule="auto"/>
              <w:jc w:val="center"/>
              <w:rPr>
                <w:sz w:val="18"/>
                <w:szCs w:val="18"/>
              </w:rPr>
            </w:pPr>
            <w:r w:rsidRPr="00EA6851">
              <w:rPr>
                <w:sz w:val="18"/>
                <w:szCs w:val="18"/>
              </w:rPr>
              <w:t>хил. лева/ГРЕ</w:t>
            </w:r>
          </w:p>
        </w:tc>
        <w:tc>
          <w:tcPr>
            <w:tcW w:w="642" w:type="pct"/>
            <w:tcBorders>
              <w:top w:val="nil"/>
              <w:left w:val="nil"/>
              <w:bottom w:val="nil"/>
              <w:right w:val="nil"/>
            </w:tcBorders>
            <w:hideMark/>
          </w:tcPr>
          <w:p w:rsidR="00C97002" w:rsidRPr="00EA6851" w:rsidRDefault="00C97002" w:rsidP="00C97002">
            <w:pPr>
              <w:widowControl w:val="0"/>
              <w:autoSpaceDE w:val="0"/>
              <w:autoSpaceDN w:val="0"/>
              <w:adjustRightInd w:val="0"/>
              <w:spacing w:after="0" w:line="276" w:lineRule="auto"/>
              <w:jc w:val="center"/>
              <w:rPr>
                <w:sz w:val="18"/>
                <w:szCs w:val="18"/>
              </w:rPr>
            </w:pPr>
            <w:r w:rsidRPr="00EA6851">
              <w:rPr>
                <w:sz w:val="18"/>
                <w:szCs w:val="18"/>
              </w:rPr>
              <w:t>15,0</w:t>
            </w:r>
          </w:p>
        </w:tc>
        <w:tc>
          <w:tcPr>
            <w:tcW w:w="718" w:type="pct"/>
            <w:tcBorders>
              <w:top w:val="nil"/>
              <w:left w:val="nil"/>
              <w:bottom w:val="nil"/>
              <w:right w:val="nil"/>
            </w:tcBorders>
            <w:hideMark/>
          </w:tcPr>
          <w:p w:rsidR="00C97002" w:rsidRPr="00EA6851" w:rsidRDefault="00C97002" w:rsidP="00C97002">
            <w:pPr>
              <w:widowControl w:val="0"/>
              <w:autoSpaceDE w:val="0"/>
              <w:autoSpaceDN w:val="0"/>
              <w:adjustRightInd w:val="0"/>
              <w:spacing w:after="0" w:line="276" w:lineRule="auto"/>
              <w:jc w:val="center"/>
              <w:rPr>
                <w:sz w:val="18"/>
                <w:szCs w:val="18"/>
              </w:rPr>
            </w:pPr>
            <w:r w:rsidRPr="00EA6851">
              <w:rPr>
                <w:sz w:val="18"/>
                <w:szCs w:val="18"/>
              </w:rPr>
              <w:t>25,3</w:t>
            </w:r>
          </w:p>
        </w:tc>
        <w:tc>
          <w:tcPr>
            <w:tcW w:w="731" w:type="pct"/>
            <w:tcBorders>
              <w:top w:val="nil"/>
              <w:left w:val="nil"/>
              <w:bottom w:val="nil"/>
              <w:right w:val="nil"/>
            </w:tcBorders>
            <w:hideMark/>
          </w:tcPr>
          <w:p w:rsidR="00C97002" w:rsidRPr="00EA6851" w:rsidRDefault="00C97002" w:rsidP="00C97002">
            <w:pPr>
              <w:widowControl w:val="0"/>
              <w:autoSpaceDE w:val="0"/>
              <w:autoSpaceDN w:val="0"/>
              <w:adjustRightInd w:val="0"/>
              <w:spacing w:after="0" w:line="276" w:lineRule="auto"/>
              <w:jc w:val="center"/>
              <w:rPr>
                <w:sz w:val="18"/>
                <w:szCs w:val="18"/>
              </w:rPr>
            </w:pPr>
            <w:r w:rsidRPr="00EA6851">
              <w:rPr>
                <w:sz w:val="18"/>
                <w:szCs w:val="18"/>
              </w:rPr>
              <w:t>25,9</w:t>
            </w:r>
          </w:p>
        </w:tc>
        <w:tc>
          <w:tcPr>
            <w:tcW w:w="632" w:type="pct"/>
            <w:tcBorders>
              <w:top w:val="nil"/>
              <w:left w:val="nil"/>
              <w:bottom w:val="nil"/>
              <w:right w:val="nil"/>
            </w:tcBorders>
            <w:hideMark/>
          </w:tcPr>
          <w:p w:rsidR="00C97002" w:rsidRPr="00EA6851" w:rsidRDefault="00C97002" w:rsidP="00C97002">
            <w:pPr>
              <w:widowControl w:val="0"/>
              <w:autoSpaceDE w:val="0"/>
              <w:autoSpaceDN w:val="0"/>
              <w:adjustRightInd w:val="0"/>
              <w:spacing w:after="0" w:line="276" w:lineRule="auto"/>
              <w:jc w:val="center"/>
              <w:rPr>
                <w:sz w:val="18"/>
                <w:szCs w:val="18"/>
              </w:rPr>
            </w:pPr>
            <w:r w:rsidRPr="00EA6851">
              <w:rPr>
                <w:sz w:val="18"/>
                <w:szCs w:val="18"/>
              </w:rPr>
              <w:t>26,5</w:t>
            </w:r>
          </w:p>
        </w:tc>
      </w:tr>
      <w:tr w:rsidR="00C97002" w:rsidRPr="00EA6851" w:rsidTr="00647C44">
        <w:trPr>
          <w:trHeight w:val="86"/>
          <w:jc w:val="center"/>
        </w:trPr>
        <w:tc>
          <w:tcPr>
            <w:tcW w:w="1683" w:type="pct"/>
            <w:tcBorders>
              <w:top w:val="nil"/>
              <w:left w:val="nil"/>
              <w:bottom w:val="single" w:sz="4" w:space="0" w:color="auto"/>
              <w:right w:val="nil"/>
            </w:tcBorders>
            <w:hideMark/>
          </w:tcPr>
          <w:p w:rsidR="00C97002" w:rsidRPr="00EA6851" w:rsidRDefault="00C97002" w:rsidP="00C97002">
            <w:pPr>
              <w:widowControl w:val="0"/>
              <w:autoSpaceDE w:val="0"/>
              <w:autoSpaceDN w:val="0"/>
              <w:adjustRightInd w:val="0"/>
              <w:spacing w:after="0" w:line="276" w:lineRule="auto"/>
              <w:rPr>
                <w:sz w:val="18"/>
                <w:szCs w:val="18"/>
              </w:rPr>
            </w:pPr>
            <w:r w:rsidRPr="00EA6851">
              <w:rPr>
                <w:sz w:val="18"/>
                <w:szCs w:val="18"/>
              </w:rPr>
              <w:t>4. Предприемачески доход в отрасъл Селско стопанство</w:t>
            </w:r>
          </w:p>
        </w:tc>
        <w:tc>
          <w:tcPr>
            <w:tcW w:w="594" w:type="pct"/>
            <w:tcBorders>
              <w:top w:val="nil"/>
              <w:left w:val="nil"/>
              <w:bottom w:val="single" w:sz="4" w:space="0" w:color="auto"/>
              <w:right w:val="nil"/>
            </w:tcBorders>
            <w:shd w:val="clear" w:color="auto" w:fill="F2F2F2"/>
            <w:hideMark/>
          </w:tcPr>
          <w:p w:rsidR="00C97002" w:rsidRPr="00EA6851" w:rsidRDefault="00C97002" w:rsidP="00C97002">
            <w:pPr>
              <w:widowControl w:val="0"/>
              <w:autoSpaceDE w:val="0"/>
              <w:autoSpaceDN w:val="0"/>
              <w:adjustRightInd w:val="0"/>
              <w:spacing w:after="0" w:line="276" w:lineRule="auto"/>
              <w:jc w:val="center"/>
              <w:rPr>
                <w:sz w:val="18"/>
                <w:szCs w:val="18"/>
              </w:rPr>
            </w:pPr>
            <w:r w:rsidRPr="00EA6851">
              <w:rPr>
                <w:sz w:val="18"/>
                <w:szCs w:val="18"/>
              </w:rPr>
              <w:t>млн. лева</w:t>
            </w:r>
          </w:p>
        </w:tc>
        <w:tc>
          <w:tcPr>
            <w:tcW w:w="642" w:type="pct"/>
            <w:tcBorders>
              <w:top w:val="nil"/>
              <w:left w:val="nil"/>
              <w:bottom w:val="single" w:sz="4" w:space="0" w:color="auto"/>
              <w:right w:val="nil"/>
            </w:tcBorders>
            <w:hideMark/>
          </w:tcPr>
          <w:p w:rsidR="00C97002" w:rsidRPr="00EA6851" w:rsidRDefault="00C97002" w:rsidP="00C97002">
            <w:pPr>
              <w:widowControl w:val="0"/>
              <w:autoSpaceDE w:val="0"/>
              <w:autoSpaceDN w:val="0"/>
              <w:adjustRightInd w:val="0"/>
              <w:spacing w:after="0" w:line="276" w:lineRule="auto"/>
              <w:jc w:val="center"/>
              <w:rPr>
                <w:sz w:val="18"/>
                <w:szCs w:val="18"/>
              </w:rPr>
            </w:pPr>
            <w:r w:rsidRPr="00EA6851">
              <w:rPr>
                <w:sz w:val="18"/>
                <w:szCs w:val="18"/>
              </w:rPr>
              <w:t>2 500</w:t>
            </w:r>
          </w:p>
        </w:tc>
        <w:tc>
          <w:tcPr>
            <w:tcW w:w="718" w:type="pct"/>
            <w:tcBorders>
              <w:top w:val="nil"/>
              <w:left w:val="nil"/>
              <w:bottom w:val="single" w:sz="4" w:space="0" w:color="auto"/>
              <w:right w:val="nil"/>
            </w:tcBorders>
            <w:hideMark/>
          </w:tcPr>
          <w:p w:rsidR="00C97002" w:rsidRPr="00EA6851" w:rsidRDefault="00C97002" w:rsidP="00C97002">
            <w:pPr>
              <w:widowControl w:val="0"/>
              <w:autoSpaceDE w:val="0"/>
              <w:autoSpaceDN w:val="0"/>
              <w:adjustRightInd w:val="0"/>
              <w:spacing w:after="0" w:line="276" w:lineRule="auto"/>
              <w:jc w:val="center"/>
              <w:rPr>
                <w:sz w:val="18"/>
                <w:szCs w:val="18"/>
              </w:rPr>
            </w:pPr>
            <w:r w:rsidRPr="00EA6851">
              <w:rPr>
                <w:sz w:val="18"/>
                <w:szCs w:val="18"/>
              </w:rPr>
              <w:t>3 000</w:t>
            </w:r>
          </w:p>
        </w:tc>
        <w:tc>
          <w:tcPr>
            <w:tcW w:w="731" w:type="pct"/>
            <w:tcBorders>
              <w:top w:val="nil"/>
              <w:left w:val="nil"/>
              <w:bottom w:val="single" w:sz="4" w:space="0" w:color="auto"/>
              <w:right w:val="nil"/>
            </w:tcBorders>
            <w:hideMark/>
          </w:tcPr>
          <w:p w:rsidR="00C97002" w:rsidRPr="00EA6851" w:rsidRDefault="00C97002" w:rsidP="00C97002">
            <w:pPr>
              <w:widowControl w:val="0"/>
              <w:autoSpaceDE w:val="0"/>
              <w:autoSpaceDN w:val="0"/>
              <w:adjustRightInd w:val="0"/>
              <w:spacing w:after="0" w:line="276" w:lineRule="auto"/>
              <w:jc w:val="center"/>
              <w:rPr>
                <w:sz w:val="18"/>
                <w:szCs w:val="18"/>
              </w:rPr>
            </w:pPr>
            <w:r w:rsidRPr="00EA6851">
              <w:rPr>
                <w:sz w:val="18"/>
                <w:szCs w:val="18"/>
              </w:rPr>
              <w:t>3 050</w:t>
            </w:r>
          </w:p>
        </w:tc>
        <w:tc>
          <w:tcPr>
            <w:tcW w:w="632" w:type="pct"/>
            <w:tcBorders>
              <w:top w:val="nil"/>
              <w:left w:val="nil"/>
              <w:bottom w:val="single" w:sz="4" w:space="0" w:color="auto"/>
              <w:right w:val="nil"/>
            </w:tcBorders>
            <w:hideMark/>
          </w:tcPr>
          <w:p w:rsidR="00C97002" w:rsidRPr="00EA6851" w:rsidRDefault="00C97002" w:rsidP="00C97002">
            <w:pPr>
              <w:widowControl w:val="0"/>
              <w:autoSpaceDE w:val="0"/>
              <w:autoSpaceDN w:val="0"/>
              <w:adjustRightInd w:val="0"/>
              <w:spacing w:after="0" w:line="276" w:lineRule="auto"/>
              <w:jc w:val="center"/>
              <w:rPr>
                <w:sz w:val="18"/>
                <w:szCs w:val="18"/>
              </w:rPr>
            </w:pPr>
            <w:r w:rsidRPr="00EA6851">
              <w:rPr>
                <w:sz w:val="18"/>
                <w:szCs w:val="18"/>
              </w:rPr>
              <w:t>3 100</w:t>
            </w:r>
          </w:p>
        </w:tc>
      </w:tr>
    </w:tbl>
    <w:p w:rsidR="00C97002" w:rsidRPr="00EA6851" w:rsidRDefault="00C97002" w:rsidP="00C97002">
      <w:pPr>
        <w:spacing w:after="0"/>
        <w:jc w:val="left"/>
        <w:rPr>
          <w:sz w:val="18"/>
          <w:szCs w:val="18"/>
        </w:rPr>
      </w:pPr>
      <w:r w:rsidRPr="00EA6851">
        <w:rPr>
          <w:rFonts w:eastAsia="Calibri"/>
          <w:b/>
          <w:sz w:val="18"/>
          <w:szCs w:val="18"/>
        </w:rPr>
        <w:t>*</w:t>
      </w:r>
      <w:r w:rsidRPr="00EA6851">
        <w:rPr>
          <w:rFonts w:eastAsia="Calibri"/>
          <w:sz w:val="18"/>
          <w:szCs w:val="18"/>
        </w:rPr>
        <w:t xml:space="preserve"> БДС/ГРЕ - Брутна добавена стойност/Годишни работни единици (еквивалент на пълна годишна заетост в селското стопанство)</w:t>
      </w:r>
      <w:r w:rsidRPr="00EA6851">
        <w:rPr>
          <w:sz w:val="18"/>
          <w:szCs w:val="18"/>
        </w:rPr>
        <w:t xml:space="preserve"> </w:t>
      </w:r>
    </w:p>
    <w:p w:rsidR="00C97002" w:rsidRPr="00EA6851" w:rsidRDefault="00C97002" w:rsidP="00C97002">
      <w:pPr>
        <w:spacing w:after="0"/>
        <w:jc w:val="left"/>
        <w:rPr>
          <w:sz w:val="18"/>
          <w:szCs w:val="18"/>
          <w:highlight w:val="yellow"/>
        </w:rPr>
      </w:pPr>
    </w:p>
    <w:p w:rsidR="00C97002" w:rsidRPr="00EA6851" w:rsidRDefault="00C97002" w:rsidP="00C97002">
      <w:pPr>
        <w:spacing w:after="0"/>
        <w:jc w:val="left"/>
        <w:rPr>
          <w:sz w:val="18"/>
          <w:szCs w:val="18"/>
          <w:highlight w:val="yellow"/>
        </w:rPr>
      </w:pPr>
    </w:p>
    <w:p w:rsidR="00C97002" w:rsidRPr="00EA6851" w:rsidRDefault="00C97002" w:rsidP="0097230C">
      <w:r w:rsidRPr="00EA6851">
        <w:t xml:space="preserve">За периода 2024-2026 г. по бюджета на Министерството на земеделието </w:t>
      </w:r>
      <w:r w:rsidR="004B2AD4" w:rsidRPr="00EA6851">
        <w:t xml:space="preserve">и храните </w:t>
      </w:r>
      <w:r w:rsidRPr="00EA6851">
        <w:t>са предвидени средства в размер на 29,3 млн. лв. годишно за извършване на обществена услуга за защита от вредното въздействие на водите, възложена на „Напоителни системи“ ЕАД.</w:t>
      </w:r>
    </w:p>
    <w:p w:rsidR="00C97002" w:rsidRPr="00EA6851" w:rsidRDefault="00C97002" w:rsidP="0097230C">
      <w:r w:rsidRPr="00EA6851">
        <w:rPr>
          <w:b/>
        </w:rPr>
        <w:t>Държавен фонд „Земеделие“</w:t>
      </w:r>
      <w:r w:rsidRPr="00EA6851">
        <w:t xml:space="preserve"> участва в прилагането на политиката на МЗ</w:t>
      </w:r>
      <w:r w:rsidR="004B2AD4" w:rsidRPr="00EA6851">
        <w:t>Х</w:t>
      </w:r>
      <w:r w:rsidRPr="00EA6851">
        <w:t xml:space="preserve"> в областта на земеделието и селските райони. Фондът работи за постигане на дългосрочната визия на Република България за изграждане на конкурентно, ефективно и устойчиво селско стопанство, защита на пазара на земеделски продукти от сътресения и подобряване качеството на живот в селските райони.</w:t>
      </w:r>
    </w:p>
    <w:p w:rsidR="00C97002" w:rsidRPr="00EA6851" w:rsidRDefault="00C97002" w:rsidP="0097230C">
      <w:r w:rsidRPr="00EA6851">
        <w:t>Държавен фонд „Земеделие“ отговаря за разпределението на публичните средства за политиката, които разходва пряко чрез бюджета си и чрез сметката за средства от Европейския съюз, одобрени с годишния закон за държавния бюджет на Република България.</w:t>
      </w:r>
    </w:p>
    <w:p w:rsidR="009B0DAE" w:rsidRPr="00EA6851" w:rsidRDefault="00C97002" w:rsidP="0097230C">
      <w:r w:rsidRPr="00EA6851">
        <w:t>За изпълнението на политиката допринасят и взаимоотношенията на ДФЗ освен с МЗ</w:t>
      </w:r>
      <w:r w:rsidR="004B2AD4" w:rsidRPr="00EA6851">
        <w:t>Х</w:t>
      </w:r>
      <w:r w:rsidRPr="00EA6851">
        <w:t xml:space="preserve"> и с други институции: институциите на Европейския съюз, разплащателните агенции на друг</w:t>
      </w:r>
      <w:r w:rsidR="00C96370">
        <w:t>и държави-членки на ЕС и други.</w:t>
      </w:r>
    </w:p>
    <w:p w:rsidR="00C97002" w:rsidRPr="00EB28A6" w:rsidRDefault="00C97002" w:rsidP="0097230C">
      <w:r w:rsidRPr="00EB28A6">
        <w:t>Ключови индикатори в областта на земеделието и селските райони в частта на ДФЗ са:</w:t>
      </w:r>
    </w:p>
    <w:p w:rsidR="00005151" w:rsidRPr="00EB28A6" w:rsidRDefault="00005151" w:rsidP="00005151">
      <w:pPr>
        <w:numPr>
          <w:ilvl w:val="0"/>
          <w:numId w:val="35"/>
        </w:numPr>
      </w:pPr>
      <w:r w:rsidRPr="00EB28A6">
        <w:rPr>
          <w:i/>
        </w:rPr>
        <w:t xml:space="preserve">Изпълнение на бюджета по ЕЗФРСР. </w:t>
      </w:r>
      <w:r w:rsidRPr="00EB28A6">
        <w:t>Съгласно европейското законодателство бюджетът на Програмата за развитие на селските райони е разделен по години от 2014 до 2020 г., като средствата за всяка година могат да бъдат разплатени единствено в рамките на следващите три години. Съгласно Регламент (ЕС) 2020/2220 на Европейския парламент и на Съвета от 23 декември 2020 година България следва да ползва в текущия програмен период бюджета за 2021 г. и 2022 г. от следващия период;</w:t>
      </w:r>
    </w:p>
    <w:p w:rsidR="00C97002" w:rsidRPr="00EA6851" w:rsidRDefault="00C97002" w:rsidP="00B30642">
      <w:pPr>
        <w:numPr>
          <w:ilvl w:val="0"/>
          <w:numId w:val="35"/>
        </w:numPr>
        <w:rPr>
          <w:i/>
        </w:rPr>
      </w:pPr>
      <w:r w:rsidRPr="00EB28A6">
        <w:rPr>
          <w:i/>
        </w:rPr>
        <w:t>Изпълнение на мерките за подкрепа на пазара и на организациите на производителите</w:t>
      </w:r>
      <w:r w:rsidR="004A17E4" w:rsidRPr="00EB28A6">
        <w:rPr>
          <w:i/>
        </w:rPr>
        <w:t xml:space="preserve"> - </w:t>
      </w:r>
      <w:r w:rsidR="004A17E4" w:rsidRPr="00EB28A6">
        <w:rPr>
          <w:rFonts w:cs="Times New Roman"/>
          <w:szCs w:val="24"/>
        </w:rPr>
        <w:t>включва оперативни</w:t>
      </w:r>
      <w:r w:rsidR="004A17E4" w:rsidRPr="00EA6851">
        <w:rPr>
          <w:rFonts w:cs="Times New Roman"/>
          <w:szCs w:val="24"/>
        </w:rPr>
        <w:t xml:space="preserve"> програми, преструктуриране и конверсия на лозя, промоции в трети страни и популяризиране на пазарите на трети държави от Националната програма за подпомагане на лозаро-винарския сектор, промоционални програми, национални програми по пчеларство, схеми училищен плод и училищно мляко</w:t>
      </w:r>
      <w:r w:rsidRPr="00EA6851">
        <w:rPr>
          <w:i/>
        </w:rPr>
        <w:t xml:space="preserve">; </w:t>
      </w:r>
    </w:p>
    <w:p w:rsidR="00C97002" w:rsidRPr="00EA6851" w:rsidRDefault="00C97002" w:rsidP="00B30642">
      <w:pPr>
        <w:numPr>
          <w:ilvl w:val="0"/>
          <w:numId w:val="35"/>
        </w:numPr>
        <w:rPr>
          <w:i/>
        </w:rPr>
      </w:pPr>
      <w:r w:rsidRPr="00EA6851">
        <w:rPr>
          <w:i/>
        </w:rPr>
        <w:t>Изпълнение на директните плащания към земеделските производители</w:t>
      </w:r>
      <w:r w:rsidR="004A17E4" w:rsidRPr="00EA6851">
        <w:rPr>
          <w:i/>
        </w:rPr>
        <w:t xml:space="preserve"> - </w:t>
      </w:r>
      <w:r w:rsidR="004A17E4" w:rsidRPr="00EA6851">
        <w:rPr>
          <w:rFonts w:cs="Times New Roman"/>
          <w:szCs w:val="24"/>
        </w:rPr>
        <w:t>включва както отделените от производството плащания, така и обвързаната подкрепа</w:t>
      </w:r>
      <w:r w:rsidRPr="00EA6851">
        <w:rPr>
          <w:i/>
        </w:rPr>
        <w:t xml:space="preserve">; </w:t>
      </w:r>
    </w:p>
    <w:p w:rsidR="00C97002" w:rsidRPr="00EA6851" w:rsidRDefault="004A17E4" w:rsidP="00B30642">
      <w:pPr>
        <w:numPr>
          <w:ilvl w:val="0"/>
          <w:numId w:val="35"/>
        </w:numPr>
        <w:rPr>
          <w:i/>
        </w:rPr>
      </w:pPr>
      <w:r w:rsidRPr="00EA6851">
        <w:rPr>
          <w:i/>
        </w:rPr>
        <w:t>Д</w:t>
      </w:r>
      <w:r w:rsidR="00C97002" w:rsidRPr="00EA6851">
        <w:rPr>
          <w:i/>
        </w:rPr>
        <w:t>ържавни помощи</w:t>
      </w:r>
      <w:r w:rsidR="00C97002" w:rsidRPr="00EA6851">
        <w:t xml:space="preserve"> - осъществява се чрез предоставяне на безвъзмездна финансова помощ на земеделските стопани със средства от националния бюджет;</w:t>
      </w:r>
      <w:r w:rsidR="00C97002" w:rsidRPr="00EA6851">
        <w:rPr>
          <w:i/>
        </w:rPr>
        <w:t xml:space="preserve"> </w:t>
      </w:r>
    </w:p>
    <w:p w:rsidR="00C97002" w:rsidRPr="00EA6851" w:rsidRDefault="004A17E4" w:rsidP="00B30642">
      <w:pPr>
        <w:numPr>
          <w:ilvl w:val="0"/>
          <w:numId w:val="35"/>
        </w:numPr>
        <w:rPr>
          <w:i/>
        </w:rPr>
      </w:pPr>
      <w:r w:rsidRPr="00EA6851">
        <w:rPr>
          <w:i/>
        </w:rPr>
        <w:t>П</w:t>
      </w:r>
      <w:r w:rsidR="00C97002" w:rsidRPr="00EA6851">
        <w:rPr>
          <w:i/>
        </w:rPr>
        <w:t xml:space="preserve">реходна национална помощ </w:t>
      </w:r>
      <w:r w:rsidR="00C97002" w:rsidRPr="00EA6851">
        <w:t>- целта им е да приближи нивото на подкрепа на българските производители с останалите държави-членки и да повиши конкурентоспособността им.</w:t>
      </w:r>
    </w:p>
    <w:p w:rsidR="00C97002" w:rsidRPr="00EA6851" w:rsidRDefault="00C97002" w:rsidP="0097230C">
      <w:r w:rsidRPr="00EA6851">
        <w:t xml:space="preserve">Чрез посочените индикатори може да се оцени финансовата подкрепа, обвързана с постигането на следните цели: </w:t>
      </w:r>
    </w:p>
    <w:p w:rsidR="00C97002" w:rsidRPr="00EA6851" w:rsidRDefault="00C97002" w:rsidP="00B30642">
      <w:pPr>
        <w:numPr>
          <w:ilvl w:val="0"/>
          <w:numId w:val="33"/>
        </w:numPr>
      </w:pPr>
      <w:r w:rsidRPr="00EA6851">
        <w:t>ефективно усвояване на средства от Европейския фонд за гарантиране на земеделието и Европейския земеделски фонд за развитие на селските райони чрез добро административно и финансово управление и контрол;</w:t>
      </w:r>
    </w:p>
    <w:p w:rsidR="00C97002" w:rsidRPr="00EA6851" w:rsidRDefault="00C97002" w:rsidP="00B30642">
      <w:pPr>
        <w:numPr>
          <w:ilvl w:val="0"/>
          <w:numId w:val="33"/>
        </w:numPr>
      </w:pPr>
      <w:r w:rsidRPr="00EA6851">
        <w:t xml:space="preserve">създаване на ефективно, конкурентоспособно и пазарно-ориентирано земеделие; </w:t>
      </w:r>
    </w:p>
    <w:p w:rsidR="00C97002" w:rsidRPr="00EA6851" w:rsidRDefault="00C97002" w:rsidP="00B30642">
      <w:pPr>
        <w:numPr>
          <w:ilvl w:val="0"/>
          <w:numId w:val="33"/>
        </w:numPr>
      </w:pPr>
      <w:r w:rsidRPr="00EA6851">
        <w:t>стабилизиране на пазарите на земеделски продукти чрез оказване на пазарна финансова подкрепа;</w:t>
      </w:r>
    </w:p>
    <w:p w:rsidR="00C97002" w:rsidRPr="00EA6851" w:rsidRDefault="00C97002" w:rsidP="00B30642">
      <w:pPr>
        <w:numPr>
          <w:ilvl w:val="0"/>
          <w:numId w:val="33"/>
        </w:numPr>
      </w:pPr>
      <w:r w:rsidRPr="00EA6851">
        <w:t>повишаване на доходите на производителите чрез директни плащания на площ и държавни помощи;</w:t>
      </w:r>
    </w:p>
    <w:p w:rsidR="00C97002" w:rsidRPr="00EA6851" w:rsidRDefault="00C97002" w:rsidP="00B30642">
      <w:pPr>
        <w:numPr>
          <w:ilvl w:val="0"/>
          <w:numId w:val="33"/>
        </w:numPr>
      </w:pPr>
      <w:r w:rsidRPr="00EA6851">
        <w:t>устойчиво развитие на селскостопанския отрасъл;</w:t>
      </w:r>
    </w:p>
    <w:p w:rsidR="00C97002" w:rsidRPr="00EA6851" w:rsidRDefault="00C97002" w:rsidP="00B30642">
      <w:pPr>
        <w:numPr>
          <w:ilvl w:val="0"/>
          <w:numId w:val="33"/>
        </w:numPr>
      </w:pPr>
      <w:r w:rsidRPr="00EA6851">
        <w:t>подобряване качеството на живот и разнообразяване на икономиката в селските райони.</w:t>
      </w:r>
    </w:p>
    <w:p w:rsidR="00C97002" w:rsidRPr="00EB28A6" w:rsidRDefault="00C97002" w:rsidP="0097230C">
      <w:r w:rsidRPr="00EB28A6">
        <w:t xml:space="preserve">В областта на </w:t>
      </w:r>
      <w:r w:rsidRPr="00EB28A6">
        <w:rPr>
          <w:b/>
        </w:rPr>
        <w:t>селското стопанство и земеделие</w:t>
      </w:r>
      <w:r w:rsidRPr="00EB28A6">
        <w:t xml:space="preserve"> се предоставят на бенефициенти по програмите и мерките за държавно подпомагане следните основни услуги:</w:t>
      </w:r>
    </w:p>
    <w:p w:rsidR="00C97002" w:rsidRPr="00EB28A6" w:rsidRDefault="00954E8F" w:rsidP="00B30642">
      <w:pPr>
        <w:numPr>
          <w:ilvl w:val="0"/>
          <w:numId w:val="34"/>
        </w:numPr>
        <w:ind w:left="360"/>
        <w:rPr>
          <w:b/>
        </w:rPr>
      </w:pPr>
      <w:r w:rsidRPr="00EB28A6">
        <w:rPr>
          <w:b/>
        </w:rPr>
        <w:t>Интервенции</w:t>
      </w:r>
      <w:r w:rsidR="00C97002" w:rsidRPr="00EB28A6">
        <w:rPr>
          <w:b/>
        </w:rPr>
        <w:t xml:space="preserve"> за преходна национална помощ</w:t>
      </w:r>
    </w:p>
    <w:p w:rsidR="00005151" w:rsidRPr="00EB28A6" w:rsidRDefault="00005151" w:rsidP="00005151">
      <w:r w:rsidRPr="00EB28A6">
        <w:t>Целта на преходната национална помощ е да приближи нивото на подкрепа на българските производители с останалите държави членки и да повиши конкурентоспособността им, да предостави възможност за последователност в политиката и подпомагане с максимална продължителност с национални средства на сектор „Тютюн“, да осигури допълнително подпомагане на говедовъдството и отглеждането на овце и кози. Прилагането на интервенциите изисква осъществяването на ежегодна нотификация до Европейската комисия и се финансира от националния бюджет.</w:t>
      </w:r>
    </w:p>
    <w:p w:rsidR="00005151" w:rsidRPr="00EB28A6" w:rsidRDefault="00005151" w:rsidP="00005151">
      <w:r w:rsidRPr="00EB28A6">
        <w:t>През програмния период 2023–2027 г. могат да бъдат прилагани следните интервенции за преходна национална помощ:</w:t>
      </w:r>
    </w:p>
    <w:p w:rsidR="00005151" w:rsidRPr="00EB28A6" w:rsidRDefault="00005151" w:rsidP="00005151">
      <w:pPr>
        <w:numPr>
          <w:ilvl w:val="0"/>
          <w:numId w:val="73"/>
        </w:numPr>
      </w:pPr>
      <w:r w:rsidRPr="00EB28A6">
        <w:t>Интервенция за преходна национална помощ за тютюн, необвързана с производството;</w:t>
      </w:r>
    </w:p>
    <w:p w:rsidR="00005151" w:rsidRPr="00EB28A6" w:rsidRDefault="00005151" w:rsidP="00005151">
      <w:pPr>
        <w:numPr>
          <w:ilvl w:val="0"/>
          <w:numId w:val="73"/>
        </w:numPr>
      </w:pPr>
      <w:r w:rsidRPr="00EB28A6">
        <w:t>Интервенция за преходна национална помощ за говеда, необвързана с производството;</w:t>
      </w:r>
    </w:p>
    <w:p w:rsidR="00005151" w:rsidRPr="00EB28A6" w:rsidRDefault="00005151" w:rsidP="00005151">
      <w:pPr>
        <w:numPr>
          <w:ilvl w:val="0"/>
          <w:numId w:val="73"/>
        </w:numPr>
      </w:pPr>
      <w:r w:rsidRPr="00EB28A6">
        <w:t>Интервенция за преходна национална помощ за овце-майки и/или кози-майки, обвързана с производството.</w:t>
      </w:r>
    </w:p>
    <w:p w:rsidR="00C97002" w:rsidRPr="00EB28A6" w:rsidRDefault="00C97002" w:rsidP="00B30642">
      <w:pPr>
        <w:numPr>
          <w:ilvl w:val="0"/>
          <w:numId w:val="34"/>
        </w:numPr>
        <w:ind w:left="360"/>
        <w:rPr>
          <w:b/>
        </w:rPr>
      </w:pPr>
      <w:r w:rsidRPr="00EB28A6">
        <w:rPr>
          <w:b/>
        </w:rPr>
        <w:t>Държавни помощи</w:t>
      </w:r>
    </w:p>
    <w:p w:rsidR="00C97002" w:rsidRPr="00EB28A6" w:rsidRDefault="00C97002" w:rsidP="0097230C">
      <w:r w:rsidRPr="00EB28A6">
        <w:rPr>
          <w:b/>
        </w:rPr>
        <w:t>2.1.</w:t>
      </w:r>
      <w:r w:rsidRPr="00EB28A6">
        <w:t xml:space="preserve"> Държавен фонд „Земеделие” осъществява държавно подпомагане, в т.ч. безвъзмездна помощ и краткосрочно кредитиране със средства от националния бюджет. Прилаганите към момента схеми за държавни помощи в селското стопанство са нотифицирани от Министерството на земеделието </w:t>
      </w:r>
      <w:r w:rsidR="00FE526D" w:rsidRPr="00EB28A6">
        <w:t xml:space="preserve">и храните </w:t>
      </w:r>
      <w:r w:rsidRPr="00EB28A6">
        <w:t>и са одобрени от Европейската комисия на база на действащото законодателство на ЕС в областта на държавните помощи.</w:t>
      </w:r>
    </w:p>
    <w:p w:rsidR="00C97002" w:rsidRPr="00EB28A6" w:rsidRDefault="00C97002" w:rsidP="0097230C">
      <w:r w:rsidRPr="00EB28A6">
        <w:t>Предвижда се подпомагането на земеделските стопани през периода 202</w:t>
      </w:r>
      <w:r w:rsidR="00FE526D" w:rsidRPr="00EB28A6">
        <w:t>4</w:t>
      </w:r>
      <w:r w:rsidRPr="00EB28A6">
        <w:t>-202</w:t>
      </w:r>
      <w:r w:rsidR="00FE526D" w:rsidRPr="00EB28A6">
        <w:t>6</w:t>
      </w:r>
      <w:r w:rsidRPr="00EB28A6">
        <w:t xml:space="preserve"> г. да се определя на базата на промените в европейското законодателство, като тенденцията е да се запазят досега действащите държавни помощи.</w:t>
      </w:r>
    </w:p>
    <w:p w:rsidR="00C97002" w:rsidRPr="00EB28A6" w:rsidRDefault="00C97002" w:rsidP="0097230C">
      <w:r w:rsidRPr="00EB28A6">
        <w:t>Политиката на подпомагане се определя както от специфичните нужди в отделните подсектори на земеделието, така и от интересите на земеделските стопани, като се следва принципът на анализ на необходимостта от държавно подпомагане в дадена област при спазване на нормите на европейското и националното право в областта на държавните помощи.</w:t>
      </w:r>
    </w:p>
    <w:p w:rsidR="00C97002" w:rsidRPr="00EB28A6" w:rsidRDefault="00C97002" w:rsidP="0097230C">
      <w:r w:rsidRPr="00EB28A6">
        <w:t>Разширяването на подпомагането в сектор растениевъдство може да се окаже естествен процес, породен от стремежа на растениевъдите за осигуряване на размер на държавна помощ, сходен с този за животновъдството.</w:t>
      </w:r>
    </w:p>
    <w:p w:rsidR="00C97002" w:rsidRPr="00EA6851" w:rsidRDefault="00C97002" w:rsidP="0097230C">
      <w:r w:rsidRPr="00EB28A6">
        <w:t>Допълнителен инструмент</w:t>
      </w:r>
      <w:r w:rsidRPr="00EA6851">
        <w:t xml:space="preserve"> за подкрепа на земеделските стопани при извънредни случаи или в случаи, за които не се прилагат схеми на държавни помощи е подпомагането по линия на de minimis помощите. Тези помощи може да се използват при необходимост през периода 2024-2026 г. в качеството им на резервно подпомагане.</w:t>
      </w:r>
    </w:p>
    <w:p w:rsidR="00C97002" w:rsidRPr="00EA6851" w:rsidRDefault="00C97002" w:rsidP="0097230C">
      <w:pPr>
        <w:rPr>
          <w:b/>
        </w:rPr>
      </w:pPr>
      <w:r w:rsidRPr="00EA6851">
        <w:rPr>
          <w:b/>
        </w:rPr>
        <w:t>2.2. Държавни помощи с инвестиционен характер</w:t>
      </w:r>
    </w:p>
    <w:p w:rsidR="00C97002" w:rsidRPr="00EA6851" w:rsidRDefault="00C97002" w:rsidP="0097230C">
      <w:r w:rsidRPr="00EA6851">
        <w:t xml:space="preserve">Държавен фонд „Земеделие” осъществява дейността по администриране на нотифицираните от управляващия орган Министерството на земеделието </w:t>
      </w:r>
      <w:r w:rsidR="00FE526D" w:rsidRPr="00EA6851">
        <w:t xml:space="preserve">и храните </w:t>
      </w:r>
      <w:r w:rsidRPr="00EA6851">
        <w:t xml:space="preserve">и одобрени от Европейската комисия схеми на държавните помощи с инвестиционен характер. </w:t>
      </w:r>
    </w:p>
    <w:p w:rsidR="00C97002" w:rsidRPr="00EA6851" w:rsidRDefault="00C97002" w:rsidP="00B30642">
      <w:pPr>
        <w:numPr>
          <w:ilvl w:val="0"/>
          <w:numId w:val="34"/>
        </w:numPr>
        <w:ind w:left="360"/>
        <w:rPr>
          <w:b/>
        </w:rPr>
      </w:pPr>
      <w:r w:rsidRPr="00EA6851">
        <w:rPr>
          <w:b/>
        </w:rPr>
        <w:t>Данък върху добавената стойност по схемите и мерките на Селскостопански пазарни механизми</w:t>
      </w:r>
    </w:p>
    <w:p w:rsidR="00C97002" w:rsidRPr="00EA6851" w:rsidRDefault="00C97002" w:rsidP="0097230C">
      <w:r w:rsidRPr="00EA6851">
        <w:t>Предвиждат се и средства за изплащане на данъка върху добавената стойност по следните схеми и мерки:</w:t>
      </w:r>
    </w:p>
    <w:p w:rsidR="00C97002" w:rsidRPr="00EA6851" w:rsidRDefault="00C97002" w:rsidP="0097230C">
      <w:pPr>
        <w:rPr>
          <w:b/>
        </w:rPr>
      </w:pPr>
      <w:r w:rsidRPr="00EA6851">
        <w:rPr>
          <w:b/>
        </w:rPr>
        <w:t>- Схема „Училищен плод“ и Схема „Училищно мляко“</w:t>
      </w:r>
    </w:p>
    <w:p w:rsidR="00C97002" w:rsidRPr="00EA6851" w:rsidRDefault="00C97002" w:rsidP="0097230C">
      <w:r w:rsidRPr="00EA6851">
        <w:t>Помощите са предназначени за деца и ученици, посещаващи редовно учебните заведения, признати съгласно Закона за предучилищното и училищното образование. Учебните заведения са най-подходящата среда за въздействие върху хранителните навици на децата на етапа, в който те се формират.</w:t>
      </w:r>
    </w:p>
    <w:p w:rsidR="00C97002" w:rsidRPr="00EA6851" w:rsidRDefault="00C97002" w:rsidP="0097230C">
      <w:r w:rsidRPr="00EA6851">
        <w:rPr>
          <w:szCs w:val="24"/>
          <w:lang w:eastAsia="en-US"/>
        </w:rPr>
        <w:t>Бенефициенти по схемите могат да бъдат учебни заведения, общини, еднолични търговци, търговски дружества и кооперации, производители на плодове и зеленчуци, организации и групи на производители на плодове и зеленчуци, както и производители на мляко и млечни продукти.</w:t>
      </w:r>
      <w:r w:rsidRPr="00EA6851">
        <w:t xml:space="preserve"> Одобрените заявители по схемата извършват доставка на пресни плодове и зеленчуци/мляко и млечни продукти в учебните заведения и детски градини на територията на цялата страна през учебната година.</w:t>
      </w:r>
    </w:p>
    <w:p w:rsidR="00C97002" w:rsidRPr="00EA6851" w:rsidRDefault="00C97002" w:rsidP="0097230C">
      <w:pPr>
        <w:rPr>
          <w:iCs/>
        </w:rPr>
      </w:pPr>
      <w:r w:rsidRPr="00EA6851">
        <w:t>По бюджета на ДФЗ за периода 202</w:t>
      </w:r>
      <w:r w:rsidR="00FE526D" w:rsidRPr="00EA6851">
        <w:t>4</w:t>
      </w:r>
      <w:r w:rsidRPr="00EA6851">
        <w:t>-202</w:t>
      </w:r>
      <w:r w:rsidR="00FE526D" w:rsidRPr="00EA6851">
        <w:t>6</w:t>
      </w:r>
      <w:r w:rsidRPr="00EA6851">
        <w:t xml:space="preserve"> г. са предвидени общо средства в размер на </w:t>
      </w:r>
      <w:r w:rsidR="007D60D3" w:rsidRPr="00EA6851">
        <w:t>450</w:t>
      </w:r>
      <w:r w:rsidRPr="00EA6851">
        <w:t xml:space="preserve">,4 млн. лв. годишно за изплащане на държавни помощи, преходна национална помощ за тютюн, преходна национална помощ за животни, </w:t>
      </w:r>
      <w:r w:rsidRPr="00EA6851">
        <w:rPr>
          <w:iCs/>
        </w:rPr>
        <w:t>средства за ДДС пазарни мерки и национални доплащания за предходни кампании.</w:t>
      </w:r>
    </w:p>
    <w:p w:rsidR="00C97002" w:rsidRPr="00EA6851" w:rsidRDefault="00C97002" w:rsidP="0097230C">
      <w:pPr>
        <w:pStyle w:val="Heading4"/>
        <w:spacing w:before="0" w:after="200"/>
      </w:pPr>
      <w:r w:rsidRPr="00EA6851">
        <w:t>Политика в областта на рибарството и аквакултурите</w:t>
      </w:r>
    </w:p>
    <w:p w:rsidR="00C97002" w:rsidRPr="00EA6851" w:rsidRDefault="00C97002" w:rsidP="0097230C">
      <w:r w:rsidRPr="00EA6851">
        <w:t>Политиката в сектор „Рибарство” (сектор „Рибарство” включва дейностите, свързани с риболов с цел търговия, любителски риболов, аквакултури и рибопреработвателната промишленост) следва да допринася за:</w:t>
      </w:r>
    </w:p>
    <w:p w:rsidR="00C97002" w:rsidRPr="00EA6851" w:rsidRDefault="00C97002" w:rsidP="00B30642">
      <w:pPr>
        <w:numPr>
          <w:ilvl w:val="0"/>
          <w:numId w:val="55"/>
        </w:numPr>
      </w:pPr>
      <w:r w:rsidRPr="00EA6851">
        <w:t>поддържане и възстановяване на биоразнообразието във водните екосистеми чрез прилагане на екосистемен подход към управлението на рибарството и аквакултурите;</w:t>
      </w:r>
    </w:p>
    <w:p w:rsidR="00C97002" w:rsidRPr="00EA6851" w:rsidRDefault="00C97002" w:rsidP="00B30642">
      <w:pPr>
        <w:numPr>
          <w:ilvl w:val="0"/>
          <w:numId w:val="55"/>
        </w:numPr>
      </w:pPr>
      <w:r w:rsidRPr="00EA6851">
        <w:t>осигуряване на условия за устойчива експлоатация на морските биологични ресурси, основаваща се на подхода на предпазливост;</w:t>
      </w:r>
    </w:p>
    <w:p w:rsidR="00C97002" w:rsidRPr="00EA6851" w:rsidRDefault="00C97002" w:rsidP="00B30642">
      <w:pPr>
        <w:numPr>
          <w:ilvl w:val="0"/>
          <w:numId w:val="55"/>
        </w:numPr>
      </w:pPr>
      <w:r w:rsidRPr="00EA6851">
        <w:t>създаване на достъпна храна за населението, популяризираща здравословен модел на хранене;</w:t>
      </w:r>
    </w:p>
    <w:p w:rsidR="00C97002" w:rsidRPr="00EA6851" w:rsidRDefault="00C97002" w:rsidP="00B30642">
      <w:pPr>
        <w:numPr>
          <w:ilvl w:val="0"/>
          <w:numId w:val="55"/>
        </w:numPr>
      </w:pPr>
      <w:r w:rsidRPr="00EA6851">
        <w:t>прилагане на европейските стандарти по отношение на производство, преработка и маркетинг на риба от стопански риболов и аквакултури;</w:t>
      </w:r>
    </w:p>
    <w:p w:rsidR="00C97002" w:rsidRPr="00EA6851" w:rsidRDefault="00C97002" w:rsidP="00B30642">
      <w:pPr>
        <w:numPr>
          <w:ilvl w:val="0"/>
          <w:numId w:val="55"/>
        </w:numPr>
      </w:pPr>
      <w:r w:rsidRPr="00EA6851">
        <w:t>превръщане на сектор „Рибарство“ в модерен и конкурентоспособен сектор, с помощта на прилагането на иновационни дейности, подпомогнати от научни разработки;</w:t>
      </w:r>
    </w:p>
    <w:p w:rsidR="00C97002" w:rsidRPr="00EA6851" w:rsidRDefault="00C97002" w:rsidP="00B30642">
      <w:pPr>
        <w:numPr>
          <w:ilvl w:val="0"/>
          <w:numId w:val="55"/>
        </w:numPr>
      </w:pPr>
      <w:r w:rsidRPr="00EA6851">
        <w:t>превръщане на сектор „Рибарство“ в гъвкав саморегулиращ се икономически сектор в резултат на изградено партньорство и съвместни дейности между частните предприятия, организации и съответните национални институции и европейски структури;</w:t>
      </w:r>
    </w:p>
    <w:p w:rsidR="00C97002" w:rsidRPr="00EA6851" w:rsidRDefault="00C97002" w:rsidP="00B30642">
      <w:pPr>
        <w:numPr>
          <w:ilvl w:val="0"/>
          <w:numId w:val="55"/>
        </w:numPr>
      </w:pPr>
      <w:r w:rsidRPr="00EA6851">
        <w:t>превръщане на сектор „Рибарство“ в икономически стабилен сектор, посредством повишаване на асортимента, качеството и количеството на произведената продукция от риба, носеща значителни приходи на лицата, ангажирани с риболова и аквакултурите;</w:t>
      </w:r>
    </w:p>
    <w:p w:rsidR="00C97002" w:rsidRPr="00EA6851" w:rsidRDefault="00C97002" w:rsidP="00B30642">
      <w:pPr>
        <w:numPr>
          <w:ilvl w:val="0"/>
          <w:numId w:val="55"/>
        </w:numPr>
      </w:pPr>
      <w:r w:rsidRPr="00EA6851">
        <w:t>по-добро интегриране с другите сектори на икономиката (туризъм, услуги и др.).</w:t>
      </w:r>
    </w:p>
    <w:p w:rsidR="00C97002" w:rsidRPr="00EA6851" w:rsidRDefault="00C97002" w:rsidP="0097230C">
      <w:pPr>
        <w:ind w:left="720"/>
      </w:pPr>
    </w:p>
    <w:p w:rsidR="00C97002" w:rsidRPr="00EA6851" w:rsidRDefault="00C97002" w:rsidP="00C97002">
      <w:pPr>
        <w:rPr>
          <w:b/>
          <w:sz w:val="20"/>
          <w:szCs w:val="20"/>
        </w:rPr>
      </w:pPr>
      <w:r w:rsidRPr="00EA6851">
        <w:rPr>
          <w:b/>
          <w:sz w:val="20"/>
          <w:szCs w:val="20"/>
        </w:rPr>
        <w:t>КЛЮЧОВИ ИНДИКАТОРИ ЗА ИЗПЪЛНЕНИЕ И ЦЕЛЕВИ СТОЙНОСТИ</w:t>
      </w:r>
    </w:p>
    <w:tbl>
      <w:tblPr>
        <w:tblW w:w="5000" w:type="pct"/>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3342"/>
        <w:gridCol w:w="962"/>
        <w:gridCol w:w="1188"/>
        <w:gridCol w:w="1331"/>
        <w:gridCol w:w="1353"/>
        <w:gridCol w:w="894"/>
      </w:tblGrid>
      <w:tr w:rsidR="00C97002" w:rsidRPr="00EA6851" w:rsidTr="0097230C">
        <w:trPr>
          <w:trHeight w:val="70"/>
          <w:tblHeader/>
        </w:trPr>
        <w:tc>
          <w:tcPr>
            <w:tcW w:w="1842" w:type="pct"/>
            <w:tcBorders>
              <w:top w:val="single" w:sz="4" w:space="0" w:color="auto"/>
              <w:left w:val="nil"/>
              <w:bottom w:val="nil"/>
              <w:right w:val="nil"/>
            </w:tcBorders>
            <w:vAlign w:val="center"/>
            <w:hideMark/>
          </w:tcPr>
          <w:p w:rsidR="00C97002" w:rsidRPr="00EA6851" w:rsidRDefault="00C97002" w:rsidP="00C97002">
            <w:pPr>
              <w:spacing w:after="0" w:line="276" w:lineRule="auto"/>
              <w:jc w:val="center"/>
              <w:rPr>
                <w:b/>
                <w:i/>
                <w:iCs/>
                <w:sz w:val="18"/>
                <w:szCs w:val="18"/>
              </w:rPr>
            </w:pPr>
            <w:r w:rsidRPr="00EA6851">
              <w:rPr>
                <w:b/>
                <w:i/>
                <w:iCs/>
                <w:sz w:val="18"/>
                <w:szCs w:val="18"/>
              </w:rPr>
              <w:t>Политика в областта на рибарството и аквакултурите</w:t>
            </w:r>
          </w:p>
        </w:tc>
        <w:tc>
          <w:tcPr>
            <w:tcW w:w="530" w:type="pct"/>
            <w:vMerge w:val="restart"/>
            <w:tcBorders>
              <w:top w:val="single" w:sz="4" w:space="0" w:color="auto"/>
              <w:left w:val="nil"/>
              <w:bottom w:val="single" w:sz="4" w:space="0" w:color="auto"/>
              <w:right w:val="nil"/>
            </w:tcBorders>
            <w:shd w:val="clear" w:color="auto" w:fill="F2F2F2"/>
            <w:vAlign w:val="center"/>
            <w:hideMark/>
          </w:tcPr>
          <w:p w:rsidR="00C97002" w:rsidRPr="00EA6851" w:rsidRDefault="00C97002" w:rsidP="00647C44">
            <w:pPr>
              <w:spacing w:line="276" w:lineRule="auto"/>
              <w:jc w:val="center"/>
              <w:rPr>
                <w:sz w:val="18"/>
                <w:szCs w:val="18"/>
              </w:rPr>
            </w:pPr>
            <w:r w:rsidRPr="00EA6851">
              <w:rPr>
                <w:b/>
                <w:bCs/>
                <w:sz w:val="18"/>
                <w:szCs w:val="18"/>
              </w:rPr>
              <w:t>Мерна единица</w:t>
            </w:r>
          </w:p>
        </w:tc>
        <w:tc>
          <w:tcPr>
            <w:tcW w:w="2628" w:type="pct"/>
            <w:gridSpan w:val="4"/>
            <w:tcBorders>
              <w:top w:val="single" w:sz="4" w:space="0" w:color="auto"/>
              <w:left w:val="nil"/>
              <w:bottom w:val="single" w:sz="4" w:space="0" w:color="auto"/>
              <w:right w:val="nil"/>
            </w:tcBorders>
            <w:vAlign w:val="center"/>
            <w:hideMark/>
          </w:tcPr>
          <w:p w:rsidR="00C97002" w:rsidRPr="00EA6851" w:rsidRDefault="00C97002" w:rsidP="00C97002">
            <w:pPr>
              <w:spacing w:after="0" w:line="276" w:lineRule="auto"/>
              <w:ind w:left="162" w:hanging="162"/>
              <w:jc w:val="center"/>
              <w:rPr>
                <w:b/>
                <w:bCs/>
                <w:sz w:val="18"/>
                <w:szCs w:val="18"/>
              </w:rPr>
            </w:pPr>
            <w:r w:rsidRPr="00EA6851">
              <w:rPr>
                <w:b/>
                <w:bCs/>
                <w:sz w:val="18"/>
                <w:szCs w:val="18"/>
              </w:rPr>
              <w:t>Целева стойност</w:t>
            </w:r>
          </w:p>
        </w:tc>
      </w:tr>
      <w:tr w:rsidR="00C97002" w:rsidRPr="00EA6851" w:rsidTr="0097230C">
        <w:trPr>
          <w:trHeight w:val="70"/>
          <w:tblHeader/>
        </w:trPr>
        <w:tc>
          <w:tcPr>
            <w:tcW w:w="1842" w:type="pct"/>
            <w:tcBorders>
              <w:top w:val="nil"/>
              <w:left w:val="nil"/>
              <w:bottom w:val="single" w:sz="4" w:space="0" w:color="auto"/>
              <w:right w:val="nil"/>
            </w:tcBorders>
            <w:vAlign w:val="center"/>
            <w:hideMark/>
          </w:tcPr>
          <w:p w:rsidR="00C97002" w:rsidRPr="00EA6851" w:rsidRDefault="00C97002" w:rsidP="00C97002">
            <w:pPr>
              <w:spacing w:after="0" w:line="276" w:lineRule="auto"/>
              <w:jc w:val="center"/>
              <w:rPr>
                <w:b/>
                <w:bCs/>
                <w:sz w:val="18"/>
                <w:szCs w:val="18"/>
              </w:rPr>
            </w:pPr>
            <w:r w:rsidRPr="00EA6851">
              <w:rPr>
                <w:b/>
                <w:bCs/>
                <w:sz w:val="18"/>
                <w:szCs w:val="18"/>
              </w:rPr>
              <w:t>Наименование на индикатора</w:t>
            </w:r>
          </w:p>
        </w:tc>
        <w:tc>
          <w:tcPr>
            <w:tcW w:w="0" w:type="auto"/>
            <w:vMerge/>
            <w:tcBorders>
              <w:top w:val="single" w:sz="4" w:space="0" w:color="auto"/>
              <w:left w:val="nil"/>
              <w:bottom w:val="single" w:sz="4" w:space="0" w:color="auto"/>
              <w:right w:val="nil"/>
            </w:tcBorders>
            <w:vAlign w:val="center"/>
            <w:hideMark/>
          </w:tcPr>
          <w:p w:rsidR="00C97002" w:rsidRPr="00EA6851" w:rsidRDefault="00C97002" w:rsidP="00647C44">
            <w:pPr>
              <w:spacing w:after="0" w:line="276" w:lineRule="auto"/>
              <w:jc w:val="center"/>
              <w:rPr>
                <w:sz w:val="18"/>
                <w:szCs w:val="18"/>
              </w:rPr>
            </w:pPr>
          </w:p>
        </w:tc>
        <w:tc>
          <w:tcPr>
            <w:tcW w:w="655" w:type="pct"/>
            <w:tcBorders>
              <w:top w:val="single" w:sz="4" w:space="0" w:color="auto"/>
              <w:left w:val="nil"/>
              <w:bottom w:val="single" w:sz="4" w:space="0" w:color="auto"/>
              <w:right w:val="nil"/>
            </w:tcBorders>
            <w:vAlign w:val="center"/>
            <w:hideMark/>
          </w:tcPr>
          <w:p w:rsidR="00C97002" w:rsidRPr="00EA6851" w:rsidRDefault="00C97002" w:rsidP="00C97002">
            <w:pPr>
              <w:spacing w:after="0" w:line="276" w:lineRule="auto"/>
              <w:jc w:val="center"/>
              <w:rPr>
                <w:b/>
                <w:bCs/>
                <w:i/>
                <w:iCs/>
                <w:sz w:val="18"/>
                <w:szCs w:val="18"/>
              </w:rPr>
            </w:pPr>
            <w:r w:rsidRPr="00EA6851">
              <w:rPr>
                <w:b/>
                <w:bCs/>
                <w:i/>
                <w:iCs/>
                <w:sz w:val="18"/>
                <w:szCs w:val="18"/>
              </w:rPr>
              <w:t>Програма 2023 г.</w:t>
            </w:r>
          </w:p>
        </w:tc>
        <w:tc>
          <w:tcPr>
            <w:tcW w:w="734" w:type="pct"/>
            <w:tcBorders>
              <w:top w:val="single" w:sz="4" w:space="0" w:color="auto"/>
              <w:left w:val="nil"/>
              <w:bottom w:val="single" w:sz="4" w:space="0" w:color="auto"/>
              <w:right w:val="nil"/>
            </w:tcBorders>
            <w:vAlign w:val="center"/>
            <w:hideMark/>
          </w:tcPr>
          <w:p w:rsidR="00C97002" w:rsidRPr="00EA6851" w:rsidRDefault="00C97002" w:rsidP="00C97002">
            <w:pPr>
              <w:spacing w:after="0" w:line="276" w:lineRule="auto"/>
              <w:jc w:val="center"/>
              <w:rPr>
                <w:b/>
                <w:bCs/>
                <w:i/>
                <w:iCs/>
                <w:sz w:val="18"/>
                <w:szCs w:val="18"/>
              </w:rPr>
            </w:pPr>
            <w:r w:rsidRPr="00EA6851">
              <w:rPr>
                <w:b/>
                <w:bCs/>
                <w:i/>
                <w:iCs/>
                <w:sz w:val="18"/>
                <w:szCs w:val="18"/>
              </w:rPr>
              <w:t>Проект</w:t>
            </w:r>
          </w:p>
          <w:p w:rsidR="00C97002" w:rsidRPr="00EA6851" w:rsidRDefault="00C97002" w:rsidP="00C97002">
            <w:pPr>
              <w:spacing w:after="0" w:line="276" w:lineRule="auto"/>
              <w:jc w:val="center"/>
              <w:rPr>
                <w:b/>
                <w:bCs/>
                <w:i/>
                <w:iCs/>
                <w:sz w:val="18"/>
                <w:szCs w:val="18"/>
              </w:rPr>
            </w:pPr>
            <w:r w:rsidRPr="00EA6851">
              <w:rPr>
                <w:b/>
                <w:bCs/>
                <w:i/>
                <w:iCs/>
                <w:sz w:val="18"/>
                <w:szCs w:val="18"/>
              </w:rPr>
              <w:t>2024 г.</w:t>
            </w:r>
          </w:p>
        </w:tc>
        <w:tc>
          <w:tcPr>
            <w:tcW w:w="746" w:type="pct"/>
            <w:tcBorders>
              <w:top w:val="single" w:sz="4" w:space="0" w:color="auto"/>
              <w:left w:val="nil"/>
              <w:bottom w:val="single" w:sz="4" w:space="0" w:color="auto"/>
              <w:right w:val="nil"/>
            </w:tcBorders>
            <w:vAlign w:val="center"/>
            <w:hideMark/>
          </w:tcPr>
          <w:p w:rsidR="00C97002" w:rsidRPr="00EA6851" w:rsidRDefault="00C97002" w:rsidP="00C97002">
            <w:pPr>
              <w:spacing w:after="0" w:line="276" w:lineRule="auto"/>
              <w:ind w:left="-55" w:firstLine="55"/>
              <w:jc w:val="center"/>
              <w:rPr>
                <w:b/>
                <w:bCs/>
                <w:i/>
                <w:iCs/>
                <w:sz w:val="18"/>
                <w:szCs w:val="18"/>
              </w:rPr>
            </w:pPr>
            <w:r w:rsidRPr="00EA6851">
              <w:rPr>
                <w:b/>
                <w:bCs/>
                <w:i/>
                <w:iCs/>
                <w:sz w:val="18"/>
                <w:szCs w:val="18"/>
              </w:rPr>
              <w:t xml:space="preserve">Прогноза </w:t>
            </w:r>
          </w:p>
          <w:p w:rsidR="00C97002" w:rsidRPr="00EA6851" w:rsidRDefault="00C97002" w:rsidP="00C97002">
            <w:pPr>
              <w:spacing w:after="0" w:line="276" w:lineRule="auto"/>
              <w:ind w:left="-55" w:firstLine="55"/>
              <w:jc w:val="center"/>
              <w:rPr>
                <w:b/>
                <w:bCs/>
                <w:i/>
                <w:iCs/>
                <w:sz w:val="18"/>
                <w:szCs w:val="18"/>
              </w:rPr>
            </w:pPr>
            <w:r w:rsidRPr="00EA6851">
              <w:rPr>
                <w:b/>
                <w:bCs/>
                <w:i/>
                <w:iCs/>
                <w:sz w:val="18"/>
                <w:szCs w:val="18"/>
              </w:rPr>
              <w:t>2025 г.</w:t>
            </w:r>
          </w:p>
        </w:tc>
        <w:tc>
          <w:tcPr>
            <w:tcW w:w="493" w:type="pct"/>
            <w:tcBorders>
              <w:top w:val="single" w:sz="4" w:space="0" w:color="auto"/>
              <w:left w:val="nil"/>
              <w:bottom w:val="single" w:sz="4" w:space="0" w:color="auto"/>
              <w:right w:val="nil"/>
            </w:tcBorders>
            <w:vAlign w:val="center"/>
            <w:hideMark/>
          </w:tcPr>
          <w:p w:rsidR="00C97002" w:rsidRPr="00EA6851" w:rsidRDefault="00C97002" w:rsidP="00C97002">
            <w:pPr>
              <w:spacing w:after="0" w:line="276" w:lineRule="auto"/>
              <w:jc w:val="center"/>
              <w:rPr>
                <w:b/>
                <w:bCs/>
                <w:i/>
                <w:iCs/>
                <w:sz w:val="18"/>
                <w:szCs w:val="18"/>
              </w:rPr>
            </w:pPr>
            <w:r w:rsidRPr="00EA6851">
              <w:rPr>
                <w:b/>
                <w:bCs/>
                <w:i/>
                <w:iCs/>
                <w:sz w:val="18"/>
                <w:szCs w:val="18"/>
              </w:rPr>
              <w:t xml:space="preserve">Прогноза </w:t>
            </w:r>
          </w:p>
          <w:p w:rsidR="00C97002" w:rsidRPr="00EA6851" w:rsidRDefault="00C97002" w:rsidP="00C97002">
            <w:pPr>
              <w:spacing w:after="0" w:line="276" w:lineRule="auto"/>
              <w:jc w:val="center"/>
              <w:rPr>
                <w:b/>
                <w:bCs/>
                <w:i/>
                <w:iCs/>
                <w:sz w:val="18"/>
                <w:szCs w:val="18"/>
              </w:rPr>
            </w:pPr>
            <w:r w:rsidRPr="00EA6851">
              <w:rPr>
                <w:b/>
                <w:bCs/>
                <w:i/>
                <w:iCs/>
                <w:sz w:val="18"/>
                <w:szCs w:val="18"/>
              </w:rPr>
              <w:t>2026 г.</w:t>
            </w:r>
          </w:p>
        </w:tc>
      </w:tr>
      <w:tr w:rsidR="00C97002" w:rsidRPr="00EA6851" w:rsidTr="0097230C">
        <w:trPr>
          <w:trHeight w:val="73"/>
        </w:trPr>
        <w:tc>
          <w:tcPr>
            <w:tcW w:w="1842" w:type="pct"/>
            <w:tcBorders>
              <w:top w:val="single" w:sz="4" w:space="0" w:color="auto"/>
              <w:left w:val="nil"/>
              <w:bottom w:val="single" w:sz="4" w:space="0" w:color="auto"/>
              <w:right w:val="nil"/>
            </w:tcBorders>
            <w:vAlign w:val="center"/>
            <w:hideMark/>
          </w:tcPr>
          <w:p w:rsidR="00C97002" w:rsidRPr="00EA6851" w:rsidRDefault="00C97002" w:rsidP="00C97002">
            <w:pPr>
              <w:widowControl w:val="0"/>
              <w:autoSpaceDE w:val="0"/>
              <w:autoSpaceDN w:val="0"/>
              <w:adjustRightInd w:val="0"/>
              <w:spacing w:after="0" w:line="276" w:lineRule="auto"/>
              <w:jc w:val="left"/>
              <w:rPr>
                <w:sz w:val="18"/>
                <w:szCs w:val="18"/>
              </w:rPr>
            </w:pPr>
            <w:r w:rsidRPr="00EA6851">
              <w:rPr>
                <w:sz w:val="18"/>
                <w:szCs w:val="18"/>
              </w:rPr>
              <w:t>1. Годишна консумация на риба</w:t>
            </w:r>
          </w:p>
        </w:tc>
        <w:tc>
          <w:tcPr>
            <w:tcW w:w="530" w:type="pct"/>
            <w:tcBorders>
              <w:top w:val="single" w:sz="4" w:space="0" w:color="auto"/>
              <w:left w:val="nil"/>
              <w:bottom w:val="single" w:sz="4" w:space="0" w:color="auto"/>
              <w:right w:val="nil"/>
            </w:tcBorders>
            <w:shd w:val="clear" w:color="auto" w:fill="F2F2F2"/>
            <w:vAlign w:val="center"/>
            <w:hideMark/>
          </w:tcPr>
          <w:p w:rsidR="00C97002" w:rsidRPr="00EA6851" w:rsidRDefault="00C97002" w:rsidP="00647C44">
            <w:pPr>
              <w:widowControl w:val="0"/>
              <w:autoSpaceDE w:val="0"/>
              <w:autoSpaceDN w:val="0"/>
              <w:adjustRightInd w:val="0"/>
              <w:spacing w:after="0" w:line="276" w:lineRule="auto"/>
              <w:jc w:val="center"/>
              <w:rPr>
                <w:sz w:val="18"/>
                <w:szCs w:val="18"/>
              </w:rPr>
            </w:pPr>
            <w:r w:rsidRPr="00EA6851">
              <w:rPr>
                <w:sz w:val="18"/>
                <w:szCs w:val="18"/>
              </w:rPr>
              <w:t>кг/човек</w:t>
            </w:r>
          </w:p>
        </w:tc>
        <w:tc>
          <w:tcPr>
            <w:tcW w:w="655" w:type="pct"/>
            <w:tcBorders>
              <w:top w:val="single" w:sz="4" w:space="0" w:color="auto"/>
              <w:left w:val="nil"/>
              <w:bottom w:val="single" w:sz="4" w:space="0" w:color="auto"/>
              <w:right w:val="nil"/>
            </w:tcBorders>
            <w:vAlign w:val="center"/>
          </w:tcPr>
          <w:p w:rsidR="00C97002" w:rsidRPr="00EA6851" w:rsidRDefault="00C97002" w:rsidP="00C97002">
            <w:pPr>
              <w:spacing w:line="276" w:lineRule="auto"/>
              <w:jc w:val="center"/>
              <w:rPr>
                <w:sz w:val="18"/>
                <w:szCs w:val="18"/>
              </w:rPr>
            </w:pPr>
          </w:p>
          <w:p w:rsidR="00C97002" w:rsidRPr="00EA6851" w:rsidRDefault="00C97002" w:rsidP="00C97002">
            <w:pPr>
              <w:spacing w:line="276" w:lineRule="auto"/>
              <w:jc w:val="center"/>
              <w:rPr>
                <w:sz w:val="18"/>
                <w:szCs w:val="18"/>
              </w:rPr>
            </w:pPr>
            <w:r w:rsidRPr="00EA6851">
              <w:rPr>
                <w:sz w:val="18"/>
                <w:szCs w:val="18"/>
              </w:rPr>
              <w:t>5,2</w:t>
            </w:r>
          </w:p>
        </w:tc>
        <w:tc>
          <w:tcPr>
            <w:tcW w:w="734" w:type="pct"/>
            <w:tcBorders>
              <w:top w:val="single" w:sz="4" w:space="0" w:color="auto"/>
              <w:left w:val="nil"/>
              <w:bottom w:val="single" w:sz="4" w:space="0" w:color="auto"/>
              <w:right w:val="nil"/>
            </w:tcBorders>
            <w:vAlign w:val="center"/>
          </w:tcPr>
          <w:p w:rsidR="00C97002" w:rsidRPr="00EA6851" w:rsidRDefault="00C97002" w:rsidP="00C97002">
            <w:pPr>
              <w:spacing w:line="276" w:lineRule="auto"/>
              <w:jc w:val="center"/>
              <w:rPr>
                <w:sz w:val="18"/>
                <w:szCs w:val="18"/>
              </w:rPr>
            </w:pPr>
          </w:p>
          <w:p w:rsidR="00C97002" w:rsidRPr="00EA6851" w:rsidRDefault="00C97002" w:rsidP="00C97002">
            <w:pPr>
              <w:spacing w:line="276" w:lineRule="auto"/>
              <w:jc w:val="center"/>
              <w:rPr>
                <w:sz w:val="18"/>
                <w:szCs w:val="18"/>
              </w:rPr>
            </w:pPr>
            <w:r w:rsidRPr="00EA6851">
              <w:rPr>
                <w:sz w:val="18"/>
                <w:szCs w:val="18"/>
              </w:rPr>
              <w:t>6,0</w:t>
            </w:r>
          </w:p>
        </w:tc>
        <w:tc>
          <w:tcPr>
            <w:tcW w:w="746" w:type="pct"/>
            <w:tcBorders>
              <w:top w:val="single" w:sz="4" w:space="0" w:color="auto"/>
              <w:left w:val="nil"/>
              <w:bottom w:val="single" w:sz="4" w:space="0" w:color="auto"/>
              <w:right w:val="nil"/>
            </w:tcBorders>
            <w:vAlign w:val="center"/>
          </w:tcPr>
          <w:p w:rsidR="00C97002" w:rsidRPr="00EA6851" w:rsidRDefault="00C97002" w:rsidP="00C97002">
            <w:pPr>
              <w:spacing w:line="276" w:lineRule="auto"/>
              <w:jc w:val="center"/>
              <w:rPr>
                <w:sz w:val="18"/>
                <w:szCs w:val="18"/>
              </w:rPr>
            </w:pPr>
          </w:p>
          <w:p w:rsidR="00C97002" w:rsidRPr="00EA6851" w:rsidRDefault="00C97002" w:rsidP="00C97002">
            <w:pPr>
              <w:spacing w:line="276" w:lineRule="auto"/>
              <w:jc w:val="center"/>
              <w:rPr>
                <w:sz w:val="18"/>
                <w:szCs w:val="18"/>
              </w:rPr>
            </w:pPr>
            <w:r w:rsidRPr="00EA6851">
              <w:rPr>
                <w:sz w:val="18"/>
                <w:szCs w:val="18"/>
              </w:rPr>
              <w:t>6,2</w:t>
            </w:r>
          </w:p>
        </w:tc>
        <w:tc>
          <w:tcPr>
            <w:tcW w:w="493" w:type="pct"/>
            <w:tcBorders>
              <w:top w:val="single" w:sz="4" w:space="0" w:color="auto"/>
              <w:left w:val="nil"/>
              <w:bottom w:val="single" w:sz="4" w:space="0" w:color="auto"/>
              <w:right w:val="nil"/>
            </w:tcBorders>
            <w:vAlign w:val="center"/>
          </w:tcPr>
          <w:p w:rsidR="00C97002" w:rsidRPr="00EA6851" w:rsidRDefault="00C97002" w:rsidP="00C97002">
            <w:pPr>
              <w:spacing w:line="276" w:lineRule="auto"/>
              <w:jc w:val="center"/>
              <w:rPr>
                <w:sz w:val="18"/>
                <w:szCs w:val="18"/>
              </w:rPr>
            </w:pPr>
          </w:p>
          <w:p w:rsidR="00C97002" w:rsidRPr="00EA6851" w:rsidRDefault="00C97002" w:rsidP="00C97002">
            <w:pPr>
              <w:spacing w:line="276" w:lineRule="auto"/>
              <w:jc w:val="center"/>
              <w:rPr>
                <w:sz w:val="18"/>
                <w:szCs w:val="18"/>
              </w:rPr>
            </w:pPr>
            <w:r w:rsidRPr="00EA6851">
              <w:rPr>
                <w:sz w:val="18"/>
                <w:szCs w:val="18"/>
              </w:rPr>
              <w:t>6,5</w:t>
            </w:r>
          </w:p>
        </w:tc>
      </w:tr>
    </w:tbl>
    <w:p w:rsidR="003C7BE1" w:rsidRPr="00EA6851" w:rsidRDefault="003C7BE1" w:rsidP="0097230C">
      <w:pPr>
        <w:rPr>
          <w:b/>
        </w:rPr>
      </w:pPr>
    </w:p>
    <w:p w:rsidR="00C97002" w:rsidRPr="00EA6851" w:rsidRDefault="00C97002" w:rsidP="0097230C">
      <w:r w:rsidRPr="00EA6851">
        <w:rPr>
          <w:b/>
        </w:rPr>
        <w:t xml:space="preserve">Държавен фонд „Земеделие“ </w:t>
      </w:r>
      <w:r w:rsidRPr="00EA6851">
        <w:t>участва и в прилагането на политиката на МЗ</w:t>
      </w:r>
      <w:r w:rsidR="003D304F" w:rsidRPr="00EA6851">
        <w:t>Х</w:t>
      </w:r>
      <w:r w:rsidRPr="00EA6851">
        <w:t xml:space="preserve"> в областта на рибарството и аквакултурите. </w:t>
      </w:r>
    </w:p>
    <w:p w:rsidR="00C97002" w:rsidRPr="00EA6851" w:rsidRDefault="00C97002" w:rsidP="0097230C">
      <w:r w:rsidRPr="00EA6851">
        <w:t>Фондът споделя дългосрочната национална визия, обвързана с изграждане на конкурентен, ефективен, икономически и екологично устойчив сектор „Рибарство“ в България, като допринася за постигане на целите, заложени в политиките на МЗ</w:t>
      </w:r>
      <w:r w:rsidR="003D304F" w:rsidRPr="00EA6851">
        <w:t>Х</w:t>
      </w:r>
      <w:r w:rsidRPr="00EA6851">
        <w:t xml:space="preserve"> в рамките на Общата политика по рибарство на Европейския съюз и съгласно националния стратегически план. </w:t>
      </w:r>
    </w:p>
    <w:p w:rsidR="00C97002" w:rsidRPr="00EA6851" w:rsidRDefault="00C97002" w:rsidP="0097230C">
      <w:r w:rsidRPr="00EA6851">
        <w:t>ДФЗ отговаря за разпределението на публичните разходи за политиката, които разходва пряко чрез бюджета си и чрез сметката за средства от Европейския съюз, одобрени с годишния закон за държавния бюджет на Република България.</w:t>
      </w:r>
    </w:p>
    <w:p w:rsidR="00C97002" w:rsidRPr="00EA6851" w:rsidRDefault="00C97002" w:rsidP="0097230C">
      <w:r w:rsidRPr="00EA6851">
        <w:t>Ключов индикатор за изпълнение на политиката в частта на ДФЗ е:</w:t>
      </w:r>
    </w:p>
    <w:p w:rsidR="00C436A2" w:rsidRPr="00EB28A6" w:rsidRDefault="00C436A2" w:rsidP="00C436A2">
      <w:pPr>
        <w:numPr>
          <w:ilvl w:val="0"/>
          <w:numId w:val="36"/>
        </w:numPr>
        <w:rPr>
          <w:i/>
        </w:rPr>
      </w:pPr>
      <w:r w:rsidRPr="00EB28A6">
        <w:rPr>
          <w:i/>
        </w:rPr>
        <w:t>Изпълнение на бюджета по ЕФМДР/ЕФМДРА</w:t>
      </w:r>
      <w:r w:rsidRPr="00EB28A6">
        <w:rPr>
          <w:rStyle w:val="FootnoteReference"/>
          <w:i/>
        </w:rPr>
        <w:footnoteReference w:id="35"/>
      </w:r>
    </w:p>
    <w:p w:rsidR="00C97002" w:rsidRPr="00EA6851" w:rsidRDefault="00C97002" w:rsidP="003E754F">
      <w:pPr>
        <w:ind w:left="720"/>
        <w:rPr>
          <w:i/>
        </w:rPr>
      </w:pPr>
    </w:p>
    <w:p w:rsidR="00C97002" w:rsidRPr="00EA6851" w:rsidRDefault="00C97002" w:rsidP="0097230C">
      <w:pPr>
        <w:pStyle w:val="Heading4"/>
        <w:spacing w:before="0" w:after="200"/>
      </w:pPr>
      <w:r w:rsidRPr="00EA6851">
        <w:t>Политика в областта на съхраняването и увеличаването на горите и дивеча</w:t>
      </w:r>
    </w:p>
    <w:p w:rsidR="00C97002" w:rsidRPr="00EA6851" w:rsidRDefault="00C97002" w:rsidP="0097230C">
      <w:pPr>
        <w:contextualSpacing/>
      </w:pPr>
      <w:r w:rsidRPr="00EA6851">
        <w:t xml:space="preserve">С изпълнението на политиката в областта на съхраняването и увеличаване на горите и дивеча се дава принос за реализация на визията за развитие на горския сектор, която е: Република България да има жизнени, продуктивни и многофункционални гори, устойчив, конкурентноспособен и иновативен горски сектор, съхранено биологично разнообразие, количество и качество на водните ресурси в горските територии. Секторът да подпомага икономическото развитие на страната, да осигурява условия за пълноценна реализация на заетите в него и да гарантира поддържането на здравословна околна среда. </w:t>
      </w:r>
    </w:p>
    <w:p w:rsidR="00C97002" w:rsidRPr="00EA6851" w:rsidRDefault="00C97002" w:rsidP="00C97002">
      <w:pPr>
        <w:spacing w:before="120" w:after="120"/>
        <w:contextualSpacing/>
      </w:pPr>
    </w:p>
    <w:p w:rsidR="00C97002" w:rsidRPr="00EA6851" w:rsidRDefault="00C97002" w:rsidP="00C97002">
      <w:pPr>
        <w:rPr>
          <w:b/>
          <w:sz w:val="20"/>
          <w:szCs w:val="20"/>
        </w:rPr>
      </w:pPr>
      <w:r w:rsidRPr="00EA6851">
        <w:rPr>
          <w:b/>
          <w:sz w:val="20"/>
          <w:szCs w:val="20"/>
        </w:rPr>
        <w:t>КЛЮЧОВИ ИНДИКАТОРИ ЗА ИЗПЪЛНЕНИЕ И ЦЕЛЕВИ СТОЙНОСТИ</w:t>
      </w:r>
    </w:p>
    <w:tbl>
      <w:tblPr>
        <w:tblW w:w="9214" w:type="dxa"/>
        <w:jc w:val="center"/>
        <w:tblBorders>
          <w:bottom w:val="single" w:sz="4" w:space="0" w:color="auto"/>
        </w:tblBorders>
        <w:shd w:val="clear" w:color="auto" w:fill="FFFFFF" w:themeFill="background1"/>
        <w:tblLook w:val="04A0" w:firstRow="1" w:lastRow="0" w:firstColumn="1" w:lastColumn="0" w:noHBand="0" w:noVBand="1"/>
      </w:tblPr>
      <w:tblGrid>
        <w:gridCol w:w="4107"/>
        <w:gridCol w:w="1134"/>
        <w:gridCol w:w="996"/>
        <w:gridCol w:w="993"/>
        <w:gridCol w:w="992"/>
        <w:gridCol w:w="992"/>
      </w:tblGrid>
      <w:tr w:rsidR="00C97002" w:rsidRPr="00EA6851" w:rsidTr="004F2344">
        <w:trPr>
          <w:trHeight w:val="255"/>
          <w:tblHeader/>
          <w:jc w:val="center"/>
        </w:trPr>
        <w:tc>
          <w:tcPr>
            <w:tcW w:w="4111" w:type="dxa"/>
            <w:tcBorders>
              <w:top w:val="single" w:sz="4" w:space="0" w:color="auto"/>
              <w:left w:val="nil"/>
              <w:bottom w:val="nil"/>
              <w:right w:val="nil"/>
            </w:tcBorders>
            <w:shd w:val="clear" w:color="auto" w:fill="FFFFFF" w:themeFill="background1"/>
            <w:vAlign w:val="center"/>
            <w:hideMark/>
          </w:tcPr>
          <w:p w:rsidR="00C97002" w:rsidRPr="00EA6851" w:rsidRDefault="00C97002" w:rsidP="00C97002">
            <w:pPr>
              <w:jc w:val="center"/>
              <w:rPr>
                <w:b/>
                <w:i/>
                <w:iCs/>
                <w:color w:val="000000"/>
                <w:sz w:val="18"/>
                <w:szCs w:val="18"/>
              </w:rPr>
            </w:pPr>
            <w:r w:rsidRPr="00EA6851">
              <w:rPr>
                <w:b/>
                <w:i/>
                <w:iCs/>
                <w:color w:val="000000"/>
                <w:sz w:val="18"/>
                <w:szCs w:val="18"/>
              </w:rPr>
              <w:t>Политика в областта на съхраняването и увеличаването на горите и дивеча</w:t>
            </w:r>
          </w:p>
        </w:tc>
        <w:tc>
          <w:tcPr>
            <w:tcW w:w="1134" w:type="dxa"/>
            <w:vMerge w:val="restart"/>
            <w:tcBorders>
              <w:top w:val="single" w:sz="4" w:space="0" w:color="auto"/>
              <w:left w:val="nil"/>
              <w:bottom w:val="nil"/>
              <w:right w:val="nil"/>
            </w:tcBorders>
            <w:shd w:val="clear" w:color="auto" w:fill="EEF1F6" w:themeFill="accent5" w:themeFillTint="33"/>
            <w:vAlign w:val="center"/>
            <w:hideMark/>
          </w:tcPr>
          <w:p w:rsidR="00C97002" w:rsidRPr="00EA6851" w:rsidRDefault="00C97002" w:rsidP="00C97002">
            <w:pPr>
              <w:jc w:val="center"/>
              <w:rPr>
                <w:b/>
                <w:bCs/>
                <w:color w:val="000000"/>
                <w:sz w:val="18"/>
                <w:szCs w:val="18"/>
              </w:rPr>
            </w:pPr>
            <w:r w:rsidRPr="00EA6851">
              <w:rPr>
                <w:b/>
                <w:bCs/>
                <w:color w:val="000000"/>
                <w:sz w:val="18"/>
                <w:szCs w:val="18"/>
              </w:rPr>
              <w:t>Мерна единица</w:t>
            </w:r>
          </w:p>
        </w:tc>
        <w:tc>
          <w:tcPr>
            <w:tcW w:w="3969" w:type="dxa"/>
            <w:gridSpan w:val="4"/>
            <w:vMerge w:val="restart"/>
            <w:tcBorders>
              <w:top w:val="single" w:sz="4" w:space="0" w:color="auto"/>
              <w:left w:val="nil"/>
              <w:bottom w:val="nil"/>
              <w:right w:val="nil"/>
            </w:tcBorders>
            <w:shd w:val="clear" w:color="auto" w:fill="FFFFFF" w:themeFill="background1"/>
            <w:vAlign w:val="center"/>
          </w:tcPr>
          <w:p w:rsidR="00C97002" w:rsidRPr="00EA6851" w:rsidRDefault="00C97002" w:rsidP="00C97002">
            <w:pPr>
              <w:jc w:val="center"/>
              <w:rPr>
                <w:b/>
                <w:bCs/>
                <w:i/>
                <w:iCs/>
                <w:color w:val="000000"/>
                <w:sz w:val="18"/>
                <w:szCs w:val="18"/>
              </w:rPr>
            </w:pPr>
            <w:r w:rsidRPr="00EA6851">
              <w:rPr>
                <w:b/>
                <w:bCs/>
                <w:sz w:val="18"/>
                <w:szCs w:val="18"/>
              </w:rPr>
              <w:t>Целева стойност</w:t>
            </w:r>
          </w:p>
        </w:tc>
      </w:tr>
      <w:tr w:rsidR="00C97002" w:rsidRPr="00EA6851" w:rsidTr="004F2344">
        <w:trPr>
          <w:trHeight w:val="407"/>
          <w:tblHeader/>
          <w:jc w:val="center"/>
        </w:trPr>
        <w:tc>
          <w:tcPr>
            <w:tcW w:w="4111" w:type="dxa"/>
            <w:vMerge w:val="restart"/>
            <w:tcBorders>
              <w:top w:val="nil"/>
              <w:left w:val="nil"/>
              <w:bottom w:val="nil"/>
              <w:right w:val="nil"/>
            </w:tcBorders>
            <w:shd w:val="clear" w:color="auto" w:fill="FFFFFF" w:themeFill="background1"/>
            <w:vAlign w:val="center"/>
            <w:hideMark/>
          </w:tcPr>
          <w:p w:rsidR="00C97002" w:rsidRPr="00EA6851" w:rsidRDefault="00C97002" w:rsidP="00C97002">
            <w:pPr>
              <w:jc w:val="center"/>
              <w:rPr>
                <w:b/>
                <w:bCs/>
                <w:color w:val="000000"/>
                <w:sz w:val="18"/>
                <w:szCs w:val="18"/>
              </w:rPr>
            </w:pPr>
            <w:r w:rsidRPr="00EA6851">
              <w:rPr>
                <w:b/>
                <w:bCs/>
                <w:color w:val="000000"/>
                <w:sz w:val="18"/>
                <w:szCs w:val="18"/>
              </w:rPr>
              <w:t>Наименование на индикатора</w:t>
            </w:r>
          </w:p>
        </w:tc>
        <w:tc>
          <w:tcPr>
            <w:tcW w:w="1134" w:type="dxa"/>
            <w:vMerge/>
            <w:tcBorders>
              <w:top w:val="nil"/>
              <w:left w:val="nil"/>
              <w:bottom w:val="nil"/>
              <w:right w:val="nil"/>
            </w:tcBorders>
            <w:shd w:val="clear" w:color="auto" w:fill="EEF1F6" w:themeFill="accent5" w:themeFillTint="33"/>
            <w:vAlign w:val="center"/>
            <w:hideMark/>
          </w:tcPr>
          <w:p w:rsidR="00C97002" w:rsidRPr="00EA6851" w:rsidRDefault="00C97002" w:rsidP="00C97002">
            <w:pPr>
              <w:rPr>
                <w:b/>
                <w:bCs/>
                <w:color w:val="000000"/>
                <w:sz w:val="18"/>
                <w:szCs w:val="18"/>
              </w:rPr>
            </w:pPr>
          </w:p>
        </w:tc>
        <w:tc>
          <w:tcPr>
            <w:tcW w:w="3969" w:type="dxa"/>
            <w:gridSpan w:val="4"/>
            <w:vMerge/>
            <w:tcBorders>
              <w:top w:val="nil"/>
              <w:left w:val="nil"/>
              <w:bottom w:val="single" w:sz="4" w:space="0" w:color="auto"/>
              <w:right w:val="nil"/>
            </w:tcBorders>
            <w:shd w:val="clear" w:color="auto" w:fill="FFFFFF" w:themeFill="background1"/>
            <w:vAlign w:val="center"/>
          </w:tcPr>
          <w:p w:rsidR="00C97002" w:rsidRPr="00EA6851" w:rsidRDefault="00C97002" w:rsidP="00C97002">
            <w:pPr>
              <w:rPr>
                <w:b/>
                <w:bCs/>
                <w:i/>
                <w:iCs/>
                <w:color w:val="000000"/>
                <w:sz w:val="18"/>
                <w:szCs w:val="18"/>
              </w:rPr>
            </w:pPr>
          </w:p>
        </w:tc>
      </w:tr>
      <w:tr w:rsidR="00C97002" w:rsidRPr="00EA6851" w:rsidTr="004F2344">
        <w:trPr>
          <w:trHeight w:val="70"/>
          <w:tblHeader/>
          <w:jc w:val="center"/>
        </w:trPr>
        <w:tc>
          <w:tcPr>
            <w:tcW w:w="4111" w:type="dxa"/>
            <w:vMerge/>
            <w:tcBorders>
              <w:top w:val="nil"/>
              <w:left w:val="nil"/>
              <w:bottom w:val="single" w:sz="4" w:space="0" w:color="auto"/>
              <w:right w:val="nil"/>
            </w:tcBorders>
            <w:shd w:val="clear" w:color="auto" w:fill="FFFFFF" w:themeFill="background1"/>
            <w:vAlign w:val="center"/>
          </w:tcPr>
          <w:p w:rsidR="00C97002" w:rsidRPr="00EA6851" w:rsidRDefault="00C97002" w:rsidP="00C97002">
            <w:pPr>
              <w:jc w:val="center"/>
              <w:rPr>
                <w:b/>
                <w:bCs/>
                <w:color w:val="000000"/>
                <w:sz w:val="18"/>
                <w:szCs w:val="18"/>
              </w:rPr>
            </w:pPr>
          </w:p>
        </w:tc>
        <w:tc>
          <w:tcPr>
            <w:tcW w:w="1134" w:type="dxa"/>
            <w:vMerge/>
            <w:tcBorders>
              <w:top w:val="nil"/>
              <w:left w:val="nil"/>
              <w:bottom w:val="single" w:sz="4" w:space="0" w:color="auto"/>
              <w:right w:val="nil"/>
            </w:tcBorders>
            <w:shd w:val="clear" w:color="auto" w:fill="EEF1F6" w:themeFill="accent5" w:themeFillTint="33"/>
            <w:vAlign w:val="center"/>
          </w:tcPr>
          <w:p w:rsidR="00C97002" w:rsidRPr="00EA6851" w:rsidRDefault="00C97002" w:rsidP="00C97002">
            <w:pPr>
              <w:rPr>
                <w:b/>
                <w:bCs/>
                <w:color w:val="000000"/>
                <w:sz w:val="18"/>
                <w:szCs w:val="18"/>
              </w:rPr>
            </w:pPr>
          </w:p>
        </w:tc>
        <w:tc>
          <w:tcPr>
            <w:tcW w:w="992" w:type="dxa"/>
            <w:tcBorders>
              <w:top w:val="single" w:sz="4" w:space="0" w:color="auto"/>
              <w:left w:val="nil"/>
              <w:bottom w:val="single" w:sz="4" w:space="0" w:color="auto"/>
              <w:right w:val="nil"/>
            </w:tcBorders>
            <w:shd w:val="clear" w:color="auto" w:fill="FFFFFF" w:themeFill="background1"/>
            <w:vAlign w:val="center"/>
          </w:tcPr>
          <w:p w:rsidR="00C97002" w:rsidRPr="00EA6851" w:rsidRDefault="00C97002" w:rsidP="00C97002">
            <w:pPr>
              <w:jc w:val="center"/>
              <w:rPr>
                <w:b/>
                <w:bCs/>
                <w:i/>
                <w:iCs/>
                <w:color w:val="000000"/>
                <w:sz w:val="18"/>
                <w:szCs w:val="18"/>
              </w:rPr>
            </w:pPr>
            <w:r w:rsidRPr="00EA6851">
              <w:rPr>
                <w:b/>
                <w:bCs/>
                <w:i/>
                <w:iCs/>
                <w:color w:val="000000"/>
                <w:sz w:val="18"/>
                <w:szCs w:val="18"/>
              </w:rPr>
              <w:t>Програма 2023 г.</w:t>
            </w:r>
          </w:p>
        </w:tc>
        <w:tc>
          <w:tcPr>
            <w:tcW w:w="993" w:type="dxa"/>
            <w:tcBorders>
              <w:top w:val="single" w:sz="4" w:space="0" w:color="auto"/>
              <w:left w:val="nil"/>
              <w:bottom w:val="single" w:sz="4" w:space="0" w:color="auto"/>
              <w:right w:val="nil"/>
            </w:tcBorders>
            <w:shd w:val="clear" w:color="auto" w:fill="FFFFFF" w:themeFill="background1"/>
            <w:vAlign w:val="center"/>
          </w:tcPr>
          <w:p w:rsidR="00C97002" w:rsidRPr="00EA6851" w:rsidRDefault="00C97002" w:rsidP="00C97002">
            <w:pPr>
              <w:jc w:val="center"/>
              <w:rPr>
                <w:b/>
                <w:bCs/>
                <w:i/>
                <w:iCs/>
                <w:color w:val="000000"/>
                <w:sz w:val="18"/>
                <w:szCs w:val="18"/>
              </w:rPr>
            </w:pPr>
            <w:r w:rsidRPr="00EA6851">
              <w:rPr>
                <w:b/>
                <w:bCs/>
                <w:i/>
                <w:iCs/>
                <w:color w:val="000000"/>
                <w:sz w:val="18"/>
                <w:szCs w:val="18"/>
              </w:rPr>
              <w:t>Проект 2024 г.</w:t>
            </w:r>
          </w:p>
        </w:tc>
        <w:tc>
          <w:tcPr>
            <w:tcW w:w="992" w:type="dxa"/>
            <w:tcBorders>
              <w:top w:val="single" w:sz="4" w:space="0" w:color="auto"/>
              <w:left w:val="nil"/>
              <w:bottom w:val="single" w:sz="4" w:space="0" w:color="auto"/>
              <w:right w:val="nil"/>
            </w:tcBorders>
            <w:shd w:val="clear" w:color="auto" w:fill="FFFFFF" w:themeFill="background1"/>
            <w:vAlign w:val="center"/>
          </w:tcPr>
          <w:p w:rsidR="00C97002" w:rsidRPr="00EA6851" w:rsidRDefault="00C97002" w:rsidP="00C97002">
            <w:pPr>
              <w:jc w:val="center"/>
              <w:rPr>
                <w:b/>
                <w:bCs/>
                <w:i/>
                <w:iCs/>
                <w:color w:val="000000"/>
                <w:sz w:val="18"/>
                <w:szCs w:val="18"/>
              </w:rPr>
            </w:pPr>
            <w:r w:rsidRPr="00EA6851">
              <w:rPr>
                <w:b/>
                <w:bCs/>
                <w:i/>
                <w:iCs/>
                <w:color w:val="000000"/>
                <w:sz w:val="18"/>
                <w:szCs w:val="18"/>
              </w:rPr>
              <w:t>Прогноза 2025 г.</w:t>
            </w:r>
          </w:p>
        </w:tc>
        <w:tc>
          <w:tcPr>
            <w:tcW w:w="992" w:type="dxa"/>
            <w:tcBorders>
              <w:top w:val="single" w:sz="4" w:space="0" w:color="auto"/>
              <w:left w:val="nil"/>
              <w:bottom w:val="single" w:sz="4" w:space="0" w:color="auto"/>
              <w:right w:val="nil"/>
            </w:tcBorders>
            <w:shd w:val="clear" w:color="auto" w:fill="FFFFFF" w:themeFill="background1"/>
            <w:vAlign w:val="center"/>
          </w:tcPr>
          <w:p w:rsidR="00C97002" w:rsidRPr="00EA6851" w:rsidRDefault="00C97002" w:rsidP="00C97002">
            <w:pPr>
              <w:jc w:val="center"/>
              <w:rPr>
                <w:b/>
                <w:bCs/>
                <w:i/>
                <w:iCs/>
                <w:color w:val="000000"/>
                <w:sz w:val="18"/>
                <w:szCs w:val="18"/>
              </w:rPr>
            </w:pPr>
            <w:r w:rsidRPr="00EA6851">
              <w:rPr>
                <w:b/>
                <w:bCs/>
                <w:i/>
                <w:iCs/>
                <w:color w:val="000000"/>
                <w:sz w:val="18"/>
                <w:szCs w:val="18"/>
              </w:rPr>
              <w:t>Прогноза 2026 г.</w:t>
            </w:r>
          </w:p>
        </w:tc>
      </w:tr>
      <w:tr w:rsidR="00C97002" w:rsidRPr="00EA6851" w:rsidTr="004F2344">
        <w:trPr>
          <w:trHeight w:val="480"/>
          <w:jc w:val="center"/>
        </w:trPr>
        <w:tc>
          <w:tcPr>
            <w:tcW w:w="4111" w:type="dxa"/>
            <w:tcBorders>
              <w:top w:val="single" w:sz="4" w:space="0" w:color="auto"/>
              <w:left w:val="nil"/>
              <w:bottom w:val="nil"/>
              <w:right w:val="nil"/>
            </w:tcBorders>
            <w:shd w:val="clear" w:color="auto" w:fill="FFFFFF" w:themeFill="background1"/>
            <w:vAlign w:val="center"/>
            <w:hideMark/>
          </w:tcPr>
          <w:p w:rsidR="00C97002" w:rsidRPr="00EA6851" w:rsidRDefault="00C97002" w:rsidP="00C97002">
            <w:pPr>
              <w:jc w:val="left"/>
              <w:rPr>
                <w:color w:val="000000"/>
                <w:sz w:val="18"/>
                <w:szCs w:val="18"/>
              </w:rPr>
            </w:pPr>
            <w:r w:rsidRPr="00EA6851">
              <w:rPr>
                <w:color w:val="000000"/>
                <w:sz w:val="18"/>
                <w:szCs w:val="18"/>
              </w:rPr>
              <w:t>1.Изработване на областни планове за развитие на горските територии</w:t>
            </w:r>
          </w:p>
        </w:tc>
        <w:tc>
          <w:tcPr>
            <w:tcW w:w="1134" w:type="dxa"/>
            <w:tcBorders>
              <w:top w:val="single" w:sz="4" w:space="0" w:color="auto"/>
              <w:left w:val="nil"/>
              <w:bottom w:val="nil"/>
              <w:right w:val="nil"/>
            </w:tcBorders>
            <w:shd w:val="clear" w:color="auto" w:fill="EEF1F6" w:themeFill="accent5" w:themeFillTint="33"/>
            <w:vAlign w:val="center"/>
            <w:hideMark/>
          </w:tcPr>
          <w:p w:rsidR="00C97002" w:rsidRPr="00EA6851" w:rsidRDefault="00C97002" w:rsidP="00C97002">
            <w:pPr>
              <w:jc w:val="center"/>
              <w:rPr>
                <w:color w:val="000000"/>
                <w:sz w:val="18"/>
                <w:szCs w:val="18"/>
              </w:rPr>
            </w:pPr>
            <w:r w:rsidRPr="00EA6851">
              <w:rPr>
                <w:color w:val="000000"/>
                <w:sz w:val="18"/>
                <w:szCs w:val="18"/>
              </w:rPr>
              <w:t> Брой</w:t>
            </w:r>
          </w:p>
        </w:tc>
        <w:tc>
          <w:tcPr>
            <w:tcW w:w="992" w:type="dxa"/>
            <w:tcBorders>
              <w:top w:val="single" w:sz="4" w:space="0" w:color="auto"/>
              <w:left w:val="nil"/>
              <w:bottom w:val="nil"/>
              <w:right w:val="nil"/>
            </w:tcBorders>
            <w:shd w:val="clear" w:color="auto" w:fill="FFFFFF" w:themeFill="background1"/>
            <w:vAlign w:val="center"/>
            <w:hideMark/>
          </w:tcPr>
          <w:p w:rsidR="00C97002" w:rsidRPr="00EA6851" w:rsidRDefault="00C97002" w:rsidP="00C97002">
            <w:pPr>
              <w:jc w:val="center"/>
              <w:rPr>
                <w:color w:val="000000"/>
                <w:sz w:val="18"/>
                <w:szCs w:val="18"/>
              </w:rPr>
            </w:pPr>
            <w:r w:rsidRPr="00EA6851">
              <w:rPr>
                <w:color w:val="000000"/>
                <w:sz w:val="18"/>
                <w:szCs w:val="18"/>
              </w:rPr>
              <w:t xml:space="preserve">2 </w:t>
            </w:r>
          </w:p>
        </w:tc>
        <w:tc>
          <w:tcPr>
            <w:tcW w:w="993" w:type="dxa"/>
            <w:tcBorders>
              <w:top w:val="single" w:sz="4" w:space="0" w:color="auto"/>
              <w:left w:val="nil"/>
              <w:bottom w:val="nil"/>
              <w:right w:val="nil"/>
            </w:tcBorders>
            <w:shd w:val="clear" w:color="auto" w:fill="FFFFFF" w:themeFill="background1"/>
            <w:noWrap/>
            <w:vAlign w:val="center"/>
            <w:hideMark/>
          </w:tcPr>
          <w:p w:rsidR="00C97002" w:rsidRPr="00EA6851" w:rsidRDefault="00C97002" w:rsidP="00C97002">
            <w:pPr>
              <w:jc w:val="center"/>
              <w:rPr>
                <w:color w:val="000000"/>
                <w:sz w:val="18"/>
                <w:szCs w:val="18"/>
              </w:rPr>
            </w:pPr>
            <w:r w:rsidRPr="00EA6851">
              <w:rPr>
                <w:color w:val="000000"/>
                <w:sz w:val="18"/>
                <w:szCs w:val="18"/>
              </w:rPr>
              <w:t xml:space="preserve">2 </w:t>
            </w:r>
          </w:p>
        </w:tc>
        <w:tc>
          <w:tcPr>
            <w:tcW w:w="992" w:type="dxa"/>
            <w:tcBorders>
              <w:top w:val="single" w:sz="4" w:space="0" w:color="auto"/>
              <w:left w:val="nil"/>
              <w:bottom w:val="nil"/>
              <w:right w:val="nil"/>
            </w:tcBorders>
            <w:shd w:val="clear" w:color="auto" w:fill="FFFFFF" w:themeFill="background1"/>
            <w:noWrap/>
            <w:vAlign w:val="center"/>
            <w:hideMark/>
          </w:tcPr>
          <w:p w:rsidR="00C97002" w:rsidRPr="00EA6851" w:rsidRDefault="00C97002" w:rsidP="00C97002">
            <w:pPr>
              <w:jc w:val="center"/>
              <w:rPr>
                <w:color w:val="000000"/>
                <w:sz w:val="18"/>
                <w:szCs w:val="18"/>
              </w:rPr>
            </w:pPr>
            <w:r w:rsidRPr="00EA6851">
              <w:rPr>
                <w:color w:val="000000"/>
                <w:sz w:val="18"/>
                <w:szCs w:val="18"/>
              </w:rPr>
              <w:t xml:space="preserve">2 </w:t>
            </w:r>
          </w:p>
        </w:tc>
        <w:tc>
          <w:tcPr>
            <w:tcW w:w="992" w:type="dxa"/>
            <w:tcBorders>
              <w:top w:val="single" w:sz="4" w:space="0" w:color="auto"/>
              <w:left w:val="nil"/>
              <w:bottom w:val="nil"/>
              <w:right w:val="nil"/>
            </w:tcBorders>
            <w:shd w:val="clear" w:color="auto" w:fill="FFFFFF" w:themeFill="background1"/>
            <w:noWrap/>
            <w:vAlign w:val="center"/>
            <w:hideMark/>
          </w:tcPr>
          <w:p w:rsidR="00C97002" w:rsidRPr="00EA6851" w:rsidRDefault="00C97002" w:rsidP="00C97002">
            <w:pPr>
              <w:jc w:val="center"/>
              <w:rPr>
                <w:color w:val="000000"/>
                <w:sz w:val="18"/>
                <w:szCs w:val="18"/>
              </w:rPr>
            </w:pPr>
            <w:r w:rsidRPr="00EA6851">
              <w:rPr>
                <w:color w:val="000000"/>
                <w:sz w:val="18"/>
                <w:szCs w:val="18"/>
              </w:rPr>
              <w:t xml:space="preserve">0 </w:t>
            </w:r>
          </w:p>
        </w:tc>
      </w:tr>
      <w:tr w:rsidR="00C97002" w:rsidRPr="00EA6851" w:rsidTr="004F2344">
        <w:trPr>
          <w:trHeight w:val="960"/>
          <w:jc w:val="center"/>
        </w:trPr>
        <w:tc>
          <w:tcPr>
            <w:tcW w:w="4111" w:type="dxa"/>
            <w:tcBorders>
              <w:top w:val="nil"/>
              <w:left w:val="nil"/>
              <w:bottom w:val="nil"/>
              <w:right w:val="nil"/>
            </w:tcBorders>
            <w:shd w:val="clear" w:color="auto" w:fill="FFFFFF" w:themeFill="background1"/>
            <w:vAlign w:val="center"/>
            <w:hideMark/>
          </w:tcPr>
          <w:p w:rsidR="00C97002" w:rsidRPr="00EA6851" w:rsidRDefault="00C97002" w:rsidP="00C97002">
            <w:pPr>
              <w:rPr>
                <w:color w:val="000000"/>
                <w:sz w:val="18"/>
                <w:szCs w:val="18"/>
              </w:rPr>
            </w:pPr>
            <w:r w:rsidRPr="00EA6851">
              <w:rPr>
                <w:color w:val="000000"/>
                <w:sz w:val="18"/>
                <w:szCs w:val="18"/>
              </w:rPr>
              <w:t>2.Инвентаризация на горските територии и изработване на планове за ловностопански дейности и дейности по опазване на горските територии от пожари</w:t>
            </w:r>
          </w:p>
        </w:tc>
        <w:tc>
          <w:tcPr>
            <w:tcW w:w="1134" w:type="dxa"/>
            <w:tcBorders>
              <w:top w:val="nil"/>
              <w:left w:val="nil"/>
              <w:bottom w:val="nil"/>
              <w:right w:val="nil"/>
            </w:tcBorders>
            <w:shd w:val="clear" w:color="auto" w:fill="EEF1F6" w:themeFill="accent5" w:themeFillTint="33"/>
            <w:vAlign w:val="center"/>
            <w:hideMark/>
          </w:tcPr>
          <w:p w:rsidR="00C97002" w:rsidRPr="00EA6851" w:rsidRDefault="00C97002" w:rsidP="00C97002">
            <w:pPr>
              <w:jc w:val="center"/>
              <w:rPr>
                <w:color w:val="000000"/>
                <w:sz w:val="18"/>
                <w:szCs w:val="18"/>
              </w:rPr>
            </w:pPr>
            <w:r w:rsidRPr="00EA6851">
              <w:rPr>
                <w:color w:val="000000"/>
                <w:sz w:val="18"/>
                <w:szCs w:val="18"/>
              </w:rPr>
              <w:t>Хил. ха</w:t>
            </w:r>
          </w:p>
        </w:tc>
        <w:tc>
          <w:tcPr>
            <w:tcW w:w="992" w:type="dxa"/>
            <w:tcBorders>
              <w:top w:val="nil"/>
              <w:left w:val="nil"/>
              <w:bottom w:val="nil"/>
              <w:right w:val="nil"/>
            </w:tcBorders>
            <w:shd w:val="clear" w:color="auto" w:fill="FFFFFF" w:themeFill="background1"/>
            <w:vAlign w:val="center"/>
            <w:hideMark/>
          </w:tcPr>
          <w:p w:rsidR="00C97002" w:rsidRPr="00EA6851" w:rsidRDefault="00C97002" w:rsidP="00C97002">
            <w:pPr>
              <w:jc w:val="center"/>
              <w:rPr>
                <w:color w:val="000000"/>
                <w:sz w:val="18"/>
                <w:szCs w:val="18"/>
              </w:rPr>
            </w:pPr>
            <w:r w:rsidRPr="00EA6851">
              <w:rPr>
                <w:color w:val="000000"/>
                <w:sz w:val="18"/>
                <w:szCs w:val="18"/>
              </w:rPr>
              <w:t xml:space="preserve">480 </w:t>
            </w:r>
          </w:p>
        </w:tc>
        <w:tc>
          <w:tcPr>
            <w:tcW w:w="993" w:type="dxa"/>
            <w:tcBorders>
              <w:top w:val="nil"/>
              <w:left w:val="nil"/>
              <w:bottom w:val="nil"/>
              <w:right w:val="nil"/>
            </w:tcBorders>
            <w:shd w:val="clear" w:color="auto" w:fill="FFFFFF" w:themeFill="background1"/>
            <w:noWrap/>
            <w:vAlign w:val="center"/>
            <w:hideMark/>
          </w:tcPr>
          <w:p w:rsidR="00C97002" w:rsidRPr="00EA6851" w:rsidRDefault="001C5BD7" w:rsidP="00C97002">
            <w:pPr>
              <w:jc w:val="center"/>
              <w:rPr>
                <w:color w:val="000000"/>
                <w:sz w:val="18"/>
                <w:szCs w:val="18"/>
              </w:rPr>
            </w:pPr>
            <w:r w:rsidRPr="00EA6851">
              <w:rPr>
                <w:color w:val="000000"/>
                <w:sz w:val="18"/>
                <w:szCs w:val="18"/>
              </w:rPr>
              <w:t>43</w:t>
            </w:r>
            <w:r w:rsidR="00C97002" w:rsidRPr="00EA6851">
              <w:rPr>
                <w:color w:val="000000"/>
                <w:sz w:val="18"/>
                <w:szCs w:val="18"/>
              </w:rPr>
              <w:t xml:space="preserve">0 </w:t>
            </w:r>
          </w:p>
        </w:tc>
        <w:tc>
          <w:tcPr>
            <w:tcW w:w="992" w:type="dxa"/>
            <w:tcBorders>
              <w:top w:val="nil"/>
              <w:left w:val="nil"/>
              <w:bottom w:val="nil"/>
              <w:right w:val="nil"/>
            </w:tcBorders>
            <w:shd w:val="clear" w:color="auto" w:fill="FFFFFF" w:themeFill="background1"/>
            <w:noWrap/>
            <w:vAlign w:val="center"/>
            <w:hideMark/>
          </w:tcPr>
          <w:p w:rsidR="00C97002" w:rsidRPr="00EA6851" w:rsidRDefault="00C97002" w:rsidP="00C97002">
            <w:pPr>
              <w:jc w:val="center"/>
              <w:rPr>
                <w:color w:val="000000"/>
                <w:sz w:val="18"/>
                <w:szCs w:val="18"/>
              </w:rPr>
            </w:pPr>
            <w:r w:rsidRPr="00EA6851">
              <w:rPr>
                <w:color w:val="000000"/>
                <w:sz w:val="18"/>
                <w:szCs w:val="18"/>
              </w:rPr>
              <w:t xml:space="preserve">380 </w:t>
            </w:r>
          </w:p>
        </w:tc>
        <w:tc>
          <w:tcPr>
            <w:tcW w:w="992" w:type="dxa"/>
            <w:tcBorders>
              <w:top w:val="nil"/>
              <w:left w:val="nil"/>
              <w:bottom w:val="nil"/>
              <w:right w:val="nil"/>
            </w:tcBorders>
            <w:shd w:val="clear" w:color="auto" w:fill="FFFFFF" w:themeFill="background1"/>
            <w:noWrap/>
            <w:vAlign w:val="center"/>
            <w:hideMark/>
          </w:tcPr>
          <w:p w:rsidR="00C97002" w:rsidRPr="00EA6851" w:rsidRDefault="00C97002" w:rsidP="00C97002">
            <w:pPr>
              <w:jc w:val="center"/>
              <w:rPr>
                <w:color w:val="000000"/>
                <w:sz w:val="18"/>
                <w:szCs w:val="18"/>
              </w:rPr>
            </w:pPr>
            <w:r w:rsidRPr="00EA6851">
              <w:rPr>
                <w:color w:val="000000"/>
                <w:sz w:val="18"/>
                <w:szCs w:val="18"/>
              </w:rPr>
              <w:t xml:space="preserve">360 </w:t>
            </w:r>
          </w:p>
        </w:tc>
      </w:tr>
      <w:tr w:rsidR="00C97002" w:rsidRPr="00EA6851" w:rsidTr="004F2344">
        <w:trPr>
          <w:trHeight w:val="300"/>
          <w:jc w:val="center"/>
        </w:trPr>
        <w:tc>
          <w:tcPr>
            <w:tcW w:w="4111" w:type="dxa"/>
            <w:tcBorders>
              <w:top w:val="nil"/>
              <w:bottom w:val="single" w:sz="4" w:space="0" w:color="auto"/>
            </w:tcBorders>
            <w:shd w:val="clear" w:color="auto" w:fill="FFFFFF" w:themeFill="background1"/>
            <w:vAlign w:val="center"/>
            <w:hideMark/>
          </w:tcPr>
          <w:p w:rsidR="00C97002" w:rsidRPr="00EA6851" w:rsidRDefault="00C97002" w:rsidP="00C97002">
            <w:pPr>
              <w:rPr>
                <w:color w:val="000000"/>
                <w:sz w:val="18"/>
                <w:szCs w:val="18"/>
              </w:rPr>
            </w:pPr>
            <w:r w:rsidRPr="00EA6851">
              <w:rPr>
                <w:color w:val="000000"/>
                <w:sz w:val="18"/>
                <w:szCs w:val="18"/>
              </w:rPr>
              <w:t>3.Състояние на запаса на благороден елен</w:t>
            </w:r>
          </w:p>
        </w:tc>
        <w:tc>
          <w:tcPr>
            <w:tcW w:w="1134" w:type="dxa"/>
            <w:tcBorders>
              <w:top w:val="nil"/>
              <w:bottom w:val="single" w:sz="4" w:space="0" w:color="auto"/>
            </w:tcBorders>
            <w:shd w:val="clear" w:color="auto" w:fill="EEF1F6" w:themeFill="accent5" w:themeFillTint="33"/>
            <w:vAlign w:val="center"/>
            <w:hideMark/>
          </w:tcPr>
          <w:p w:rsidR="00C97002" w:rsidRPr="00EA6851" w:rsidRDefault="00C97002" w:rsidP="00C97002">
            <w:pPr>
              <w:jc w:val="center"/>
              <w:rPr>
                <w:color w:val="000000"/>
                <w:sz w:val="18"/>
                <w:szCs w:val="18"/>
              </w:rPr>
            </w:pPr>
            <w:r w:rsidRPr="00EA6851">
              <w:rPr>
                <w:color w:val="000000"/>
                <w:sz w:val="18"/>
                <w:szCs w:val="18"/>
              </w:rPr>
              <w:t>Брой</w:t>
            </w:r>
          </w:p>
        </w:tc>
        <w:tc>
          <w:tcPr>
            <w:tcW w:w="992" w:type="dxa"/>
            <w:tcBorders>
              <w:top w:val="nil"/>
              <w:bottom w:val="single" w:sz="4" w:space="0" w:color="auto"/>
            </w:tcBorders>
            <w:shd w:val="clear" w:color="auto" w:fill="FFFFFF" w:themeFill="background1"/>
            <w:vAlign w:val="center"/>
            <w:hideMark/>
          </w:tcPr>
          <w:p w:rsidR="00C97002" w:rsidRPr="00EA6851" w:rsidRDefault="00C97002" w:rsidP="00C97002">
            <w:pPr>
              <w:jc w:val="center"/>
              <w:rPr>
                <w:color w:val="000000"/>
                <w:sz w:val="18"/>
                <w:szCs w:val="18"/>
              </w:rPr>
            </w:pPr>
            <w:r w:rsidRPr="00EA6851">
              <w:rPr>
                <w:color w:val="000000"/>
                <w:sz w:val="18"/>
                <w:szCs w:val="18"/>
              </w:rPr>
              <w:t xml:space="preserve">30 000 </w:t>
            </w:r>
          </w:p>
        </w:tc>
        <w:tc>
          <w:tcPr>
            <w:tcW w:w="993" w:type="dxa"/>
            <w:tcBorders>
              <w:top w:val="nil"/>
              <w:bottom w:val="single" w:sz="4" w:space="0" w:color="auto"/>
            </w:tcBorders>
            <w:shd w:val="clear" w:color="auto" w:fill="FFFFFF" w:themeFill="background1"/>
            <w:noWrap/>
            <w:vAlign w:val="center"/>
            <w:hideMark/>
          </w:tcPr>
          <w:p w:rsidR="00C97002" w:rsidRPr="00EA6851" w:rsidRDefault="00C97002" w:rsidP="00C97002">
            <w:pPr>
              <w:jc w:val="center"/>
              <w:rPr>
                <w:color w:val="000000"/>
                <w:sz w:val="18"/>
                <w:szCs w:val="18"/>
              </w:rPr>
            </w:pPr>
            <w:r w:rsidRPr="00EA6851">
              <w:rPr>
                <w:color w:val="000000"/>
                <w:sz w:val="18"/>
                <w:szCs w:val="18"/>
              </w:rPr>
              <w:t xml:space="preserve">30 000 </w:t>
            </w:r>
          </w:p>
        </w:tc>
        <w:tc>
          <w:tcPr>
            <w:tcW w:w="992" w:type="dxa"/>
            <w:tcBorders>
              <w:top w:val="nil"/>
              <w:bottom w:val="single" w:sz="4" w:space="0" w:color="auto"/>
            </w:tcBorders>
            <w:shd w:val="clear" w:color="auto" w:fill="FFFFFF" w:themeFill="background1"/>
            <w:noWrap/>
            <w:vAlign w:val="center"/>
            <w:hideMark/>
          </w:tcPr>
          <w:p w:rsidR="00C97002" w:rsidRPr="00EA6851" w:rsidRDefault="00C97002" w:rsidP="00C97002">
            <w:pPr>
              <w:jc w:val="center"/>
              <w:rPr>
                <w:color w:val="000000"/>
                <w:sz w:val="18"/>
                <w:szCs w:val="18"/>
              </w:rPr>
            </w:pPr>
            <w:r w:rsidRPr="00EA6851">
              <w:rPr>
                <w:color w:val="000000"/>
                <w:sz w:val="18"/>
                <w:szCs w:val="18"/>
              </w:rPr>
              <w:t xml:space="preserve">33 000 </w:t>
            </w:r>
          </w:p>
        </w:tc>
        <w:tc>
          <w:tcPr>
            <w:tcW w:w="992" w:type="dxa"/>
            <w:tcBorders>
              <w:top w:val="nil"/>
              <w:bottom w:val="single" w:sz="4" w:space="0" w:color="auto"/>
            </w:tcBorders>
            <w:shd w:val="clear" w:color="auto" w:fill="FFFFFF" w:themeFill="background1"/>
            <w:noWrap/>
            <w:vAlign w:val="center"/>
            <w:hideMark/>
          </w:tcPr>
          <w:p w:rsidR="00C97002" w:rsidRPr="00EA6851" w:rsidRDefault="00C97002" w:rsidP="00C97002">
            <w:pPr>
              <w:jc w:val="center"/>
              <w:rPr>
                <w:color w:val="000000"/>
                <w:sz w:val="18"/>
                <w:szCs w:val="18"/>
              </w:rPr>
            </w:pPr>
            <w:r w:rsidRPr="00EA6851">
              <w:rPr>
                <w:color w:val="000000"/>
                <w:sz w:val="18"/>
                <w:szCs w:val="18"/>
              </w:rPr>
              <w:t xml:space="preserve">35 000 </w:t>
            </w:r>
          </w:p>
        </w:tc>
      </w:tr>
    </w:tbl>
    <w:p w:rsidR="00C97002" w:rsidRPr="00EA6851" w:rsidRDefault="00C97002" w:rsidP="00AF6C96">
      <w:pPr>
        <w:rPr>
          <w:highlight w:val="yellow"/>
        </w:rPr>
      </w:pPr>
    </w:p>
    <w:p w:rsidR="0033580A" w:rsidRPr="00EA6851" w:rsidRDefault="00E71237" w:rsidP="00E71237">
      <w:pPr>
        <w:pStyle w:val="Heading3"/>
        <w:ind w:left="0"/>
      </w:pPr>
      <w:r w:rsidRPr="00EA6851">
        <w:t>Икономическа и финансова политика и политика в областта на развитието на инвестициите и иновациите в подкрепа на растежа на българската икономика</w:t>
      </w:r>
    </w:p>
    <w:p w:rsidR="00C97002" w:rsidRPr="00EA6851" w:rsidRDefault="00C97002" w:rsidP="0097230C">
      <w:r w:rsidRPr="00EA6851">
        <w:t xml:space="preserve">В тази сфера </w:t>
      </w:r>
      <w:r w:rsidRPr="00EA6851">
        <w:rPr>
          <w:b/>
          <w:sz w:val="28"/>
          <w:szCs w:val="28"/>
        </w:rPr>
        <w:t>Министерството на икономиката и индустрията</w:t>
      </w:r>
      <w:r w:rsidRPr="00EA6851">
        <w:t xml:space="preserve"> изпълнява следните политики:</w:t>
      </w:r>
    </w:p>
    <w:p w:rsidR="00C97002" w:rsidRPr="00EA6851" w:rsidRDefault="00C97002" w:rsidP="0097230C">
      <w:pPr>
        <w:pStyle w:val="Heading4"/>
        <w:spacing w:before="0" w:after="200"/>
      </w:pPr>
      <w:r w:rsidRPr="00EA6851">
        <w:t xml:space="preserve">Политика в областта на устойчивото икономическо развитие и конкурентоспособност </w:t>
      </w:r>
    </w:p>
    <w:p w:rsidR="00C97002" w:rsidRPr="00EA6851" w:rsidRDefault="00C97002" w:rsidP="0097230C">
      <w:r w:rsidRPr="00EA6851">
        <w:t>Политиката за устойчиво икономическо развитие цели повишаване на потенциала за растеж, основаващ се на насърчаване на инвестициите във високотехнологични промишлени производства и интензивни на знание услуги, насърчаване на предприемачеството и повишаването на производителността на труда.</w:t>
      </w:r>
    </w:p>
    <w:p w:rsidR="00C97002" w:rsidRPr="00EA6851" w:rsidRDefault="00C97002" w:rsidP="0097230C">
      <w:r w:rsidRPr="00EA6851">
        <w:t>Приоритет на икономическата политика е повишаването на привлекателността на България за инвестиции, както и за създаване на предпоставки за развитието на страната като център за интензивни на знание, производства и услуги с висока добавена стойност.</w:t>
      </w:r>
    </w:p>
    <w:p w:rsidR="00C97002" w:rsidRPr="00EA6851" w:rsidRDefault="00C97002" w:rsidP="0097230C">
      <w:r w:rsidRPr="00EA6851">
        <w:t>Важна част от политиката на Министерство</w:t>
      </w:r>
      <w:r w:rsidR="00335720" w:rsidRPr="00EA6851">
        <w:t>то</w:t>
      </w:r>
      <w:r w:rsidRPr="00EA6851">
        <w:t xml:space="preserve"> на икономиката и индустрията е повишаване на конкурентоспособността на предприятията и създаване на условия за привличане на капитали. От съществено значение е насърчаване сътрудничеството между фирмите, образователните и научни институции, с цел предоставяне на конкурентоспособни продукти и услуги на пазара.</w:t>
      </w:r>
    </w:p>
    <w:p w:rsidR="00C97002" w:rsidRPr="00EA6851" w:rsidRDefault="00C97002" w:rsidP="00C97002">
      <w:pPr>
        <w:rPr>
          <w:b/>
          <w:sz w:val="20"/>
          <w:szCs w:val="20"/>
        </w:rPr>
      </w:pPr>
      <w:r w:rsidRPr="00EA6851">
        <w:rPr>
          <w:b/>
          <w:sz w:val="20"/>
          <w:szCs w:val="20"/>
        </w:rPr>
        <w:t>КЛЮЧОВИ ИНДИКАТОРИ ЗА ИЗПЪЛНЕНИЕ И ЦЕЛЕВИ СТОЙНОСТИ</w:t>
      </w:r>
    </w:p>
    <w:tbl>
      <w:tblPr>
        <w:tblW w:w="0" w:type="auto"/>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3763"/>
        <w:gridCol w:w="1058"/>
        <w:gridCol w:w="1166"/>
        <w:gridCol w:w="1001"/>
        <w:gridCol w:w="1118"/>
        <w:gridCol w:w="964"/>
      </w:tblGrid>
      <w:tr w:rsidR="00C97002" w:rsidRPr="00EA6851" w:rsidTr="0097230C">
        <w:trPr>
          <w:trHeight w:val="268"/>
          <w:tblHeader/>
        </w:trPr>
        <w:tc>
          <w:tcPr>
            <w:tcW w:w="0" w:type="auto"/>
            <w:tcBorders>
              <w:top w:val="single" w:sz="4" w:space="0" w:color="auto"/>
              <w:left w:val="nil"/>
              <w:bottom w:val="nil"/>
              <w:right w:val="nil"/>
            </w:tcBorders>
            <w:vAlign w:val="center"/>
            <w:hideMark/>
          </w:tcPr>
          <w:p w:rsidR="00C97002" w:rsidRPr="00EA6851" w:rsidRDefault="00C97002" w:rsidP="00C97002">
            <w:pPr>
              <w:spacing w:after="0" w:line="276" w:lineRule="auto"/>
              <w:jc w:val="center"/>
              <w:rPr>
                <w:b/>
                <w:i/>
                <w:iCs/>
                <w:sz w:val="20"/>
                <w:szCs w:val="20"/>
              </w:rPr>
            </w:pPr>
            <w:r w:rsidRPr="00EA6851">
              <w:rPr>
                <w:b/>
                <w:i/>
                <w:iCs/>
                <w:sz w:val="20"/>
                <w:szCs w:val="20"/>
              </w:rPr>
              <w:t>Политика в областта на устойчивото икономическо развитие и конкурентоспособност</w:t>
            </w:r>
          </w:p>
        </w:tc>
        <w:tc>
          <w:tcPr>
            <w:tcW w:w="0" w:type="auto"/>
            <w:vMerge w:val="restart"/>
            <w:tcBorders>
              <w:top w:val="single" w:sz="4" w:space="0" w:color="auto"/>
              <w:left w:val="nil"/>
              <w:bottom w:val="single" w:sz="4" w:space="0" w:color="auto"/>
              <w:right w:val="nil"/>
            </w:tcBorders>
            <w:shd w:val="clear" w:color="auto" w:fill="F2F2F2"/>
            <w:vAlign w:val="center"/>
            <w:hideMark/>
          </w:tcPr>
          <w:p w:rsidR="00C97002" w:rsidRPr="00EA6851" w:rsidRDefault="00C97002" w:rsidP="00C97002">
            <w:pPr>
              <w:keepNext/>
              <w:spacing w:after="0" w:line="276" w:lineRule="auto"/>
              <w:jc w:val="center"/>
              <w:rPr>
                <w:b/>
                <w:iCs/>
                <w:sz w:val="20"/>
                <w:szCs w:val="20"/>
              </w:rPr>
            </w:pPr>
            <w:r w:rsidRPr="00EA6851">
              <w:rPr>
                <w:b/>
                <w:iCs/>
                <w:sz w:val="20"/>
                <w:szCs w:val="20"/>
              </w:rPr>
              <w:t>Мерна единица</w:t>
            </w:r>
          </w:p>
        </w:tc>
        <w:tc>
          <w:tcPr>
            <w:tcW w:w="4127" w:type="dxa"/>
            <w:gridSpan w:val="4"/>
            <w:tcBorders>
              <w:top w:val="single" w:sz="4" w:space="0" w:color="auto"/>
              <w:left w:val="nil"/>
              <w:bottom w:val="single" w:sz="4" w:space="0" w:color="auto"/>
              <w:right w:val="nil"/>
            </w:tcBorders>
            <w:vAlign w:val="center"/>
            <w:hideMark/>
          </w:tcPr>
          <w:p w:rsidR="00C97002" w:rsidRPr="00EA6851" w:rsidRDefault="00C97002" w:rsidP="00C97002">
            <w:pPr>
              <w:keepNext/>
              <w:spacing w:after="0" w:line="276" w:lineRule="auto"/>
              <w:jc w:val="center"/>
              <w:rPr>
                <w:b/>
                <w:iCs/>
                <w:sz w:val="20"/>
                <w:szCs w:val="20"/>
              </w:rPr>
            </w:pPr>
            <w:r w:rsidRPr="00EA6851">
              <w:rPr>
                <w:b/>
                <w:iCs/>
                <w:sz w:val="20"/>
                <w:szCs w:val="20"/>
              </w:rPr>
              <w:t>Целева стойност</w:t>
            </w:r>
          </w:p>
        </w:tc>
      </w:tr>
      <w:tr w:rsidR="00C97002" w:rsidRPr="00EA6851" w:rsidTr="0097230C">
        <w:trPr>
          <w:trHeight w:val="60"/>
          <w:tblHeader/>
        </w:trPr>
        <w:tc>
          <w:tcPr>
            <w:tcW w:w="0" w:type="auto"/>
            <w:tcBorders>
              <w:top w:val="nil"/>
              <w:left w:val="nil"/>
              <w:bottom w:val="single" w:sz="4" w:space="0" w:color="auto"/>
              <w:right w:val="nil"/>
            </w:tcBorders>
            <w:vAlign w:val="center"/>
            <w:hideMark/>
          </w:tcPr>
          <w:p w:rsidR="00C97002" w:rsidRPr="00EA6851" w:rsidRDefault="00C97002" w:rsidP="00C97002">
            <w:pPr>
              <w:spacing w:after="0" w:line="276" w:lineRule="auto"/>
              <w:jc w:val="center"/>
              <w:rPr>
                <w:b/>
                <w:iCs/>
                <w:sz w:val="20"/>
                <w:szCs w:val="20"/>
              </w:rPr>
            </w:pPr>
            <w:r w:rsidRPr="00EA6851">
              <w:rPr>
                <w:b/>
                <w:iCs/>
                <w:sz w:val="20"/>
                <w:szCs w:val="20"/>
              </w:rPr>
              <w:t>Наименование на индикатора</w:t>
            </w:r>
          </w:p>
        </w:tc>
        <w:tc>
          <w:tcPr>
            <w:tcW w:w="0" w:type="auto"/>
            <w:vMerge/>
            <w:tcBorders>
              <w:top w:val="single" w:sz="4" w:space="0" w:color="auto"/>
              <w:left w:val="nil"/>
              <w:bottom w:val="single" w:sz="4" w:space="0" w:color="auto"/>
              <w:right w:val="nil"/>
            </w:tcBorders>
            <w:vAlign w:val="center"/>
            <w:hideMark/>
          </w:tcPr>
          <w:p w:rsidR="00C97002" w:rsidRPr="00EA6851" w:rsidRDefault="00C97002" w:rsidP="00C97002">
            <w:pPr>
              <w:spacing w:after="0" w:line="276" w:lineRule="auto"/>
              <w:jc w:val="left"/>
              <w:rPr>
                <w:b/>
                <w:iCs/>
                <w:sz w:val="20"/>
                <w:szCs w:val="20"/>
              </w:rPr>
            </w:pPr>
          </w:p>
        </w:tc>
        <w:tc>
          <w:tcPr>
            <w:tcW w:w="0" w:type="auto"/>
            <w:tcBorders>
              <w:top w:val="single" w:sz="4" w:space="0" w:color="auto"/>
              <w:left w:val="nil"/>
              <w:bottom w:val="single" w:sz="4" w:space="0" w:color="auto"/>
              <w:right w:val="nil"/>
            </w:tcBorders>
            <w:vAlign w:val="center"/>
            <w:hideMark/>
          </w:tcPr>
          <w:p w:rsidR="00C97002" w:rsidRPr="00EA6851" w:rsidRDefault="00C97002" w:rsidP="00C97002">
            <w:pPr>
              <w:keepNext/>
              <w:spacing w:after="0" w:line="276" w:lineRule="auto"/>
              <w:jc w:val="center"/>
              <w:rPr>
                <w:b/>
                <w:i/>
                <w:iCs/>
                <w:sz w:val="20"/>
                <w:szCs w:val="20"/>
              </w:rPr>
            </w:pPr>
            <w:r w:rsidRPr="00EA6851">
              <w:rPr>
                <w:b/>
                <w:i/>
                <w:iCs/>
                <w:sz w:val="20"/>
                <w:szCs w:val="20"/>
              </w:rPr>
              <w:t>Програма 2023 г.</w:t>
            </w:r>
          </w:p>
        </w:tc>
        <w:tc>
          <w:tcPr>
            <w:tcW w:w="0" w:type="auto"/>
            <w:tcBorders>
              <w:top w:val="single" w:sz="4" w:space="0" w:color="auto"/>
              <w:left w:val="nil"/>
              <w:bottom w:val="single" w:sz="4" w:space="0" w:color="auto"/>
              <w:right w:val="nil"/>
            </w:tcBorders>
            <w:vAlign w:val="center"/>
            <w:hideMark/>
          </w:tcPr>
          <w:p w:rsidR="00C97002" w:rsidRPr="00EA6851" w:rsidRDefault="00C97002" w:rsidP="00C97002">
            <w:pPr>
              <w:keepNext/>
              <w:spacing w:after="0" w:line="276" w:lineRule="auto"/>
              <w:jc w:val="center"/>
              <w:rPr>
                <w:b/>
                <w:i/>
                <w:iCs/>
                <w:sz w:val="20"/>
                <w:szCs w:val="20"/>
              </w:rPr>
            </w:pPr>
            <w:r w:rsidRPr="00EA6851">
              <w:rPr>
                <w:b/>
                <w:i/>
                <w:iCs/>
                <w:sz w:val="20"/>
                <w:szCs w:val="20"/>
              </w:rPr>
              <w:t>Проект 2024 г.</w:t>
            </w:r>
          </w:p>
        </w:tc>
        <w:tc>
          <w:tcPr>
            <w:tcW w:w="0" w:type="auto"/>
            <w:tcBorders>
              <w:top w:val="single" w:sz="4" w:space="0" w:color="auto"/>
              <w:left w:val="nil"/>
              <w:bottom w:val="single" w:sz="4" w:space="0" w:color="auto"/>
              <w:right w:val="nil"/>
            </w:tcBorders>
            <w:vAlign w:val="center"/>
            <w:hideMark/>
          </w:tcPr>
          <w:p w:rsidR="00C97002" w:rsidRPr="00EA6851" w:rsidRDefault="00C97002" w:rsidP="00C97002">
            <w:pPr>
              <w:keepNext/>
              <w:spacing w:after="0" w:line="276" w:lineRule="auto"/>
              <w:jc w:val="center"/>
              <w:rPr>
                <w:b/>
                <w:i/>
                <w:iCs/>
                <w:sz w:val="20"/>
                <w:szCs w:val="20"/>
              </w:rPr>
            </w:pPr>
            <w:r w:rsidRPr="00EA6851">
              <w:rPr>
                <w:b/>
                <w:i/>
                <w:iCs/>
                <w:sz w:val="20"/>
                <w:szCs w:val="20"/>
              </w:rPr>
              <w:t>Прогноза 2025 г.</w:t>
            </w:r>
          </w:p>
        </w:tc>
        <w:tc>
          <w:tcPr>
            <w:tcW w:w="964" w:type="dxa"/>
            <w:tcBorders>
              <w:top w:val="single" w:sz="4" w:space="0" w:color="auto"/>
              <w:left w:val="nil"/>
              <w:bottom w:val="single" w:sz="4" w:space="0" w:color="auto"/>
              <w:right w:val="nil"/>
            </w:tcBorders>
            <w:vAlign w:val="center"/>
            <w:hideMark/>
          </w:tcPr>
          <w:p w:rsidR="00C97002" w:rsidRPr="00EA6851" w:rsidRDefault="00C97002" w:rsidP="00C97002">
            <w:pPr>
              <w:keepNext/>
              <w:spacing w:after="0" w:line="276" w:lineRule="auto"/>
              <w:jc w:val="center"/>
              <w:rPr>
                <w:b/>
                <w:i/>
                <w:iCs/>
                <w:sz w:val="20"/>
                <w:szCs w:val="20"/>
              </w:rPr>
            </w:pPr>
            <w:r w:rsidRPr="00EA6851">
              <w:rPr>
                <w:b/>
                <w:i/>
                <w:iCs/>
                <w:sz w:val="20"/>
                <w:szCs w:val="20"/>
              </w:rPr>
              <w:t>Прогноза 2026 г.</w:t>
            </w:r>
          </w:p>
        </w:tc>
      </w:tr>
      <w:tr w:rsidR="00C97002" w:rsidRPr="00EA6851" w:rsidTr="0097230C">
        <w:trPr>
          <w:trHeight w:val="401"/>
        </w:trPr>
        <w:tc>
          <w:tcPr>
            <w:tcW w:w="0" w:type="auto"/>
            <w:tcBorders>
              <w:top w:val="single" w:sz="4" w:space="0" w:color="auto"/>
              <w:left w:val="nil"/>
              <w:bottom w:val="nil"/>
              <w:right w:val="nil"/>
            </w:tcBorders>
            <w:vAlign w:val="center"/>
            <w:hideMark/>
          </w:tcPr>
          <w:p w:rsidR="00C97002" w:rsidRPr="00EA6851" w:rsidRDefault="00C97002" w:rsidP="00C97002">
            <w:pPr>
              <w:widowControl w:val="0"/>
              <w:autoSpaceDE w:val="0"/>
              <w:autoSpaceDN w:val="0"/>
              <w:adjustRightInd w:val="0"/>
              <w:spacing w:after="0" w:line="276" w:lineRule="auto"/>
              <w:jc w:val="left"/>
              <w:rPr>
                <w:sz w:val="20"/>
                <w:szCs w:val="20"/>
              </w:rPr>
            </w:pPr>
            <w:r w:rsidRPr="00EA6851">
              <w:rPr>
                <w:sz w:val="20"/>
                <w:szCs w:val="20"/>
              </w:rPr>
              <w:t>1. Ръст на индекса на промишленото производство</w:t>
            </w:r>
          </w:p>
        </w:tc>
        <w:tc>
          <w:tcPr>
            <w:tcW w:w="0" w:type="auto"/>
            <w:tcBorders>
              <w:top w:val="single" w:sz="4" w:space="0" w:color="auto"/>
              <w:left w:val="nil"/>
              <w:bottom w:val="nil"/>
              <w:right w:val="nil"/>
            </w:tcBorders>
            <w:shd w:val="clear" w:color="auto" w:fill="F2F2F2"/>
            <w:vAlign w:val="center"/>
            <w:hideMark/>
          </w:tcPr>
          <w:p w:rsidR="00C97002" w:rsidRPr="00EA6851" w:rsidRDefault="00C97002" w:rsidP="00C97002">
            <w:pPr>
              <w:widowControl w:val="0"/>
              <w:autoSpaceDE w:val="0"/>
              <w:autoSpaceDN w:val="0"/>
              <w:adjustRightInd w:val="0"/>
              <w:spacing w:after="0" w:line="276" w:lineRule="auto"/>
              <w:jc w:val="center"/>
              <w:rPr>
                <w:sz w:val="20"/>
                <w:szCs w:val="20"/>
              </w:rPr>
            </w:pPr>
            <w:r w:rsidRPr="00EA6851">
              <w:rPr>
                <w:sz w:val="20"/>
                <w:szCs w:val="20"/>
              </w:rPr>
              <w:t>%, YoY</w:t>
            </w:r>
          </w:p>
        </w:tc>
        <w:tc>
          <w:tcPr>
            <w:tcW w:w="0" w:type="auto"/>
            <w:tcBorders>
              <w:top w:val="single" w:sz="4" w:space="0" w:color="auto"/>
              <w:left w:val="nil"/>
              <w:bottom w:val="nil"/>
              <w:right w:val="nil"/>
            </w:tcBorders>
            <w:vAlign w:val="center"/>
          </w:tcPr>
          <w:p w:rsidR="00C97002" w:rsidRPr="00EA6851" w:rsidRDefault="00C97002" w:rsidP="00C97002">
            <w:pPr>
              <w:widowControl w:val="0"/>
              <w:autoSpaceDE w:val="0"/>
              <w:autoSpaceDN w:val="0"/>
              <w:adjustRightInd w:val="0"/>
              <w:spacing w:after="0" w:line="276" w:lineRule="auto"/>
              <w:jc w:val="center"/>
              <w:rPr>
                <w:sz w:val="20"/>
                <w:szCs w:val="20"/>
              </w:rPr>
            </w:pPr>
            <w:r w:rsidRPr="00EA6851">
              <w:rPr>
                <w:sz w:val="20"/>
                <w:szCs w:val="20"/>
              </w:rPr>
              <w:t>5,5</w:t>
            </w:r>
          </w:p>
        </w:tc>
        <w:tc>
          <w:tcPr>
            <w:tcW w:w="0" w:type="auto"/>
            <w:tcBorders>
              <w:top w:val="single" w:sz="4" w:space="0" w:color="auto"/>
              <w:left w:val="nil"/>
              <w:bottom w:val="nil"/>
              <w:right w:val="nil"/>
            </w:tcBorders>
            <w:vAlign w:val="center"/>
            <w:hideMark/>
          </w:tcPr>
          <w:p w:rsidR="00C97002" w:rsidRPr="00EA6851" w:rsidRDefault="001C5BD7" w:rsidP="00C97002">
            <w:pPr>
              <w:widowControl w:val="0"/>
              <w:autoSpaceDE w:val="0"/>
              <w:autoSpaceDN w:val="0"/>
              <w:adjustRightInd w:val="0"/>
              <w:spacing w:after="0" w:line="276" w:lineRule="auto"/>
              <w:jc w:val="center"/>
              <w:rPr>
                <w:sz w:val="20"/>
                <w:szCs w:val="20"/>
              </w:rPr>
            </w:pPr>
            <w:r w:rsidRPr="00EA6851">
              <w:rPr>
                <w:sz w:val="20"/>
                <w:szCs w:val="20"/>
              </w:rPr>
              <w:t>4,9</w:t>
            </w:r>
          </w:p>
        </w:tc>
        <w:tc>
          <w:tcPr>
            <w:tcW w:w="0" w:type="auto"/>
            <w:tcBorders>
              <w:top w:val="single" w:sz="4" w:space="0" w:color="auto"/>
              <w:left w:val="nil"/>
              <w:bottom w:val="nil"/>
              <w:right w:val="nil"/>
            </w:tcBorders>
            <w:vAlign w:val="center"/>
            <w:hideMark/>
          </w:tcPr>
          <w:p w:rsidR="00C97002" w:rsidRPr="00EA6851" w:rsidRDefault="001C5BD7" w:rsidP="00C97002">
            <w:pPr>
              <w:widowControl w:val="0"/>
              <w:autoSpaceDE w:val="0"/>
              <w:autoSpaceDN w:val="0"/>
              <w:adjustRightInd w:val="0"/>
              <w:spacing w:after="0" w:line="276" w:lineRule="auto"/>
              <w:jc w:val="center"/>
              <w:rPr>
                <w:sz w:val="20"/>
                <w:szCs w:val="20"/>
              </w:rPr>
            </w:pPr>
            <w:r w:rsidRPr="00EA6851">
              <w:rPr>
                <w:sz w:val="20"/>
                <w:szCs w:val="20"/>
              </w:rPr>
              <w:t>5,6</w:t>
            </w:r>
          </w:p>
        </w:tc>
        <w:tc>
          <w:tcPr>
            <w:tcW w:w="964" w:type="dxa"/>
            <w:tcBorders>
              <w:top w:val="single" w:sz="4" w:space="0" w:color="auto"/>
              <w:left w:val="nil"/>
              <w:bottom w:val="nil"/>
              <w:right w:val="nil"/>
            </w:tcBorders>
            <w:vAlign w:val="center"/>
            <w:hideMark/>
          </w:tcPr>
          <w:p w:rsidR="00C97002" w:rsidRPr="00EA6851" w:rsidRDefault="001C5BD7" w:rsidP="00C97002">
            <w:pPr>
              <w:widowControl w:val="0"/>
              <w:autoSpaceDE w:val="0"/>
              <w:autoSpaceDN w:val="0"/>
              <w:adjustRightInd w:val="0"/>
              <w:spacing w:after="0" w:line="276" w:lineRule="auto"/>
              <w:jc w:val="center"/>
              <w:rPr>
                <w:sz w:val="20"/>
                <w:szCs w:val="20"/>
              </w:rPr>
            </w:pPr>
            <w:r w:rsidRPr="00EA6851">
              <w:rPr>
                <w:sz w:val="20"/>
                <w:szCs w:val="20"/>
              </w:rPr>
              <w:t>6,2</w:t>
            </w:r>
          </w:p>
        </w:tc>
      </w:tr>
      <w:tr w:rsidR="00C97002" w:rsidRPr="00EA6851" w:rsidTr="0097230C">
        <w:trPr>
          <w:trHeight w:val="401"/>
        </w:trPr>
        <w:tc>
          <w:tcPr>
            <w:tcW w:w="0" w:type="auto"/>
            <w:tcBorders>
              <w:top w:val="nil"/>
              <w:left w:val="nil"/>
              <w:bottom w:val="single" w:sz="4" w:space="0" w:color="auto"/>
              <w:right w:val="nil"/>
            </w:tcBorders>
            <w:hideMark/>
          </w:tcPr>
          <w:p w:rsidR="00C97002" w:rsidRPr="00EA6851" w:rsidRDefault="00C97002" w:rsidP="00C97002">
            <w:pPr>
              <w:widowControl w:val="0"/>
              <w:autoSpaceDE w:val="0"/>
              <w:autoSpaceDN w:val="0"/>
              <w:adjustRightInd w:val="0"/>
              <w:spacing w:after="0" w:line="276" w:lineRule="auto"/>
              <w:jc w:val="left"/>
              <w:rPr>
                <w:sz w:val="20"/>
                <w:szCs w:val="20"/>
              </w:rPr>
            </w:pPr>
            <w:r w:rsidRPr="00EA6851">
              <w:rPr>
                <w:sz w:val="20"/>
                <w:szCs w:val="20"/>
              </w:rPr>
              <w:t>2.</w:t>
            </w:r>
            <w:r w:rsidRPr="00EA6851">
              <w:rPr>
                <w:b/>
                <w:sz w:val="20"/>
                <w:szCs w:val="20"/>
              </w:rPr>
              <w:t xml:space="preserve"> </w:t>
            </w:r>
            <w:r w:rsidRPr="00EA6851">
              <w:rPr>
                <w:sz w:val="20"/>
                <w:szCs w:val="20"/>
              </w:rPr>
              <w:t>Ръст на добавената стойност по факторни разходи на МСП</w:t>
            </w:r>
          </w:p>
        </w:tc>
        <w:tc>
          <w:tcPr>
            <w:tcW w:w="0" w:type="auto"/>
            <w:tcBorders>
              <w:top w:val="nil"/>
              <w:left w:val="nil"/>
              <w:bottom w:val="single" w:sz="4" w:space="0" w:color="auto"/>
              <w:right w:val="nil"/>
            </w:tcBorders>
            <w:shd w:val="clear" w:color="auto" w:fill="F2F2F2"/>
            <w:hideMark/>
          </w:tcPr>
          <w:p w:rsidR="00C97002" w:rsidRPr="00EA6851" w:rsidRDefault="00C97002" w:rsidP="00C97002">
            <w:pPr>
              <w:widowControl w:val="0"/>
              <w:autoSpaceDE w:val="0"/>
              <w:autoSpaceDN w:val="0"/>
              <w:adjustRightInd w:val="0"/>
              <w:spacing w:after="0" w:line="276" w:lineRule="auto"/>
              <w:jc w:val="center"/>
              <w:rPr>
                <w:sz w:val="20"/>
                <w:szCs w:val="20"/>
              </w:rPr>
            </w:pPr>
            <w:r w:rsidRPr="00EA6851">
              <w:rPr>
                <w:sz w:val="20"/>
                <w:szCs w:val="20"/>
              </w:rPr>
              <w:t>%, YoY</w:t>
            </w:r>
          </w:p>
        </w:tc>
        <w:tc>
          <w:tcPr>
            <w:tcW w:w="0" w:type="auto"/>
            <w:tcBorders>
              <w:top w:val="nil"/>
              <w:left w:val="nil"/>
              <w:bottom w:val="single" w:sz="4" w:space="0" w:color="auto"/>
              <w:right w:val="nil"/>
            </w:tcBorders>
            <w:vAlign w:val="center"/>
          </w:tcPr>
          <w:p w:rsidR="00C97002" w:rsidRPr="00EA6851" w:rsidRDefault="00C97002" w:rsidP="00C97002">
            <w:pPr>
              <w:widowControl w:val="0"/>
              <w:autoSpaceDE w:val="0"/>
              <w:autoSpaceDN w:val="0"/>
              <w:adjustRightInd w:val="0"/>
              <w:spacing w:after="0" w:line="276" w:lineRule="auto"/>
              <w:jc w:val="center"/>
              <w:rPr>
                <w:sz w:val="20"/>
                <w:szCs w:val="20"/>
              </w:rPr>
            </w:pPr>
            <w:r w:rsidRPr="00EA6851">
              <w:rPr>
                <w:sz w:val="20"/>
                <w:szCs w:val="20"/>
              </w:rPr>
              <w:t>8,0</w:t>
            </w:r>
          </w:p>
        </w:tc>
        <w:tc>
          <w:tcPr>
            <w:tcW w:w="0" w:type="auto"/>
            <w:tcBorders>
              <w:top w:val="nil"/>
              <w:left w:val="nil"/>
              <w:bottom w:val="single" w:sz="4" w:space="0" w:color="auto"/>
              <w:right w:val="nil"/>
            </w:tcBorders>
            <w:vAlign w:val="center"/>
            <w:hideMark/>
          </w:tcPr>
          <w:p w:rsidR="00C97002" w:rsidRPr="00EA6851" w:rsidRDefault="00C97002" w:rsidP="00C97002">
            <w:pPr>
              <w:widowControl w:val="0"/>
              <w:autoSpaceDE w:val="0"/>
              <w:autoSpaceDN w:val="0"/>
              <w:adjustRightInd w:val="0"/>
              <w:spacing w:after="0" w:line="276" w:lineRule="auto"/>
              <w:jc w:val="center"/>
              <w:rPr>
                <w:sz w:val="20"/>
                <w:szCs w:val="20"/>
              </w:rPr>
            </w:pPr>
            <w:r w:rsidRPr="00EA6851">
              <w:rPr>
                <w:sz w:val="20"/>
                <w:szCs w:val="20"/>
              </w:rPr>
              <w:t>8,2</w:t>
            </w:r>
          </w:p>
        </w:tc>
        <w:tc>
          <w:tcPr>
            <w:tcW w:w="0" w:type="auto"/>
            <w:tcBorders>
              <w:top w:val="nil"/>
              <w:left w:val="nil"/>
              <w:bottom w:val="single" w:sz="4" w:space="0" w:color="auto"/>
              <w:right w:val="nil"/>
            </w:tcBorders>
            <w:vAlign w:val="center"/>
            <w:hideMark/>
          </w:tcPr>
          <w:p w:rsidR="00C97002" w:rsidRPr="00EA6851" w:rsidRDefault="00C97002" w:rsidP="00C97002">
            <w:pPr>
              <w:widowControl w:val="0"/>
              <w:autoSpaceDE w:val="0"/>
              <w:autoSpaceDN w:val="0"/>
              <w:adjustRightInd w:val="0"/>
              <w:spacing w:after="0" w:line="276" w:lineRule="auto"/>
              <w:jc w:val="center"/>
              <w:rPr>
                <w:sz w:val="20"/>
                <w:szCs w:val="20"/>
              </w:rPr>
            </w:pPr>
            <w:r w:rsidRPr="00EA6851">
              <w:rPr>
                <w:sz w:val="20"/>
                <w:szCs w:val="20"/>
              </w:rPr>
              <w:t>8,3</w:t>
            </w:r>
          </w:p>
        </w:tc>
        <w:tc>
          <w:tcPr>
            <w:tcW w:w="964" w:type="dxa"/>
            <w:tcBorders>
              <w:top w:val="nil"/>
              <w:left w:val="nil"/>
              <w:bottom w:val="single" w:sz="4" w:space="0" w:color="auto"/>
              <w:right w:val="nil"/>
            </w:tcBorders>
            <w:vAlign w:val="center"/>
            <w:hideMark/>
          </w:tcPr>
          <w:p w:rsidR="00C97002" w:rsidRPr="00EA6851" w:rsidRDefault="00C97002" w:rsidP="00C97002">
            <w:pPr>
              <w:widowControl w:val="0"/>
              <w:autoSpaceDE w:val="0"/>
              <w:autoSpaceDN w:val="0"/>
              <w:adjustRightInd w:val="0"/>
              <w:spacing w:after="0" w:line="276" w:lineRule="auto"/>
              <w:jc w:val="center"/>
              <w:rPr>
                <w:sz w:val="20"/>
                <w:szCs w:val="20"/>
              </w:rPr>
            </w:pPr>
            <w:r w:rsidRPr="00EA6851">
              <w:rPr>
                <w:sz w:val="20"/>
                <w:szCs w:val="20"/>
              </w:rPr>
              <w:t>8,3</w:t>
            </w:r>
          </w:p>
        </w:tc>
      </w:tr>
    </w:tbl>
    <w:p w:rsidR="00C97002" w:rsidRPr="00EA6851" w:rsidRDefault="00C97002" w:rsidP="003158CD">
      <w:pPr>
        <w:spacing w:after="60"/>
        <w:rPr>
          <w:i/>
          <w:sz w:val="18"/>
          <w:szCs w:val="18"/>
        </w:rPr>
      </w:pPr>
      <w:r w:rsidRPr="00EA6851">
        <w:rPr>
          <w:i/>
          <w:sz w:val="18"/>
          <w:szCs w:val="18"/>
        </w:rPr>
        <w:t xml:space="preserve">Източник: </w:t>
      </w:r>
      <w:r w:rsidR="00A24DE7" w:rsidRPr="00EA6851">
        <w:rPr>
          <w:i/>
          <w:sz w:val="18"/>
          <w:szCs w:val="18"/>
        </w:rPr>
        <w:t>П</w:t>
      </w:r>
      <w:r w:rsidRPr="00EA6851">
        <w:rPr>
          <w:i/>
          <w:sz w:val="18"/>
          <w:szCs w:val="18"/>
        </w:rPr>
        <w:t>о т. 1 - Национален статистически институт и изчисления на Министерство</w:t>
      </w:r>
      <w:r w:rsidR="00335720" w:rsidRPr="00EA6851">
        <w:rPr>
          <w:i/>
          <w:sz w:val="18"/>
          <w:szCs w:val="18"/>
        </w:rPr>
        <w:t>то</w:t>
      </w:r>
      <w:r w:rsidRPr="00EA6851">
        <w:rPr>
          <w:i/>
          <w:sz w:val="18"/>
          <w:szCs w:val="18"/>
        </w:rPr>
        <w:t xml:space="preserve"> на икономиката и индустрията; по т. 2 - данните на ЕК: SBA SME fact Sheet 2021 г. и изчисления на Министерство</w:t>
      </w:r>
      <w:r w:rsidR="00335720" w:rsidRPr="00EA6851">
        <w:rPr>
          <w:i/>
          <w:sz w:val="18"/>
          <w:szCs w:val="18"/>
        </w:rPr>
        <w:t>то</w:t>
      </w:r>
      <w:r w:rsidRPr="00EA6851">
        <w:rPr>
          <w:i/>
          <w:sz w:val="18"/>
          <w:szCs w:val="18"/>
        </w:rPr>
        <w:t xml:space="preserve"> на икономиката и индустрията.</w:t>
      </w:r>
    </w:p>
    <w:p w:rsidR="00C97002" w:rsidRPr="00EA6851" w:rsidRDefault="00C97002" w:rsidP="003158CD">
      <w:pPr>
        <w:spacing w:after="60"/>
        <w:rPr>
          <w:i/>
          <w:sz w:val="18"/>
          <w:szCs w:val="18"/>
        </w:rPr>
      </w:pPr>
      <w:r w:rsidRPr="00EA6851">
        <w:rPr>
          <w:i/>
          <w:sz w:val="18"/>
          <w:szCs w:val="18"/>
        </w:rPr>
        <w:t>По т. 1 - Индексът на промишленото производство е основен краткосрочен икономически бизнес показател, който има за цел да измери месечните изменения в промишленото производство в продължение на дълъг период от време. Месечното наблюдение позволява да се проследи икономическото развитие в най-ранния му стадий, т.е. навременният индекс на промишленото производство е подходящ за краткосрочно наблюдение на развитието на икономиката.</w:t>
      </w:r>
    </w:p>
    <w:p w:rsidR="00C97002" w:rsidRPr="00EA6851" w:rsidRDefault="00C97002" w:rsidP="003158CD">
      <w:pPr>
        <w:spacing w:after="60"/>
        <w:rPr>
          <w:i/>
          <w:sz w:val="18"/>
          <w:szCs w:val="18"/>
        </w:rPr>
      </w:pPr>
      <w:r w:rsidRPr="00EA6851">
        <w:rPr>
          <w:i/>
          <w:sz w:val="18"/>
          <w:szCs w:val="18"/>
        </w:rPr>
        <w:t>По т. 2 - Добавената стойност по факторни разходи на МСП е показател от SBA SME fact Sheet на Европейската комисия. Индикаторът се отнася към стратегическа цел: „Повишаване на потенциала за икономически растеж и подобряване на възможностите за участие в единния европейски пазар и пазарите на трети страни“.</w:t>
      </w:r>
    </w:p>
    <w:p w:rsidR="0097230C" w:rsidRPr="00EA6851" w:rsidRDefault="0097230C" w:rsidP="00C97002">
      <w:pPr>
        <w:spacing w:before="120"/>
        <w:rPr>
          <w:i/>
          <w:sz w:val="18"/>
          <w:szCs w:val="18"/>
        </w:rPr>
      </w:pPr>
    </w:p>
    <w:p w:rsidR="00C97002" w:rsidRPr="00EA6851" w:rsidRDefault="00C97002" w:rsidP="00C97002">
      <w:pPr>
        <w:pStyle w:val="Heading4"/>
        <w:spacing w:before="0" w:after="200"/>
      </w:pPr>
      <w:r w:rsidRPr="00EA6851">
        <w:t>Политика в областта на ефективното външноикономическо сътрудничество</w:t>
      </w:r>
    </w:p>
    <w:p w:rsidR="00C97002" w:rsidRPr="00EA6851" w:rsidRDefault="00C97002" w:rsidP="0097230C">
      <w:pPr>
        <w:rPr>
          <w:szCs w:val="24"/>
        </w:rPr>
      </w:pPr>
      <w:r w:rsidRPr="00EA6851">
        <w:rPr>
          <w:szCs w:val="24"/>
        </w:rPr>
        <w:t>Политиката e решаваща за устойчивото икономическо развитие на страната и подобряване на конкурентоспособността на българските предприятия. Постигането на ръст на износа е важно за технологичната модернизация и обновяването на производството, за подобряване на конкурентоспособността и постигането по този начин на целите за ускорен растеж и нови работни места.</w:t>
      </w:r>
    </w:p>
    <w:p w:rsidR="00C97002" w:rsidRPr="00EA6851" w:rsidRDefault="00C97002" w:rsidP="0097230C">
      <w:pPr>
        <w:rPr>
          <w:szCs w:val="24"/>
        </w:rPr>
      </w:pPr>
      <w:r w:rsidRPr="00EA6851">
        <w:rPr>
          <w:szCs w:val="24"/>
        </w:rPr>
        <w:t>Свободният достъп до пазари на трети страни и преките чуждестранни инвестиции са едни от основните външни източници за осигуряване на устойчив растеж, основан на експортното ориентиране и повишаване на конкурентоспособността на българската икономика.</w:t>
      </w:r>
    </w:p>
    <w:p w:rsidR="00C97002" w:rsidRPr="00EA6851" w:rsidRDefault="00C97002" w:rsidP="0097230C">
      <w:pPr>
        <w:rPr>
          <w:szCs w:val="24"/>
        </w:rPr>
      </w:pPr>
      <w:r w:rsidRPr="00EA6851">
        <w:rPr>
          <w:szCs w:val="24"/>
        </w:rPr>
        <w:t xml:space="preserve">За постигане на целите на политиката за ефективно външноикономическо сътрудничество Министерството на икономиката и индустрията продължава да прилага мерки за насърчаване на износа, стимулиране външнотърговския капацитет и конкурентоспособността на българските фирми на външните пазари и популяризиране търговско-икономическия потенциал на Република България в чужбина и подкрепа за представянето на българските компании. </w:t>
      </w:r>
    </w:p>
    <w:p w:rsidR="00C97002" w:rsidRPr="00EA6851" w:rsidRDefault="00C97002" w:rsidP="002E00B3">
      <w:pPr>
        <w:rPr>
          <w:szCs w:val="24"/>
        </w:rPr>
      </w:pPr>
      <w:r w:rsidRPr="00EA6851">
        <w:rPr>
          <w:szCs w:val="24"/>
        </w:rPr>
        <w:t>Министерството на икономиката и индустрията продължава активно да участва в процеса на формиране и прилагане на Общата търговска политика на Европейския съюз и по-конкретно за защита на българските приоритети и интереси по достъпа до пазара на стоки и услуги, обществени поръчки и други в рамките на водените от ЕС двустранни преговори за търговска либерализация, както и в многостранните търговски преговори в Световната търговска организация и подготовка за присъединяване на Република България към Организацията за икономич</w:t>
      </w:r>
      <w:r w:rsidR="002E00B3" w:rsidRPr="00EA6851">
        <w:rPr>
          <w:szCs w:val="24"/>
        </w:rPr>
        <w:t>еско сътрудничество и развитие.</w:t>
      </w:r>
    </w:p>
    <w:p w:rsidR="00C97002" w:rsidRPr="00EA6851" w:rsidRDefault="00C97002" w:rsidP="00C97002">
      <w:pPr>
        <w:rPr>
          <w:b/>
          <w:sz w:val="20"/>
          <w:szCs w:val="20"/>
        </w:rPr>
      </w:pPr>
      <w:r w:rsidRPr="00EA6851">
        <w:rPr>
          <w:b/>
          <w:sz w:val="20"/>
          <w:szCs w:val="20"/>
        </w:rPr>
        <w:t>КЛЮЧОВИ ИНДИКАТОРИ ЗА ИЗПЪЛНЕНИЕ И ЦЕЛЕВИ СТОЙНОСТИ</w:t>
      </w:r>
    </w:p>
    <w:tbl>
      <w:tblPr>
        <w:tblW w:w="5000" w:type="pct"/>
        <w:tblBorders>
          <w:top w:val="single" w:sz="4" w:space="0" w:color="auto"/>
          <w:bottom w:val="single" w:sz="4" w:space="0" w:color="auto"/>
        </w:tblBorders>
        <w:tblCellMar>
          <w:left w:w="70" w:type="dxa"/>
          <w:right w:w="70" w:type="dxa"/>
        </w:tblCellMar>
        <w:tblLook w:val="0000" w:firstRow="0" w:lastRow="0" w:firstColumn="0" w:lastColumn="0" w:noHBand="0" w:noVBand="0"/>
      </w:tblPr>
      <w:tblGrid>
        <w:gridCol w:w="3301"/>
        <w:gridCol w:w="951"/>
        <w:gridCol w:w="1175"/>
        <w:gridCol w:w="1317"/>
        <w:gridCol w:w="1337"/>
        <w:gridCol w:w="989"/>
      </w:tblGrid>
      <w:tr w:rsidR="00C97002" w:rsidRPr="00EA6851" w:rsidTr="0097230C">
        <w:trPr>
          <w:trHeight w:val="255"/>
          <w:tblHeader/>
        </w:trPr>
        <w:tc>
          <w:tcPr>
            <w:tcW w:w="1820" w:type="pct"/>
            <w:tcBorders>
              <w:bottom w:val="nil"/>
            </w:tcBorders>
            <w:shd w:val="clear" w:color="auto" w:fill="auto"/>
            <w:vAlign w:val="center"/>
          </w:tcPr>
          <w:p w:rsidR="00C97002" w:rsidRPr="00EA6851" w:rsidRDefault="00C97002" w:rsidP="00C97002">
            <w:pPr>
              <w:spacing w:after="0"/>
              <w:jc w:val="center"/>
              <w:rPr>
                <w:b/>
                <w:i/>
                <w:iCs/>
                <w:sz w:val="18"/>
                <w:szCs w:val="18"/>
              </w:rPr>
            </w:pPr>
            <w:r w:rsidRPr="00EA6851">
              <w:rPr>
                <w:b/>
                <w:i/>
                <w:iCs/>
                <w:sz w:val="18"/>
                <w:szCs w:val="18"/>
              </w:rPr>
              <w:t>Политика в областта на ефективното външноикономическо сътрудничество</w:t>
            </w:r>
          </w:p>
        </w:tc>
        <w:tc>
          <w:tcPr>
            <w:tcW w:w="524" w:type="pct"/>
            <w:vMerge w:val="restart"/>
            <w:tcBorders>
              <w:bottom w:val="nil"/>
            </w:tcBorders>
            <w:shd w:val="clear" w:color="auto" w:fill="F2F2F2"/>
            <w:vAlign w:val="center"/>
          </w:tcPr>
          <w:p w:rsidR="00C97002" w:rsidRPr="00EA6851" w:rsidRDefault="00C97002" w:rsidP="00C97002">
            <w:pPr>
              <w:keepNext/>
              <w:spacing w:after="0"/>
              <w:jc w:val="center"/>
              <w:rPr>
                <w:b/>
                <w:iCs/>
                <w:sz w:val="18"/>
                <w:szCs w:val="18"/>
              </w:rPr>
            </w:pPr>
            <w:r w:rsidRPr="00EA6851">
              <w:rPr>
                <w:b/>
                <w:iCs/>
                <w:sz w:val="18"/>
                <w:szCs w:val="18"/>
              </w:rPr>
              <w:t>Мерна единица</w:t>
            </w:r>
          </w:p>
        </w:tc>
        <w:tc>
          <w:tcPr>
            <w:tcW w:w="2656" w:type="pct"/>
            <w:gridSpan w:val="4"/>
            <w:tcBorders>
              <w:bottom w:val="single" w:sz="4" w:space="0" w:color="auto"/>
            </w:tcBorders>
            <w:shd w:val="clear" w:color="auto" w:fill="auto"/>
            <w:vAlign w:val="center"/>
          </w:tcPr>
          <w:p w:rsidR="00C97002" w:rsidRPr="00EA6851" w:rsidRDefault="00C97002" w:rsidP="00C97002">
            <w:pPr>
              <w:keepNext/>
              <w:spacing w:after="0"/>
              <w:jc w:val="center"/>
              <w:rPr>
                <w:b/>
                <w:iCs/>
                <w:sz w:val="18"/>
                <w:szCs w:val="18"/>
              </w:rPr>
            </w:pPr>
            <w:r w:rsidRPr="00EA6851">
              <w:rPr>
                <w:b/>
                <w:iCs/>
                <w:sz w:val="18"/>
                <w:szCs w:val="18"/>
              </w:rPr>
              <w:t>Целева стойност</w:t>
            </w:r>
          </w:p>
        </w:tc>
      </w:tr>
      <w:tr w:rsidR="00C97002" w:rsidRPr="00EA6851" w:rsidTr="0097230C">
        <w:trPr>
          <w:trHeight w:val="450"/>
          <w:tblHeader/>
        </w:trPr>
        <w:tc>
          <w:tcPr>
            <w:tcW w:w="1820" w:type="pct"/>
            <w:tcBorders>
              <w:top w:val="nil"/>
              <w:bottom w:val="single" w:sz="4" w:space="0" w:color="auto"/>
            </w:tcBorders>
            <w:shd w:val="clear" w:color="auto" w:fill="auto"/>
            <w:vAlign w:val="center"/>
          </w:tcPr>
          <w:p w:rsidR="00C97002" w:rsidRPr="00EA6851" w:rsidRDefault="00C97002" w:rsidP="00C97002">
            <w:pPr>
              <w:spacing w:after="0"/>
              <w:jc w:val="center"/>
              <w:rPr>
                <w:b/>
                <w:iCs/>
                <w:sz w:val="18"/>
                <w:szCs w:val="18"/>
              </w:rPr>
            </w:pPr>
            <w:r w:rsidRPr="00EA6851">
              <w:rPr>
                <w:b/>
                <w:iCs/>
                <w:sz w:val="18"/>
                <w:szCs w:val="18"/>
              </w:rPr>
              <w:t>Наименование на индикатора</w:t>
            </w:r>
          </w:p>
        </w:tc>
        <w:tc>
          <w:tcPr>
            <w:tcW w:w="524" w:type="pct"/>
            <w:vMerge/>
            <w:tcBorders>
              <w:top w:val="nil"/>
              <w:bottom w:val="single" w:sz="4" w:space="0" w:color="auto"/>
            </w:tcBorders>
            <w:shd w:val="clear" w:color="auto" w:fill="F2F2F2"/>
            <w:vAlign w:val="center"/>
          </w:tcPr>
          <w:p w:rsidR="00C97002" w:rsidRPr="00EA6851" w:rsidRDefault="00C97002" w:rsidP="00C97002">
            <w:pPr>
              <w:keepNext/>
              <w:spacing w:after="0"/>
              <w:jc w:val="center"/>
              <w:rPr>
                <w:i/>
                <w:iCs/>
                <w:sz w:val="18"/>
                <w:szCs w:val="18"/>
              </w:rPr>
            </w:pPr>
          </w:p>
        </w:tc>
        <w:tc>
          <w:tcPr>
            <w:tcW w:w="648" w:type="pct"/>
            <w:tcBorders>
              <w:top w:val="single" w:sz="4" w:space="0" w:color="auto"/>
              <w:bottom w:val="single" w:sz="4" w:space="0" w:color="auto"/>
            </w:tcBorders>
            <w:shd w:val="clear" w:color="auto" w:fill="auto"/>
            <w:vAlign w:val="center"/>
          </w:tcPr>
          <w:p w:rsidR="00C97002" w:rsidRPr="00EA6851" w:rsidRDefault="00C97002" w:rsidP="00C97002">
            <w:pPr>
              <w:keepNext/>
              <w:spacing w:after="0"/>
              <w:jc w:val="center"/>
              <w:rPr>
                <w:b/>
                <w:i/>
                <w:iCs/>
                <w:sz w:val="18"/>
                <w:szCs w:val="18"/>
              </w:rPr>
            </w:pPr>
            <w:r w:rsidRPr="00EA6851">
              <w:rPr>
                <w:b/>
                <w:i/>
                <w:iCs/>
                <w:sz w:val="18"/>
                <w:szCs w:val="18"/>
              </w:rPr>
              <w:t>Програма</w:t>
            </w:r>
            <w:r w:rsidRPr="00EA6851">
              <w:rPr>
                <w:b/>
                <w:i/>
                <w:iCs/>
                <w:sz w:val="18"/>
                <w:szCs w:val="18"/>
              </w:rPr>
              <w:br/>
              <w:t xml:space="preserve"> 2023 г.</w:t>
            </w:r>
          </w:p>
        </w:tc>
        <w:tc>
          <w:tcPr>
            <w:tcW w:w="726" w:type="pct"/>
            <w:tcBorders>
              <w:top w:val="single" w:sz="4" w:space="0" w:color="auto"/>
              <w:bottom w:val="single" w:sz="4" w:space="0" w:color="auto"/>
            </w:tcBorders>
            <w:shd w:val="clear" w:color="auto" w:fill="auto"/>
            <w:vAlign w:val="center"/>
          </w:tcPr>
          <w:p w:rsidR="00C97002" w:rsidRPr="00EA6851" w:rsidRDefault="00C97002" w:rsidP="00C97002">
            <w:pPr>
              <w:keepNext/>
              <w:spacing w:after="0"/>
              <w:jc w:val="center"/>
              <w:rPr>
                <w:b/>
                <w:i/>
                <w:iCs/>
                <w:sz w:val="18"/>
                <w:szCs w:val="18"/>
              </w:rPr>
            </w:pPr>
            <w:r w:rsidRPr="00EA6851">
              <w:rPr>
                <w:b/>
                <w:i/>
                <w:iCs/>
                <w:sz w:val="18"/>
                <w:szCs w:val="18"/>
              </w:rPr>
              <w:t>Проект</w:t>
            </w:r>
          </w:p>
          <w:p w:rsidR="00C97002" w:rsidRPr="00EA6851" w:rsidRDefault="00C97002" w:rsidP="00C97002">
            <w:pPr>
              <w:keepNext/>
              <w:spacing w:after="0"/>
              <w:jc w:val="center"/>
              <w:rPr>
                <w:b/>
                <w:i/>
                <w:iCs/>
                <w:sz w:val="18"/>
                <w:szCs w:val="18"/>
              </w:rPr>
            </w:pPr>
            <w:r w:rsidRPr="00EA6851">
              <w:rPr>
                <w:b/>
                <w:i/>
                <w:iCs/>
                <w:sz w:val="18"/>
                <w:szCs w:val="18"/>
              </w:rPr>
              <w:t>2024 г.</w:t>
            </w:r>
          </w:p>
        </w:tc>
        <w:tc>
          <w:tcPr>
            <w:tcW w:w="737" w:type="pct"/>
            <w:tcBorders>
              <w:top w:val="single" w:sz="4" w:space="0" w:color="auto"/>
              <w:bottom w:val="single" w:sz="4" w:space="0" w:color="auto"/>
            </w:tcBorders>
            <w:shd w:val="clear" w:color="auto" w:fill="auto"/>
            <w:vAlign w:val="center"/>
          </w:tcPr>
          <w:p w:rsidR="00C97002" w:rsidRPr="00EA6851" w:rsidRDefault="00C97002" w:rsidP="00C97002">
            <w:pPr>
              <w:keepNext/>
              <w:spacing w:after="0"/>
              <w:jc w:val="center"/>
              <w:rPr>
                <w:b/>
                <w:i/>
                <w:iCs/>
                <w:sz w:val="18"/>
                <w:szCs w:val="18"/>
              </w:rPr>
            </w:pPr>
            <w:r w:rsidRPr="00EA6851">
              <w:rPr>
                <w:b/>
                <w:i/>
                <w:iCs/>
                <w:sz w:val="18"/>
                <w:szCs w:val="18"/>
              </w:rPr>
              <w:t>Прогноза</w:t>
            </w:r>
          </w:p>
          <w:p w:rsidR="00C97002" w:rsidRPr="00EA6851" w:rsidRDefault="00C97002" w:rsidP="00C97002">
            <w:pPr>
              <w:keepNext/>
              <w:spacing w:after="0"/>
              <w:jc w:val="center"/>
              <w:rPr>
                <w:b/>
                <w:i/>
                <w:iCs/>
                <w:sz w:val="18"/>
                <w:szCs w:val="18"/>
              </w:rPr>
            </w:pPr>
            <w:r w:rsidRPr="00EA6851">
              <w:rPr>
                <w:b/>
                <w:i/>
                <w:iCs/>
                <w:sz w:val="18"/>
                <w:szCs w:val="18"/>
              </w:rPr>
              <w:t>2025 г.</w:t>
            </w:r>
          </w:p>
        </w:tc>
        <w:tc>
          <w:tcPr>
            <w:tcW w:w="545" w:type="pct"/>
            <w:tcBorders>
              <w:top w:val="single" w:sz="4" w:space="0" w:color="auto"/>
              <w:bottom w:val="single" w:sz="4" w:space="0" w:color="auto"/>
            </w:tcBorders>
            <w:shd w:val="clear" w:color="auto" w:fill="auto"/>
            <w:vAlign w:val="center"/>
          </w:tcPr>
          <w:p w:rsidR="00C97002" w:rsidRPr="00EA6851" w:rsidRDefault="00C97002" w:rsidP="00C97002">
            <w:pPr>
              <w:keepNext/>
              <w:spacing w:after="0"/>
              <w:jc w:val="center"/>
              <w:rPr>
                <w:b/>
                <w:i/>
                <w:iCs/>
                <w:sz w:val="18"/>
                <w:szCs w:val="18"/>
              </w:rPr>
            </w:pPr>
            <w:r w:rsidRPr="00EA6851">
              <w:rPr>
                <w:b/>
                <w:i/>
                <w:iCs/>
                <w:sz w:val="18"/>
                <w:szCs w:val="18"/>
              </w:rPr>
              <w:t>Прогноза</w:t>
            </w:r>
          </w:p>
          <w:p w:rsidR="00C97002" w:rsidRPr="00EA6851" w:rsidRDefault="00C97002" w:rsidP="00C97002">
            <w:pPr>
              <w:keepNext/>
              <w:spacing w:after="0"/>
              <w:jc w:val="center"/>
              <w:rPr>
                <w:b/>
                <w:i/>
                <w:iCs/>
                <w:sz w:val="18"/>
                <w:szCs w:val="18"/>
              </w:rPr>
            </w:pPr>
            <w:r w:rsidRPr="00EA6851">
              <w:rPr>
                <w:b/>
                <w:i/>
                <w:iCs/>
                <w:sz w:val="18"/>
                <w:szCs w:val="18"/>
              </w:rPr>
              <w:t>2026 г.</w:t>
            </w:r>
          </w:p>
        </w:tc>
      </w:tr>
      <w:tr w:rsidR="00C97002" w:rsidRPr="00EA6851" w:rsidTr="0097230C">
        <w:trPr>
          <w:trHeight w:val="255"/>
        </w:trPr>
        <w:tc>
          <w:tcPr>
            <w:tcW w:w="1820" w:type="pct"/>
            <w:tcBorders>
              <w:top w:val="single" w:sz="4" w:space="0" w:color="auto"/>
              <w:bottom w:val="nil"/>
            </w:tcBorders>
            <w:shd w:val="clear" w:color="auto" w:fill="auto"/>
            <w:vAlign w:val="center"/>
          </w:tcPr>
          <w:p w:rsidR="00C97002" w:rsidRPr="00EA6851" w:rsidRDefault="00C97002" w:rsidP="00C97002">
            <w:pPr>
              <w:widowControl w:val="0"/>
              <w:autoSpaceDE w:val="0"/>
              <w:autoSpaceDN w:val="0"/>
              <w:adjustRightInd w:val="0"/>
              <w:spacing w:after="0"/>
              <w:rPr>
                <w:sz w:val="18"/>
                <w:szCs w:val="18"/>
              </w:rPr>
            </w:pPr>
            <w:r w:rsidRPr="00EA6851">
              <w:rPr>
                <w:sz w:val="18"/>
                <w:szCs w:val="18"/>
              </w:rPr>
              <w:t>1. Износ на стоки</w:t>
            </w:r>
          </w:p>
        </w:tc>
        <w:tc>
          <w:tcPr>
            <w:tcW w:w="524" w:type="pct"/>
            <w:tcBorders>
              <w:top w:val="single" w:sz="4" w:space="0" w:color="auto"/>
              <w:bottom w:val="nil"/>
            </w:tcBorders>
            <w:shd w:val="clear" w:color="auto" w:fill="F2F2F2"/>
            <w:vAlign w:val="center"/>
          </w:tcPr>
          <w:p w:rsidR="00C97002" w:rsidRPr="00EA6851" w:rsidRDefault="00C97002" w:rsidP="00C97002">
            <w:pPr>
              <w:keepNext/>
              <w:spacing w:after="0"/>
              <w:jc w:val="center"/>
              <w:rPr>
                <w:sz w:val="18"/>
                <w:szCs w:val="18"/>
              </w:rPr>
            </w:pPr>
            <w:r w:rsidRPr="00EA6851">
              <w:rPr>
                <w:sz w:val="18"/>
                <w:szCs w:val="18"/>
              </w:rPr>
              <w:t>%</w:t>
            </w:r>
          </w:p>
        </w:tc>
        <w:tc>
          <w:tcPr>
            <w:tcW w:w="648" w:type="pct"/>
            <w:tcBorders>
              <w:top w:val="single" w:sz="4" w:space="0" w:color="auto"/>
              <w:bottom w:val="nil"/>
            </w:tcBorders>
            <w:shd w:val="clear" w:color="auto" w:fill="auto"/>
            <w:vAlign w:val="center"/>
          </w:tcPr>
          <w:p w:rsidR="00C97002" w:rsidRPr="00EA6851" w:rsidRDefault="00C97002" w:rsidP="00C97002">
            <w:pPr>
              <w:keepNext/>
              <w:spacing w:after="0"/>
              <w:jc w:val="center"/>
              <w:rPr>
                <w:sz w:val="18"/>
                <w:szCs w:val="18"/>
              </w:rPr>
            </w:pPr>
            <w:r w:rsidRPr="00EA6851">
              <w:rPr>
                <w:sz w:val="18"/>
                <w:szCs w:val="18"/>
              </w:rPr>
              <w:t>6,5</w:t>
            </w:r>
          </w:p>
        </w:tc>
        <w:tc>
          <w:tcPr>
            <w:tcW w:w="726" w:type="pct"/>
            <w:tcBorders>
              <w:top w:val="single" w:sz="4" w:space="0" w:color="auto"/>
              <w:bottom w:val="nil"/>
            </w:tcBorders>
            <w:shd w:val="clear" w:color="auto" w:fill="auto"/>
            <w:vAlign w:val="center"/>
          </w:tcPr>
          <w:p w:rsidR="00C97002" w:rsidRPr="00EA6851" w:rsidRDefault="001C5BD7" w:rsidP="00C97002">
            <w:pPr>
              <w:keepNext/>
              <w:spacing w:after="0"/>
              <w:jc w:val="center"/>
              <w:rPr>
                <w:sz w:val="18"/>
                <w:szCs w:val="18"/>
              </w:rPr>
            </w:pPr>
            <w:r w:rsidRPr="00EA6851">
              <w:rPr>
                <w:sz w:val="18"/>
                <w:szCs w:val="18"/>
              </w:rPr>
              <w:t>4,3</w:t>
            </w:r>
          </w:p>
        </w:tc>
        <w:tc>
          <w:tcPr>
            <w:tcW w:w="737" w:type="pct"/>
            <w:tcBorders>
              <w:top w:val="single" w:sz="4" w:space="0" w:color="auto"/>
              <w:bottom w:val="nil"/>
            </w:tcBorders>
            <w:shd w:val="clear" w:color="auto" w:fill="auto"/>
            <w:vAlign w:val="center"/>
          </w:tcPr>
          <w:p w:rsidR="00C97002" w:rsidRPr="00EA6851" w:rsidRDefault="001C5BD7" w:rsidP="00C97002">
            <w:pPr>
              <w:keepNext/>
              <w:spacing w:after="0"/>
              <w:jc w:val="center"/>
              <w:rPr>
                <w:sz w:val="18"/>
                <w:szCs w:val="18"/>
              </w:rPr>
            </w:pPr>
            <w:r w:rsidRPr="00EA6851">
              <w:rPr>
                <w:sz w:val="18"/>
                <w:szCs w:val="18"/>
              </w:rPr>
              <w:t>4,7</w:t>
            </w:r>
          </w:p>
        </w:tc>
        <w:tc>
          <w:tcPr>
            <w:tcW w:w="545" w:type="pct"/>
            <w:tcBorders>
              <w:top w:val="single" w:sz="4" w:space="0" w:color="auto"/>
              <w:bottom w:val="nil"/>
            </w:tcBorders>
            <w:shd w:val="clear" w:color="auto" w:fill="auto"/>
            <w:vAlign w:val="center"/>
          </w:tcPr>
          <w:p w:rsidR="00C97002" w:rsidRPr="00EA6851" w:rsidRDefault="001C5BD7" w:rsidP="00C97002">
            <w:pPr>
              <w:keepNext/>
              <w:spacing w:after="0"/>
              <w:jc w:val="center"/>
              <w:rPr>
                <w:sz w:val="18"/>
                <w:szCs w:val="18"/>
              </w:rPr>
            </w:pPr>
            <w:r w:rsidRPr="00EA6851">
              <w:rPr>
                <w:sz w:val="18"/>
                <w:szCs w:val="18"/>
              </w:rPr>
              <w:t>4,3</w:t>
            </w:r>
          </w:p>
        </w:tc>
      </w:tr>
      <w:tr w:rsidR="00C97002" w:rsidRPr="00EA6851" w:rsidTr="0097230C">
        <w:trPr>
          <w:trHeight w:val="255"/>
        </w:trPr>
        <w:tc>
          <w:tcPr>
            <w:tcW w:w="1820" w:type="pct"/>
            <w:tcBorders>
              <w:top w:val="nil"/>
            </w:tcBorders>
            <w:shd w:val="clear" w:color="auto" w:fill="auto"/>
            <w:vAlign w:val="center"/>
          </w:tcPr>
          <w:p w:rsidR="00C97002" w:rsidRPr="00EA6851" w:rsidRDefault="00C97002" w:rsidP="00C97002">
            <w:pPr>
              <w:widowControl w:val="0"/>
              <w:autoSpaceDE w:val="0"/>
              <w:autoSpaceDN w:val="0"/>
              <w:adjustRightInd w:val="0"/>
              <w:spacing w:after="0"/>
              <w:rPr>
                <w:sz w:val="18"/>
                <w:szCs w:val="18"/>
              </w:rPr>
            </w:pPr>
            <w:r w:rsidRPr="00EA6851">
              <w:rPr>
                <w:sz w:val="18"/>
                <w:szCs w:val="18"/>
              </w:rPr>
              <w:t>2. Внос на стоки</w:t>
            </w:r>
          </w:p>
        </w:tc>
        <w:tc>
          <w:tcPr>
            <w:tcW w:w="524" w:type="pct"/>
            <w:tcBorders>
              <w:top w:val="nil"/>
            </w:tcBorders>
            <w:shd w:val="clear" w:color="auto" w:fill="F2F2F2"/>
            <w:vAlign w:val="center"/>
          </w:tcPr>
          <w:p w:rsidR="00C97002" w:rsidRPr="00EA6851" w:rsidRDefault="00C97002" w:rsidP="00C97002">
            <w:pPr>
              <w:keepNext/>
              <w:spacing w:after="0"/>
              <w:jc w:val="center"/>
              <w:rPr>
                <w:sz w:val="18"/>
                <w:szCs w:val="18"/>
              </w:rPr>
            </w:pPr>
            <w:r w:rsidRPr="00EA6851">
              <w:rPr>
                <w:sz w:val="18"/>
                <w:szCs w:val="18"/>
              </w:rPr>
              <w:t>%</w:t>
            </w:r>
          </w:p>
        </w:tc>
        <w:tc>
          <w:tcPr>
            <w:tcW w:w="648" w:type="pct"/>
            <w:tcBorders>
              <w:top w:val="nil"/>
            </w:tcBorders>
            <w:shd w:val="clear" w:color="auto" w:fill="auto"/>
            <w:vAlign w:val="center"/>
          </w:tcPr>
          <w:p w:rsidR="00C97002" w:rsidRPr="00EA6851" w:rsidRDefault="00C97002" w:rsidP="00C97002">
            <w:pPr>
              <w:keepNext/>
              <w:spacing w:after="0"/>
              <w:jc w:val="center"/>
              <w:rPr>
                <w:sz w:val="18"/>
                <w:szCs w:val="18"/>
              </w:rPr>
            </w:pPr>
            <w:r w:rsidRPr="00EA6851">
              <w:rPr>
                <w:sz w:val="18"/>
                <w:szCs w:val="18"/>
              </w:rPr>
              <w:t>8,6</w:t>
            </w:r>
          </w:p>
        </w:tc>
        <w:tc>
          <w:tcPr>
            <w:tcW w:w="726" w:type="pct"/>
            <w:tcBorders>
              <w:top w:val="nil"/>
            </w:tcBorders>
            <w:shd w:val="clear" w:color="auto" w:fill="auto"/>
            <w:vAlign w:val="center"/>
          </w:tcPr>
          <w:p w:rsidR="00C97002" w:rsidRPr="00EA6851" w:rsidRDefault="001C5BD7" w:rsidP="00C97002">
            <w:pPr>
              <w:keepNext/>
              <w:spacing w:after="0"/>
              <w:jc w:val="center"/>
              <w:rPr>
                <w:sz w:val="18"/>
                <w:szCs w:val="18"/>
              </w:rPr>
            </w:pPr>
            <w:r w:rsidRPr="00EA6851">
              <w:rPr>
                <w:sz w:val="18"/>
                <w:szCs w:val="18"/>
              </w:rPr>
              <w:t>6,4</w:t>
            </w:r>
          </w:p>
        </w:tc>
        <w:tc>
          <w:tcPr>
            <w:tcW w:w="737" w:type="pct"/>
            <w:tcBorders>
              <w:top w:val="nil"/>
            </w:tcBorders>
            <w:shd w:val="clear" w:color="auto" w:fill="auto"/>
            <w:vAlign w:val="center"/>
          </w:tcPr>
          <w:p w:rsidR="00C97002" w:rsidRPr="00EA6851" w:rsidRDefault="001C5BD7" w:rsidP="00C97002">
            <w:pPr>
              <w:keepNext/>
              <w:spacing w:after="0"/>
              <w:jc w:val="center"/>
              <w:rPr>
                <w:sz w:val="18"/>
                <w:szCs w:val="18"/>
              </w:rPr>
            </w:pPr>
            <w:r w:rsidRPr="00EA6851">
              <w:rPr>
                <w:sz w:val="18"/>
                <w:szCs w:val="18"/>
              </w:rPr>
              <w:t>5,4</w:t>
            </w:r>
          </w:p>
        </w:tc>
        <w:tc>
          <w:tcPr>
            <w:tcW w:w="545" w:type="pct"/>
            <w:tcBorders>
              <w:top w:val="nil"/>
            </w:tcBorders>
            <w:shd w:val="clear" w:color="auto" w:fill="auto"/>
            <w:vAlign w:val="center"/>
          </w:tcPr>
          <w:p w:rsidR="00C97002" w:rsidRPr="00EA6851" w:rsidRDefault="001C5BD7" w:rsidP="00C97002">
            <w:pPr>
              <w:keepNext/>
              <w:spacing w:after="0"/>
              <w:jc w:val="center"/>
              <w:rPr>
                <w:sz w:val="18"/>
                <w:szCs w:val="18"/>
              </w:rPr>
            </w:pPr>
            <w:r w:rsidRPr="00EA6851">
              <w:rPr>
                <w:sz w:val="18"/>
                <w:szCs w:val="18"/>
              </w:rPr>
              <w:t>5,0</w:t>
            </w:r>
          </w:p>
        </w:tc>
      </w:tr>
    </w:tbl>
    <w:p w:rsidR="00C97002" w:rsidRPr="00EA6851" w:rsidRDefault="00C97002" w:rsidP="00C97002">
      <w:pPr>
        <w:spacing w:before="120"/>
        <w:rPr>
          <w:i/>
          <w:sz w:val="18"/>
          <w:szCs w:val="18"/>
        </w:rPr>
      </w:pPr>
      <w:r w:rsidRPr="00EA6851">
        <w:rPr>
          <w:i/>
          <w:sz w:val="18"/>
          <w:szCs w:val="18"/>
        </w:rPr>
        <w:t>*За 2026 г. на този етап няма официална прогноза.</w:t>
      </w:r>
    </w:p>
    <w:p w:rsidR="00C97002" w:rsidRPr="00EA6851" w:rsidRDefault="00C97002" w:rsidP="0097230C">
      <w:pPr>
        <w:tabs>
          <w:tab w:val="left" w:pos="1134"/>
        </w:tabs>
        <w:rPr>
          <w:szCs w:val="24"/>
        </w:rPr>
      </w:pPr>
      <w:r w:rsidRPr="00986333">
        <w:rPr>
          <w:i/>
          <w:szCs w:val="24"/>
        </w:rPr>
        <w:t>Износът на стоки</w:t>
      </w:r>
      <w:r w:rsidRPr="00EA6851">
        <w:rPr>
          <w:szCs w:val="24"/>
        </w:rPr>
        <w:t xml:space="preserve"> е основен двигател на икономическия ръст на страната. Цел са създаването на благоприятни условия за разширяване присъствието на български стоки и услуги и българските компании на чужди пазари, разширяване на икономическото сътрудничество с партньорите на институционално ниво и създаване на предпоставки за улесняване на бизнеса и разширяване на бизнес контактите, организиране на прояви, като бизнес форуми, търговски мисии, участие в специализирани изложби в страната и чужбина, за представяне на потенциала на българските фирми и предлаганите стоки и услуги, стимулиране външнотърговския капацитет и конкурентоспособността на българските фирми на външните пазари чрез повишаване квалификацията на малките и средни предприятия в областта на външната търговия. Отчитат се сравнителните и конкурентните предимства на българските стоки и фирми на външните пазари.</w:t>
      </w:r>
    </w:p>
    <w:p w:rsidR="00C97002" w:rsidRPr="00EA6851" w:rsidRDefault="00C97002" w:rsidP="0097230C">
      <w:pPr>
        <w:tabs>
          <w:tab w:val="left" w:pos="1134"/>
        </w:tabs>
        <w:rPr>
          <w:szCs w:val="24"/>
        </w:rPr>
      </w:pPr>
      <w:r w:rsidRPr="00986333">
        <w:rPr>
          <w:i/>
          <w:szCs w:val="24"/>
        </w:rPr>
        <w:t>Вносът на стоки</w:t>
      </w:r>
      <w:r w:rsidRPr="00EA6851">
        <w:rPr>
          <w:szCs w:val="24"/>
        </w:rPr>
        <w:t xml:space="preserve"> осигурява основните ресурси за икономическото развитие на страната. Внасят се стоки, за които България няма конкурентни предимства в производството им у нас, високотехнологични машини и съоръжения, транспортни средства, резервни части, лицензи, патенти и други продукти на интелектуалната собственост.</w:t>
      </w:r>
    </w:p>
    <w:p w:rsidR="00C97002" w:rsidRPr="00EA6851" w:rsidRDefault="00C97002" w:rsidP="0097230C">
      <w:pPr>
        <w:tabs>
          <w:tab w:val="left" w:pos="1134"/>
        </w:tabs>
        <w:rPr>
          <w:szCs w:val="24"/>
        </w:rPr>
      </w:pPr>
      <w:r w:rsidRPr="00EA6851">
        <w:rPr>
          <w:szCs w:val="24"/>
        </w:rPr>
        <w:t>Постигането на напредък във водените от Европейската комисия преговори по споразумения за свободна търговия и многостранни инициативи в Световната търговска организация осигурява наличието на адекватна договорно-правна рамка в международните икономически отношения, в т.ч. постигане на многостранни и двустранни договорености в областта на търговията, взаимното насърчаване и други. Това създава благоприятни условия за разширяване на присъствието на български стоки и услуги и български компании на чужди пазари (наред с компаниите от останалите държави</w:t>
      </w:r>
      <w:r w:rsidR="007F2F7C" w:rsidRPr="00EA6851">
        <w:rPr>
          <w:szCs w:val="24"/>
        </w:rPr>
        <w:t>-</w:t>
      </w:r>
      <w:r w:rsidRPr="00EA6851">
        <w:rPr>
          <w:szCs w:val="24"/>
        </w:rPr>
        <w:t>членки на ЕС).</w:t>
      </w:r>
    </w:p>
    <w:p w:rsidR="00C97002" w:rsidRPr="00EA6851" w:rsidRDefault="00C97002" w:rsidP="0097230C">
      <w:pPr>
        <w:pStyle w:val="Heading4"/>
        <w:spacing w:before="0" w:after="200"/>
      </w:pPr>
      <w:r w:rsidRPr="00EA6851">
        <w:t xml:space="preserve">Политика в областта на развитието на инвестициите и иновациите в подкрепа на растежа на българската икономика </w:t>
      </w:r>
    </w:p>
    <w:p w:rsidR="00C97002" w:rsidRPr="00EA6851" w:rsidRDefault="00C97002" w:rsidP="0097230C">
      <w:pPr>
        <w:rPr>
          <w:szCs w:val="24"/>
        </w:rPr>
      </w:pPr>
      <w:r w:rsidRPr="00EA6851">
        <w:rPr>
          <w:b/>
          <w:sz w:val="28"/>
          <w:szCs w:val="28"/>
        </w:rPr>
        <w:t>Министерството на иновациите и растежа</w:t>
      </w:r>
      <w:r w:rsidRPr="00EA6851">
        <w:rPr>
          <w:szCs w:val="24"/>
        </w:rPr>
        <w:t xml:space="preserve"> ще работи за повишаване на потенциала за растеж, основаващ се на насърчаване на инвестициите във високотехнологични промишлени производства и интензивни на знание услуги, насърчаване на предприемачеството, иновациите и повишаването на производителността на труда. Приоритет на икономическата политика е повишаването на привлекателността на България за инвестиции, както и за създаване на предпоставки за развитието на страната като център за интензивни на знание, високотехнологични производства и услуги. </w:t>
      </w:r>
    </w:p>
    <w:p w:rsidR="00C97002" w:rsidRPr="00EA6851" w:rsidRDefault="00C97002" w:rsidP="0097230C">
      <w:pPr>
        <w:rPr>
          <w:szCs w:val="24"/>
        </w:rPr>
      </w:pPr>
      <w:r w:rsidRPr="00EA6851">
        <w:rPr>
          <w:szCs w:val="24"/>
        </w:rPr>
        <w:t>В тази връзка, важна част от политиката на Министерството на иновациите и растежа ще бъде по-добра</w:t>
      </w:r>
      <w:r w:rsidR="00DD781B" w:rsidRPr="00EA6851">
        <w:rPr>
          <w:szCs w:val="24"/>
        </w:rPr>
        <w:t>та</w:t>
      </w:r>
      <w:r w:rsidRPr="00EA6851">
        <w:rPr>
          <w:szCs w:val="24"/>
        </w:rPr>
        <w:t xml:space="preserve"> координация на политиките, свързани с превръщането на научните резултати в продукти и услуги и трансфера на иновативни и технологични решения в подкрепа на бизнеса и индустрията, като ще </w:t>
      </w:r>
      <w:r w:rsidR="008E6BB8" w:rsidRPr="00EA6851">
        <w:rPr>
          <w:szCs w:val="24"/>
        </w:rPr>
        <w:t xml:space="preserve">се </w:t>
      </w:r>
      <w:r w:rsidRPr="00EA6851">
        <w:rPr>
          <w:szCs w:val="24"/>
        </w:rPr>
        <w:t xml:space="preserve">създаде </w:t>
      </w:r>
      <w:r w:rsidR="008E6BB8" w:rsidRPr="00EA6851">
        <w:rPr>
          <w:szCs w:val="24"/>
        </w:rPr>
        <w:t>Борд за иновации</w:t>
      </w:r>
      <w:r w:rsidR="003C7BE1" w:rsidRPr="00EA6851">
        <w:rPr>
          <w:szCs w:val="24"/>
        </w:rPr>
        <w:t>,</w:t>
      </w:r>
      <w:r w:rsidR="008E6BB8" w:rsidRPr="00EA6851">
        <w:rPr>
          <w:szCs w:val="24"/>
        </w:rPr>
        <w:t xml:space="preserve"> </w:t>
      </w:r>
      <w:r w:rsidRPr="00EA6851">
        <w:rPr>
          <w:szCs w:val="24"/>
        </w:rPr>
        <w:t>съвместно с Министерството на образованието и науката. Ключов приоритет ще бъде създаване</w:t>
      </w:r>
      <w:r w:rsidR="003C7BE1" w:rsidRPr="00EA6851">
        <w:rPr>
          <w:szCs w:val="24"/>
        </w:rPr>
        <w:t>то</w:t>
      </w:r>
      <w:r w:rsidRPr="00EA6851">
        <w:rPr>
          <w:szCs w:val="24"/>
        </w:rPr>
        <w:t xml:space="preserve"> на условия за привличане на частни капитали за финансиране на изследователската дейност, както и привличане на инвеститори, които подкрепят и развойна</w:t>
      </w:r>
      <w:r w:rsidR="00DD781B" w:rsidRPr="00EA6851">
        <w:rPr>
          <w:szCs w:val="24"/>
        </w:rPr>
        <w:t>та</w:t>
      </w:r>
      <w:r w:rsidRPr="00EA6851">
        <w:rPr>
          <w:szCs w:val="24"/>
        </w:rPr>
        <w:t xml:space="preserve"> дейност в страната с дългосрочна визия, което ще създаде предпоставки за привличането и задържането на таланти в България. </w:t>
      </w:r>
    </w:p>
    <w:p w:rsidR="00C97002" w:rsidRPr="00EA6851" w:rsidRDefault="00C97002" w:rsidP="0097230C">
      <w:pPr>
        <w:rPr>
          <w:szCs w:val="24"/>
        </w:rPr>
      </w:pPr>
      <w:r w:rsidRPr="00EA6851">
        <w:rPr>
          <w:szCs w:val="24"/>
        </w:rPr>
        <w:t>Министерството ще предприеме мерки с цел повишаване на иновационния капацитет и капацитета за израстване и излизане на международни пазари на стартиращи малки и средни предприятия, като където е необходимо ще се планират мерки, свързани с подкрепа на бизнеса за справяне с енергийната криза и кризата, предизвикана от COVID-19, особено на най-засегнатите сектори.</w:t>
      </w:r>
    </w:p>
    <w:p w:rsidR="00C97002" w:rsidRPr="00EA6851" w:rsidRDefault="00C97002" w:rsidP="0097230C">
      <w:pPr>
        <w:rPr>
          <w:szCs w:val="24"/>
        </w:rPr>
      </w:pPr>
      <w:r w:rsidRPr="00EA6851">
        <w:rPr>
          <w:szCs w:val="24"/>
        </w:rPr>
        <w:t>Тази политика ще бъде насочена към достигане на националните цели в Националната програма за развитие България 2030, Националната стратегия за насърчаване на малките и средни предприятия и Иновационната стратегия за интелигентна специализация.</w:t>
      </w:r>
    </w:p>
    <w:p w:rsidR="00C97002" w:rsidRPr="00EA6851" w:rsidRDefault="00C97002" w:rsidP="0097230C">
      <w:pPr>
        <w:rPr>
          <w:szCs w:val="24"/>
        </w:rPr>
      </w:pPr>
      <w:r w:rsidRPr="00EA6851">
        <w:rPr>
          <w:szCs w:val="24"/>
        </w:rPr>
        <w:t>Визията за развитието на политиката е Министерството на иновациите и растежа да бъде основен двигател за икономически растеж, иновации и повишаване на конкурентоспособността на малки и средни предприятия и компании с потенциал за продажби извън страната.</w:t>
      </w:r>
    </w:p>
    <w:p w:rsidR="00C97002" w:rsidRPr="00EA6851" w:rsidRDefault="00C97002" w:rsidP="0097230C">
      <w:pPr>
        <w:rPr>
          <w:szCs w:val="24"/>
        </w:rPr>
      </w:pPr>
      <w:r w:rsidRPr="00EA6851">
        <w:rPr>
          <w:szCs w:val="24"/>
        </w:rPr>
        <w:t>В тази връзка, повишаването на иновационната активност на предприятията и създаването на условия за привличане на частни капитали за финансиране на изследователската дейност от и по поръчка на предприятията ще бъде важна част от политиката на Министерството на иновациите и растежа. От съществено значение е насърчаване сътрудничеството между предприятията и изследователските организации и ускоряване навлизането на нови продукти и услуги на пазара.</w:t>
      </w:r>
    </w:p>
    <w:p w:rsidR="00C97002" w:rsidRPr="00EA6851" w:rsidRDefault="00C97002" w:rsidP="0097230C">
      <w:pPr>
        <w:rPr>
          <w:szCs w:val="24"/>
        </w:rPr>
      </w:pPr>
      <w:r w:rsidRPr="00EA6851">
        <w:rPr>
          <w:szCs w:val="24"/>
        </w:rPr>
        <w:t>В рамките на тази политика Министерството на иновациите и растежа ще осъществява следните дейности:</w:t>
      </w:r>
    </w:p>
    <w:p w:rsidR="00C97002" w:rsidRPr="00EA6851" w:rsidRDefault="00C97002" w:rsidP="00B30642">
      <w:pPr>
        <w:numPr>
          <w:ilvl w:val="0"/>
          <w:numId w:val="37"/>
        </w:numPr>
        <w:rPr>
          <w:szCs w:val="24"/>
        </w:rPr>
      </w:pPr>
      <w:r w:rsidRPr="00EA6851">
        <w:rPr>
          <w:szCs w:val="24"/>
        </w:rPr>
        <w:t>Разработване на политики по взаимодействието между научните изследвания, иновациите и технологиите за развитие и надграждане на R&amp;I</w:t>
      </w:r>
      <w:r w:rsidRPr="00EA6851">
        <w:rPr>
          <w:position w:val="2"/>
          <w:sz w:val="18"/>
          <w:szCs w:val="24"/>
          <w:vertAlign w:val="superscript"/>
          <w:lang w:eastAsia="en-US"/>
        </w:rPr>
        <w:footnoteReference w:id="36"/>
      </w:r>
      <w:r w:rsidRPr="00EA6851">
        <w:rPr>
          <w:szCs w:val="24"/>
        </w:rPr>
        <w:t xml:space="preserve"> капацитет и на R&amp;I екосистема и политиката по защита на интелектуалната собственост и права;</w:t>
      </w:r>
    </w:p>
    <w:p w:rsidR="00C97002" w:rsidRPr="00EA6851" w:rsidRDefault="00C97002" w:rsidP="00B30642">
      <w:pPr>
        <w:numPr>
          <w:ilvl w:val="0"/>
          <w:numId w:val="37"/>
        </w:numPr>
        <w:rPr>
          <w:szCs w:val="24"/>
        </w:rPr>
      </w:pPr>
      <w:r w:rsidRPr="00EA6851">
        <w:rPr>
          <w:szCs w:val="24"/>
        </w:rPr>
        <w:t>Разработване на предложения за държавната политика по взаимодействие между научните изследвания, иновациите и технологиите;</w:t>
      </w:r>
    </w:p>
    <w:p w:rsidR="00C97002" w:rsidRPr="00EA6851" w:rsidRDefault="00C97002" w:rsidP="00B30642">
      <w:pPr>
        <w:numPr>
          <w:ilvl w:val="0"/>
          <w:numId w:val="37"/>
        </w:numPr>
        <w:rPr>
          <w:szCs w:val="24"/>
        </w:rPr>
      </w:pPr>
      <w:r w:rsidRPr="00EA6851">
        <w:rPr>
          <w:szCs w:val="24"/>
        </w:rPr>
        <w:t>Разработване на проекти на нормативни актове, свързани с процеса на подготовка, ресурсно обезпечаване и изпълнение на политиката по взаимодействие между научните изследвания, иновациите и технологиите съвместно с останалите институции, които имат отношение към нейното разработване и изпълнение;</w:t>
      </w:r>
    </w:p>
    <w:p w:rsidR="00C97002" w:rsidRPr="00EA6851" w:rsidRDefault="00C97002" w:rsidP="00B30642">
      <w:pPr>
        <w:numPr>
          <w:ilvl w:val="0"/>
          <w:numId w:val="37"/>
        </w:numPr>
        <w:rPr>
          <w:szCs w:val="24"/>
        </w:rPr>
      </w:pPr>
      <w:r w:rsidRPr="00EA6851">
        <w:rPr>
          <w:szCs w:val="24"/>
        </w:rPr>
        <w:t>Осъществяване на дейности по картографиране на научноизследователската и иновационна екосистема, разработване и прилагане на политики и модели за осигуряване на устойчивост и развитие на изградените научно-изследователски и иновационни инфраструктури и капацитет;</w:t>
      </w:r>
    </w:p>
    <w:p w:rsidR="00C97002" w:rsidRPr="00EA6851" w:rsidRDefault="00C97002" w:rsidP="00B30642">
      <w:pPr>
        <w:numPr>
          <w:ilvl w:val="0"/>
          <w:numId w:val="37"/>
        </w:numPr>
        <w:rPr>
          <w:szCs w:val="24"/>
        </w:rPr>
      </w:pPr>
      <w:r w:rsidRPr="00EA6851">
        <w:rPr>
          <w:szCs w:val="24"/>
        </w:rPr>
        <w:t xml:space="preserve">Разработване, актуализиране и анализ на изпълнението на Иновационната стратегия за интелигентна специализация, както и </w:t>
      </w:r>
      <w:r w:rsidR="008E6BB8" w:rsidRPr="00EA6851">
        <w:rPr>
          <w:szCs w:val="24"/>
        </w:rPr>
        <w:t xml:space="preserve">на </w:t>
      </w:r>
      <w:r w:rsidRPr="00EA6851">
        <w:rPr>
          <w:szCs w:val="24"/>
        </w:rPr>
        <w:t>други стратегически документи, които имат отношение към политиката на взаимодействие на трите сфери и програмите за тяхното изпълнение;</w:t>
      </w:r>
    </w:p>
    <w:p w:rsidR="00C97002" w:rsidRPr="00EA6851" w:rsidRDefault="00C97002" w:rsidP="00B30642">
      <w:pPr>
        <w:numPr>
          <w:ilvl w:val="0"/>
          <w:numId w:val="37"/>
        </w:numPr>
        <w:rPr>
          <w:szCs w:val="24"/>
        </w:rPr>
      </w:pPr>
      <w:r w:rsidRPr="00EA6851">
        <w:rPr>
          <w:szCs w:val="24"/>
        </w:rPr>
        <w:t>Участие в разработването и съгласуване на националната рамка на политиката по защита на интелектуалната собственост и права и на нови модели и форми за развитие и защита на интелектуалната собственост и развитие на капацитета в тази сфера;</w:t>
      </w:r>
    </w:p>
    <w:p w:rsidR="00C97002" w:rsidRPr="00EA6851" w:rsidRDefault="00C97002" w:rsidP="00B30642">
      <w:pPr>
        <w:numPr>
          <w:ilvl w:val="0"/>
          <w:numId w:val="37"/>
        </w:numPr>
        <w:rPr>
          <w:szCs w:val="24"/>
        </w:rPr>
      </w:pPr>
      <w:r w:rsidRPr="00EA6851">
        <w:rPr>
          <w:szCs w:val="24"/>
        </w:rPr>
        <w:t>Осъществяване на процеса на координация, демаркация и допълняемост на отделните мерки, интервенции и инвестиции в рамките на държавната политика в областта и други политики, които имат отношение към изпълнението им;</w:t>
      </w:r>
    </w:p>
    <w:p w:rsidR="00C97002" w:rsidRPr="00EA6851" w:rsidRDefault="00C97002" w:rsidP="00B30642">
      <w:pPr>
        <w:numPr>
          <w:ilvl w:val="0"/>
          <w:numId w:val="37"/>
        </w:numPr>
        <w:rPr>
          <w:szCs w:val="24"/>
        </w:rPr>
      </w:pPr>
      <w:r w:rsidRPr="00EA6851">
        <w:rPr>
          <w:szCs w:val="24"/>
        </w:rPr>
        <w:t xml:space="preserve">Участие в ефективното и устойчиво изпълнение на отделните инструменти и мерки на политиката по взаимодействието между научните изследвания, иновациите и технологиите за развитие и надграждане на пълноценна научноизследователска и иновационна екосистема, като координира управлението на програми и проекти, които са финансирани със средства </w:t>
      </w:r>
      <w:r w:rsidR="00DD781B" w:rsidRPr="00EA6851">
        <w:rPr>
          <w:szCs w:val="24"/>
        </w:rPr>
        <w:t>от</w:t>
      </w:r>
      <w:r w:rsidRPr="00EA6851">
        <w:rPr>
          <w:szCs w:val="24"/>
        </w:rPr>
        <w:t xml:space="preserve"> националния бюджет, ЕС, международни донори и други организации</w:t>
      </w:r>
      <w:r w:rsidR="008E6BB8" w:rsidRPr="00EA6851">
        <w:rPr>
          <w:szCs w:val="24"/>
        </w:rPr>
        <w:t>;</w:t>
      </w:r>
    </w:p>
    <w:p w:rsidR="00C97002" w:rsidRPr="00EA6851" w:rsidRDefault="00C97002" w:rsidP="00B30642">
      <w:pPr>
        <w:numPr>
          <w:ilvl w:val="0"/>
          <w:numId w:val="37"/>
        </w:numPr>
        <w:rPr>
          <w:szCs w:val="24"/>
        </w:rPr>
      </w:pPr>
      <w:r w:rsidRPr="00EA6851">
        <w:rPr>
          <w:szCs w:val="24"/>
        </w:rPr>
        <w:t>Ефективно разработване, изпълнение, управление и при необходимост изменение на Програмата за научни изследвания, иновации и дигитализация за интелигентна трансформация 2021-2027 г. (ПНИИДИТ/Програмата) с оглед изпълнението на нейните цели, в съответствие с приложимото европейско и национално законодателство и стратегически документи, системите за управление и контрол и вътрешните правила.</w:t>
      </w:r>
    </w:p>
    <w:p w:rsidR="00C97002" w:rsidRPr="00EA6851" w:rsidRDefault="00C97002" w:rsidP="0097230C">
      <w:pPr>
        <w:rPr>
          <w:szCs w:val="24"/>
        </w:rPr>
      </w:pPr>
      <w:r w:rsidRPr="00EA6851">
        <w:rPr>
          <w:szCs w:val="24"/>
        </w:rPr>
        <w:t xml:space="preserve">За периода 2024-2026 г. за насърчаване на инвестициите на местни и чуждестранни предприятия, изпълняващи инвестиционни проекти по Закона за насърчаване на инвестициите, са планирани общо средства в размер на 53,6 млн. лв., съответно за 2024 г. </w:t>
      </w:r>
      <w:r w:rsidR="008E6BB8" w:rsidRPr="00EA6851">
        <w:rPr>
          <w:szCs w:val="24"/>
        </w:rPr>
        <w:t xml:space="preserve">– </w:t>
      </w:r>
      <w:r w:rsidRPr="00EA6851">
        <w:rPr>
          <w:szCs w:val="24"/>
        </w:rPr>
        <w:t>22,3 млн. лв., за 2025 г. – 22,3 млн. лв. и за 2026 г. – 9,0 млн. лв.</w:t>
      </w:r>
    </w:p>
    <w:p w:rsidR="00C97002" w:rsidRPr="00EA6851" w:rsidRDefault="00C97002" w:rsidP="0097230C">
      <w:pPr>
        <w:rPr>
          <w:szCs w:val="24"/>
        </w:rPr>
      </w:pPr>
      <w:r w:rsidRPr="00EA6851">
        <w:rPr>
          <w:szCs w:val="24"/>
        </w:rPr>
        <w:t>За 2024 г. и 2025 г., освен ежегодно предвижданите средства в размер на 9,0 млн. лв. за насърчаване на инвестициите на местни и чуждестранни предприятия, са предвидени и допълнително 13,3 млн. лв. за изпълнение на приоритетния инвестиционен проект „Изграждане и управление на иновативен завод за производство на електрически автомобили e.GO в гр. Ловеч“, с което е поет ангажимент за изплащане на финансова насърчителна мярка от страна на държавата, съгласно посочен индикативен график за изплащане на средствата на 4 етапа (през 2024 г., 2025 г., 2027 г. и 2029 г.) при определени условия. Средствата са насочени за насърчаване на инвестициите на местни и чуждестранни предприятия за изграждане на нови производствени мощности и създаване на дългосрочни нови работни места чрез осигуряване на подкрепа на дружествата, изпълняващи инвестиционни проекти и създаващи значима заетост – сертифицираните по Закона за насърчаване на инвестициите инвеститори.</w:t>
      </w:r>
    </w:p>
    <w:p w:rsidR="00C97002" w:rsidRPr="00EA6851" w:rsidRDefault="00C97002" w:rsidP="00C97002">
      <w:pPr>
        <w:rPr>
          <w:b/>
          <w:sz w:val="20"/>
          <w:szCs w:val="20"/>
        </w:rPr>
      </w:pPr>
      <w:r w:rsidRPr="00EA6851">
        <w:rPr>
          <w:b/>
          <w:sz w:val="20"/>
          <w:szCs w:val="20"/>
        </w:rPr>
        <w:t>КЛЮЧОВИ ИНДИКАТОРИ ЗА ИЗПЪЛНЕНИЕ И ЦЕЛЕВИ СТОЙНОСТИ</w:t>
      </w:r>
    </w:p>
    <w:tbl>
      <w:tblPr>
        <w:tblW w:w="0" w:type="auto"/>
        <w:tblBorders>
          <w:top w:val="single" w:sz="4" w:space="0" w:color="auto"/>
          <w:bottom w:val="single" w:sz="4" w:space="0" w:color="auto"/>
        </w:tblBorders>
        <w:tblCellMar>
          <w:left w:w="70" w:type="dxa"/>
          <w:right w:w="70" w:type="dxa"/>
        </w:tblCellMar>
        <w:tblLook w:val="0000" w:firstRow="0" w:lastRow="0" w:firstColumn="0" w:lastColumn="0" w:noHBand="0" w:noVBand="0"/>
      </w:tblPr>
      <w:tblGrid>
        <w:gridCol w:w="4020"/>
        <w:gridCol w:w="998"/>
        <w:gridCol w:w="1093"/>
        <w:gridCol w:w="945"/>
        <w:gridCol w:w="1050"/>
        <w:gridCol w:w="964"/>
      </w:tblGrid>
      <w:tr w:rsidR="00C97002" w:rsidRPr="00EA6851" w:rsidTr="0097230C">
        <w:trPr>
          <w:trHeight w:val="268"/>
          <w:tblHeader/>
        </w:trPr>
        <w:tc>
          <w:tcPr>
            <w:tcW w:w="0" w:type="auto"/>
            <w:tcBorders>
              <w:bottom w:val="nil"/>
            </w:tcBorders>
            <w:shd w:val="clear" w:color="auto" w:fill="auto"/>
            <w:vAlign w:val="center"/>
          </w:tcPr>
          <w:p w:rsidR="00C97002" w:rsidRPr="00EA6851" w:rsidRDefault="00C97002" w:rsidP="00C97002">
            <w:pPr>
              <w:spacing w:after="0"/>
              <w:jc w:val="center"/>
              <w:rPr>
                <w:b/>
                <w:i/>
                <w:iCs/>
                <w:sz w:val="18"/>
                <w:szCs w:val="18"/>
              </w:rPr>
            </w:pPr>
            <w:r w:rsidRPr="00EA6851">
              <w:rPr>
                <w:b/>
                <w:i/>
                <w:iCs/>
                <w:sz w:val="18"/>
                <w:szCs w:val="18"/>
              </w:rPr>
              <w:t>Политика в областта на развитието на инвестициите и иновациите в подкрепа на растежа на българската икономика</w:t>
            </w:r>
          </w:p>
        </w:tc>
        <w:tc>
          <w:tcPr>
            <w:tcW w:w="0" w:type="auto"/>
            <w:vMerge w:val="restart"/>
            <w:tcBorders>
              <w:bottom w:val="nil"/>
            </w:tcBorders>
            <w:shd w:val="clear" w:color="auto" w:fill="F2F2F2"/>
            <w:vAlign w:val="center"/>
          </w:tcPr>
          <w:p w:rsidR="00C97002" w:rsidRPr="00EA6851" w:rsidRDefault="00C97002" w:rsidP="00C97002">
            <w:pPr>
              <w:keepNext/>
              <w:spacing w:after="0"/>
              <w:jc w:val="center"/>
              <w:rPr>
                <w:b/>
                <w:iCs/>
                <w:sz w:val="18"/>
                <w:szCs w:val="18"/>
              </w:rPr>
            </w:pPr>
            <w:r w:rsidRPr="00EA6851">
              <w:rPr>
                <w:b/>
                <w:iCs/>
                <w:sz w:val="18"/>
                <w:szCs w:val="18"/>
              </w:rPr>
              <w:t>Мерна единица</w:t>
            </w:r>
          </w:p>
        </w:tc>
        <w:tc>
          <w:tcPr>
            <w:tcW w:w="4127" w:type="dxa"/>
            <w:gridSpan w:val="4"/>
            <w:tcBorders>
              <w:bottom w:val="single" w:sz="4" w:space="0" w:color="auto"/>
            </w:tcBorders>
            <w:shd w:val="clear" w:color="auto" w:fill="auto"/>
            <w:vAlign w:val="center"/>
          </w:tcPr>
          <w:p w:rsidR="00C97002" w:rsidRPr="00EA6851" w:rsidRDefault="00C97002" w:rsidP="00C97002">
            <w:pPr>
              <w:keepNext/>
              <w:spacing w:after="0"/>
              <w:jc w:val="center"/>
              <w:rPr>
                <w:b/>
                <w:iCs/>
                <w:sz w:val="18"/>
                <w:szCs w:val="18"/>
              </w:rPr>
            </w:pPr>
            <w:r w:rsidRPr="00EA6851">
              <w:rPr>
                <w:b/>
                <w:iCs/>
                <w:sz w:val="18"/>
                <w:szCs w:val="18"/>
              </w:rPr>
              <w:t>Целева стойност</w:t>
            </w:r>
          </w:p>
        </w:tc>
      </w:tr>
      <w:tr w:rsidR="00C97002" w:rsidRPr="00EA6851" w:rsidTr="0097230C">
        <w:trPr>
          <w:trHeight w:val="60"/>
          <w:tblHeader/>
        </w:trPr>
        <w:tc>
          <w:tcPr>
            <w:tcW w:w="0" w:type="auto"/>
            <w:tcBorders>
              <w:top w:val="nil"/>
              <w:bottom w:val="single" w:sz="4" w:space="0" w:color="auto"/>
            </w:tcBorders>
            <w:shd w:val="clear" w:color="auto" w:fill="auto"/>
            <w:vAlign w:val="center"/>
          </w:tcPr>
          <w:p w:rsidR="00C97002" w:rsidRPr="00EA6851" w:rsidRDefault="00C97002" w:rsidP="00C97002">
            <w:pPr>
              <w:spacing w:after="0"/>
              <w:jc w:val="center"/>
              <w:rPr>
                <w:b/>
                <w:iCs/>
                <w:sz w:val="18"/>
                <w:szCs w:val="18"/>
              </w:rPr>
            </w:pPr>
            <w:r w:rsidRPr="00EA6851">
              <w:rPr>
                <w:b/>
                <w:iCs/>
                <w:sz w:val="18"/>
                <w:szCs w:val="18"/>
              </w:rPr>
              <w:t>Наименование на индикатора</w:t>
            </w:r>
          </w:p>
        </w:tc>
        <w:tc>
          <w:tcPr>
            <w:tcW w:w="0" w:type="auto"/>
            <w:vMerge/>
            <w:tcBorders>
              <w:top w:val="nil"/>
              <w:bottom w:val="single" w:sz="4" w:space="0" w:color="auto"/>
            </w:tcBorders>
            <w:shd w:val="clear" w:color="auto" w:fill="F2F2F2"/>
            <w:vAlign w:val="center"/>
          </w:tcPr>
          <w:p w:rsidR="00C97002" w:rsidRPr="00EA6851" w:rsidRDefault="00C97002" w:rsidP="00C97002">
            <w:pPr>
              <w:keepNext/>
              <w:spacing w:after="0" w:line="276" w:lineRule="auto"/>
              <w:jc w:val="center"/>
              <w:rPr>
                <w:i/>
                <w:iCs/>
                <w:sz w:val="18"/>
                <w:szCs w:val="18"/>
              </w:rPr>
            </w:pPr>
          </w:p>
        </w:tc>
        <w:tc>
          <w:tcPr>
            <w:tcW w:w="0" w:type="auto"/>
            <w:tcBorders>
              <w:top w:val="single" w:sz="4" w:space="0" w:color="auto"/>
              <w:bottom w:val="single" w:sz="4" w:space="0" w:color="auto"/>
            </w:tcBorders>
            <w:shd w:val="clear" w:color="auto" w:fill="auto"/>
            <w:vAlign w:val="center"/>
          </w:tcPr>
          <w:p w:rsidR="00C97002" w:rsidRPr="00EA6851" w:rsidRDefault="00C97002" w:rsidP="00C97002">
            <w:pPr>
              <w:keepNext/>
              <w:spacing w:after="0"/>
              <w:jc w:val="center"/>
              <w:rPr>
                <w:b/>
                <w:i/>
                <w:iCs/>
                <w:sz w:val="18"/>
                <w:szCs w:val="18"/>
              </w:rPr>
            </w:pPr>
            <w:r w:rsidRPr="00EA6851">
              <w:rPr>
                <w:b/>
                <w:i/>
                <w:iCs/>
                <w:sz w:val="18"/>
                <w:szCs w:val="18"/>
              </w:rPr>
              <w:t>Програма 2023 г.</w:t>
            </w:r>
          </w:p>
        </w:tc>
        <w:tc>
          <w:tcPr>
            <w:tcW w:w="0" w:type="auto"/>
            <w:tcBorders>
              <w:top w:val="single" w:sz="4" w:space="0" w:color="auto"/>
              <w:bottom w:val="single" w:sz="4" w:space="0" w:color="auto"/>
            </w:tcBorders>
            <w:shd w:val="clear" w:color="auto" w:fill="auto"/>
            <w:vAlign w:val="center"/>
          </w:tcPr>
          <w:p w:rsidR="00C97002" w:rsidRPr="00EA6851" w:rsidRDefault="00C97002" w:rsidP="00C97002">
            <w:pPr>
              <w:keepNext/>
              <w:spacing w:after="0"/>
              <w:jc w:val="center"/>
              <w:rPr>
                <w:b/>
                <w:i/>
                <w:iCs/>
                <w:sz w:val="18"/>
                <w:szCs w:val="18"/>
              </w:rPr>
            </w:pPr>
            <w:r w:rsidRPr="00EA6851">
              <w:rPr>
                <w:b/>
                <w:i/>
                <w:iCs/>
                <w:sz w:val="18"/>
                <w:szCs w:val="18"/>
              </w:rPr>
              <w:t>Проект 2024 г.</w:t>
            </w:r>
          </w:p>
        </w:tc>
        <w:tc>
          <w:tcPr>
            <w:tcW w:w="0" w:type="auto"/>
            <w:tcBorders>
              <w:top w:val="single" w:sz="4" w:space="0" w:color="auto"/>
              <w:bottom w:val="single" w:sz="4" w:space="0" w:color="auto"/>
            </w:tcBorders>
            <w:shd w:val="clear" w:color="auto" w:fill="auto"/>
            <w:vAlign w:val="center"/>
          </w:tcPr>
          <w:p w:rsidR="00C97002" w:rsidRPr="00EA6851" w:rsidRDefault="00C97002" w:rsidP="00C97002">
            <w:pPr>
              <w:keepNext/>
              <w:spacing w:after="0"/>
              <w:jc w:val="center"/>
              <w:rPr>
                <w:b/>
                <w:i/>
                <w:iCs/>
                <w:sz w:val="18"/>
                <w:szCs w:val="18"/>
              </w:rPr>
            </w:pPr>
            <w:r w:rsidRPr="00EA6851">
              <w:rPr>
                <w:b/>
                <w:i/>
                <w:iCs/>
                <w:sz w:val="18"/>
                <w:szCs w:val="18"/>
              </w:rPr>
              <w:t>Прогноза 2025 г.</w:t>
            </w:r>
          </w:p>
        </w:tc>
        <w:tc>
          <w:tcPr>
            <w:tcW w:w="964" w:type="dxa"/>
            <w:tcBorders>
              <w:top w:val="single" w:sz="4" w:space="0" w:color="auto"/>
              <w:bottom w:val="single" w:sz="4" w:space="0" w:color="auto"/>
            </w:tcBorders>
            <w:shd w:val="clear" w:color="auto" w:fill="auto"/>
            <w:vAlign w:val="center"/>
          </w:tcPr>
          <w:p w:rsidR="00C97002" w:rsidRPr="00EA6851" w:rsidRDefault="00C97002" w:rsidP="00C97002">
            <w:pPr>
              <w:keepNext/>
              <w:spacing w:after="0"/>
              <w:jc w:val="center"/>
              <w:rPr>
                <w:b/>
                <w:i/>
                <w:iCs/>
                <w:sz w:val="18"/>
                <w:szCs w:val="18"/>
              </w:rPr>
            </w:pPr>
            <w:r w:rsidRPr="00EA6851">
              <w:rPr>
                <w:b/>
                <w:i/>
                <w:iCs/>
                <w:sz w:val="18"/>
                <w:szCs w:val="18"/>
              </w:rPr>
              <w:t>Прогноза 2026 г.</w:t>
            </w:r>
          </w:p>
        </w:tc>
      </w:tr>
      <w:tr w:rsidR="00C97002" w:rsidRPr="00EA6851" w:rsidTr="0097230C">
        <w:trPr>
          <w:trHeight w:val="401"/>
        </w:trPr>
        <w:tc>
          <w:tcPr>
            <w:tcW w:w="0" w:type="auto"/>
            <w:tcBorders>
              <w:top w:val="single" w:sz="4" w:space="0" w:color="auto"/>
              <w:bottom w:val="single" w:sz="4" w:space="0" w:color="auto"/>
            </w:tcBorders>
            <w:shd w:val="clear" w:color="auto" w:fill="auto"/>
            <w:vAlign w:val="center"/>
          </w:tcPr>
          <w:p w:rsidR="00C97002" w:rsidRPr="00EA6851" w:rsidRDefault="00C97002" w:rsidP="00C97002">
            <w:pPr>
              <w:widowControl w:val="0"/>
              <w:autoSpaceDE w:val="0"/>
              <w:autoSpaceDN w:val="0"/>
              <w:adjustRightInd w:val="0"/>
              <w:spacing w:after="0"/>
              <w:jc w:val="left"/>
              <w:rPr>
                <w:sz w:val="18"/>
                <w:szCs w:val="18"/>
              </w:rPr>
            </w:pPr>
            <w:r w:rsidRPr="00EA6851">
              <w:rPr>
                <w:sz w:val="18"/>
                <w:szCs w:val="18"/>
              </w:rPr>
              <w:t>1.Преки чуждестранни инвестиции</w:t>
            </w:r>
          </w:p>
        </w:tc>
        <w:tc>
          <w:tcPr>
            <w:tcW w:w="0" w:type="auto"/>
            <w:tcBorders>
              <w:top w:val="single" w:sz="4" w:space="0" w:color="auto"/>
              <w:bottom w:val="single" w:sz="4" w:space="0" w:color="auto"/>
            </w:tcBorders>
            <w:shd w:val="clear" w:color="auto" w:fill="F2F2F2"/>
            <w:vAlign w:val="center"/>
          </w:tcPr>
          <w:p w:rsidR="00C97002" w:rsidRPr="00EA6851" w:rsidRDefault="00C97002" w:rsidP="00C97002">
            <w:pPr>
              <w:widowControl w:val="0"/>
              <w:autoSpaceDE w:val="0"/>
              <w:autoSpaceDN w:val="0"/>
              <w:adjustRightInd w:val="0"/>
              <w:spacing w:after="0"/>
              <w:jc w:val="center"/>
              <w:rPr>
                <w:sz w:val="18"/>
                <w:szCs w:val="18"/>
              </w:rPr>
            </w:pPr>
            <w:r w:rsidRPr="00EA6851">
              <w:rPr>
                <w:sz w:val="18"/>
                <w:szCs w:val="18"/>
              </w:rPr>
              <w:t>% от БВП</w:t>
            </w:r>
          </w:p>
        </w:tc>
        <w:tc>
          <w:tcPr>
            <w:tcW w:w="0" w:type="auto"/>
            <w:tcBorders>
              <w:top w:val="single" w:sz="4" w:space="0" w:color="auto"/>
              <w:bottom w:val="single" w:sz="4" w:space="0" w:color="auto"/>
            </w:tcBorders>
            <w:shd w:val="clear" w:color="auto" w:fill="auto"/>
            <w:vAlign w:val="center"/>
          </w:tcPr>
          <w:p w:rsidR="00C97002" w:rsidRPr="00EA6851" w:rsidRDefault="00C97002" w:rsidP="00C97002">
            <w:pPr>
              <w:widowControl w:val="0"/>
              <w:autoSpaceDE w:val="0"/>
              <w:autoSpaceDN w:val="0"/>
              <w:adjustRightInd w:val="0"/>
              <w:spacing w:after="0"/>
              <w:jc w:val="center"/>
              <w:rPr>
                <w:sz w:val="18"/>
                <w:szCs w:val="18"/>
              </w:rPr>
            </w:pPr>
            <w:r w:rsidRPr="00EA6851">
              <w:rPr>
                <w:sz w:val="18"/>
                <w:szCs w:val="18"/>
              </w:rPr>
              <w:t>2,6</w:t>
            </w:r>
          </w:p>
        </w:tc>
        <w:tc>
          <w:tcPr>
            <w:tcW w:w="0" w:type="auto"/>
            <w:tcBorders>
              <w:top w:val="single" w:sz="4" w:space="0" w:color="auto"/>
              <w:bottom w:val="single" w:sz="4" w:space="0" w:color="auto"/>
            </w:tcBorders>
            <w:shd w:val="clear" w:color="auto" w:fill="auto"/>
            <w:vAlign w:val="center"/>
          </w:tcPr>
          <w:p w:rsidR="00C97002" w:rsidRPr="00EA6851" w:rsidRDefault="00C97002" w:rsidP="00C97002">
            <w:pPr>
              <w:widowControl w:val="0"/>
              <w:autoSpaceDE w:val="0"/>
              <w:autoSpaceDN w:val="0"/>
              <w:adjustRightInd w:val="0"/>
              <w:spacing w:after="0"/>
              <w:jc w:val="center"/>
              <w:rPr>
                <w:sz w:val="18"/>
                <w:szCs w:val="18"/>
              </w:rPr>
            </w:pPr>
            <w:r w:rsidRPr="00EA6851">
              <w:rPr>
                <w:sz w:val="18"/>
                <w:szCs w:val="18"/>
              </w:rPr>
              <w:t>3,3</w:t>
            </w:r>
          </w:p>
        </w:tc>
        <w:tc>
          <w:tcPr>
            <w:tcW w:w="0" w:type="auto"/>
            <w:tcBorders>
              <w:top w:val="single" w:sz="4" w:space="0" w:color="auto"/>
              <w:bottom w:val="single" w:sz="4" w:space="0" w:color="auto"/>
            </w:tcBorders>
            <w:shd w:val="clear" w:color="auto" w:fill="auto"/>
            <w:vAlign w:val="center"/>
          </w:tcPr>
          <w:p w:rsidR="00C97002" w:rsidRPr="00EA6851" w:rsidRDefault="00C97002" w:rsidP="00C97002">
            <w:pPr>
              <w:widowControl w:val="0"/>
              <w:autoSpaceDE w:val="0"/>
              <w:autoSpaceDN w:val="0"/>
              <w:adjustRightInd w:val="0"/>
              <w:spacing w:after="0"/>
              <w:jc w:val="center"/>
              <w:rPr>
                <w:sz w:val="18"/>
                <w:szCs w:val="18"/>
              </w:rPr>
            </w:pPr>
            <w:r w:rsidRPr="00EA6851">
              <w:rPr>
                <w:sz w:val="18"/>
                <w:szCs w:val="18"/>
              </w:rPr>
              <w:t>3,2</w:t>
            </w:r>
          </w:p>
        </w:tc>
        <w:tc>
          <w:tcPr>
            <w:tcW w:w="964" w:type="dxa"/>
            <w:tcBorders>
              <w:top w:val="single" w:sz="4" w:space="0" w:color="auto"/>
              <w:bottom w:val="single" w:sz="4" w:space="0" w:color="auto"/>
            </w:tcBorders>
            <w:shd w:val="clear" w:color="auto" w:fill="auto"/>
            <w:vAlign w:val="center"/>
          </w:tcPr>
          <w:p w:rsidR="00C97002" w:rsidRPr="00EA6851" w:rsidRDefault="00C97002" w:rsidP="00C97002">
            <w:pPr>
              <w:widowControl w:val="0"/>
              <w:autoSpaceDE w:val="0"/>
              <w:autoSpaceDN w:val="0"/>
              <w:adjustRightInd w:val="0"/>
              <w:spacing w:after="0"/>
              <w:jc w:val="center"/>
              <w:rPr>
                <w:sz w:val="18"/>
                <w:szCs w:val="18"/>
              </w:rPr>
            </w:pPr>
            <w:r w:rsidRPr="00EA6851">
              <w:rPr>
                <w:sz w:val="18"/>
                <w:szCs w:val="18"/>
              </w:rPr>
              <w:t>3,0</w:t>
            </w:r>
          </w:p>
        </w:tc>
      </w:tr>
    </w:tbl>
    <w:p w:rsidR="00C97002" w:rsidRPr="00EA6851" w:rsidRDefault="00C97002" w:rsidP="00C97002">
      <w:pPr>
        <w:rPr>
          <w:b/>
          <w:sz w:val="20"/>
          <w:szCs w:val="20"/>
          <w:highlight w:val="yellow"/>
        </w:rPr>
      </w:pPr>
    </w:p>
    <w:p w:rsidR="00C97002" w:rsidRPr="00EA6851" w:rsidRDefault="00C97002" w:rsidP="0097230C">
      <w:pPr>
        <w:rPr>
          <w:szCs w:val="24"/>
        </w:rPr>
      </w:pPr>
      <w:r w:rsidRPr="00EA6851">
        <w:rPr>
          <w:szCs w:val="24"/>
        </w:rPr>
        <w:t xml:space="preserve">Индикаторът </w:t>
      </w:r>
      <w:r w:rsidRPr="00EA6851">
        <w:rPr>
          <w:i/>
          <w:szCs w:val="24"/>
        </w:rPr>
        <w:t>Преки чуждестранни инвестиции</w:t>
      </w:r>
      <w:r w:rsidRPr="00EA6851">
        <w:rPr>
          <w:szCs w:val="24"/>
        </w:rPr>
        <w:t xml:space="preserve"> представлява вложенията, включващи дългосрочни отношения, отразяващи дълготрайния интерес на резидент на чуждестранна икономика (чуждестранен пряк инвеститор) в предприятие – резидент на българската икономика (инвестиционно предприятие). Пряката инвестиция включва както първоначалната трансакция между двата субекта, така и всички последващи трансакции между тях.</w:t>
      </w:r>
    </w:p>
    <w:p w:rsidR="00C97002" w:rsidRPr="00EA6851" w:rsidRDefault="00C97002" w:rsidP="0097230C">
      <w:pPr>
        <w:rPr>
          <w:iCs/>
          <w:szCs w:val="24"/>
        </w:rPr>
      </w:pPr>
      <w:r w:rsidRPr="00EA6851">
        <w:rPr>
          <w:iCs/>
          <w:szCs w:val="24"/>
        </w:rPr>
        <w:t>Преките инвестиции са част от платежния баланс на страната и отразяват движението на капитали от и към чужбина. Те отразяват индиректно атрактивността на условията за бизнес в България и перспективите за тяхното развитие. Преките чуждестранни инвестиции са свързани с въвеждането на иновации, както и повишаването на производителността на труда и конкурентоспособността на икономиката.</w:t>
      </w:r>
    </w:p>
    <w:p w:rsidR="00C97002" w:rsidRPr="00EA6851" w:rsidRDefault="00C97002" w:rsidP="0097230C">
      <w:pPr>
        <w:pStyle w:val="Heading4"/>
        <w:spacing w:before="0" w:after="200"/>
      </w:pPr>
      <w:r w:rsidRPr="00EA6851">
        <w:t>Политика в областта на държавните резерви, военновременните запаси и задължителните запаси от нефт и нефтопродукти</w:t>
      </w:r>
    </w:p>
    <w:p w:rsidR="00C97002" w:rsidRPr="00EA6851" w:rsidRDefault="00C97002" w:rsidP="0097230C">
      <w:pPr>
        <w:rPr>
          <w:rFonts w:eastAsia="Times New Roman" w:cs="Times New Roman"/>
        </w:rPr>
      </w:pPr>
      <w:r w:rsidRPr="00EA6851">
        <w:rPr>
          <w:rFonts w:eastAsia="Times New Roman" w:cs="Times New Roman"/>
        </w:rPr>
        <w:t xml:space="preserve">В областта на икономическата и финансова политика държавният надзор върху създаването, съхраняването, обновяването, ползването и възстановяването на запасите с цел осигуряване на снабдяването с течни горива се осъществява от </w:t>
      </w:r>
      <w:r w:rsidRPr="00C20F3B">
        <w:rPr>
          <w:rFonts w:eastAsia="Times New Roman" w:cs="Times New Roman"/>
          <w:b/>
        </w:rPr>
        <w:t>Държавната агенция „Държавен резерв и военновременни запаси“ (ДА ДРВВЗ)</w:t>
      </w:r>
      <w:r w:rsidRPr="00EA6851">
        <w:rPr>
          <w:rFonts w:eastAsia="Times New Roman" w:cs="Times New Roman"/>
        </w:rPr>
        <w:t xml:space="preserve">, която организира и контролира създаването, съхраняването, обновяването, ползването и възстановяването на запасите от нефт и нефтопродукти. ДА ДРВВЗ контролира съхраняването на територията на страната на запаси от нефт и нефтопродукти, създадени за изпълнение на </w:t>
      </w:r>
      <w:r w:rsidR="008E6BB8" w:rsidRPr="00EA6851">
        <w:rPr>
          <w:rFonts w:eastAsia="Times New Roman" w:cs="Times New Roman"/>
        </w:rPr>
        <w:t>задълженията на други държави-</w:t>
      </w:r>
      <w:r w:rsidRPr="00EA6851">
        <w:rPr>
          <w:rFonts w:eastAsia="Times New Roman" w:cs="Times New Roman"/>
        </w:rPr>
        <w:t>членки на ЕС; води регистри на задължените лица, регистрираните складове за съхраняване на нефт и нефтопродукти, всички създадени и поддържани запаси за извънредни ситуации, всички създадени и поддържани целеви запаси. ДА ДРВВЗ изчислява общото и индивидуалните нива на запасите по видове и количества, които трябва да се поддържат от задължените лица</w:t>
      </w:r>
      <w:r w:rsidR="000E6085" w:rsidRPr="00EA6851">
        <w:rPr>
          <w:rFonts w:eastAsia="Times New Roman" w:cs="Times New Roman"/>
        </w:rPr>
        <w:t xml:space="preserve">; </w:t>
      </w:r>
      <w:r w:rsidRPr="00EA6851">
        <w:rPr>
          <w:rFonts w:eastAsia="Times New Roman" w:cs="Times New Roman"/>
        </w:rPr>
        <w:t xml:space="preserve">съдейства на лицата, упълномощени от Европейската комисия да извършват прегледи на готовността за извънредни ситуации, механизма за съхраняване, наличностите и отчетността на запасите; осъществява взаимодействие с органите на Европейската комисия по повод изпълнението на задължението за поддържане на минимални запаси от нефт и нефтопродукти и/или по повод извънредни ситуации, както и изпълнението на влязло в сила решение на Международната агенция по енергетика за отпускане на запаси. </w:t>
      </w:r>
    </w:p>
    <w:p w:rsidR="00C97002" w:rsidRPr="00EA6851" w:rsidRDefault="00C97002" w:rsidP="0097230C">
      <w:pPr>
        <w:rPr>
          <w:rFonts w:eastAsia="Times New Roman" w:cs="Times New Roman"/>
        </w:rPr>
      </w:pPr>
      <w:r w:rsidRPr="00EA6851">
        <w:rPr>
          <w:rFonts w:eastAsia="Times New Roman" w:cs="Times New Roman"/>
        </w:rPr>
        <w:t>Политиката в областта на държавните резерви и военновременните запаси е насочена към повишаване на процентната обезпеченост на номенклатурите и нормативите за тях, водени на отчет като държавни резерви (ДР) и военновременни запаси (ВВЗ) с оглед  постигане на оптимална обезпеченост и осигуряване на адекватна реакция на правителството в случай на необходимост.</w:t>
      </w:r>
      <w:r w:rsidR="00AA66AD" w:rsidRPr="00EA6851">
        <w:rPr>
          <w:rFonts w:eastAsia="Times New Roman" w:cs="Times New Roman"/>
        </w:rPr>
        <w:t>;</w:t>
      </w:r>
      <w:r w:rsidRPr="00EA6851">
        <w:rPr>
          <w:rFonts w:eastAsia="Times New Roman" w:cs="Times New Roman"/>
        </w:rPr>
        <w:t xml:space="preserve"> </w:t>
      </w:r>
      <w:r w:rsidR="00AA66AD" w:rsidRPr="00EA6851">
        <w:rPr>
          <w:rFonts w:eastAsia="Times New Roman" w:cs="Times New Roman"/>
        </w:rPr>
        <w:t>о</w:t>
      </w:r>
      <w:r w:rsidRPr="00EA6851">
        <w:rPr>
          <w:rFonts w:eastAsia="Times New Roman" w:cs="Times New Roman"/>
        </w:rPr>
        <w:t>бновяване, в рамките на бюджета на агенцията, на стоки, материали и продукти, управлявани от ДА ДРВВЗ, които са с изтичащ срок на съхранение, както и съобразно тяхната специфика и стратегическа тежест с оглед поддържането им в съответното количество и качество, както и в непрекъсната готовност за ползване</w:t>
      </w:r>
      <w:r w:rsidR="00AA66AD" w:rsidRPr="00EA6851">
        <w:rPr>
          <w:rFonts w:eastAsia="Times New Roman" w:cs="Times New Roman"/>
        </w:rPr>
        <w:t>; и</w:t>
      </w:r>
      <w:r w:rsidRPr="00EA6851">
        <w:rPr>
          <w:rFonts w:eastAsia="Times New Roman" w:cs="Times New Roman"/>
        </w:rPr>
        <w:t>зпълнение на ангажиментите на страната, произтичаща от Директива на Съвета 2009/119/ЕО, за поддържане на минимално изискуемите нива на запаси от нефт и нефтопродукти, обезпечаващи 90 дни средно дневен нетен внос и ВОП</w:t>
      </w:r>
      <w:r w:rsidR="00AA66AD" w:rsidRPr="00EA6851">
        <w:rPr>
          <w:rStyle w:val="FootnoteReference"/>
          <w:rFonts w:eastAsia="Times New Roman"/>
        </w:rPr>
        <w:footnoteReference w:id="37"/>
      </w:r>
      <w:r w:rsidRPr="00EA6851">
        <w:rPr>
          <w:rFonts w:eastAsia="Times New Roman" w:cs="Times New Roman"/>
        </w:rPr>
        <w:t xml:space="preserve">, 30 дни от които за сметка на държавния бюджет. </w:t>
      </w:r>
    </w:p>
    <w:p w:rsidR="00C97002" w:rsidRPr="00EA6851" w:rsidRDefault="00C97002" w:rsidP="00A4752A">
      <w:pPr>
        <w:rPr>
          <w:rFonts w:asciiTheme="minorHAnsi" w:eastAsia="Times New Roman" w:hAnsiTheme="minorHAnsi" w:cs="Times New Roman"/>
          <w:sz w:val="22"/>
        </w:rPr>
      </w:pPr>
      <w:r w:rsidRPr="00EA6851">
        <w:rPr>
          <w:rFonts w:eastAsia="Times New Roman" w:cs="Times New Roman"/>
        </w:rPr>
        <w:t xml:space="preserve">Консолидираните разходи по политиката се представят в програмния бюджет на ДА ДРВВЗ. </w:t>
      </w:r>
    </w:p>
    <w:p w:rsidR="00C97002" w:rsidRPr="00EA6851" w:rsidRDefault="00C97002" w:rsidP="00C97002">
      <w:pPr>
        <w:rPr>
          <w:b/>
          <w:sz w:val="20"/>
          <w:szCs w:val="20"/>
        </w:rPr>
      </w:pPr>
      <w:r w:rsidRPr="00EA6851">
        <w:rPr>
          <w:b/>
          <w:sz w:val="20"/>
          <w:szCs w:val="20"/>
        </w:rPr>
        <w:t>КЛЮЧОВИ ИНДИКАТОРИ ЗА ИЗПЪЛНЕНИЕ И ЦЕЛЕВИ СТОЙНОСТИ</w:t>
      </w:r>
    </w:p>
    <w:tbl>
      <w:tblPr>
        <w:tblW w:w="5000" w:type="pct"/>
        <w:jc w:val="center"/>
        <w:tblBorders>
          <w:top w:val="single" w:sz="4" w:space="0" w:color="auto"/>
          <w:bottom w:val="single" w:sz="4" w:space="0" w:color="auto"/>
        </w:tblBorders>
        <w:tblLook w:val="04A0" w:firstRow="1" w:lastRow="0" w:firstColumn="1" w:lastColumn="0" w:noHBand="0" w:noVBand="1"/>
      </w:tblPr>
      <w:tblGrid>
        <w:gridCol w:w="3888"/>
        <w:gridCol w:w="1223"/>
        <w:gridCol w:w="1056"/>
        <w:gridCol w:w="996"/>
        <w:gridCol w:w="953"/>
        <w:gridCol w:w="954"/>
      </w:tblGrid>
      <w:tr w:rsidR="00C97002" w:rsidRPr="00EA6851" w:rsidTr="00E04690">
        <w:trPr>
          <w:trHeight w:val="975"/>
          <w:tblHeader/>
          <w:jc w:val="center"/>
        </w:trPr>
        <w:tc>
          <w:tcPr>
            <w:tcW w:w="2144" w:type="pct"/>
            <w:tcBorders>
              <w:bottom w:val="nil"/>
            </w:tcBorders>
            <w:shd w:val="clear" w:color="auto" w:fill="auto"/>
            <w:hideMark/>
          </w:tcPr>
          <w:p w:rsidR="00C97002" w:rsidRPr="00EA6851" w:rsidRDefault="00C97002" w:rsidP="00C97002">
            <w:pPr>
              <w:spacing w:line="276" w:lineRule="auto"/>
              <w:jc w:val="center"/>
              <w:rPr>
                <w:b/>
                <w:i/>
                <w:iCs/>
                <w:sz w:val="18"/>
                <w:szCs w:val="18"/>
                <w:lang w:eastAsia="en-US"/>
              </w:rPr>
            </w:pPr>
            <w:r w:rsidRPr="00EA6851">
              <w:rPr>
                <w:b/>
                <w:i/>
                <w:iCs/>
                <w:sz w:val="18"/>
                <w:szCs w:val="18"/>
                <w:lang w:eastAsia="en-US"/>
              </w:rPr>
              <w:t>Политика в областта на държавните резерви, военновременните запаси и задължителните запаси от нефт и нефтопродукти</w:t>
            </w:r>
          </w:p>
        </w:tc>
        <w:tc>
          <w:tcPr>
            <w:tcW w:w="674" w:type="pct"/>
            <w:vMerge w:val="restart"/>
            <w:tcBorders>
              <w:bottom w:val="nil"/>
            </w:tcBorders>
            <w:shd w:val="clear" w:color="auto" w:fill="F2F2F2" w:themeFill="background1" w:themeFillShade="F2"/>
            <w:hideMark/>
          </w:tcPr>
          <w:p w:rsidR="00C97002" w:rsidRPr="00EA6851" w:rsidRDefault="00C97002" w:rsidP="00C97002">
            <w:pPr>
              <w:tabs>
                <w:tab w:val="left" w:pos="0"/>
              </w:tabs>
              <w:spacing w:line="276" w:lineRule="auto"/>
              <w:ind w:left="-220" w:right="-121"/>
              <w:jc w:val="left"/>
              <w:rPr>
                <w:i/>
                <w:iCs/>
                <w:sz w:val="18"/>
                <w:szCs w:val="18"/>
                <w:lang w:eastAsia="en-US"/>
              </w:rPr>
            </w:pPr>
            <w:r w:rsidRPr="00EA6851">
              <w:rPr>
                <w:i/>
                <w:iCs/>
                <w:sz w:val="18"/>
                <w:szCs w:val="18"/>
                <w:lang w:eastAsia="en-US"/>
              </w:rPr>
              <w:t> </w:t>
            </w:r>
          </w:p>
          <w:p w:rsidR="00C97002" w:rsidRPr="00EA6851" w:rsidRDefault="00C97002" w:rsidP="00C97002">
            <w:pPr>
              <w:tabs>
                <w:tab w:val="left" w:pos="0"/>
              </w:tabs>
              <w:spacing w:line="276" w:lineRule="auto"/>
              <w:jc w:val="center"/>
              <w:rPr>
                <w:b/>
                <w:iCs/>
                <w:sz w:val="18"/>
                <w:szCs w:val="18"/>
                <w:lang w:eastAsia="en-US"/>
              </w:rPr>
            </w:pPr>
            <w:r w:rsidRPr="00EA6851">
              <w:rPr>
                <w:b/>
                <w:iCs/>
                <w:sz w:val="18"/>
                <w:szCs w:val="18"/>
                <w:lang w:eastAsia="en-US"/>
              </w:rPr>
              <w:t>Мерна единица</w:t>
            </w:r>
          </w:p>
        </w:tc>
        <w:tc>
          <w:tcPr>
            <w:tcW w:w="2182" w:type="pct"/>
            <w:gridSpan w:val="4"/>
            <w:tcBorders>
              <w:bottom w:val="single" w:sz="4" w:space="0" w:color="auto"/>
            </w:tcBorders>
            <w:shd w:val="clear" w:color="auto" w:fill="auto"/>
            <w:vAlign w:val="center"/>
            <w:hideMark/>
          </w:tcPr>
          <w:p w:rsidR="00C97002" w:rsidRPr="00EA6851" w:rsidRDefault="00C97002" w:rsidP="00C97002">
            <w:pPr>
              <w:spacing w:line="276" w:lineRule="auto"/>
              <w:ind w:left="162" w:hanging="162"/>
              <w:jc w:val="center"/>
              <w:rPr>
                <w:b/>
                <w:iCs/>
                <w:sz w:val="18"/>
                <w:szCs w:val="18"/>
                <w:lang w:eastAsia="en-US"/>
              </w:rPr>
            </w:pPr>
            <w:r w:rsidRPr="00EA6851">
              <w:rPr>
                <w:b/>
                <w:iCs/>
                <w:sz w:val="18"/>
                <w:szCs w:val="18"/>
                <w:lang w:eastAsia="en-US"/>
              </w:rPr>
              <w:t>Целева стойност</w:t>
            </w:r>
          </w:p>
        </w:tc>
      </w:tr>
      <w:tr w:rsidR="00C97002" w:rsidRPr="00EA6851" w:rsidTr="0097230C">
        <w:trPr>
          <w:trHeight w:val="56"/>
          <w:tblHeader/>
          <w:jc w:val="center"/>
        </w:trPr>
        <w:tc>
          <w:tcPr>
            <w:tcW w:w="2144" w:type="pct"/>
            <w:tcBorders>
              <w:top w:val="nil"/>
              <w:bottom w:val="single" w:sz="4" w:space="0" w:color="auto"/>
            </w:tcBorders>
            <w:shd w:val="clear" w:color="auto" w:fill="auto"/>
            <w:hideMark/>
          </w:tcPr>
          <w:p w:rsidR="00C97002" w:rsidRPr="00EA6851" w:rsidRDefault="00C97002" w:rsidP="00C97002">
            <w:pPr>
              <w:spacing w:after="0"/>
              <w:jc w:val="center"/>
              <w:rPr>
                <w:b/>
                <w:iCs/>
                <w:sz w:val="18"/>
                <w:szCs w:val="18"/>
                <w:lang w:eastAsia="en-US"/>
              </w:rPr>
            </w:pPr>
            <w:r w:rsidRPr="00EA6851">
              <w:rPr>
                <w:b/>
                <w:iCs/>
                <w:sz w:val="18"/>
                <w:szCs w:val="18"/>
                <w:lang w:eastAsia="en-US"/>
              </w:rPr>
              <w:t>Наименование на индикатора</w:t>
            </w:r>
          </w:p>
        </w:tc>
        <w:tc>
          <w:tcPr>
            <w:tcW w:w="674" w:type="pct"/>
            <w:vMerge/>
            <w:tcBorders>
              <w:top w:val="nil"/>
              <w:bottom w:val="single" w:sz="4" w:space="0" w:color="auto"/>
            </w:tcBorders>
            <w:shd w:val="clear" w:color="auto" w:fill="F2F2F2" w:themeFill="background1" w:themeFillShade="F2"/>
            <w:hideMark/>
          </w:tcPr>
          <w:p w:rsidR="00C97002" w:rsidRPr="00EA6851" w:rsidRDefault="00C97002" w:rsidP="00C97002">
            <w:pPr>
              <w:tabs>
                <w:tab w:val="left" w:pos="0"/>
              </w:tabs>
              <w:spacing w:after="0"/>
              <w:jc w:val="left"/>
              <w:rPr>
                <w:i/>
                <w:iCs/>
                <w:sz w:val="18"/>
                <w:szCs w:val="18"/>
                <w:lang w:eastAsia="en-US"/>
              </w:rPr>
            </w:pPr>
          </w:p>
        </w:tc>
        <w:tc>
          <w:tcPr>
            <w:tcW w:w="582" w:type="pct"/>
            <w:tcBorders>
              <w:top w:val="single" w:sz="4" w:space="0" w:color="auto"/>
              <w:bottom w:val="single" w:sz="4" w:space="0" w:color="auto"/>
            </w:tcBorders>
            <w:shd w:val="clear" w:color="auto" w:fill="auto"/>
            <w:hideMark/>
          </w:tcPr>
          <w:p w:rsidR="00C97002" w:rsidRPr="00EA6851" w:rsidRDefault="00C97002" w:rsidP="00C97002">
            <w:pPr>
              <w:spacing w:after="0"/>
              <w:jc w:val="center"/>
              <w:rPr>
                <w:b/>
                <w:i/>
                <w:iCs/>
                <w:sz w:val="18"/>
                <w:szCs w:val="18"/>
                <w:lang w:eastAsia="en-US"/>
              </w:rPr>
            </w:pPr>
            <w:r w:rsidRPr="00EA6851">
              <w:rPr>
                <w:b/>
                <w:i/>
                <w:iCs/>
                <w:sz w:val="18"/>
                <w:szCs w:val="18"/>
                <w:lang w:eastAsia="en-US"/>
              </w:rPr>
              <w:t>Програма 2023 г.</w:t>
            </w:r>
          </w:p>
        </w:tc>
        <w:tc>
          <w:tcPr>
            <w:tcW w:w="549" w:type="pct"/>
            <w:tcBorders>
              <w:top w:val="single" w:sz="4" w:space="0" w:color="auto"/>
              <w:bottom w:val="single" w:sz="4" w:space="0" w:color="auto"/>
            </w:tcBorders>
            <w:shd w:val="clear" w:color="auto" w:fill="auto"/>
            <w:vAlign w:val="center"/>
            <w:hideMark/>
          </w:tcPr>
          <w:p w:rsidR="00C97002" w:rsidRPr="00EA6851" w:rsidRDefault="00C97002" w:rsidP="00C97002">
            <w:pPr>
              <w:spacing w:after="0"/>
              <w:jc w:val="center"/>
              <w:rPr>
                <w:b/>
                <w:i/>
                <w:iCs/>
                <w:sz w:val="18"/>
                <w:szCs w:val="18"/>
                <w:lang w:eastAsia="en-US"/>
              </w:rPr>
            </w:pPr>
            <w:r w:rsidRPr="00EA6851">
              <w:rPr>
                <w:b/>
                <w:i/>
                <w:iCs/>
                <w:sz w:val="18"/>
                <w:szCs w:val="18"/>
                <w:lang w:eastAsia="en-US"/>
              </w:rPr>
              <w:t>Проект</w:t>
            </w:r>
            <w:r w:rsidRPr="00EA6851">
              <w:rPr>
                <w:b/>
                <w:i/>
                <w:iCs/>
                <w:sz w:val="18"/>
                <w:szCs w:val="18"/>
                <w:lang w:eastAsia="en-US"/>
              </w:rPr>
              <w:br/>
              <w:t>2024 г.</w:t>
            </w:r>
          </w:p>
        </w:tc>
        <w:tc>
          <w:tcPr>
            <w:tcW w:w="525" w:type="pct"/>
            <w:tcBorders>
              <w:top w:val="single" w:sz="4" w:space="0" w:color="auto"/>
              <w:bottom w:val="single" w:sz="4" w:space="0" w:color="auto"/>
            </w:tcBorders>
            <w:shd w:val="clear" w:color="auto" w:fill="auto"/>
            <w:vAlign w:val="center"/>
            <w:hideMark/>
          </w:tcPr>
          <w:p w:rsidR="00C97002" w:rsidRPr="00EA6851" w:rsidRDefault="00C97002" w:rsidP="00C97002">
            <w:pPr>
              <w:spacing w:after="0"/>
              <w:jc w:val="center"/>
              <w:rPr>
                <w:b/>
                <w:i/>
                <w:iCs/>
                <w:sz w:val="18"/>
                <w:szCs w:val="18"/>
                <w:lang w:eastAsia="en-US"/>
              </w:rPr>
            </w:pPr>
            <w:r w:rsidRPr="00EA6851">
              <w:rPr>
                <w:b/>
                <w:i/>
                <w:iCs/>
                <w:sz w:val="18"/>
                <w:szCs w:val="18"/>
                <w:lang w:eastAsia="en-US"/>
              </w:rPr>
              <w:t>Прогноза 2025 г.</w:t>
            </w:r>
          </w:p>
        </w:tc>
        <w:tc>
          <w:tcPr>
            <w:tcW w:w="525" w:type="pct"/>
            <w:tcBorders>
              <w:top w:val="single" w:sz="4" w:space="0" w:color="auto"/>
              <w:bottom w:val="single" w:sz="4" w:space="0" w:color="auto"/>
            </w:tcBorders>
            <w:shd w:val="clear" w:color="auto" w:fill="auto"/>
            <w:vAlign w:val="center"/>
            <w:hideMark/>
          </w:tcPr>
          <w:p w:rsidR="00C97002" w:rsidRPr="00EA6851" w:rsidRDefault="00C97002" w:rsidP="00C97002">
            <w:pPr>
              <w:spacing w:after="0"/>
              <w:jc w:val="center"/>
              <w:rPr>
                <w:b/>
                <w:i/>
                <w:iCs/>
                <w:sz w:val="18"/>
                <w:szCs w:val="18"/>
                <w:lang w:eastAsia="en-US"/>
              </w:rPr>
            </w:pPr>
            <w:r w:rsidRPr="00EA6851">
              <w:rPr>
                <w:b/>
                <w:i/>
                <w:iCs/>
                <w:sz w:val="18"/>
                <w:szCs w:val="18"/>
                <w:lang w:eastAsia="en-US"/>
              </w:rPr>
              <w:t>Прогноза 2026 г.</w:t>
            </w:r>
          </w:p>
        </w:tc>
      </w:tr>
      <w:tr w:rsidR="00C97002" w:rsidRPr="00EA6851" w:rsidTr="0097230C">
        <w:trPr>
          <w:trHeight w:val="454"/>
          <w:jc w:val="center"/>
        </w:trPr>
        <w:tc>
          <w:tcPr>
            <w:tcW w:w="2144" w:type="pct"/>
            <w:tcBorders>
              <w:top w:val="single" w:sz="4" w:space="0" w:color="auto"/>
              <w:left w:val="nil"/>
              <w:bottom w:val="nil"/>
              <w:right w:val="nil"/>
            </w:tcBorders>
            <w:shd w:val="clear" w:color="auto" w:fill="auto"/>
            <w:hideMark/>
          </w:tcPr>
          <w:p w:rsidR="00C97002" w:rsidRPr="00EA6851" w:rsidRDefault="00C97002" w:rsidP="00C97002">
            <w:pPr>
              <w:spacing w:after="0"/>
              <w:jc w:val="left"/>
              <w:rPr>
                <w:iCs/>
                <w:sz w:val="18"/>
                <w:szCs w:val="18"/>
                <w:lang w:eastAsia="en-US"/>
              </w:rPr>
            </w:pPr>
            <w:r w:rsidRPr="00EA6851">
              <w:rPr>
                <w:iCs/>
                <w:sz w:val="18"/>
                <w:szCs w:val="18"/>
                <w:lang w:eastAsia="en-US"/>
              </w:rPr>
              <w:t>1. Донатрупване на ДР и ВВЗ</w:t>
            </w:r>
          </w:p>
        </w:tc>
        <w:tc>
          <w:tcPr>
            <w:tcW w:w="674" w:type="pct"/>
            <w:tcBorders>
              <w:top w:val="single" w:sz="4" w:space="0" w:color="auto"/>
              <w:left w:val="nil"/>
              <w:bottom w:val="nil"/>
              <w:right w:val="nil"/>
            </w:tcBorders>
            <w:shd w:val="clear" w:color="auto" w:fill="F2F2F2" w:themeFill="background1" w:themeFillShade="F2"/>
            <w:hideMark/>
          </w:tcPr>
          <w:p w:rsidR="00C97002" w:rsidRPr="00EA6851" w:rsidRDefault="00C97002" w:rsidP="00C97002">
            <w:pPr>
              <w:spacing w:after="0"/>
              <w:jc w:val="center"/>
              <w:rPr>
                <w:iCs/>
                <w:sz w:val="18"/>
                <w:szCs w:val="18"/>
                <w:lang w:eastAsia="en-US"/>
              </w:rPr>
            </w:pPr>
            <w:r w:rsidRPr="00EA6851">
              <w:rPr>
                <w:iCs/>
                <w:sz w:val="18"/>
                <w:szCs w:val="18"/>
                <w:lang w:eastAsia="en-US"/>
              </w:rPr>
              <w:t>% осигуреност</w:t>
            </w:r>
          </w:p>
        </w:tc>
        <w:tc>
          <w:tcPr>
            <w:tcW w:w="582" w:type="pct"/>
            <w:tcBorders>
              <w:top w:val="single" w:sz="4" w:space="0" w:color="auto"/>
              <w:left w:val="nil"/>
              <w:bottom w:val="nil"/>
              <w:right w:val="nil"/>
            </w:tcBorders>
            <w:shd w:val="clear" w:color="auto" w:fill="auto"/>
            <w:hideMark/>
          </w:tcPr>
          <w:p w:rsidR="00C97002" w:rsidRPr="00EA6851" w:rsidRDefault="00C97002" w:rsidP="00C97002">
            <w:pPr>
              <w:spacing w:after="0"/>
              <w:jc w:val="center"/>
              <w:rPr>
                <w:iCs/>
                <w:sz w:val="18"/>
                <w:szCs w:val="18"/>
                <w:lang w:eastAsia="en-US"/>
              </w:rPr>
            </w:pPr>
            <w:r w:rsidRPr="00EA6851">
              <w:rPr>
                <w:iCs/>
                <w:sz w:val="18"/>
                <w:szCs w:val="18"/>
                <w:lang w:eastAsia="en-US"/>
              </w:rPr>
              <w:t>42</w:t>
            </w:r>
          </w:p>
        </w:tc>
        <w:tc>
          <w:tcPr>
            <w:tcW w:w="549" w:type="pct"/>
            <w:tcBorders>
              <w:top w:val="single" w:sz="4" w:space="0" w:color="auto"/>
              <w:left w:val="nil"/>
              <w:bottom w:val="nil"/>
              <w:right w:val="nil"/>
            </w:tcBorders>
            <w:shd w:val="clear" w:color="auto" w:fill="auto"/>
          </w:tcPr>
          <w:p w:rsidR="00C97002" w:rsidRPr="00EA6851" w:rsidRDefault="00C97002" w:rsidP="00C97002">
            <w:pPr>
              <w:spacing w:after="0"/>
              <w:jc w:val="center"/>
              <w:rPr>
                <w:iCs/>
                <w:sz w:val="18"/>
                <w:szCs w:val="18"/>
                <w:lang w:eastAsia="en-US"/>
              </w:rPr>
            </w:pPr>
            <w:r w:rsidRPr="00EA6851">
              <w:rPr>
                <w:iCs/>
                <w:sz w:val="18"/>
                <w:szCs w:val="18"/>
                <w:lang w:eastAsia="en-US"/>
              </w:rPr>
              <w:t>42</w:t>
            </w:r>
          </w:p>
        </w:tc>
        <w:tc>
          <w:tcPr>
            <w:tcW w:w="525" w:type="pct"/>
            <w:tcBorders>
              <w:top w:val="single" w:sz="4" w:space="0" w:color="auto"/>
              <w:left w:val="nil"/>
              <w:bottom w:val="nil"/>
              <w:right w:val="nil"/>
            </w:tcBorders>
            <w:shd w:val="clear" w:color="auto" w:fill="auto"/>
          </w:tcPr>
          <w:p w:rsidR="00C97002" w:rsidRPr="00EA6851" w:rsidRDefault="00C97002" w:rsidP="00C97002">
            <w:pPr>
              <w:spacing w:after="0"/>
              <w:jc w:val="center"/>
              <w:rPr>
                <w:iCs/>
                <w:sz w:val="18"/>
                <w:szCs w:val="18"/>
                <w:lang w:eastAsia="en-US"/>
              </w:rPr>
            </w:pPr>
            <w:r w:rsidRPr="00EA6851">
              <w:rPr>
                <w:iCs/>
                <w:sz w:val="18"/>
                <w:szCs w:val="18"/>
                <w:lang w:eastAsia="en-US"/>
              </w:rPr>
              <w:t>44</w:t>
            </w:r>
          </w:p>
        </w:tc>
        <w:tc>
          <w:tcPr>
            <w:tcW w:w="525" w:type="pct"/>
            <w:tcBorders>
              <w:top w:val="single" w:sz="4" w:space="0" w:color="auto"/>
              <w:left w:val="nil"/>
              <w:bottom w:val="nil"/>
              <w:right w:val="nil"/>
            </w:tcBorders>
            <w:shd w:val="clear" w:color="auto" w:fill="auto"/>
          </w:tcPr>
          <w:p w:rsidR="00C97002" w:rsidRPr="00EA6851" w:rsidRDefault="00C97002" w:rsidP="00C97002">
            <w:pPr>
              <w:spacing w:after="0"/>
              <w:jc w:val="center"/>
              <w:rPr>
                <w:iCs/>
                <w:sz w:val="18"/>
                <w:szCs w:val="18"/>
                <w:lang w:eastAsia="en-US"/>
              </w:rPr>
            </w:pPr>
            <w:r w:rsidRPr="00EA6851">
              <w:rPr>
                <w:iCs/>
                <w:sz w:val="18"/>
                <w:szCs w:val="18"/>
                <w:lang w:eastAsia="en-US"/>
              </w:rPr>
              <w:t>44</w:t>
            </w:r>
          </w:p>
        </w:tc>
      </w:tr>
      <w:tr w:rsidR="00C97002" w:rsidRPr="00EA6851" w:rsidTr="0097230C">
        <w:trPr>
          <w:trHeight w:val="454"/>
          <w:jc w:val="center"/>
        </w:trPr>
        <w:tc>
          <w:tcPr>
            <w:tcW w:w="2144" w:type="pct"/>
            <w:tcBorders>
              <w:top w:val="nil"/>
              <w:left w:val="nil"/>
              <w:bottom w:val="nil"/>
              <w:right w:val="nil"/>
            </w:tcBorders>
            <w:shd w:val="clear" w:color="auto" w:fill="auto"/>
            <w:hideMark/>
          </w:tcPr>
          <w:p w:rsidR="00C97002" w:rsidRPr="00EA6851" w:rsidRDefault="00C97002" w:rsidP="00C97002">
            <w:pPr>
              <w:spacing w:after="0"/>
              <w:jc w:val="left"/>
              <w:rPr>
                <w:iCs/>
                <w:sz w:val="18"/>
                <w:szCs w:val="18"/>
                <w:lang w:eastAsia="en-US"/>
              </w:rPr>
            </w:pPr>
            <w:r w:rsidRPr="00EA6851">
              <w:rPr>
                <w:iCs/>
                <w:sz w:val="18"/>
                <w:szCs w:val="18"/>
                <w:lang w:eastAsia="en-US"/>
              </w:rPr>
              <w:t>2. Обновяване на ДР и ВВЗ</w:t>
            </w:r>
          </w:p>
        </w:tc>
        <w:tc>
          <w:tcPr>
            <w:tcW w:w="674" w:type="pct"/>
            <w:tcBorders>
              <w:top w:val="nil"/>
              <w:left w:val="nil"/>
              <w:bottom w:val="nil"/>
              <w:right w:val="nil"/>
            </w:tcBorders>
            <w:shd w:val="clear" w:color="auto" w:fill="F2F2F2" w:themeFill="background1" w:themeFillShade="F2"/>
            <w:hideMark/>
          </w:tcPr>
          <w:p w:rsidR="00C97002" w:rsidRPr="00EA6851" w:rsidRDefault="00C97002" w:rsidP="00C97002">
            <w:pPr>
              <w:spacing w:after="0"/>
              <w:jc w:val="center"/>
              <w:rPr>
                <w:iCs/>
                <w:sz w:val="18"/>
                <w:szCs w:val="18"/>
                <w:lang w:eastAsia="en-US"/>
              </w:rPr>
            </w:pPr>
            <w:r w:rsidRPr="00EA6851">
              <w:rPr>
                <w:iCs/>
                <w:sz w:val="18"/>
                <w:szCs w:val="18"/>
                <w:lang w:eastAsia="en-US"/>
              </w:rPr>
              <w:t>% осигуреност</w:t>
            </w:r>
          </w:p>
        </w:tc>
        <w:tc>
          <w:tcPr>
            <w:tcW w:w="582" w:type="pct"/>
            <w:tcBorders>
              <w:top w:val="nil"/>
              <w:left w:val="nil"/>
              <w:bottom w:val="nil"/>
              <w:right w:val="nil"/>
            </w:tcBorders>
            <w:shd w:val="clear" w:color="auto" w:fill="auto"/>
            <w:hideMark/>
          </w:tcPr>
          <w:p w:rsidR="00C97002" w:rsidRPr="00EA6851" w:rsidRDefault="00C97002" w:rsidP="00C97002">
            <w:pPr>
              <w:spacing w:after="0"/>
              <w:jc w:val="center"/>
              <w:rPr>
                <w:iCs/>
                <w:sz w:val="18"/>
                <w:szCs w:val="18"/>
                <w:lang w:eastAsia="en-US"/>
              </w:rPr>
            </w:pPr>
            <w:r w:rsidRPr="00EA6851">
              <w:rPr>
                <w:iCs/>
                <w:sz w:val="18"/>
                <w:szCs w:val="18"/>
                <w:lang w:eastAsia="en-US"/>
              </w:rPr>
              <w:t>25</w:t>
            </w:r>
          </w:p>
        </w:tc>
        <w:tc>
          <w:tcPr>
            <w:tcW w:w="549" w:type="pct"/>
            <w:tcBorders>
              <w:top w:val="nil"/>
              <w:left w:val="nil"/>
              <w:bottom w:val="nil"/>
              <w:right w:val="nil"/>
            </w:tcBorders>
            <w:shd w:val="clear" w:color="auto" w:fill="auto"/>
          </w:tcPr>
          <w:p w:rsidR="00C97002" w:rsidRPr="00EA6851" w:rsidRDefault="00C97002" w:rsidP="00C97002">
            <w:pPr>
              <w:spacing w:after="0"/>
              <w:jc w:val="center"/>
              <w:rPr>
                <w:iCs/>
                <w:sz w:val="18"/>
                <w:szCs w:val="18"/>
                <w:lang w:eastAsia="en-US"/>
              </w:rPr>
            </w:pPr>
            <w:r w:rsidRPr="00EA6851">
              <w:rPr>
                <w:iCs/>
                <w:sz w:val="18"/>
                <w:szCs w:val="18"/>
                <w:lang w:eastAsia="en-US"/>
              </w:rPr>
              <w:t>25</w:t>
            </w:r>
          </w:p>
        </w:tc>
        <w:tc>
          <w:tcPr>
            <w:tcW w:w="525" w:type="pct"/>
            <w:tcBorders>
              <w:top w:val="nil"/>
              <w:left w:val="nil"/>
              <w:bottom w:val="nil"/>
              <w:right w:val="nil"/>
            </w:tcBorders>
            <w:shd w:val="clear" w:color="auto" w:fill="auto"/>
          </w:tcPr>
          <w:p w:rsidR="00C97002" w:rsidRPr="00EA6851" w:rsidRDefault="00C97002" w:rsidP="00C97002">
            <w:pPr>
              <w:spacing w:after="0"/>
              <w:jc w:val="center"/>
              <w:rPr>
                <w:iCs/>
                <w:sz w:val="18"/>
                <w:szCs w:val="18"/>
                <w:lang w:eastAsia="en-US"/>
              </w:rPr>
            </w:pPr>
            <w:r w:rsidRPr="00EA6851">
              <w:rPr>
                <w:iCs/>
                <w:sz w:val="18"/>
                <w:szCs w:val="18"/>
                <w:lang w:eastAsia="en-US"/>
              </w:rPr>
              <w:t>27</w:t>
            </w:r>
          </w:p>
        </w:tc>
        <w:tc>
          <w:tcPr>
            <w:tcW w:w="525" w:type="pct"/>
            <w:tcBorders>
              <w:top w:val="nil"/>
              <w:left w:val="nil"/>
              <w:bottom w:val="nil"/>
              <w:right w:val="nil"/>
            </w:tcBorders>
            <w:shd w:val="clear" w:color="auto" w:fill="auto"/>
          </w:tcPr>
          <w:p w:rsidR="00C97002" w:rsidRPr="00EA6851" w:rsidRDefault="00C97002" w:rsidP="00C97002">
            <w:pPr>
              <w:spacing w:after="0"/>
              <w:jc w:val="center"/>
              <w:rPr>
                <w:iCs/>
                <w:sz w:val="18"/>
                <w:szCs w:val="18"/>
                <w:lang w:eastAsia="en-US"/>
              </w:rPr>
            </w:pPr>
            <w:r w:rsidRPr="00EA6851">
              <w:rPr>
                <w:iCs/>
                <w:sz w:val="18"/>
                <w:szCs w:val="18"/>
                <w:lang w:eastAsia="en-US"/>
              </w:rPr>
              <w:t>27</w:t>
            </w:r>
          </w:p>
        </w:tc>
      </w:tr>
      <w:tr w:rsidR="00C97002" w:rsidRPr="00EA6851" w:rsidTr="0097230C">
        <w:trPr>
          <w:trHeight w:val="427"/>
          <w:jc w:val="center"/>
        </w:trPr>
        <w:tc>
          <w:tcPr>
            <w:tcW w:w="2144" w:type="pct"/>
            <w:tcBorders>
              <w:top w:val="nil"/>
              <w:left w:val="nil"/>
              <w:bottom w:val="nil"/>
              <w:right w:val="nil"/>
            </w:tcBorders>
            <w:shd w:val="clear" w:color="auto" w:fill="auto"/>
          </w:tcPr>
          <w:p w:rsidR="00C97002" w:rsidRPr="00EA6851" w:rsidRDefault="00C97002" w:rsidP="00C97002">
            <w:pPr>
              <w:spacing w:after="0"/>
              <w:jc w:val="left"/>
              <w:rPr>
                <w:iCs/>
                <w:sz w:val="18"/>
                <w:szCs w:val="18"/>
                <w:lang w:eastAsia="en-US"/>
              </w:rPr>
            </w:pPr>
            <w:r w:rsidRPr="00EA6851">
              <w:rPr>
                <w:iCs/>
                <w:sz w:val="18"/>
                <w:szCs w:val="18"/>
                <w:lang w:eastAsia="en-US"/>
              </w:rPr>
              <w:t>3. Донатрупване на ЗЗНН</w:t>
            </w:r>
          </w:p>
        </w:tc>
        <w:tc>
          <w:tcPr>
            <w:tcW w:w="674" w:type="pct"/>
            <w:tcBorders>
              <w:top w:val="nil"/>
              <w:left w:val="nil"/>
              <w:bottom w:val="nil"/>
              <w:right w:val="nil"/>
            </w:tcBorders>
            <w:shd w:val="clear" w:color="auto" w:fill="F2F2F2" w:themeFill="background1" w:themeFillShade="F2"/>
            <w:vAlign w:val="center"/>
          </w:tcPr>
          <w:p w:rsidR="00C97002" w:rsidRPr="00EA6851" w:rsidRDefault="00C97002" w:rsidP="00C97002">
            <w:pPr>
              <w:spacing w:after="0"/>
              <w:jc w:val="center"/>
              <w:rPr>
                <w:iCs/>
                <w:sz w:val="18"/>
                <w:szCs w:val="18"/>
                <w:lang w:eastAsia="en-US"/>
              </w:rPr>
            </w:pPr>
            <w:r w:rsidRPr="00EA6851">
              <w:rPr>
                <w:iCs/>
                <w:sz w:val="18"/>
                <w:szCs w:val="18"/>
                <w:lang w:eastAsia="en-US"/>
              </w:rPr>
              <w:t>дни</w:t>
            </w:r>
          </w:p>
        </w:tc>
        <w:tc>
          <w:tcPr>
            <w:tcW w:w="582" w:type="pct"/>
            <w:tcBorders>
              <w:top w:val="nil"/>
              <w:left w:val="nil"/>
              <w:bottom w:val="nil"/>
              <w:right w:val="nil"/>
            </w:tcBorders>
            <w:shd w:val="clear" w:color="auto" w:fill="auto"/>
          </w:tcPr>
          <w:p w:rsidR="00C97002" w:rsidRPr="00EA6851" w:rsidRDefault="00C97002" w:rsidP="00C97002">
            <w:pPr>
              <w:spacing w:after="0"/>
              <w:jc w:val="center"/>
              <w:rPr>
                <w:iCs/>
                <w:sz w:val="18"/>
                <w:szCs w:val="18"/>
                <w:lang w:eastAsia="en-US"/>
              </w:rPr>
            </w:pPr>
            <w:r w:rsidRPr="00EA6851">
              <w:rPr>
                <w:iCs/>
                <w:sz w:val="18"/>
                <w:szCs w:val="18"/>
                <w:lang w:eastAsia="en-US"/>
              </w:rPr>
              <w:t>30</w:t>
            </w:r>
          </w:p>
        </w:tc>
        <w:tc>
          <w:tcPr>
            <w:tcW w:w="549" w:type="pct"/>
            <w:tcBorders>
              <w:top w:val="nil"/>
              <w:left w:val="nil"/>
              <w:bottom w:val="nil"/>
              <w:right w:val="nil"/>
            </w:tcBorders>
            <w:shd w:val="clear" w:color="auto" w:fill="auto"/>
          </w:tcPr>
          <w:p w:rsidR="00C97002" w:rsidRPr="00EA6851" w:rsidRDefault="00C97002" w:rsidP="00C97002">
            <w:pPr>
              <w:spacing w:after="0"/>
              <w:jc w:val="center"/>
              <w:rPr>
                <w:iCs/>
                <w:sz w:val="18"/>
                <w:szCs w:val="18"/>
                <w:lang w:eastAsia="en-US"/>
              </w:rPr>
            </w:pPr>
            <w:r w:rsidRPr="00EA6851">
              <w:rPr>
                <w:iCs/>
                <w:sz w:val="18"/>
                <w:szCs w:val="18"/>
                <w:lang w:eastAsia="en-US"/>
              </w:rPr>
              <w:t>30</w:t>
            </w:r>
          </w:p>
        </w:tc>
        <w:tc>
          <w:tcPr>
            <w:tcW w:w="525" w:type="pct"/>
            <w:tcBorders>
              <w:top w:val="nil"/>
              <w:left w:val="nil"/>
              <w:bottom w:val="nil"/>
              <w:right w:val="nil"/>
            </w:tcBorders>
            <w:shd w:val="clear" w:color="auto" w:fill="auto"/>
          </w:tcPr>
          <w:p w:rsidR="00C97002" w:rsidRPr="00EA6851" w:rsidRDefault="00C97002" w:rsidP="00C97002">
            <w:pPr>
              <w:spacing w:after="0"/>
              <w:jc w:val="center"/>
              <w:rPr>
                <w:iCs/>
                <w:sz w:val="18"/>
                <w:szCs w:val="18"/>
                <w:lang w:eastAsia="en-US"/>
              </w:rPr>
            </w:pPr>
            <w:r w:rsidRPr="00EA6851">
              <w:rPr>
                <w:iCs/>
                <w:sz w:val="18"/>
                <w:szCs w:val="18"/>
                <w:lang w:eastAsia="en-US"/>
              </w:rPr>
              <w:t>30</w:t>
            </w:r>
          </w:p>
        </w:tc>
        <w:tc>
          <w:tcPr>
            <w:tcW w:w="525" w:type="pct"/>
            <w:tcBorders>
              <w:top w:val="nil"/>
              <w:left w:val="nil"/>
              <w:bottom w:val="nil"/>
              <w:right w:val="nil"/>
            </w:tcBorders>
            <w:shd w:val="clear" w:color="auto" w:fill="auto"/>
          </w:tcPr>
          <w:p w:rsidR="00C97002" w:rsidRPr="00EA6851" w:rsidRDefault="00C97002" w:rsidP="00C97002">
            <w:pPr>
              <w:spacing w:after="0"/>
              <w:jc w:val="center"/>
              <w:rPr>
                <w:iCs/>
                <w:sz w:val="18"/>
                <w:szCs w:val="18"/>
                <w:lang w:eastAsia="en-US"/>
              </w:rPr>
            </w:pPr>
            <w:r w:rsidRPr="00EA6851">
              <w:rPr>
                <w:iCs/>
                <w:sz w:val="18"/>
                <w:szCs w:val="18"/>
                <w:lang w:eastAsia="en-US"/>
              </w:rPr>
              <w:t>30</w:t>
            </w:r>
          </w:p>
        </w:tc>
      </w:tr>
      <w:tr w:rsidR="00C97002" w:rsidRPr="00EA6851" w:rsidTr="0097230C">
        <w:trPr>
          <w:trHeight w:val="87"/>
          <w:jc w:val="center"/>
        </w:trPr>
        <w:tc>
          <w:tcPr>
            <w:tcW w:w="2144" w:type="pct"/>
            <w:tcBorders>
              <w:top w:val="nil"/>
              <w:left w:val="nil"/>
              <w:bottom w:val="single" w:sz="4" w:space="0" w:color="auto"/>
              <w:right w:val="nil"/>
            </w:tcBorders>
            <w:shd w:val="clear" w:color="auto" w:fill="auto"/>
            <w:hideMark/>
          </w:tcPr>
          <w:p w:rsidR="00C97002" w:rsidRPr="00EA6851" w:rsidRDefault="00C97002" w:rsidP="00C97002">
            <w:pPr>
              <w:spacing w:after="0"/>
              <w:jc w:val="left"/>
              <w:rPr>
                <w:iCs/>
                <w:sz w:val="18"/>
                <w:szCs w:val="18"/>
                <w:lang w:eastAsia="en-US"/>
              </w:rPr>
            </w:pPr>
            <w:r w:rsidRPr="00EA6851">
              <w:rPr>
                <w:iCs/>
                <w:sz w:val="18"/>
                <w:szCs w:val="18"/>
                <w:lang w:eastAsia="en-US"/>
              </w:rPr>
              <w:t>4. Обновяване на ЗЗНН</w:t>
            </w:r>
          </w:p>
        </w:tc>
        <w:tc>
          <w:tcPr>
            <w:tcW w:w="674" w:type="pct"/>
            <w:tcBorders>
              <w:top w:val="nil"/>
              <w:left w:val="nil"/>
              <w:bottom w:val="single" w:sz="4" w:space="0" w:color="auto"/>
              <w:right w:val="nil"/>
            </w:tcBorders>
            <w:shd w:val="clear" w:color="auto" w:fill="F2F2F2" w:themeFill="background1" w:themeFillShade="F2"/>
            <w:vAlign w:val="center"/>
            <w:hideMark/>
          </w:tcPr>
          <w:p w:rsidR="00C97002" w:rsidRPr="00EA6851" w:rsidRDefault="00C97002" w:rsidP="00C97002">
            <w:pPr>
              <w:spacing w:after="0"/>
              <w:jc w:val="center"/>
              <w:rPr>
                <w:iCs/>
                <w:sz w:val="18"/>
                <w:szCs w:val="18"/>
                <w:lang w:eastAsia="en-US"/>
              </w:rPr>
            </w:pPr>
            <w:r w:rsidRPr="00EA6851">
              <w:rPr>
                <w:bCs/>
                <w:sz w:val="18"/>
                <w:szCs w:val="18"/>
              </w:rPr>
              <w:t>тон</w:t>
            </w:r>
          </w:p>
        </w:tc>
        <w:tc>
          <w:tcPr>
            <w:tcW w:w="582" w:type="pct"/>
            <w:tcBorders>
              <w:top w:val="nil"/>
              <w:left w:val="nil"/>
              <w:bottom w:val="single" w:sz="4" w:space="0" w:color="auto"/>
              <w:right w:val="nil"/>
            </w:tcBorders>
            <w:shd w:val="clear" w:color="auto" w:fill="auto"/>
          </w:tcPr>
          <w:p w:rsidR="00C97002" w:rsidRPr="00EA6851" w:rsidRDefault="00C97002" w:rsidP="00C97002">
            <w:pPr>
              <w:spacing w:after="0"/>
              <w:jc w:val="center"/>
              <w:rPr>
                <w:iCs/>
                <w:sz w:val="18"/>
                <w:szCs w:val="18"/>
                <w:lang w:eastAsia="en-US"/>
              </w:rPr>
            </w:pPr>
            <w:r w:rsidRPr="00EA6851">
              <w:rPr>
                <w:iCs/>
                <w:sz w:val="18"/>
                <w:szCs w:val="18"/>
                <w:lang w:eastAsia="en-US"/>
              </w:rPr>
              <w:t>70 095</w:t>
            </w:r>
          </w:p>
          <w:p w:rsidR="00C97002" w:rsidRPr="00EA6851" w:rsidRDefault="00C97002" w:rsidP="00C97002">
            <w:pPr>
              <w:spacing w:after="0"/>
              <w:jc w:val="center"/>
              <w:rPr>
                <w:iCs/>
                <w:sz w:val="18"/>
                <w:szCs w:val="18"/>
                <w:lang w:eastAsia="en-US"/>
              </w:rPr>
            </w:pPr>
          </w:p>
        </w:tc>
        <w:tc>
          <w:tcPr>
            <w:tcW w:w="549" w:type="pct"/>
            <w:tcBorders>
              <w:top w:val="nil"/>
              <w:left w:val="nil"/>
              <w:bottom w:val="single" w:sz="4" w:space="0" w:color="auto"/>
              <w:right w:val="nil"/>
            </w:tcBorders>
            <w:shd w:val="clear" w:color="auto" w:fill="auto"/>
          </w:tcPr>
          <w:p w:rsidR="00C97002" w:rsidRPr="00EA6851" w:rsidRDefault="00C97002" w:rsidP="00C97002">
            <w:pPr>
              <w:spacing w:after="0"/>
              <w:jc w:val="center"/>
              <w:rPr>
                <w:iCs/>
                <w:sz w:val="18"/>
                <w:szCs w:val="18"/>
                <w:lang w:eastAsia="en-US"/>
              </w:rPr>
            </w:pPr>
            <w:r w:rsidRPr="00EA6851">
              <w:rPr>
                <w:iCs/>
                <w:sz w:val="18"/>
                <w:szCs w:val="18"/>
                <w:lang w:eastAsia="en-US"/>
              </w:rPr>
              <w:t>50 570</w:t>
            </w:r>
          </w:p>
        </w:tc>
        <w:tc>
          <w:tcPr>
            <w:tcW w:w="525" w:type="pct"/>
            <w:tcBorders>
              <w:top w:val="nil"/>
              <w:left w:val="nil"/>
              <w:bottom w:val="single" w:sz="4" w:space="0" w:color="auto"/>
              <w:right w:val="nil"/>
            </w:tcBorders>
            <w:shd w:val="clear" w:color="auto" w:fill="auto"/>
          </w:tcPr>
          <w:p w:rsidR="00C97002" w:rsidRPr="00EA6851" w:rsidRDefault="00C97002" w:rsidP="00C97002">
            <w:pPr>
              <w:spacing w:after="0"/>
              <w:jc w:val="center"/>
              <w:rPr>
                <w:rFonts w:cs="Times New Roman"/>
                <w:iCs/>
                <w:sz w:val="18"/>
                <w:szCs w:val="18"/>
                <w:lang w:eastAsia="en-US"/>
              </w:rPr>
            </w:pPr>
            <w:r w:rsidRPr="00EA6851">
              <w:rPr>
                <w:rFonts w:cs="Times New Roman"/>
                <w:sz w:val="18"/>
                <w:szCs w:val="18"/>
              </w:rPr>
              <w:t>42 500</w:t>
            </w:r>
          </w:p>
        </w:tc>
        <w:tc>
          <w:tcPr>
            <w:tcW w:w="525" w:type="pct"/>
            <w:tcBorders>
              <w:top w:val="nil"/>
              <w:left w:val="nil"/>
              <w:bottom w:val="single" w:sz="4" w:space="0" w:color="auto"/>
              <w:right w:val="nil"/>
            </w:tcBorders>
            <w:shd w:val="clear" w:color="auto" w:fill="auto"/>
          </w:tcPr>
          <w:p w:rsidR="00C97002" w:rsidRPr="00EA6851" w:rsidRDefault="00C97002" w:rsidP="00C97002">
            <w:pPr>
              <w:spacing w:after="0"/>
              <w:jc w:val="center"/>
              <w:rPr>
                <w:iCs/>
                <w:sz w:val="18"/>
                <w:szCs w:val="18"/>
                <w:lang w:eastAsia="en-US"/>
              </w:rPr>
            </w:pPr>
            <w:r w:rsidRPr="00EA6851">
              <w:rPr>
                <w:iCs/>
                <w:sz w:val="18"/>
                <w:szCs w:val="18"/>
                <w:lang w:eastAsia="en-US"/>
              </w:rPr>
              <w:t>42 500</w:t>
            </w:r>
          </w:p>
        </w:tc>
      </w:tr>
    </w:tbl>
    <w:p w:rsidR="00C97002" w:rsidRPr="00EA6851" w:rsidRDefault="00C97002" w:rsidP="00C97002">
      <w:pPr>
        <w:spacing w:after="0"/>
        <w:rPr>
          <w:sz w:val="18"/>
          <w:szCs w:val="18"/>
        </w:rPr>
      </w:pPr>
      <w:r w:rsidRPr="00EA6851">
        <w:rPr>
          <w:b/>
          <w:i/>
          <w:sz w:val="18"/>
          <w:szCs w:val="18"/>
        </w:rPr>
        <w:t>Забележка:</w:t>
      </w:r>
      <w:r w:rsidRPr="00EA6851">
        <w:rPr>
          <w:sz w:val="18"/>
          <w:szCs w:val="18"/>
        </w:rPr>
        <w:t xml:space="preserve"> ДР - Държавни резерви; ЗЗНН - Задължителни запаси от нефт и нефтопродукти; ВВЗ - Военновременни запаси.</w:t>
      </w:r>
    </w:p>
    <w:p w:rsidR="00C97002" w:rsidRPr="00EA6851" w:rsidRDefault="00C97002" w:rsidP="0097230C"/>
    <w:p w:rsidR="00C97002" w:rsidRPr="00EA6851" w:rsidRDefault="00C97002" w:rsidP="0097230C">
      <w:r w:rsidRPr="00EA6851">
        <w:rPr>
          <w:b/>
          <w:sz w:val="28"/>
          <w:szCs w:val="28"/>
        </w:rPr>
        <w:t>Министерството на финансите</w:t>
      </w:r>
      <w:r w:rsidRPr="00EA6851">
        <w:rPr>
          <w:rFonts w:eastAsia="Times New Roman"/>
        </w:rPr>
        <w:t xml:space="preserve"> е отговорната институция за разработването, координирането, провеждането и осъществяването на държавната политика в областите публични финанси, данъчна политика, управление на държавния дълг, вътрешния контрол, финансовите услуги и финансовите пазари.</w:t>
      </w:r>
    </w:p>
    <w:p w:rsidR="00C97002" w:rsidRPr="00EA6851" w:rsidRDefault="00C97002" w:rsidP="0097230C">
      <w:pPr>
        <w:pStyle w:val="Heading4"/>
        <w:spacing w:before="0" w:after="200"/>
      </w:pPr>
      <w:r w:rsidRPr="00EA6851">
        <w:t xml:space="preserve">Политика в областта на устойчивите и прозрачни публични финанси </w:t>
      </w:r>
    </w:p>
    <w:p w:rsidR="00C97002" w:rsidRPr="00EA6851" w:rsidRDefault="00C97002" w:rsidP="0097230C">
      <w:pPr>
        <w:rPr>
          <w:rFonts w:cs="Times New Roman"/>
        </w:rPr>
      </w:pPr>
      <w:r w:rsidRPr="00EA6851">
        <w:rPr>
          <w:rFonts w:cs="Times New Roman"/>
        </w:rPr>
        <w:t xml:space="preserve">Провеждането на държавната политика в областта на устойчивите и прозрачни публични финанси е тясно свързано с провеждането на политика на гарантиране на фискална стабилност, постепенна фискална консолидация, съобразена както с икономическия цикъл, така и с възможностите на бюджета предвид наличните рискове и предизвикателства и необходимостта от предприемане на мерки за тяхното овладяване. </w:t>
      </w:r>
    </w:p>
    <w:p w:rsidR="00C97002" w:rsidRPr="00EA6851" w:rsidRDefault="00C97002" w:rsidP="00C97002">
      <w:pPr>
        <w:spacing w:before="360"/>
        <w:rPr>
          <w:rFonts w:cs="Times New Roman"/>
          <w:b/>
          <w:bCs/>
          <w:sz w:val="20"/>
          <w:szCs w:val="20"/>
        </w:rPr>
      </w:pPr>
      <w:r w:rsidRPr="00EA6851">
        <w:rPr>
          <w:rFonts w:cs="Times New Roman"/>
          <w:b/>
          <w:bCs/>
          <w:sz w:val="20"/>
          <w:szCs w:val="20"/>
        </w:rPr>
        <w:t>КЛЮЧОВИ ИНДИКАТОРИ ЗА ИЗПЪЛНЕНИЕ И ЦЕЛЕВИ СТОЙНОСТИ</w:t>
      </w:r>
    </w:p>
    <w:tbl>
      <w:tblPr>
        <w:tblStyle w:val="TableGrid6"/>
        <w:tblW w:w="9639"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2"/>
        <w:gridCol w:w="1080"/>
        <w:gridCol w:w="1347"/>
        <w:gridCol w:w="1438"/>
        <w:gridCol w:w="1355"/>
        <w:gridCol w:w="1447"/>
      </w:tblGrid>
      <w:tr w:rsidR="00C97002" w:rsidRPr="00EA6851" w:rsidTr="004F2344">
        <w:trPr>
          <w:trHeight w:val="393"/>
          <w:tblHeader/>
        </w:trPr>
        <w:tc>
          <w:tcPr>
            <w:tcW w:w="2997" w:type="dxa"/>
            <w:tcBorders>
              <w:bottom w:val="nil"/>
            </w:tcBorders>
          </w:tcPr>
          <w:p w:rsidR="00C97002" w:rsidRPr="00EA6851" w:rsidRDefault="00C97002" w:rsidP="00C97002">
            <w:pPr>
              <w:jc w:val="center"/>
              <w:rPr>
                <w:rFonts w:cs="Times New Roman"/>
                <w:b/>
                <w:bCs/>
                <w:sz w:val="18"/>
                <w:szCs w:val="18"/>
              </w:rPr>
            </w:pPr>
            <w:r w:rsidRPr="00EA6851">
              <w:rPr>
                <w:rFonts w:cs="Times New Roman"/>
                <w:b/>
                <w:bCs/>
                <w:i/>
                <w:iCs/>
                <w:sz w:val="18"/>
                <w:szCs w:val="18"/>
              </w:rPr>
              <w:t>Политика в областта на устойчивите и прозрачни публични финанси</w:t>
            </w:r>
            <w:r w:rsidRPr="00EA6851">
              <w:rPr>
                <w:rFonts w:cs="Times New Roman"/>
                <w:i/>
                <w:iCs/>
                <w:sz w:val="18"/>
                <w:szCs w:val="18"/>
              </w:rPr>
              <w:t xml:space="preserve"> </w:t>
            </w:r>
          </w:p>
        </w:tc>
        <w:tc>
          <w:tcPr>
            <w:tcW w:w="1084" w:type="dxa"/>
            <w:vMerge w:val="restart"/>
            <w:tcBorders>
              <w:bottom w:val="nil"/>
            </w:tcBorders>
            <w:shd w:val="clear" w:color="auto" w:fill="F2F2F2" w:themeFill="background1" w:themeFillShade="F2"/>
          </w:tcPr>
          <w:p w:rsidR="00C97002" w:rsidRPr="00EA6851" w:rsidRDefault="00C97002" w:rsidP="00C97002">
            <w:pPr>
              <w:spacing w:before="240"/>
              <w:jc w:val="center"/>
              <w:rPr>
                <w:rFonts w:cs="Times New Roman"/>
                <w:b/>
                <w:bCs/>
                <w:sz w:val="18"/>
                <w:szCs w:val="18"/>
              </w:rPr>
            </w:pPr>
            <w:r w:rsidRPr="00EA6851">
              <w:rPr>
                <w:rFonts w:cs="Times New Roman"/>
                <w:b/>
                <w:bCs/>
                <w:sz w:val="18"/>
                <w:szCs w:val="18"/>
              </w:rPr>
              <w:t>Мерна единица</w:t>
            </w:r>
          </w:p>
        </w:tc>
        <w:tc>
          <w:tcPr>
            <w:tcW w:w="1347" w:type="dxa"/>
            <w:tcBorders>
              <w:bottom w:val="single" w:sz="4" w:space="0" w:color="auto"/>
            </w:tcBorders>
          </w:tcPr>
          <w:p w:rsidR="00C97002" w:rsidRPr="00EA6851" w:rsidRDefault="00C97002" w:rsidP="00C97002">
            <w:pPr>
              <w:spacing w:before="120"/>
              <w:jc w:val="center"/>
              <w:rPr>
                <w:rFonts w:cs="Times New Roman"/>
                <w:b/>
                <w:bCs/>
                <w:sz w:val="18"/>
                <w:szCs w:val="18"/>
              </w:rPr>
            </w:pPr>
          </w:p>
        </w:tc>
        <w:tc>
          <w:tcPr>
            <w:tcW w:w="4211" w:type="dxa"/>
            <w:gridSpan w:val="3"/>
            <w:tcBorders>
              <w:bottom w:val="single" w:sz="4" w:space="0" w:color="auto"/>
            </w:tcBorders>
          </w:tcPr>
          <w:p w:rsidR="00C97002" w:rsidRPr="00EA6851" w:rsidRDefault="00C97002" w:rsidP="00C97002">
            <w:pPr>
              <w:spacing w:before="120"/>
              <w:jc w:val="center"/>
              <w:rPr>
                <w:rFonts w:cs="Times New Roman"/>
                <w:b/>
                <w:bCs/>
                <w:sz w:val="18"/>
                <w:szCs w:val="18"/>
              </w:rPr>
            </w:pPr>
            <w:r w:rsidRPr="00EA6851">
              <w:rPr>
                <w:rFonts w:cs="Times New Roman"/>
                <w:b/>
                <w:bCs/>
                <w:sz w:val="18"/>
                <w:szCs w:val="18"/>
              </w:rPr>
              <w:t>Целева стойност</w:t>
            </w:r>
          </w:p>
        </w:tc>
      </w:tr>
      <w:tr w:rsidR="00C97002" w:rsidRPr="00EA6851" w:rsidTr="00E04690">
        <w:trPr>
          <w:trHeight w:val="402"/>
          <w:tblHeader/>
        </w:trPr>
        <w:tc>
          <w:tcPr>
            <w:tcW w:w="2997" w:type="dxa"/>
            <w:tcBorders>
              <w:top w:val="nil"/>
              <w:bottom w:val="single" w:sz="4" w:space="0" w:color="auto"/>
            </w:tcBorders>
          </w:tcPr>
          <w:p w:rsidR="00C97002" w:rsidRPr="00EA6851" w:rsidRDefault="00C97002" w:rsidP="00C97002">
            <w:pPr>
              <w:spacing w:before="120"/>
              <w:jc w:val="center"/>
              <w:rPr>
                <w:rFonts w:cs="Times New Roman"/>
                <w:b/>
                <w:bCs/>
                <w:sz w:val="18"/>
                <w:szCs w:val="18"/>
              </w:rPr>
            </w:pPr>
            <w:r w:rsidRPr="00EA6851">
              <w:rPr>
                <w:rFonts w:cs="Times New Roman"/>
                <w:b/>
                <w:bCs/>
                <w:sz w:val="18"/>
                <w:szCs w:val="18"/>
              </w:rPr>
              <w:t>Наименование на индикатора</w:t>
            </w:r>
          </w:p>
        </w:tc>
        <w:tc>
          <w:tcPr>
            <w:tcW w:w="1084" w:type="dxa"/>
            <w:vMerge/>
            <w:tcBorders>
              <w:top w:val="nil"/>
              <w:bottom w:val="single" w:sz="4" w:space="0" w:color="auto"/>
            </w:tcBorders>
            <w:shd w:val="clear" w:color="auto" w:fill="F2F2F2" w:themeFill="background1" w:themeFillShade="F2"/>
          </w:tcPr>
          <w:p w:rsidR="00C97002" w:rsidRPr="00EA6851" w:rsidRDefault="00C97002" w:rsidP="00C97002">
            <w:pPr>
              <w:jc w:val="center"/>
              <w:rPr>
                <w:rFonts w:cs="Times New Roman"/>
                <w:b/>
                <w:bCs/>
                <w:sz w:val="18"/>
                <w:szCs w:val="18"/>
              </w:rPr>
            </w:pPr>
          </w:p>
        </w:tc>
        <w:tc>
          <w:tcPr>
            <w:tcW w:w="1347" w:type="dxa"/>
            <w:tcBorders>
              <w:top w:val="single" w:sz="4" w:space="0" w:color="auto"/>
              <w:bottom w:val="single" w:sz="4" w:space="0" w:color="auto"/>
            </w:tcBorders>
          </w:tcPr>
          <w:p w:rsidR="00C97002" w:rsidRPr="00EA6851" w:rsidRDefault="00C97002" w:rsidP="00C97002">
            <w:pPr>
              <w:jc w:val="center"/>
              <w:rPr>
                <w:rFonts w:cs="Times New Roman"/>
                <w:b/>
                <w:bCs/>
                <w:i/>
                <w:iCs/>
                <w:sz w:val="18"/>
                <w:szCs w:val="18"/>
              </w:rPr>
            </w:pPr>
            <w:r w:rsidRPr="00EA6851">
              <w:rPr>
                <w:rFonts w:cs="Times New Roman"/>
                <w:b/>
                <w:bCs/>
                <w:i/>
                <w:iCs/>
                <w:sz w:val="18"/>
                <w:szCs w:val="18"/>
              </w:rPr>
              <w:t>Програма 2023 г.</w:t>
            </w:r>
          </w:p>
        </w:tc>
        <w:tc>
          <w:tcPr>
            <w:tcW w:w="1440" w:type="dxa"/>
            <w:tcBorders>
              <w:top w:val="single" w:sz="4" w:space="0" w:color="auto"/>
              <w:bottom w:val="single" w:sz="4" w:space="0" w:color="auto"/>
            </w:tcBorders>
          </w:tcPr>
          <w:p w:rsidR="00C97002" w:rsidRPr="00EA6851" w:rsidRDefault="00C97002" w:rsidP="00C97002">
            <w:pPr>
              <w:jc w:val="center"/>
              <w:rPr>
                <w:rFonts w:cs="Times New Roman"/>
                <w:b/>
                <w:bCs/>
                <w:i/>
                <w:iCs/>
                <w:sz w:val="18"/>
                <w:szCs w:val="18"/>
              </w:rPr>
            </w:pPr>
            <w:r w:rsidRPr="00EA6851">
              <w:rPr>
                <w:rFonts w:cs="Times New Roman"/>
                <w:b/>
                <w:bCs/>
                <w:i/>
                <w:iCs/>
                <w:sz w:val="18"/>
                <w:szCs w:val="18"/>
              </w:rPr>
              <w:t>Проект</w:t>
            </w:r>
          </w:p>
          <w:p w:rsidR="00C97002" w:rsidRPr="00EA6851" w:rsidRDefault="00C97002" w:rsidP="00C97002">
            <w:pPr>
              <w:jc w:val="center"/>
              <w:rPr>
                <w:rFonts w:cs="Times New Roman"/>
                <w:b/>
                <w:bCs/>
                <w:sz w:val="18"/>
                <w:szCs w:val="18"/>
              </w:rPr>
            </w:pPr>
            <w:r w:rsidRPr="00EA6851">
              <w:rPr>
                <w:rFonts w:cs="Times New Roman"/>
                <w:b/>
                <w:bCs/>
                <w:i/>
                <w:iCs/>
                <w:sz w:val="18"/>
                <w:szCs w:val="18"/>
              </w:rPr>
              <w:t>2024 г.</w:t>
            </w:r>
          </w:p>
        </w:tc>
        <w:tc>
          <w:tcPr>
            <w:tcW w:w="1322" w:type="dxa"/>
            <w:tcBorders>
              <w:top w:val="single" w:sz="4" w:space="0" w:color="auto"/>
              <w:bottom w:val="single" w:sz="4" w:space="0" w:color="auto"/>
            </w:tcBorders>
          </w:tcPr>
          <w:p w:rsidR="00C97002" w:rsidRPr="00EA6851" w:rsidRDefault="00C97002" w:rsidP="00C97002">
            <w:pPr>
              <w:jc w:val="center"/>
              <w:rPr>
                <w:rFonts w:cs="Times New Roman"/>
                <w:b/>
                <w:bCs/>
                <w:i/>
                <w:iCs/>
                <w:sz w:val="18"/>
                <w:szCs w:val="18"/>
              </w:rPr>
            </w:pPr>
            <w:r w:rsidRPr="00EA6851">
              <w:rPr>
                <w:rFonts w:cs="Times New Roman"/>
                <w:b/>
                <w:bCs/>
                <w:i/>
                <w:iCs/>
                <w:sz w:val="18"/>
                <w:szCs w:val="18"/>
              </w:rPr>
              <w:t>Прогноза</w:t>
            </w:r>
          </w:p>
          <w:p w:rsidR="00C97002" w:rsidRPr="00EA6851" w:rsidRDefault="00C97002" w:rsidP="00C97002">
            <w:pPr>
              <w:jc w:val="center"/>
              <w:rPr>
                <w:rFonts w:cs="Times New Roman"/>
                <w:b/>
                <w:bCs/>
                <w:sz w:val="18"/>
                <w:szCs w:val="18"/>
              </w:rPr>
            </w:pPr>
            <w:r w:rsidRPr="00EA6851">
              <w:rPr>
                <w:rFonts w:cs="Times New Roman"/>
                <w:b/>
                <w:bCs/>
                <w:i/>
                <w:iCs/>
                <w:sz w:val="18"/>
                <w:szCs w:val="18"/>
              </w:rPr>
              <w:t>2025 г.</w:t>
            </w:r>
          </w:p>
        </w:tc>
        <w:tc>
          <w:tcPr>
            <w:tcW w:w="1449" w:type="dxa"/>
            <w:tcBorders>
              <w:top w:val="single" w:sz="4" w:space="0" w:color="auto"/>
              <w:bottom w:val="single" w:sz="4" w:space="0" w:color="auto"/>
            </w:tcBorders>
          </w:tcPr>
          <w:p w:rsidR="00C97002" w:rsidRPr="00EA6851" w:rsidRDefault="00C97002" w:rsidP="00C97002">
            <w:pPr>
              <w:jc w:val="center"/>
              <w:rPr>
                <w:rFonts w:cs="Times New Roman"/>
                <w:b/>
                <w:bCs/>
                <w:i/>
                <w:iCs/>
                <w:sz w:val="18"/>
                <w:szCs w:val="18"/>
              </w:rPr>
            </w:pPr>
            <w:r w:rsidRPr="00EA6851">
              <w:rPr>
                <w:rFonts w:cs="Times New Roman"/>
                <w:b/>
                <w:bCs/>
                <w:i/>
                <w:iCs/>
                <w:sz w:val="18"/>
                <w:szCs w:val="18"/>
              </w:rPr>
              <w:t>Прогноза</w:t>
            </w:r>
          </w:p>
          <w:p w:rsidR="00C97002" w:rsidRPr="00EA6851" w:rsidRDefault="00C97002" w:rsidP="00C97002">
            <w:pPr>
              <w:jc w:val="center"/>
              <w:rPr>
                <w:rFonts w:cs="Times New Roman"/>
                <w:b/>
                <w:bCs/>
                <w:sz w:val="18"/>
                <w:szCs w:val="18"/>
              </w:rPr>
            </w:pPr>
            <w:r w:rsidRPr="00EA6851">
              <w:rPr>
                <w:rFonts w:cs="Times New Roman"/>
                <w:b/>
                <w:bCs/>
                <w:i/>
                <w:iCs/>
                <w:sz w:val="18"/>
                <w:szCs w:val="18"/>
              </w:rPr>
              <w:t>2026 г.</w:t>
            </w:r>
          </w:p>
        </w:tc>
      </w:tr>
      <w:tr w:rsidR="00C97002" w:rsidRPr="00EA6851" w:rsidTr="00E04690">
        <w:trPr>
          <w:trHeight w:val="196"/>
        </w:trPr>
        <w:tc>
          <w:tcPr>
            <w:tcW w:w="2997" w:type="dxa"/>
            <w:tcBorders>
              <w:top w:val="single" w:sz="4" w:space="0" w:color="auto"/>
            </w:tcBorders>
          </w:tcPr>
          <w:p w:rsidR="00C97002" w:rsidRPr="00EA6851" w:rsidRDefault="00C97002" w:rsidP="00C97002">
            <w:pPr>
              <w:rPr>
                <w:rFonts w:cs="Times New Roman"/>
                <w:bCs/>
                <w:sz w:val="18"/>
                <w:szCs w:val="18"/>
              </w:rPr>
            </w:pPr>
            <w:r w:rsidRPr="00EA6851">
              <w:rPr>
                <w:rFonts w:cs="Times New Roman"/>
                <w:sz w:val="18"/>
                <w:szCs w:val="18"/>
              </w:rPr>
              <w:t>1. Салдо по КФП</w:t>
            </w:r>
          </w:p>
        </w:tc>
        <w:tc>
          <w:tcPr>
            <w:tcW w:w="1084" w:type="dxa"/>
            <w:tcBorders>
              <w:top w:val="single" w:sz="4" w:space="0" w:color="auto"/>
            </w:tcBorders>
            <w:shd w:val="clear" w:color="auto" w:fill="F2F2F2" w:themeFill="background1" w:themeFillShade="F2"/>
          </w:tcPr>
          <w:p w:rsidR="00C97002" w:rsidRPr="00EA6851" w:rsidRDefault="00C97002" w:rsidP="00C97002">
            <w:pPr>
              <w:jc w:val="center"/>
              <w:rPr>
                <w:rFonts w:cs="Times New Roman"/>
                <w:bCs/>
                <w:sz w:val="18"/>
                <w:szCs w:val="18"/>
              </w:rPr>
            </w:pPr>
            <w:r w:rsidRPr="00EA6851">
              <w:rPr>
                <w:rFonts w:cs="Times New Roman"/>
                <w:bCs/>
                <w:sz w:val="18"/>
                <w:szCs w:val="18"/>
              </w:rPr>
              <w:t>% от БВП</w:t>
            </w:r>
          </w:p>
        </w:tc>
        <w:tc>
          <w:tcPr>
            <w:tcW w:w="1347" w:type="dxa"/>
            <w:tcBorders>
              <w:top w:val="single" w:sz="4" w:space="0" w:color="auto"/>
            </w:tcBorders>
          </w:tcPr>
          <w:p w:rsidR="00C97002" w:rsidRPr="00EA6851" w:rsidRDefault="00C97002" w:rsidP="00C97002">
            <w:pPr>
              <w:jc w:val="center"/>
              <w:rPr>
                <w:rFonts w:cs="Times New Roman"/>
                <w:bCs/>
                <w:sz w:val="18"/>
                <w:szCs w:val="18"/>
              </w:rPr>
            </w:pPr>
            <w:r w:rsidRPr="00EA6851">
              <w:rPr>
                <w:rFonts w:cs="Times New Roman"/>
                <w:bCs/>
                <w:sz w:val="18"/>
                <w:szCs w:val="18"/>
              </w:rPr>
              <w:t>В рамките на правилата и ограниченията по чл. 27 от ЗПФ</w:t>
            </w:r>
          </w:p>
        </w:tc>
        <w:tc>
          <w:tcPr>
            <w:tcW w:w="1440" w:type="dxa"/>
            <w:tcBorders>
              <w:top w:val="single" w:sz="4" w:space="0" w:color="auto"/>
            </w:tcBorders>
          </w:tcPr>
          <w:p w:rsidR="00C97002" w:rsidRPr="00EA6851" w:rsidRDefault="00C97002" w:rsidP="00C97002">
            <w:pPr>
              <w:jc w:val="center"/>
              <w:rPr>
                <w:rFonts w:cs="Times New Roman"/>
                <w:bCs/>
                <w:sz w:val="18"/>
                <w:szCs w:val="18"/>
              </w:rPr>
            </w:pPr>
            <w:r w:rsidRPr="00EA6851">
              <w:rPr>
                <w:rFonts w:cs="Times New Roman"/>
                <w:bCs/>
                <w:sz w:val="18"/>
                <w:szCs w:val="18"/>
              </w:rPr>
              <w:t xml:space="preserve">В рамките на ограничението по чл. 27 от ЗПФ </w:t>
            </w:r>
          </w:p>
        </w:tc>
        <w:tc>
          <w:tcPr>
            <w:tcW w:w="1322" w:type="dxa"/>
            <w:tcBorders>
              <w:top w:val="single" w:sz="4" w:space="0" w:color="auto"/>
            </w:tcBorders>
          </w:tcPr>
          <w:p w:rsidR="00C97002" w:rsidRPr="00EA6851" w:rsidRDefault="00C97002" w:rsidP="00C97002">
            <w:pPr>
              <w:jc w:val="center"/>
              <w:rPr>
                <w:rFonts w:cs="Times New Roman"/>
                <w:bCs/>
                <w:sz w:val="18"/>
                <w:szCs w:val="18"/>
              </w:rPr>
            </w:pPr>
            <w:r w:rsidRPr="00EA6851">
              <w:rPr>
                <w:rFonts w:cs="Times New Roman"/>
                <w:bCs/>
                <w:sz w:val="18"/>
                <w:szCs w:val="18"/>
              </w:rPr>
              <w:t>В рамките на ограничението по чл. 27 от ЗПФ</w:t>
            </w:r>
          </w:p>
          <w:p w:rsidR="00C97002" w:rsidRPr="00EA6851" w:rsidRDefault="00C97002" w:rsidP="00C97002">
            <w:pPr>
              <w:jc w:val="center"/>
              <w:rPr>
                <w:rFonts w:cs="Times New Roman"/>
                <w:bCs/>
                <w:sz w:val="18"/>
                <w:szCs w:val="18"/>
              </w:rPr>
            </w:pPr>
          </w:p>
        </w:tc>
        <w:tc>
          <w:tcPr>
            <w:tcW w:w="1449" w:type="dxa"/>
            <w:tcBorders>
              <w:top w:val="single" w:sz="4" w:space="0" w:color="auto"/>
            </w:tcBorders>
          </w:tcPr>
          <w:p w:rsidR="00C97002" w:rsidRPr="00EA6851" w:rsidRDefault="00C97002" w:rsidP="00C97002">
            <w:pPr>
              <w:jc w:val="center"/>
              <w:rPr>
                <w:rFonts w:cs="Times New Roman"/>
                <w:bCs/>
                <w:sz w:val="18"/>
                <w:szCs w:val="18"/>
              </w:rPr>
            </w:pPr>
            <w:r w:rsidRPr="00EA6851">
              <w:rPr>
                <w:rFonts w:cs="Times New Roman"/>
                <w:bCs/>
                <w:sz w:val="18"/>
                <w:szCs w:val="18"/>
              </w:rPr>
              <w:t>В рамките на ограничението по чл. 27 от ЗПФ</w:t>
            </w:r>
          </w:p>
          <w:p w:rsidR="00C97002" w:rsidRPr="00EA6851" w:rsidRDefault="00C97002" w:rsidP="00C97002">
            <w:pPr>
              <w:jc w:val="center"/>
              <w:rPr>
                <w:rFonts w:cs="Times New Roman"/>
                <w:bCs/>
                <w:sz w:val="18"/>
                <w:szCs w:val="18"/>
              </w:rPr>
            </w:pPr>
          </w:p>
        </w:tc>
      </w:tr>
      <w:tr w:rsidR="00C97002" w:rsidRPr="00EA6851" w:rsidTr="00E04690">
        <w:trPr>
          <w:trHeight w:val="196"/>
        </w:trPr>
        <w:tc>
          <w:tcPr>
            <w:tcW w:w="2997" w:type="dxa"/>
          </w:tcPr>
          <w:p w:rsidR="00C97002" w:rsidRPr="00EA6851" w:rsidRDefault="00C97002" w:rsidP="00C97002">
            <w:pPr>
              <w:rPr>
                <w:rFonts w:cs="Times New Roman"/>
                <w:bCs/>
                <w:sz w:val="18"/>
                <w:szCs w:val="18"/>
              </w:rPr>
            </w:pPr>
            <w:r w:rsidRPr="00EA6851">
              <w:rPr>
                <w:rFonts w:cs="Times New Roman"/>
                <w:sz w:val="18"/>
                <w:szCs w:val="18"/>
              </w:rPr>
              <w:t>2 Рейтингова оценка за България за открит бюджет, присъдена от Международн</w:t>
            </w:r>
            <w:r w:rsidR="007945B3" w:rsidRPr="00EA6851">
              <w:rPr>
                <w:rFonts w:cs="Times New Roman"/>
                <w:sz w:val="18"/>
                <w:szCs w:val="18"/>
              </w:rPr>
              <w:t>ото бюджетно партньорство (IBP)</w:t>
            </w:r>
          </w:p>
        </w:tc>
        <w:tc>
          <w:tcPr>
            <w:tcW w:w="1084" w:type="dxa"/>
            <w:shd w:val="clear" w:color="auto" w:fill="F2F2F2" w:themeFill="background1" w:themeFillShade="F2"/>
          </w:tcPr>
          <w:p w:rsidR="00C97002" w:rsidRPr="00EA6851" w:rsidRDefault="00C97002" w:rsidP="00C97002">
            <w:pPr>
              <w:jc w:val="center"/>
              <w:rPr>
                <w:rFonts w:cs="Times New Roman"/>
                <w:bCs/>
                <w:sz w:val="18"/>
                <w:szCs w:val="18"/>
              </w:rPr>
            </w:pPr>
            <w:r w:rsidRPr="00EA6851">
              <w:rPr>
                <w:rFonts w:cs="Times New Roman"/>
                <w:bCs/>
                <w:sz w:val="18"/>
                <w:szCs w:val="18"/>
              </w:rPr>
              <w:t>Брой точки - индекс</w:t>
            </w:r>
          </w:p>
        </w:tc>
        <w:tc>
          <w:tcPr>
            <w:tcW w:w="1347" w:type="dxa"/>
          </w:tcPr>
          <w:p w:rsidR="00C97002" w:rsidRPr="00EA6851" w:rsidRDefault="00C97002" w:rsidP="00C97002">
            <w:pPr>
              <w:jc w:val="center"/>
              <w:rPr>
                <w:rFonts w:cs="Times New Roman"/>
                <w:bCs/>
                <w:sz w:val="18"/>
                <w:szCs w:val="18"/>
              </w:rPr>
            </w:pPr>
          </w:p>
          <w:p w:rsidR="00C97002" w:rsidRPr="00EA6851" w:rsidRDefault="00C97002" w:rsidP="00C97002">
            <w:pPr>
              <w:jc w:val="center"/>
              <w:rPr>
                <w:rFonts w:cs="Times New Roman"/>
                <w:bCs/>
                <w:sz w:val="18"/>
                <w:szCs w:val="18"/>
              </w:rPr>
            </w:pPr>
            <w:r w:rsidRPr="00EA6851">
              <w:rPr>
                <w:rFonts w:cs="Times New Roman"/>
                <w:bCs/>
                <w:sz w:val="18"/>
                <w:szCs w:val="18"/>
              </w:rPr>
              <w:t>Не се присъжда</w:t>
            </w:r>
          </w:p>
        </w:tc>
        <w:tc>
          <w:tcPr>
            <w:tcW w:w="1440" w:type="dxa"/>
          </w:tcPr>
          <w:p w:rsidR="00C97002" w:rsidRPr="00EA6851" w:rsidRDefault="00C97002" w:rsidP="00C97002">
            <w:pPr>
              <w:jc w:val="center"/>
              <w:rPr>
                <w:rFonts w:cs="Times New Roman"/>
                <w:bCs/>
                <w:sz w:val="18"/>
                <w:szCs w:val="18"/>
              </w:rPr>
            </w:pPr>
            <w:r w:rsidRPr="00EA6851">
              <w:rPr>
                <w:rFonts w:cs="Times New Roman"/>
                <w:bCs/>
                <w:sz w:val="18"/>
                <w:szCs w:val="18"/>
              </w:rPr>
              <w:t>Не по-малко от достигнатото равнище от последното проучване с тенденция към повишаване</w:t>
            </w:r>
          </w:p>
        </w:tc>
        <w:tc>
          <w:tcPr>
            <w:tcW w:w="1322" w:type="dxa"/>
          </w:tcPr>
          <w:p w:rsidR="00C97002" w:rsidRPr="00EA6851" w:rsidRDefault="00C97002" w:rsidP="00C97002">
            <w:pPr>
              <w:jc w:val="center"/>
              <w:rPr>
                <w:rFonts w:cs="Times New Roman"/>
                <w:bCs/>
                <w:sz w:val="18"/>
                <w:szCs w:val="18"/>
              </w:rPr>
            </w:pPr>
            <w:r w:rsidRPr="00EA6851">
              <w:rPr>
                <w:rFonts w:cs="Times New Roman"/>
                <w:bCs/>
                <w:sz w:val="18"/>
                <w:szCs w:val="18"/>
              </w:rPr>
              <w:t xml:space="preserve"> Не се присъжда </w:t>
            </w:r>
          </w:p>
          <w:p w:rsidR="00C97002" w:rsidRPr="00EA6851" w:rsidRDefault="00C97002" w:rsidP="00C97002">
            <w:pPr>
              <w:jc w:val="center"/>
              <w:rPr>
                <w:rFonts w:cs="Times New Roman"/>
                <w:bCs/>
                <w:sz w:val="18"/>
                <w:szCs w:val="18"/>
              </w:rPr>
            </w:pPr>
          </w:p>
        </w:tc>
        <w:tc>
          <w:tcPr>
            <w:tcW w:w="1449" w:type="dxa"/>
          </w:tcPr>
          <w:p w:rsidR="00C97002" w:rsidRPr="00EA6851" w:rsidRDefault="00C97002" w:rsidP="00C97002">
            <w:pPr>
              <w:jc w:val="center"/>
              <w:rPr>
                <w:rFonts w:cs="Times New Roman"/>
                <w:bCs/>
                <w:sz w:val="18"/>
                <w:szCs w:val="18"/>
              </w:rPr>
            </w:pPr>
            <w:r w:rsidRPr="00EA6851">
              <w:rPr>
                <w:rFonts w:cs="Times New Roman"/>
                <w:bCs/>
                <w:sz w:val="18"/>
                <w:szCs w:val="18"/>
              </w:rPr>
              <w:t>Не по-малко от достигнатото равнище от последното проучване с тенденция към повишаване</w:t>
            </w:r>
          </w:p>
        </w:tc>
      </w:tr>
    </w:tbl>
    <w:p w:rsidR="00C97002" w:rsidRPr="00EA6851" w:rsidRDefault="00C97002" w:rsidP="00C97002">
      <w:pPr>
        <w:spacing w:before="120" w:after="120"/>
        <w:rPr>
          <w:rFonts w:cs="Times New Roman"/>
          <w:b/>
          <w:i/>
          <w:szCs w:val="24"/>
        </w:rPr>
      </w:pPr>
    </w:p>
    <w:p w:rsidR="00C97002" w:rsidRPr="00EA6851" w:rsidRDefault="00C97002" w:rsidP="0097230C">
      <w:pPr>
        <w:rPr>
          <w:rFonts w:cs="Times New Roman"/>
          <w:b/>
          <w:i/>
          <w:szCs w:val="24"/>
        </w:rPr>
      </w:pPr>
      <w:r w:rsidRPr="00EA6851">
        <w:rPr>
          <w:rFonts w:cs="Times New Roman"/>
          <w:b/>
          <w:i/>
          <w:szCs w:val="24"/>
        </w:rPr>
        <w:t>По първия ключов индикатор:</w:t>
      </w:r>
    </w:p>
    <w:p w:rsidR="00C97002" w:rsidRPr="00EA6851" w:rsidRDefault="00C97002" w:rsidP="0097230C">
      <w:pPr>
        <w:rPr>
          <w:rFonts w:cs="Times New Roman"/>
        </w:rPr>
      </w:pPr>
      <w:r w:rsidRPr="00EA6851">
        <w:rPr>
          <w:rFonts w:cs="Times New Roman"/>
        </w:rPr>
        <w:t>Разработването на основните параметри на Бюджет 2024 и актуализираната средносрочна бюджетна прогноза за периода 2024-2026 г. е в унисон със заложената от правителството съгласно Програмата за управление на Република България (Управленската програма) за периода юни 2023 г. – декември 2024 г. законодателна мярка одобряването от Министерския съвет и внасянето в Народното събрание на проект на Закон за държавния бюджет на Република България за 2024 г. да стане при спазване на изис</w:t>
      </w:r>
      <w:r w:rsidR="009404D1" w:rsidRPr="00EA6851">
        <w:rPr>
          <w:rFonts w:cs="Times New Roman"/>
        </w:rPr>
        <w:t xml:space="preserve">кването за дефицит до 3% от БВП </w:t>
      </w:r>
      <w:r w:rsidRPr="00EA6851">
        <w:rPr>
          <w:rFonts w:cs="Times New Roman"/>
        </w:rPr>
        <w:t>с цел осигуряване на фискалната устойчивост и предвидимост, и спазване на Маастрихтските критерии.</w:t>
      </w:r>
    </w:p>
    <w:p w:rsidR="00C97002" w:rsidRPr="00EA6851" w:rsidRDefault="00C97002" w:rsidP="0097230C">
      <w:pPr>
        <w:rPr>
          <w:rFonts w:cs="Times New Roman"/>
          <w:b/>
          <w:i/>
          <w:szCs w:val="24"/>
        </w:rPr>
      </w:pPr>
      <w:r w:rsidRPr="00EA6851">
        <w:rPr>
          <w:rFonts w:cs="Times New Roman"/>
          <w:b/>
          <w:i/>
          <w:szCs w:val="24"/>
        </w:rPr>
        <w:t>По втория ключов индикатор:</w:t>
      </w:r>
    </w:p>
    <w:p w:rsidR="00C97002" w:rsidRPr="00EA6851" w:rsidRDefault="00C97002" w:rsidP="0097230C">
      <w:pPr>
        <w:rPr>
          <w:rFonts w:cs="Times New Roman"/>
        </w:rPr>
      </w:pPr>
      <w:r w:rsidRPr="00EA6851">
        <w:rPr>
          <w:rFonts w:cs="Times New Roman"/>
        </w:rPr>
        <w:t xml:space="preserve">Министерството на финансите си е поставило амбициозната задача да продължава последователните си стъпки за надграждане на оценката за бюджетната прозрачност. През м. май 2022 г. беше присъдена и публикувана на интернет страницата на Международното бюджетно партньорство регулярната оценка за бюджетната прозрачност на страната, която се запази на 71 пункта, с което България запазва и позицията си сред втората група държави с оценка между 60 и 80 (от максимални 100), което предполага, че се предоставя „значителна информация“ за бюджета. </w:t>
      </w:r>
    </w:p>
    <w:p w:rsidR="0097230C" w:rsidRPr="00986333" w:rsidRDefault="00C97002" w:rsidP="0097230C">
      <w:pPr>
        <w:rPr>
          <w:rFonts w:cs="Times New Roman"/>
        </w:rPr>
      </w:pPr>
      <w:r w:rsidRPr="00EA6851">
        <w:rPr>
          <w:rFonts w:cs="Times New Roman"/>
        </w:rPr>
        <w:t xml:space="preserve">Целта </w:t>
      </w:r>
      <w:r w:rsidR="00B927FC" w:rsidRPr="00EA6851">
        <w:rPr>
          <w:rFonts w:cs="Times New Roman"/>
        </w:rPr>
        <w:t xml:space="preserve">и очакванията </w:t>
      </w:r>
      <w:r w:rsidRPr="00EA6851">
        <w:rPr>
          <w:rFonts w:cs="Times New Roman"/>
        </w:rPr>
        <w:t xml:space="preserve">на Министерството на финансите са и при следващото издание на индекса </w:t>
      </w:r>
      <w:r w:rsidR="00B927FC" w:rsidRPr="00EA6851">
        <w:rPr>
          <w:rFonts w:cs="Times New Roman"/>
        </w:rPr>
        <w:t xml:space="preserve">оценката за страната ни </w:t>
      </w:r>
      <w:r w:rsidRPr="00EA6851">
        <w:rPr>
          <w:rFonts w:cs="Times New Roman"/>
        </w:rPr>
        <w:t xml:space="preserve">да се задържи или </w:t>
      </w:r>
      <w:r w:rsidR="00B927FC" w:rsidRPr="00EA6851">
        <w:rPr>
          <w:rFonts w:cs="Times New Roman"/>
        </w:rPr>
        <w:t xml:space="preserve">да се </w:t>
      </w:r>
      <w:r w:rsidRPr="00EA6851">
        <w:rPr>
          <w:rFonts w:cs="Times New Roman"/>
        </w:rPr>
        <w:t xml:space="preserve">повиши </w:t>
      </w:r>
      <w:r w:rsidR="00B927FC" w:rsidRPr="00EA6851">
        <w:rPr>
          <w:rFonts w:cs="Times New Roman"/>
        </w:rPr>
        <w:t xml:space="preserve">спрямо </w:t>
      </w:r>
      <w:r w:rsidRPr="00EA6851">
        <w:rPr>
          <w:rFonts w:cs="Times New Roman"/>
        </w:rPr>
        <w:t>постигнатото ниво при последното проучване от Международното бюджетно партньорство.</w:t>
      </w:r>
    </w:p>
    <w:p w:rsidR="00C97002" w:rsidRPr="00EA6851" w:rsidRDefault="00C97002" w:rsidP="00C97002">
      <w:pPr>
        <w:pStyle w:val="Heading4"/>
        <w:spacing w:before="0" w:after="200"/>
      </w:pPr>
      <w:r w:rsidRPr="00EA6851">
        <w:t>Политика в областта на ефективното събиране на всички държавни приходи</w:t>
      </w:r>
    </w:p>
    <w:p w:rsidR="00C97002" w:rsidRPr="00EA6851" w:rsidRDefault="00C97002" w:rsidP="0097230C">
      <w:pPr>
        <w:rPr>
          <w:rFonts w:cs="Times New Roman"/>
        </w:rPr>
      </w:pPr>
      <w:r w:rsidRPr="00EA6851">
        <w:rPr>
          <w:rFonts w:cs="Times New Roman"/>
        </w:rPr>
        <w:t>През периода 2024-2026 г. провежданата от Министерството на финансите данъчна политика е ориентирана към постигане на макроикономическа и бюджетна стабилност в средносрочен и дългосрочен план и осигуряване на необходимия финансов ресурс за изпълнение на разходните политики на правителството. Политиката в областта на данъците се характеризира с предвидимост, като същевременно се насърчава развитието на бизнеса и инвестиционната активност, стимулират се иновациите, енергийната ефективност и заетостта. В международен аспект данъчната политика на страната е насочена в подкрепа на функционирането на единния пазар на Европейския съюз, успешното осъществяване на цифровата трансформация на обществото и икономиката в Европа и на дейностите по справяне с климата и околната среда. През периода Министерството на финансите ще продължи активно да участва в структурите и дейността на ЕС и в инициативи на Организацията за икономическо сътрудничество и развитие в областта на данъците и административното сътрудничество.</w:t>
      </w:r>
    </w:p>
    <w:p w:rsidR="00C97002" w:rsidRPr="00EA6851" w:rsidRDefault="00C97002" w:rsidP="0097230C">
      <w:pPr>
        <w:rPr>
          <w:rFonts w:cs="Times New Roman"/>
        </w:rPr>
      </w:pPr>
      <w:r w:rsidRPr="00EA6851">
        <w:rPr>
          <w:rFonts w:cs="Times New Roman"/>
        </w:rPr>
        <w:t>Политиката в областта на хазарта е насочена към гарантиране законосъобразното организиране на хазартни игри и дейности и предотвратява</w:t>
      </w:r>
      <w:r w:rsidR="00B927FC" w:rsidRPr="00EA6851">
        <w:rPr>
          <w:rFonts w:cs="Times New Roman"/>
        </w:rPr>
        <w:t>не</w:t>
      </w:r>
      <w:r w:rsidRPr="00EA6851">
        <w:rPr>
          <w:rFonts w:cs="Times New Roman"/>
        </w:rPr>
        <w:t xml:space="preserve"> организирането им без издаден лиценз (нелегален хазарт) на територията на Република България, както и към ефективното администриране на приходите от държавни такси и вноски по Закона за хазарта.</w:t>
      </w:r>
    </w:p>
    <w:p w:rsidR="00C97002" w:rsidRPr="00EA6851" w:rsidRDefault="00C97002" w:rsidP="00C97002">
      <w:pPr>
        <w:ind w:right="45"/>
        <w:rPr>
          <w:rFonts w:eastAsia="Calibri" w:cs="Times New Roman"/>
          <w:b/>
          <w:bCs/>
          <w:sz w:val="20"/>
          <w:szCs w:val="20"/>
          <w:lang w:eastAsia="en-US"/>
        </w:rPr>
      </w:pPr>
      <w:r w:rsidRPr="00EA6851">
        <w:rPr>
          <w:rFonts w:eastAsia="Calibri" w:cs="Times New Roman"/>
          <w:b/>
          <w:bCs/>
          <w:sz w:val="20"/>
          <w:szCs w:val="20"/>
          <w:lang w:eastAsia="en-US"/>
        </w:rPr>
        <w:t>КЛЮЧОВИ ИНДИКАТОРИ ЗА ИЗПЪЛНЕНИЕ И ЦЕЛЕВИ СТОЙНОСТИ</w:t>
      </w:r>
    </w:p>
    <w:tbl>
      <w:tblPr>
        <w:tblW w:w="9619" w:type="dxa"/>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2445"/>
        <w:gridCol w:w="2011"/>
        <w:gridCol w:w="1329"/>
        <w:gridCol w:w="920"/>
        <w:gridCol w:w="932"/>
        <w:gridCol w:w="948"/>
        <w:gridCol w:w="1034"/>
      </w:tblGrid>
      <w:tr w:rsidR="00C97002" w:rsidRPr="00EA6851" w:rsidTr="004F2344">
        <w:trPr>
          <w:trHeight w:val="365"/>
          <w:tblHeader/>
          <w:jc w:val="center"/>
        </w:trPr>
        <w:tc>
          <w:tcPr>
            <w:tcW w:w="4456" w:type="dxa"/>
            <w:gridSpan w:val="2"/>
            <w:tcBorders>
              <w:top w:val="single" w:sz="4" w:space="0" w:color="auto"/>
              <w:bottom w:val="nil"/>
            </w:tcBorders>
            <w:shd w:val="clear" w:color="auto" w:fill="FFFFFF" w:themeFill="background1"/>
            <w:vAlign w:val="center"/>
            <w:hideMark/>
          </w:tcPr>
          <w:p w:rsidR="00C97002" w:rsidRPr="00EA6851" w:rsidRDefault="00C97002" w:rsidP="00C97002">
            <w:pPr>
              <w:jc w:val="center"/>
              <w:rPr>
                <w:rFonts w:cs="Times New Roman"/>
                <w:b/>
                <w:bCs/>
                <w:i/>
                <w:iCs/>
                <w:color w:val="000000"/>
                <w:sz w:val="18"/>
                <w:szCs w:val="18"/>
              </w:rPr>
            </w:pPr>
            <w:r w:rsidRPr="00EA6851">
              <w:rPr>
                <w:rFonts w:eastAsia="Calibri" w:cs="Times New Roman"/>
                <w:b/>
                <w:bCs/>
                <w:i/>
                <w:iCs/>
                <w:color w:val="000000"/>
                <w:sz w:val="18"/>
                <w:szCs w:val="18"/>
              </w:rPr>
              <w:t>Политика в областта на ефективното събиране на всички държавни приходи</w:t>
            </w:r>
          </w:p>
        </w:tc>
        <w:tc>
          <w:tcPr>
            <w:tcW w:w="1329" w:type="dxa"/>
            <w:vMerge w:val="restart"/>
            <w:tcBorders>
              <w:top w:val="single" w:sz="4" w:space="0" w:color="auto"/>
              <w:bottom w:val="nil"/>
            </w:tcBorders>
            <w:shd w:val="clear" w:color="auto" w:fill="F2F2F2" w:themeFill="background1" w:themeFillShade="F2"/>
            <w:vAlign w:val="center"/>
            <w:hideMark/>
          </w:tcPr>
          <w:p w:rsidR="00C97002" w:rsidRPr="00EA6851" w:rsidRDefault="00C97002" w:rsidP="00C97002">
            <w:pPr>
              <w:jc w:val="center"/>
              <w:rPr>
                <w:rFonts w:cs="Times New Roman"/>
                <w:b/>
                <w:bCs/>
                <w:color w:val="000000"/>
                <w:sz w:val="18"/>
                <w:szCs w:val="18"/>
              </w:rPr>
            </w:pPr>
            <w:r w:rsidRPr="00EA6851">
              <w:rPr>
                <w:rFonts w:eastAsia="Calibri" w:cs="Times New Roman"/>
                <w:b/>
                <w:bCs/>
                <w:color w:val="000000"/>
                <w:sz w:val="18"/>
                <w:szCs w:val="18"/>
              </w:rPr>
              <w:t>Мерна единица</w:t>
            </w:r>
          </w:p>
        </w:tc>
        <w:tc>
          <w:tcPr>
            <w:tcW w:w="920" w:type="dxa"/>
            <w:tcBorders>
              <w:top w:val="single" w:sz="4" w:space="0" w:color="auto"/>
              <w:bottom w:val="single" w:sz="4" w:space="0" w:color="auto"/>
            </w:tcBorders>
            <w:shd w:val="clear" w:color="auto" w:fill="FFFFFF" w:themeFill="background1"/>
          </w:tcPr>
          <w:p w:rsidR="00C97002" w:rsidRPr="00EA6851" w:rsidRDefault="00C97002" w:rsidP="00C97002">
            <w:pPr>
              <w:jc w:val="center"/>
              <w:rPr>
                <w:rFonts w:eastAsia="Calibri" w:cs="Times New Roman"/>
                <w:b/>
                <w:bCs/>
                <w:color w:val="000000"/>
                <w:sz w:val="18"/>
                <w:szCs w:val="18"/>
              </w:rPr>
            </w:pPr>
          </w:p>
        </w:tc>
        <w:tc>
          <w:tcPr>
            <w:tcW w:w="2914" w:type="dxa"/>
            <w:gridSpan w:val="3"/>
            <w:tcBorders>
              <w:top w:val="single" w:sz="4" w:space="0" w:color="auto"/>
              <w:bottom w:val="single" w:sz="4" w:space="0" w:color="auto"/>
            </w:tcBorders>
            <w:shd w:val="clear" w:color="auto" w:fill="FFFFFF" w:themeFill="background1"/>
            <w:vAlign w:val="center"/>
            <w:hideMark/>
          </w:tcPr>
          <w:p w:rsidR="00C97002" w:rsidRPr="00EA6851" w:rsidRDefault="00C97002" w:rsidP="00C97002">
            <w:pPr>
              <w:jc w:val="center"/>
              <w:rPr>
                <w:rFonts w:cs="Times New Roman"/>
                <w:b/>
                <w:bCs/>
                <w:color w:val="000000"/>
                <w:sz w:val="18"/>
                <w:szCs w:val="18"/>
              </w:rPr>
            </w:pPr>
            <w:r w:rsidRPr="00EA6851">
              <w:rPr>
                <w:rFonts w:eastAsia="Calibri" w:cs="Times New Roman"/>
                <w:b/>
                <w:bCs/>
                <w:color w:val="000000"/>
                <w:sz w:val="18"/>
                <w:szCs w:val="18"/>
              </w:rPr>
              <w:t>Целева стойност</w:t>
            </w:r>
          </w:p>
        </w:tc>
      </w:tr>
      <w:tr w:rsidR="00C97002" w:rsidRPr="00EA6851" w:rsidTr="004F2344">
        <w:trPr>
          <w:trHeight w:val="389"/>
          <w:tblHeader/>
          <w:jc w:val="center"/>
        </w:trPr>
        <w:tc>
          <w:tcPr>
            <w:tcW w:w="4456" w:type="dxa"/>
            <w:gridSpan w:val="2"/>
            <w:tcBorders>
              <w:top w:val="nil"/>
              <w:bottom w:val="single" w:sz="4" w:space="0" w:color="auto"/>
            </w:tcBorders>
            <w:shd w:val="clear" w:color="auto" w:fill="FFFFFF" w:themeFill="background1"/>
            <w:vAlign w:val="center"/>
            <w:hideMark/>
          </w:tcPr>
          <w:p w:rsidR="00C97002" w:rsidRPr="00EA6851" w:rsidRDefault="00C97002" w:rsidP="00C97002">
            <w:pPr>
              <w:jc w:val="center"/>
              <w:rPr>
                <w:rFonts w:cs="Times New Roman"/>
                <w:b/>
                <w:bCs/>
                <w:color w:val="000000"/>
                <w:sz w:val="18"/>
                <w:szCs w:val="18"/>
              </w:rPr>
            </w:pPr>
            <w:r w:rsidRPr="00EA6851">
              <w:rPr>
                <w:rFonts w:eastAsia="Calibri" w:cs="Times New Roman"/>
                <w:b/>
                <w:bCs/>
                <w:color w:val="000000"/>
                <w:sz w:val="18"/>
                <w:szCs w:val="18"/>
              </w:rPr>
              <w:t>Наименование на индикатора</w:t>
            </w:r>
          </w:p>
        </w:tc>
        <w:tc>
          <w:tcPr>
            <w:tcW w:w="1329" w:type="dxa"/>
            <w:vMerge/>
            <w:tcBorders>
              <w:top w:val="nil"/>
              <w:bottom w:val="single" w:sz="4" w:space="0" w:color="auto"/>
            </w:tcBorders>
            <w:shd w:val="clear" w:color="auto" w:fill="F2F2F2" w:themeFill="background1" w:themeFillShade="F2"/>
            <w:vAlign w:val="center"/>
            <w:hideMark/>
          </w:tcPr>
          <w:p w:rsidR="00C97002" w:rsidRPr="00EA6851" w:rsidRDefault="00C97002" w:rsidP="00C97002">
            <w:pPr>
              <w:rPr>
                <w:rFonts w:cs="Times New Roman"/>
                <w:b/>
                <w:bCs/>
                <w:color w:val="000000"/>
                <w:sz w:val="18"/>
                <w:szCs w:val="18"/>
              </w:rPr>
            </w:pPr>
          </w:p>
        </w:tc>
        <w:tc>
          <w:tcPr>
            <w:tcW w:w="920" w:type="dxa"/>
            <w:tcBorders>
              <w:top w:val="single" w:sz="4" w:space="0" w:color="auto"/>
              <w:bottom w:val="single" w:sz="4" w:space="0" w:color="auto"/>
            </w:tcBorders>
            <w:shd w:val="clear" w:color="auto" w:fill="FFFFFF" w:themeFill="background1"/>
          </w:tcPr>
          <w:p w:rsidR="00C97002" w:rsidRPr="00EA6851" w:rsidRDefault="00C97002" w:rsidP="00C97002">
            <w:pPr>
              <w:jc w:val="center"/>
              <w:rPr>
                <w:rFonts w:eastAsia="Calibri" w:cs="Times New Roman"/>
                <w:b/>
                <w:bCs/>
                <w:i/>
                <w:iCs/>
                <w:sz w:val="18"/>
                <w:szCs w:val="18"/>
              </w:rPr>
            </w:pPr>
            <w:r w:rsidRPr="00EA6851">
              <w:rPr>
                <w:rFonts w:eastAsia="Calibri" w:cs="Times New Roman"/>
                <w:b/>
                <w:bCs/>
                <w:i/>
                <w:iCs/>
                <w:sz w:val="18"/>
                <w:szCs w:val="18"/>
              </w:rPr>
              <w:t>Програма 2023 г.</w:t>
            </w:r>
          </w:p>
        </w:tc>
        <w:tc>
          <w:tcPr>
            <w:tcW w:w="932" w:type="dxa"/>
            <w:tcBorders>
              <w:top w:val="single" w:sz="4" w:space="0" w:color="auto"/>
              <w:bottom w:val="single" w:sz="4" w:space="0" w:color="auto"/>
            </w:tcBorders>
            <w:shd w:val="clear" w:color="auto" w:fill="FFFFFF" w:themeFill="background1"/>
            <w:vAlign w:val="center"/>
            <w:hideMark/>
          </w:tcPr>
          <w:p w:rsidR="00C97002" w:rsidRPr="00EA6851" w:rsidRDefault="00C97002" w:rsidP="00C97002">
            <w:pPr>
              <w:jc w:val="center"/>
              <w:rPr>
                <w:rFonts w:cs="Times New Roman"/>
                <w:b/>
                <w:bCs/>
                <w:i/>
                <w:iCs/>
                <w:color w:val="000000"/>
                <w:sz w:val="18"/>
                <w:szCs w:val="18"/>
              </w:rPr>
            </w:pPr>
            <w:r w:rsidRPr="00EA6851">
              <w:rPr>
                <w:rFonts w:eastAsia="Calibri" w:cs="Times New Roman"/>
                <w:b/>
                <w:bCs/>
                <w:i/>
                <w:iCs/>
                <w:sz w:val="18"/>
                <w:szCs w:val="18"/>
              </w:rPr>
              <w:t>Проект  2024 г.</w:t>
            </w:r>
          </w:p>
        </w:tc>
        <w:tc>
          <w:tcPr>
            <w:tcW w:w="948" w:type="dxa"/>
            <w:tcBorders>
              <w:top w:val="single" w:sz="4" w:space="0" w:color="auto"/>
              <w:bottom w:val="single" w:sz="4" w:space="0" w:color="auto"/>
            </w:tcBorders>
            <w:shd w:val="clear" w:color="auto" w:fill="FFFFFF" w:themeFill="background1"/>
            <w:vAlign w:val="center"/>
            <w:hideMark/>
          </w:tcPr>
          <w:p w:rsidR="00C97002" w:rsidRPr="00EA6851" w:rsidRDefault="00C97002" w:rsidP="00C97002">
            <w:pPr>
              <w:jc w:val="center"/>
              <w:rPr>
                <w:rFonts w:cs="Times New Roman"/>
                <w:b/>
                <w:bCs/>
                <w:i/>
                <w:iCs/>
                <w:color w:val="000000"/>
                <w:sz w:val="18"/>
                <w:szCs w:val="18"/>
              </w:rPr>
            </w:pPr>
            <w:r w:rsidRPr="00EA6851">
              <w:rPr>
                <w:rFonts w:eastAsia="Calibri" w:cs="Times New Roman"/>
                <w:b/>
                <w:bCs/>
                <w:i/>
                <w:iCs/>
                <w:color w:val="000000"/>
                <w:sz w:val="18"/>
                <w:szCs w:val="18"/>
              </w:rPr>
              <w:t>Прогноза 2025 г.</w:t>
            </w:r>
          </w:p>
        </w:tc>
        <w:tc>
          <w:tcPr>
            <w:tcW w:w="1034" w:type="dxa"/>
            <w:tcBorders>
              <w:top w:val="single" w:sz="4" w:space="0" w:color="auto"/>
              <w:bottom w:val="single" w:sz="4" w:space="0" w:color="auto"/>
            </w:tcBorders>
            <w:shd w:val="clear" w:color="auto" w:fill="FFFFFF" w:themeFill="background1"/>
            <w:vAlign w:val="center"/>
            <w:hideMark/>
          </w:tcPr>
          <w:p w:rsidR="00C97002" w:rsidRPr="00EA6851" w:rsidRDefault="00C97002" w:rsidP="00C97002">
            <w:pPr>
              <w:jc w:val="center"/>
              <w:rPr>
                <w:rFonts w:cs="Times New Roman"/>
                <w:b/>
                <w:bCs/>
                <w:i/>
                <w:iCs/>
                <w:color w:val="000000"/>
                <w:sz w:val="18"/>
                <w:szCs w:val="18"/>
              </w:rPr>
            </w:pPr>
            <w:r w:rsidRPr="00EA6851">
              <w:rPr>
                <w:rFonts w:eastAsia="Calibri" w:cs="Times New Roman"/>
                <w:b/>
                <w:bCs/>
                <w:i/>
                <w:iCs/>
                <w:color w:val="000000"/>
                <w:sz w:val="18"/>
                <w:szCs w:val="18"/>
              </w:rPr>
              <w:t>Прогноза 2026 г.</w:t>
            </w:r>
          </w:p>
        </w:tc>
      </w:tr>
      <w:tr w:rsidR="00C97002" w:rsidRPr="00EA6851" w:rsidTr="0097230C">
        <w:trPr>
          <w:trHeight w:val="540"/>
          <w:jc w:val="center"/>
        </w:trPr>
        <w:tc>
          <w:tcPr>
            <w:tcW w:w="2445" w:type="dxa"/>
            <w:vMerge w:val="restart"/>
            <w:tcBorders>
              <w:top w:val="single" w:sz="4" w:space="0" w:color="auto"/>
            </w:tcBorders>
            <w:shd w:val="clear" w:color="auto" w:fill="FFFFFF" w:themeFill="background1"/>
            <w:vAlign w:val="center"/>
            <w:hideMark/>
          </w:tcPr>
          <w:p w:rsidR="00C97002" w:rsidRPr="00EA6851" w:rsidRDefault="00C97002" w:rsidP="00C97002">
            <w:pPr>
              <w:rPr>
                <w:rFonts w:cs="Times New Roman"/>
                <w:color w:val="000000"/>
                <w:sz w:val="18"/>
                <w:szCs w:val="18"/>
              </w:rPr>
            </w:pPr>
            <w:r w:rsidRPr="00EA6851">
              <w:rPr>
                <w:rFonts w:eastAsia="Calibri" w:cs="Times New Roman"/>
                <w:color w:val="000000"/>
                <w:sz w:val="18"/>
                <w:szCs w:val="18"/>
              </w:rPr>
              <w:t xml:space="preserve">1. Изпълнение на годишния план за приходите - дял на събраните приходи в общата стойност на планираните приходи </w:t>
            </w:r>
          </w:p>
        </w:tc>
        <w:tc>
          <w:tcPr>
            <w:tcW w:w="2011" w:type="dxa"/>
            <w:tcBorders>
              <w:top w:val="single" w:sz="4" w:space="0" w:color="auto"/>
            </w:tcBorders>
            <w:shd w:val="clear" w:color="auto" w:fill="FFFFFF" w:themeFill="background1"/>
            <w:vAlign w:val="center"/>
            <w:hideMark/>
          </w:tcPr>
          <w:p w:rsidR="00C97002" w:rsidRPr="00EA6851" w:rsidRDefault="00C97002" w:rsidP="00C97002">
            <w:pPr>
              <w:jc w:val="center"/>
              <w:rPr>
                <w:rFonts w:cs="Times New Roman"/>
                <w:i/>
                <w:color w:val="000000"/>
                <w:sz w:val="18"/>
                <w:szCs w:val="18"/>
              </w:rPr>
            </w:pPr>
            <w:r w:rsidRPr="00EA6851">
              <w:rPr>
                <w:rFonts w:cs="Times New Roman"/>
                <w:i/>
                <w:color w:val="000000"/>
                <w:sz w:val="18"/>
                <w:szCs w:val="18"/>
              </w:rPr>
              <w:t>на НАП</w:t>
            </w:r>
          </w:p>
        </w:tc>
        <w:tc>
          <w:tcPr>
            <w:tcW w:w="1329" w:type="dxa"/>
            <w:tcBorders>
              <w:top w:val="single" w:sz="4" w:space="0" w:color="auto"/>
            </w:tcBorders>
            <w:shd w:val="clear" w:color="auto" w:fill="F2F2F2" w:themeFill="background1" w:themeFillShade="F2"/>
            <w:vAlign w:val="center"/>
            <w:hideMark/>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w:t>
            </w:r>
          </w:p>
        </w:tc>
        <w:tc>
          <w:tcPr>
            <w:tcW w:w="920" w:type="dxa"/>
            <w:tcBorders>
              <w:top w:val="single" w:sz="4" w:space="0" w:color="auto"/>
            </w:tcBorders>
            <w:shd w:val="clear" w:color="auto" w:fill="FFFFFF" w:themeFill="background1"/>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100</w:t>
            </w:r>
          </w:p>
        </w:tc>
        <w:tc>
          <w:tcPr>
            <w:tcW w:w="932" w:type="dxa"/>
            <w:tcBorders>
              <w:top w:val="single" w:sz="4" w:space="0" w:color="auto"/>
            </w:tcBorders>
            <w:shd w:val="clear" w:color="auto" w:fill="FFFFFF" w:themeFill="background1"/>
            <w:vAlign w:val="center"/>
            <w:hideMark/>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100</w:t>
            </w:r>
          </w:p>
        </w:tc>
        <w:tc>
          <w:tcPr>
            <w:tcW w:w="948" w:type="dxa"/>
            <w:tcBorders>
              <w:top w:val="single" w:sz="4" w:space="0" w:color="auto"/>
            </w:tcBorders>
            <w:shd w:val="clear" w:color="auto" w:fill="FFFFFF" w:themeFill="background1"/>
            <w:vAlign w:val="center"/>
            <w:hideMark/>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100</w:t>
            </w:r>
          </w:p>
        </w:tc>
        <w:tc>
          <w:tcPr>
            <w:tcW w:w="1034" w:type="dxa"/>
            <w:tcBorders>
              <w:top w:val="single" w:sz="4" w:space="0" w:color="auto"/>
            </w:tcBorders>
            <w:shd w:val="clear" w:color="auto" w:fill="FFFFFF" w:themeFill="background1"/>
            <w:vAlign w:val="center"/>
            <w:hideMark/>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100</w:t>
            </w:r>
          </w:p>
        </w:tc>
      </w:tr>
      <w:tr w:rsidR="00C97002" w:rsidRPr="00EA6851" w:rsidTr="0097230C">
        <w:trPr>
          <w:trHeight w:val="354"/>
          <w:jc w:val="center"/>
        </w:trPr>
        <w:tc>
          <w:tcPr>
            <w:tcW w:w="2445" w:type="dxa"/>
            <w:vMerge/>
            <w:shd w:val="clear" w:color="auto" w:fill="FFFFFF" w:themeFill="background1"/>
            <w:vAlign w:val="center"/>
            <w:hideMark/>
          </w:tcPr>
          <w:p w:rsidR="00C97002" w:rsidRPr="00EA6851" w:rsidRDefault="00C97002" w:rsidP="00C97002">
            <w:pPr>
              <w:rPr>
                <w:rFonts w:cs="Times New Roman"/>
                <w:color w:val="000000"/>
                <w:sz w:val="18"/>
                <w:szCs w:val="18"/>
              </w:rPr>
            </w:pPr>
          </w:p>
        </w:tc>
        <w:tc>
          <w:tcPr>
            <w:tcW w:w="2011" w:type="dxa"/>
            <w:shd w:val="clear" w:color="auto" w:fill="FFFFFF" w:themeFill="background1"/>
            <w:vAlign w:val="center"/>
            <w:hideMark/>
          </w:tcPr>
          <w:p w:rsidR="00C97002" w:rsidRPr="00EA6851" w:rsidRDefault="00C97002" w:rsidP="00C97002">
            <w:pPr>
              <w:jc w:val="center"/>
              <w:rPr>
                <w:rFonts w:cs="Times New Roman"/>
                <w:i/>
                <w:color w:val="000000"/>
                <w:sz w:val="18"/>
                <w:szCs w:val="18"/>
              </w:rPr>
            </w:pPr>
            <w:r w:rsidRPr="00EA6851">
              <w:rPr>
                <w:rFonts w:eastAsia="Calibri" w:cs="Times New Roman"/>
                <w:i/>
                <w:color w:val="000000"/>
                <w:sz w:val="18"/>
                <w:szCs w:val="18"/>
              </w:rPr>
              <w:t>на  АМ</w:t>
            </w:r>
          </w:p>
        </w:tc>
        <w:tc>
          <w:tcPr>
            <w:tcW w:w="1329" w:type="dxa"/>
            <w:shd w:val="clear" w:color="auto" w:fill="F2F2F2" w:themeFill="background1" w:themeFillShade="F2"/>
            <w:vAlign w:val="center"/>
            <w:hideMark/>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w:t>
            </w:r>
          </w:p>
        </w:tc>
        <w:tc>
          <w:tcPr>
            <w:tcW w:w="920" w:type="dxa"/>
            <w:shd w:val="clear" w:color="auto" w:fill="FFFFFF" w:themeFill="background1"/>
          </w:tcPr>
          <w:p w:rsidR="00C97002" w:rsidRPr="00EA6851" w:rsidRDefault="00C97002" w:rsidP="00C97002">
            <w:pPr>
              <w:jc w:val="center"/>
              <w:rPr>
                <w:rFonts w:cs="Times New Roman"/>
                <w:color w:val="000000"/>
                <w:sz w:val="18"/>
                <w:szCs w:val="18"/>
              </w:rPr>
            </w:pPr>
          </w:p>
          <w:p w:rsidR="00C97002" w:rsidRPr="00EA6851" w:rsidRDefault="00C97002" w:rsidP="00C97002">
            <w:pPr>
              <w:jc w:val="center"/>
              <w:rPr>
                <w:rFonts w:cs="Times New Roman"/>
                <w:color w:val="000000"/>
                <w:sz w:val="18"/>
                <w:szCs w:val="18"/>
              </w:rPr>
            </w:pPr>
            <w:r w:rsidRPr="00EA6851">
              <w:rPr>
                <w:rFonts w:cs="Times New Roman"/>
                <w:color w:val="000000"/>
                <w:sz w:val="18"/>
                <w:szCs w:val="18"/>
              </w:rPr>
              <w:t>100</w:t>
            </w:r>
          </w:p>
        </w:tc>
        <w:tc>
          <w:tcPr>
            <w:tcW w:w="932" w:type="dxa"/>
            <w:shd w:val="clear" w:color="auto" w:fill="FFFFFF" w:themeFill="background1"/>
            <w:vAlign w:val="center"/>
            <w:hideMark/>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100</w:t>
            </w:r>
          </w:p>
        </w:tc>
        <w:tc>
          <w:tcPr>
            <w:tcW w:w="948" w:type="dxa"/>
            <w:shd w:val="clear" w:color="auto" w:fill="FFFFFF" w:themeFill="background1"/>
            <w:vAlign w:val="center"/>
            <w:hideMark/>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100</w:t>
            </w:r>
          </w:p>
        </w:tc>
        <w:tc>
          <w:tcPr>
            <w:tcW w:w="1034" w:type="dxa"/>
            <w:shd w:val="clear" w:color="auto" w:fill="FFFFFF" w:themeFill="background1"/>
            <w:vAlign w:val="center"/>
            <w:hideMark/>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100</w:t>
            </w:r>
          </w:p>
        </w:tc>
      </w:tr>
      <w:tr w:rsidR="00C97002" w:rsidRPr="00EA6851" w:rsidTr="0097230C">
        <w:trPr>
          <w:trHeight w:val="676"/>
          <w:jc w:val="center"/>
        </w:trPr>
        <w:tc>
          <w:tcPr>
            <w:tcW w:w="4456" w:type="dxa"/>
            <w:gridSpan w:val="2"/>
            <w:shd w:val="clear" w:color="auto" w:fill="FFFFFF" w:themeFill="background1"/>
            <w:vAlign w:val="center"/>
            <w:hideMark/>
          </w:tcPr>
          <w:p w:rsidR="00C97002" w:rsidRPr="00EA6851" w:rsidRDefault="00C97002" w:rsidP="00C97002">
            <w:pPr>
              <w:rPr>
                <w:rFonts w:cs="Times New Roman"/>
                <w:color w:val="000000"/>
                <w:sz w:val="18"/>
                <w:szCs w:val="18"/>
              </w:rPr>
            </w:pPr>
            <w:r w:rsidRPr="00EA6851">
              <w:rPr>
                <w:rFonts w:cs="Times New Roman"/>
                <w:color w:val="000000"/>
                <w:sz w:val="18"/>
                <w:szCs w:val="18"/>
              </w:rPr>
              <w:t>2. Дял на подадените по електронен път декларации – по чл.</w:t>
            </w:r>
            <w:r w:rsidR="00B200F3" w:rsidRPr="00EA6851">
              <w:rPr>
                <w:rFonts w:cs="Times New Roman"/>
                <w:color w:val="000000"/>
                <w:sz w:val="18"/>
                <w:szCs w:val="18"/>
              </w:rPr>
              <w:t xml:space="preserve"> </w:t>
            </w:r>
            <w:r w:rsidRPr="00EA6851">
              <w:rPr>
                <w:rFonts w:cs="Times New Roman"/>
                <w:color w:val="000000"/>
                <w:sz w:val="18"/>
                <w:szCs w:val="18"/>
              </w:rPr>
              <w:t xml:space="preserve">50 </w:t>
            </w:r>
            <w:r w:rsidR="009404D1" w:rsidRPr="00EA6851">
              <w:rPr>
                <w:rFonts w:cs="Times New Roman"/>
                <w:color w:val="000000"/>
                <w:sz w:val="18"/>
                <w:szCs w:val="18"/>
              </w:rPr>
              <w:t xml:space="preserve">от </w:t>
            </w:r>
            <w:r w:rsidRPr="00EA6851">
              <w:rPr>
                <w:rFonts w:cs="Times New Roman"/>
                <w:color w:val="000000"/>
                <w:sz w:val="18"/>
                <w:szCs w:val="18"/>
              </w:rPr>
              <w:t>ЗДДФЛ (декларациите по ЗДДС, ЗМ и чл.</w:t>
            </w:r>
            <w:r w:rsidR="00291C06">
              <w:rPr>
                <w:rFonts w:cs="Times New Roman"/>
                <w:color w:val="000000"/>
                <w:sz w:val="18"/>
                <w:szCs w:val="18"/>
              </w:rPr>
              <w:t xml:space="preserve"> </w:t>
            </w:r>
            <w:r w:rsidRPr="00EA6851">
              <w:rPr>
                <w:rFonts w:cs="Times New Roman"/>
                <w:color w:val="000000"/>
                <w:sz w:val="18"/>
                <w:szCs w:val="18"/>
              </w:rPr>
              <w:t>92 на ЗКПО се подават задължително по електронен път)</w:t>
            </w:r>
          </w:p>
        </w:tc>
        <w:tc>
          <w:tcPr>
            <w:tcW w:w="1329" w:type="dxa"/>
            <w:shd w:val="clear" w:color="auto" w:fill="F2F2F2" w:themeFill="background1" w:themeFillShade="F2"/>
            <w:vAlign w:val="center"/>
            <w:hideMark/>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w:t>
            </w:r>
          </w:p>
        </w:tc>
        <w:tc>
          <w:tcPr>
            <w:tcW w:w="920" w:type="dxa"/>
            <w:shd w:val="clear" w:color="auto" w:fill="FFFFFF" w:themeFill="background1"/>
          </w:tcPr>
          <w:p w:rsidR="00C97002" w:rsidRPr="00EA6851" w:rsidRDefault="00C97002" w:rsidP="00C97002">
            <w:pPr>
              <w:jc w:val="center"/>
              <w:rPr>
                <w:rFonts w:cs="Times New Roman"/>
                <w:sz w:val="18"/>
                <w:szCs w:val="18"/>
              </w:rPr>
            </w:pPr>
          </w:p>
          <w:p w:rsidR="00C97002" w:rsidRPr="00EA6851" w:rsidRDefault="00C97002" w:rsidP="00C97002">
            <w:pPr>
              <w:jc w:val="center"/>
              <w:rPr>
                <w:rFonts w:cs="Times New Roman"/>
                <w:sz w:val="18"/>
                <w:szCs w:val="18"/>
              </w:rPr>
            </w:pPr>
            <w:r w:rsidRPr="00EA6851">
              <w:rPr>
                <w:rFonts w:cs="Times New Roman"/>
                <w:sz w:val="18"/>
                <w:szCs w:val="18"/>
              </w:rPr>
              <w:t>84,0</w:t>
            </w:r>
          </w:p>
        </w:tc>
        <w:tc>
          <w:tcPr>
            <w:tcW w:w="932" w:type="dxa"/>
            <w:shd w:val="clear" w:color="auto" w:fill="FFFFFF" w:themeFill="background1"/>
            <w:vAlign w:val="center"/>
            <w:hideMark/>
          </w:tcPr>
          <w:p w:rsidR="00C97002" w:rsidRPr="00EA6851" w:rsidRDefault="00C97002" w:rsidP="00C97002">
            <w:pPr>
              <w:jc w:val="center"/>
              <w:rPr>
                <w:rFonts w:cs="Times New Roman"/>
                <w:sz w:val="18"/>
                <w:szCs w:val="18"/>
              </w:rPr>
            </w:pPr>
            <w:r w:rsidRPr="00EA6851">
              <w:rPr>
                <w:rFonts w:cs="Times New Roman"/>
                <w:sz w:val="18"/>
                <w:szCs w:val="18"/>
              </w:rPr>
              <w:t>87,0</w:t>
            </w:r>
          </w:p>
        </w:tc>
        <w:tc>
          <w:tcPr>
            <w:tcW w:w="948" w:type="dxa"/>
            <w:shd w:val="clear" w:color="auto" w:fill="FFFFFF" w:themeFill="background1"/>
            <w:vAlign w:val="center"/>
            <w:hideMark/>
          </w:tcPr>
          <w:p w:rsidR="00C97002" w:rsidRPr="00EA6851" w:rsidRDefault="00C97002" w:rsidP="00C97002">
            <w:pPr>
              <w:jc w:val="center"/>
              <w:rPr>
                <w:rFonts w:cs="Times New Roman"/>
                <w:sz w:val="18"/>
                <w:szCs w:val="18"/>
              </w:rPr>
            </w:pPr>
            <w:r w:rsidRPr="00EA6851">
              <w:rPr>
                <w:rFonts w:cs="Times New Roman"/>
                <w:sz w:val="18"/>
                <w:szCs w:val="18"/>
              </w:rPr>
              <w:t>87,0</w:t>
            </w:r>
          </w:p>
        </w:tc>
        <w:tc>
          <w:tcPr>
            <w:tcW w:w="1034" w:type="dxa"/>
            <w:shd w:val="clear" w:color="auto" w:fill="FFFFFF" w:themeFill="background1"/>
            <w:vAlign w:val="center"/>
            <w:hideMark/>
          </w:tcPr>
          <w:p w:rsidR="00C97002" w:rsidRPr="00EA6851" w:rsidRDefault="00C97002" w:rsidP="00C97002">
            <w:pPr>
              <w:jc w:val="center"/>
              <w:rPr>
                <w:rFonts w:cs="Times New Roman"/>
                <w:sz w:val="18"/>
                <w:szCs w:val="18"/>
              </w:rPr>
            </w:pPr>
            <w:r w:rsidRPr="00EA6851">
              <w:rPr>
                <w:rFonts w:cs="Times New Roman"/>
                <w:sz w:val="18"/>
                <w:szCs w:val="18"/>
              </w:rPr>
              <w:t>87,0</w:t>
            </w:r>
          </w:p>
        </w:tc>
      </w:tr>
      <w:tr w:rsidR="00C97002" w:rsidRPr="00EA6851" w:rsidTr="0097230C">
        <w:trPr>
          <w:trHeight w:val="745"/>
          <w:jc w:val="center"/>
        </w:trPr>
        <w:tc>
          <w:tcPr>
            <w:tcW w:w="4456" w:type="dxa"/>
            <w:gridSpan w:val="2"/>
            <w:shd w:val="clear" w:color="auto" w:fill="FFFFFF" w:themeFill="background1"/>
            <w:vAlign w:val="center"/>
            <w:hideMark/>
          </w:tcPr>
          <w:p w:rsidR="00C97002" w:rsidRPr="00EA6851" w:rsidRDefault="00C97002" w:rsidP="00C97002">
            <w:pPr>
              <w:rPr>
                <w:rFonts w:cs="Times New Roman"/>
                <w:color w:val="000000"/>
                <w:sz w:val="18"/>
                <w:szCs w:val="18"/>
              </w:rPr>
            </w:pPr>
            <w:r w:rsidRPr="00EA6851">
              <w:rPr>
                <w:rFonts w:cs="Times New Roman"/>
                <w:color w:val="000000"/>
                <w:sz w:val="18"/>
                <w:szCs w:val="18"/>
              </w:rPr>
              <w:t>3. Относителен дял на декларираните задължения към НАП, погасени в рамките на календарната година, спрямо общия размер на декларираните през годината задължения</w:t>
            </w:r>
          </w:p>
        </w:tc>
        <w:tc>
          <w:tcPr>
            <w:tcW w:w="1329" w:type="dxa"/>
            <w:shd w:val="clear" w:color="auto" w:fill="F2F2F2" w:themeFill="background1" w:themeFillShade="F2"/>
            <w:vAlign w:val="center"/>
            <w:hideMark/>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w:t>
            </w:r>
          </w:p>
        </w:tc>
        <w:tc>
          <w:tcPr>
            <w:tcW w:w="920" w:type="dxa"/>
            <w:shd w:val="clear" w:color="auto" w:fill="FFFFFF" w:themeFill="background1"/>
          </w:tcPr>
          <w:p w:rsidR="00C97002" w:rsidRPr="00EA6851" w:rsidRDefault="00C97002" w:rsidP="00C97002">
            <w:pPr>
              <w:jc w:val="center"/>
              <w:rPr>
                <w:rFonts w:cs="Times New Roman"/>
                <w:sz w:val="18"/>
                <w:szCs w:val="18"/>
              </w:rPr>
            </w:pPr>
          </w:p>
          <w:p w:rsidR="00C97002" w:rsidRPr="00EA6851" w:rsidRDefault="00C97002" w:rsidP="00C97002">
            <w:pPr>
              <w:jc w:val="center"/>
              <w:rPr>
                <w:rFonts w:cs="Times New Roman"/>
                <w:sz w:val="18"/>
                <w:szCs w:val="18"/>
              </w:rPr>
            </w:pPr>
            <w:r w:rsidRPr="00EA6851">
              <w:rPr>
                <w:rFonts w:cs="Times New Roman"/>
                <w:sz w:val="18"/>
                <w:szCs w:val="18"/>
              </w:rPr>
              <w:t>97,0</w:t>
            </w:r>
          </w:p>
        </w:tc>
        <w:tc>
          <w:tcPr>
            <w:tcW w:w="932" w:type="dxa"/>
            <w:shd w:val="clear" w:color="auto" w:fill="FFFFFF" w:themeFill="background1"/>
            <w:vAlign w:val="center"/>
            <w:hideMark/>
          </w:tcPr>
          <w:p w:rsidR="00C97002" w:rsidRPr="00EA6851" w:rsidRDefault="00C97002" w:rsidP="00C97002">
            <w:pPr>
              <w:jc w:val="center"/>
              <w:rPr>
                <w:rFonts w:cs="Times New Roman"/>
                <w:color w:val="000000"/>
                <w:sz w:val="18"/>
                <w:szCs w:val="18"/>
              </w:rPr>
            </w:pPr>
            <w:r w:rsidRPr="00EA6851">
              <w:rPr>
                <w:rFonts w:cs="Times New Roman"/>
                <w:sz w:val="18"/>
                <w:szCs w:val="18"/>
              </w:rPr>
              <w:t>97,0</w:t>
            </w:r>
          </w:p>
        </w:tc>
        <w:tc>
          <w:tcPr>
            <w:tcW w:w="948" w:type="dxa"/>
            <w:shd w:val="clear" w:color="auto" w:fill="FFFFFF" w:themeFill="background1"/>
            <w:vAlign w:val="center"/>
            <w:hideMark/>
          </w:tcPr>
          <w:p w:rsidR="00C97002" w:rsidRPr="00EA6851" w:rsidRDefault="00C97002" w:rsidP="00C97002">
            <w:pPr>
              <w:jc w:val="center"/>
              <w:rPr>
                <w:rFonts w:cs="Times New Roman"/>
                <w:color w:val="000000"/>
                <w:sz w:val="18"/>
                <w:szCs w:val="18"/>
              </w:rPr>
            </w:pPr>
            <w:r w:rsidRPr="00EA6851">
              <w:rPr>
                <w:rFonts w:cs="Times New Roman"/>
                <w:sz w:val="18"/>
                <w:szCs w:val="18"/>
              </w:rPr>
              <w:t>97,0</w:t>
            </w:r>
          </w:p>
        </w:tc>
        <w:tc>
          <w:tcPr>
            <w:tcW w:w="1034" w:type="dxa"/>
            <w:shd w:val="clear" w:color="auto" w:fill="FFFFFF" w:themeFill="background1"/>
            <w:vAlign w:val="center"/>
            <w:hideMark/>
          </w:tcPr>
          <w:p w:rsidR="00C97002" w:rsidRPr="00EA6851" w:rsidRDefault="00C97002" w:rsidP="00C97002">
            <w:pPr>
              <w:jc w:val="center"/>
              <w:rPr>
                <w:rFonts w:cs="Times New Roman"/>
                <w:color w:val="000000"/>
                <w:sz w:val="18"/>
                <w:szCs w:val="18"/>
              </w:rPr>
            </w:pPr>
            <w:r w:rsidRPr="00EA6851">
              <w:rPr>
                <w:rFonts w:cs="Times New Roman"/>
                <w:sz w:val="18"/>
                <w:szCs w:val="18"/>
              </w:rPr>
              <w:t>97,0</w:t>
            </w:r>
          </w:p>
        </w:tc>
      </w:tr>
      <w:tr w:rsidR="00C97002" w:rsidRPr="00EA6851" w:rsidTr="0097230C">
        <w:trPr>
          <w:trHeight w:val="720"/>
          <w:jc w:val="center"/>
        </w:trPr>
        <w:tc>
          <w:tcPr>
            <w:tcW w:w="4456" w:type="dxa"/>
            <w:gridSpan w:val="2"/>
            <w:shd w:val="clear" w:color="auto" w:fill="FFFFFF" w:themeFill="background1"/>
            <w:vAlign w:val="center"/>
            <w:hideMark/>
          </w:tcPr>
          <w:p w:rsidR="00C97002" w:rsidRPr="00EA6851" w:rsidRDefault="00C97002" w:rsidP="00C97002">
            <w:pPr>
              <w:rPr>
                <w:rFonts w:cs="Times New Roman"/>
                <w:sz w:val="18"/>
                <w:szCs w:val="18"/>
              </w:rPr>
            </w:pPr>
            <w:r w:rsidRPr="00EA6851">
              <w:rPr>
                <w:rFonts w:cs="Times New Roman"/>
                <w:sz w:val="18"/>
                <w:szCs w:val="18"/>
              </w:rPr>
              <w:t>4. Развитие на контролната дейност на НАП чрез повишаване на капацитета за осъществяван</w:t>
            </w:r>
            <w:r w:rsidR="009A7F5D" w:rsidRPr="00EA6851">
              <w:rPr>
                <w:rFonts w:cs="Times New Roman"/>
                <w:sz w:val="18"/>
                <w:szCs w:val="18"/>
              </w:rPr>
              <w:t xml:space="preserve">е на контрол в дигитална среда </w:t>
            </w:r>
            <w:r w:rsidRPr="00EA6851">
              <w:rPr>
                <w:rFonts w:cs="Times New Roman"/>
                <w:sz w:val="18"/>
                <w:szCs w:val="18"/>
              </w:rPr>
              <w:t>- Брой контролни производства:</w:t>
            </w:r>
          </w:p>
        </w:tc>
        <w:tc>
          <w:tcPr>
            <w:tcW w:w="1329" w:type="dxa"/>
            <w:shd w:val="clear" w:color="auto" w:fill="F2F2F2" w:themeFill="background1" w:themeFillShade="F2"/>
            <w:vAlign w:val="center"/>
            <w:hideMark/>
          </w:tcPr>
          <w:p w:rsidR="00C97002" w:rsidRPr="00EA6851" w:rsidRDefault="00C97002" w:rsidP="00C97002">
            <w:pPr>
              <w:jc w:val="center"/>
              <w:rPr>
                <w:rFonts w:cs="Times New Roman"/>
                <w:sz w:val="18"/>
                <w:szCs w:val="18"/>
              </w:rPr>
            </w:pPr>
            <w:r w:rsidRPr="00EA6851">
              <w:rPr>
                <w:rFonts w:cs="Times New Roman"/>
                <w:sz w:val="18"/>
                <w:szCs w:val="18"/>
              </w:rPr>
              <w:t> </w:t>
            </w:r>
          </w:p>
        </w:tc>
        <w:tc>
          <w:tcPr>
            <w:tcW w:w="920" w:type="dxa"/>
            <w:shd w:val="clear" w:color="auto" w:fill="FFFFFF" w:themeFill="background1"/>
          </w:tcPr>
          <w:p w:rsidR="00C97002" w:rsidRPr="00EA6851" w:rsidRDefault="00C97002" w:rsidP="00C97002">
            <w:pPr>
              <w:jc w:val="center"/>
              <w:rPr>
                <w:rFonts w:cs="Times New Roman"/>
                <w:sz w:val="18"/>
                <w:szCs w:val="18"/>
              </w:rPr>
            </w:pPr>
          </w:p>
        </w:tc>
        <w:tc>
          <w:tcPr>
            <w:tcW w:w="932" w:type="dxa"/>
            <w:shd w:val="clear" w:color="auto" w:fill="FFFFFF" w:themeFill="background1"/>
            <w:vAlign w:val="center"/>
            <w:hideMark/>
          </w:tcPr>
          <w:p w:rsidR="00C97002" w:rsidRPr="00EA6851" w:rsidRDefault="00C97002" w:rsidP="00C97002">
            <w:pPr>
              <w:jc w:val="center"/>
              <w:rPr>
                <w:rFonts w:cs="Times New Roman"/>
                <w:sz w:val="18"/>
                <w:szCs w:val="18"/>
              </w:rPr>
            </w:pPr>
            <w:r w:rsidRPr="00EA6851">
              <w:rPr>
                <w:rFonts w:cs="Times New Roman"/>
                <w:sz w:val="18"/>
                <w:szCs w:val="18"/>
              </w:rPr>
              <w:t> </w:t>
            </w:r>
          </w:p>
        </w:tc>
        <w:tc>
          <w:tcPr>
            <w:tcW w:w="948" w:type="dxa"/>
            <w:shd w:val="clear" w:color="auto" w:fill="FFFFFF" w:themeFill="background1"/>
            <w:vAlign w:val="center"/>
            <w:hideMark/>
          </w:tcPr>
          <w:p w:rsidR="00C97002" w:rsidRPr="00EA6851" w:rsidRDefault="00C97002" w:rsidP="00C97002">
            <w:pPr>
              <w:jc w:val="center"/>
              <w:rPr>
                <w:rFonts w:cs="Times New Roman"/>
                <w:sz w:val="18"/>
                <w:szCs w:val="18"/>
              </w:rPr>
            </w:pPr>
            <w:r w:rsidRPr="00EA6851">
              <w:rPr>
                <w:rFonts w:cs="Times New Roman"/>
                <w:sz w:val="18"/>
                <w:szCs w:val="18"/>
              </w:rPr>
              <w:t> </w:t>
            </w:r>
          </w:p>
        </w:tc>
        <w:tc>
          <w:tcPr>
            <w:tcW w:w="1034" w:type="dxa"/>
            <w:shd w:val="clear" w:color="auto" w:fill="FFFFFF" w:themeFill="background1"/>
            <w:vAlign w:val="center"/>
            <w:hideMark/>
          </w:tcPr>
          <w:p w:rsidR="00C97002" w:rsidRPr="00EA6851" w:rsidRDefault="00C97002" w:rsidP="00C97002">
            <w:pPr>
              <w:jc w:val="center"/>
              <w:rPr>
                <w:rFonts w:cs="Times New Roman"/>
                <w:sz w:val="18"/>
                <w:szCs w:val="18"/>
              </w:rPr>
            </w:pPr>
            <w:r w:rsidRPr="00EA6851">
              <w:rPr>
                <w:rFonts w:cs="Times New Roman"/>
                <w:sz w:val="18"/>
                <w:szCs w:val="18"/>
              </w:rPr>
              <w:t> </w:t>
            </w:r>
          </w:p>
        </w:tc>
      </w:tr>
      <w:tr w:rsidR="00C97002" w:rsidRPr="00EA6851" w:rsidTr="0097230C">
        <w:trPr>
          <w:trHeight w:val="281"/>
          <w:jc w:val="center"/>
        </w:trPr>
        <w:tc>
          <w:tcPr>
            <w:tcW w:w="4456" w:type="dxa"/>
            <w:gridSpan w:val="2"/>
            <w:shd w:val="clear" w:color="auto" w:fill="FFFFFF" w:themeFill="background1"/>
            <w:vAlign w:val="center"/>
            <w:hideMark/>
          </w:tcPr>
          <w:p w:rsidR="00C97002" w:rsidRPr="00EA6851" w:rsidRDefault="00C97002" w:rsidP="00C97002">
            <w:pPr>
              <w:rPr>
                <w:rFonts w:cs="Times New Roman"/>
                <w:color w:val="000000"/>
                <w:sz w:val="18"/>
                <w:szCs w:val="18"/>
              </w:rPr>
            </w:pPr>
            <w:r w:rsidRPr="00EA6851">
              <w:rPr>
                <w:rFonts w:cs="Times New Roman"/>
                <w:color w:val="000000"/>
                <w:sz w:val="18"/>
                <w:szCs w:val="18"/>
              </w:rPr>
              <w:t>- спрямо лица, осъществяващи търговска дейност в интернет;</w:t>
            </w:r>
          </w:p>
        </w:tc>
        <w:tc>
          <w:tcPr>
            <w:tcW w:w="1329" w:type="dxa"/>
            <w:shd w:val="clear" w:color="auto" w:fill="F2F2F2" w:themeFill="background1" w:themeFillShade="F2"/>
            <w:vAlign w:val="center"/>
            <w:hideMark/>
          </w:tcPr>
          <w:p w:rsidR="00C97002" w:rsidRPr="00EA6851" w:rsidRDefault="009404D1" w:rsidP="00C97002">
            <w:pPr>
              <w:jc w:val="center"/>
              <w:rPr>
                <w:rFonts w:cs="Times New Roman"/>
                <w:color w:val="000000"/>
                <w:sz w:val="18"/>
                <w:szCs w:val="18"/>
              </w:rPr>
            </w:pPr>
            <w:r w:rsidRPr="00EA6851">
              <w:rPr>
                <w:rFonts w:cs="Times New Roman"/>
                <w:color w:val="000000"/>
                <w:sz w:val="18"/>
                <w:szCs w:val="18"/>
              </w:rPr>
              <w:t>Б</w:t>
            </w:r>
            <w:r w:rsidR="00C97002" w:rsidRPr="00EA6851">
              <w:rPr>
                <w:rFonts w:cs="Times New Roman"/>
                <w:color w:val="000000"/>
                <w:sz w:val="18"/>
                <w:szCs w:val="18"/>
              </w:rPr>
              <w:t>рой</w:t>
            </w:r>
          </w:p>
        </w:tc>
        <w:tc>
          <w:tcPr>
            <w:tcW w:w="920" w:type="dxa"/>
            <w:shd w:val="clear" w:color="auto" w:fill="FFFFFF" w:themeFill="background1"/>
          </w:tcPr>
          <w:p w:rsidR="00C97002" w:rsidRPr="00EA6851" w:rsidRDefault="00C97002" w:rsidP="00C97002">
            <w:pPr>
              <w:jc w:val="center"/>
              <w:rPr>
                <w:rFonts w:cs="Times New Roman"/>
                <w:sz w:val="18"/>
                <w:szCs w:val="18"/>
              </w:rPr>
            </w:pPr>
            <w:r w:rsidRPr="00EA6851">
              <w:rPr>
                <w:rFonts w:cs="Times New Roman"/>
                <w:sz w:val="18"/>
                <w:szCs w:val="18"/>
              </w:rPr>
              <w:t>2 300</w:t>
            </w:r>
          </w:p>
        </w:tc>
        <w:tc>
          <w:tcPr>
            <w:tcW w:w="932" w:type="dxa"/>
            <w:shd w:val="clear" w:color="auto" w:fill="FFFFFF" w:themeFill="background1"/>
            <w:vAlign w:val="center"/>
            <w:hideMark/>
          </w:tcPr>
          <w:p w:rsidR="00C97002" w:rsidRPr="00EA6851" w:rsidRDefault="00C97002" w:rsidP="00C97002">
            <w:pPr>
              <w:jc w:val="center"/>
              <w:rPr>
                <w:rFonts w:cs="Times New Roman"/>
                <w:sz w:val="18"/>
                <w:szCs w:val="18"/>
              </w:rPr>
            </w:pPr>
            <w:r w:rsidRPr="00EA6851">
              <w:rPr>
                <w:rFonts w:cs="Times New Roman"/>
                <w:sz w:val="18"/>
                <w:szCs w:val="18"/>
              </w:rPr>
              <w:t>2 300</w:t>
            </w:r>
          </w:p>
        </w:tc>
        <w:tc>
          <w:tcPr>
            <w:tcW w:w="948" w:type="dxa"/>
            <w:shd w:val="clear" w:color="auto" w:fill="FFFFFF" w:themeFill="background1"/>
            <w:vAlign w:val="center"/>
            <w:hideMark/>
          </w:tcPr>
          <w:p w:rsidR="00C97002" w:rsidRPr="00EA6851" w:rsidRDefault="00C97002" w:rsidP="00C97002">
            <w:pPr>
              <w:jc w:val="center"/>
              <w:rPr>
                <w:rFonts w:cs="Times New Roman"/>
                <w:sz w:val="18"/>
                <w:szCs w:val="18"/>
              </w:rPr>
            </w:pPr>
            <w:r w:rsidRPr="00EA6851">
              <w:rPr>
                <w:rFonts w:cs="Times New Roman"/>
                <w:sz w:val="18"/>
                <w:szCs w:val="18"/>
              </w:rPr>
              <w:t>2 300</w:t>
            </w:r>
          </w:p>
        </w:tc>
        <w:tc>
          <w:tcPr>
            <w:tcW w:w="1034" w:type="dxa"/>
            <w:shd w:val="clear" w:color="auto" w:fill="FFFFFF" w:themeFill="background1"/>
            <w:vAlign w:val="center"/>
            <w:hideMark/>
          </w:tcPr>
          <w:p w:rsidR="00C97002" w:rsidRPr="00EA6851" w:rsidRDefault="00C97002" w:rsidP="00C97002">
            <w:pPr>
              <w:jc w:val="center"/>
              <w:rPr>
                <w:rFonts w:cs="Times New Roman"/>
                <w:sz w:val="18"/>
                <w:szCs w:val="18"/>
              </w:rPr>
            </w:pPr>
            <w:r w:rsidRPr="00EA6851">
              <w:rPr>
                <w:rFonts w:cs="Times New Roman"/>
                <w:sz w:val="18"/>
                <w:szCs w:val="18"/>
              </w:rPr>
              <w:t>2 300</w:t>
            </w:r>
          </w:p>
        </w:tc>
      </w:tr>
      <w:tr w:rsidR="00C97002" w:rsidRPr="00EA6851" w:rsidTr="0097230C">
        <w:trPr>
          <w:trHeight w:val="341"/>
          <w:jc w:val="center"/>
        </w:trPr>
        <w:tc>
          <w:tcPr>
            <w:tcW w:w="4456" w:type="dxa"/>
            <w:gridSpan w:val="2"/>
            <w:shd w:val="clear" w:color="auto" w:fill="FFFFFF" w:themeFill="background1"/>
            <w:vAlign w:val="center"/>
            <w:hideMark/>
          </w:tcPr>
          <w:p w:rsidR="00C97002" w:rsidRPr="00EA6851" w:rsidRDefault="00C97002" w:rsidP="00C97002">
            <w:pPr>
              <w:rPr>
                <w:rFonts w:cs="Times New Roman"/>
                <w:color w:val="000000"/>
                <w:sz w:val="18"/>
                <w:szCs w:val="18"/>
              </w:rPr>
            </w:pPr>
            <w:r w:rsidRPr="00EA6851">
              <w:rPr>
                <w:rFonts w:cs="Times New Roman"/>
                <w:color w:val="000000"/>
                <w:sz w:val="18"/>
                <w:szCs w:val="18"/>
              </w:rPr>
              <w:t>- в които е използван софтуер за анализ на данни в електронен вид.</w:t>
            </w:r>
          </w:p>
        </w:tc>
        <w:tc>
          <w:tcPr>
            <w:tcW w:w="1329" w:type="dxa"/>
            <w:shd w:val="clear" w:color="auto" w:fill="F2F2F2" w:themeFill="background1" w:themeFillShade="F2"/>
            <w:vAlign w:val="center"/>
            <w:hideMark/>
          </w:tcPr>
          <w:p w:rsidR="00C97002" w:rsidRPr="00EA6851" w:rsidRDefault="009404D1" w:rsidP="00C97002">
            <w:pPr>
              <w:jc w:val="center"/>
              <w:rPr>
                <w:rFonts w:cs="Times New Roman"/>
                <w:color w:val="000000"/>
                <w:sz w:val="18"/>
                <w:szCs w:val="18"/>
              </w:rPr>
            </w:pPr>
            <w:r w:rsidRPr="00EA6851">
              <w:rPr>
                <w:rFonts w:cs="Times New Roman"/>
                <w:color w:val="000000"/>
                <w:sz w:val="18"/>
                <w:szCs w:val="18"/>
              </w:rPr>
              <w:t>Б</w:t>
            </w:r>
            <w:r w:rsidR="00C97002" w:rsidRPr="00EA6851">
              <w:rPr>
                <w:rFonts w:cs="Times New Roman"/>
                <w:color w:val="000000"/>
                <w:sz w:val="18"/>
                <w:szCs w:val="18"/>
              </w:rPr>
              <w:t>рой</w:t>
            </w:r>
          </w:p>
        </w:tc>
        <w:tc>
          <w:tcPr>
            <w:tcW w:w="920" w:type="dxa"/>
            <w:shd w:val="clear" w:color="auto" w:fill="FFFFFF" w:themeFill="background1"/>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350</w:t>
            </w:r>
          </w:p>
        </w:tc>
        <w:tc>
          <w:tcPr>
            <w:tcW w:w="932" w:type="dxa"/>
            <w:shd w:val="clear" w:color="auto" w:fill="FFFFFF" w:themeFill="background1"/>
            <w:vAlign w:val="center"/>
            <w:hideMark/>
          </w:tcPr>
          <w:p w:rsidR="00C97002" w:rsidRPr="00EA6851" w:rsidRDefault="00C97002" w:rsidP="00C97002">
            <w:pPr>
              <w:jc w:val="center"/>
              <w:rPr>
                <w:rFonts w:cs="Times New Roman"/>
                <w:sz w:val="18"/>
                <w:szCs w:val="18"/>
              </w:rPr>
            </w:pPr>
            <w:r w:rsidRPr="00EA6851">
              <w:rPr>
                <w:rFonts w:cs="Times New Roman"/>
                <w:color w:val="000000"/>
                <w:sz w:val="18"/>
                <w:szCs w:val="18"/>
              </w:rPr>
              <w:t>400</w:t>
            </w:r>
          </w:p>
        </w:tc>
        <w:tc>
          <w:tcPr>
            <w:tcW w:w="948" w:type="dxa"/>
            <w:shd w:val="clear" w:color="auto" w:fill="FFFFFF" w:themeFill="background1"/>
            <w:vAlign w:val="center"/>
            <w:hideMark/>
          </w:tcPr>
          <w:p w:rsidR="00C97002" w:rsidRPr="00EA6851" w:rsidRDefault="00C97002" w:rsidP="00C97002">
            <w:pPr>
              <w:jc w:val="center"/>
              <w:rPr>
                <w:rFonts w:cs="Times New Roman"/>
                <w:sz w:val="18"/>
                <w:szCs w:val="18"/>
              </w:rPr>
            </w:pPr>
            <w:r w:rsidRPr="00EA6851">
              <w:rPr>
                <w:rFonts w:cs="Times New Roman"/>
                <w:color w:val="000000"/>
                <w:sz w:val="18"/>
                <w:szCs w:val="18"/>
              </w:rPr>
              <w:t>450</w:t>
            </w:r>
          </w:p>
        </w:tc>
        <w:tc>
          <w:tcPr>
            <w:tcW w:w="1034" w:type="dxa"/>
            <w:shd w:val="clear" w:color="auto" w:fill="FFFFFF" w:themeFill="background1"/>
            <w:vAlign w:val="center"/>
            <w:hideMark/>
          </w:tcPr>
          <w:p w:rsidR="00C97002" w:rsidRPr="00EA6851" w:rsidRDefault="00C97002" w:rsidP="00C97002">
            <w:pPr>
              <w:jc w:val="center"/>
              <w:rPr>
                <w:rFonts w:cs="Times New Roman"/>
                <w:sz w:val="18"/>
                <w:szCs w:val="18"/>
              </w:rPr>
            </w:pPr>
            <w:r w:rsidRPr="00EA6851">
              <w:rPr>
                <w:rFonts w:cs="Times New Roman"/>
                <w:color w:val="000000"/>
                <w:sz w:val="18"/>
                <w:szCs w:val="18"/>
              </w:rPr>
              <w:t>500</w:t>
            </w:r>
          </w:p>
        </w:tc>
      </w:tr>
      <w:tr w:rsidR="00C97002" w:rsidRPr="00EA6851" w:rsidTr="0097230C">
        <w:trPr>
          <w:trHeight w:val="945"/>
          <w:jc w:val="center"/>
        </w:trPr>
        <w:tc>
          <w:tcPr>
            <w:tcW w:w="4456" w:type="dxa"/>
            <w:gridSpan w:val="2"/>
            <w:shd w:val="clear" w:color="auto" w:fill="FFFFFF" w:themeFill="background1"/>
            <w:vAlign w:val="center"/>
            <w:hideMark/>
          </w:tcPr>
          <w:p w:rsidR="00C97002" w:rsidRPr="00EA6851" w:rsidRDefault="00C97002" w:rsidP="00C97002">
            <w:pPr>
              <w:rPr>
                <w:rFonts w:cs="Times New Roman"/>
                <w:color w:val="000000"/>
                <w:sz w:val="18"/>
                <w:szCs w:val="18"/>
              </w:rPr>
            </w:pPr>
            <w:r w:rsidRPr="00EA6851">
              <w:rPr>
                <w:rFonts w:eastAsia="Calibri" w:cs="Times New Roman"/>
                <w:color w:val="000000"/>
                <w:sz w:val="18"/>
                <w:szCs w:val="18"/>
              </w:rPr>
              <w:t>5.</w:t>
            </w:r>
            <w:r w:rsidRPr="00EA6851">
              <w:rPr>
                <w:rFonts w:eastAsia="Calibri" w:cs="Times New Roman"/>
                <w:color w:val="FF0000"/>
                <w:sz w:val="18"/>
                <w:szCs w:val="18"/>
              </w:rPr>
              <w:t xml:space="preserve"> </w:t>
            </w:r>
            <w:r w:rsidRPr="00EA6851">
              <w:rPr>
                <w:rFonts w:eastAsia="Calibri" w:cs="Times New Roman"/>
                <w:color w:val="000000"/>
                <w:sz w:val="18"/>
                <w:szCs w:val="18"/>
              </w:rPr>
              <w:t xml:space="preserve">Относителен дял на изцяло или частично потвърдените от административна или съдебна инстанция ревизионни актове на АМ (отношение на броя потвърдени </w:t>
            </w:r>
            <w:r w:rsidR="009404D1" w:rsidRPr="00EA6851">
              <w:rPr>
                <w:rFonts w:eastAsia="Calibri" w:cs="Times New Roman"/>
                <w:color w:val="000000"/>
                <w:sz w:val="18"/>
                <w:szCs w:val="18"/>
              </w:rPr>
              <w:t>ревизионни актове /</w:t>
            </w:r>
            <w:r w:rsidRPr="00EA6851">
              <w:rPr>
                <w:rFonts w:eastAsia="Calibri" w:cs="Times New Roman"/>
                <w:color w:val="000000"/>
                <w:sz w:val="18"/>
                <w:szCs w:val="18"/>
              </w:rPr>
              <w:t>РА</w:t>
            </w:r>
            <w:r w:rsidR="009404D1" w:rsidRPr="00EA6851">
              <w:rPr>
                <w:rFonts w:eastAsia="Calibri" w:cs="Times New Roman"/>
                <w:color w:val="000000"/>
                <w:sz w:val="18"/>
                <w:szCs w:val="18"/>
              </w:rPr>
              <w:t>/</w:t>
            </w:r>
            <w:r w:rsidRPr="00EA6851">
              <w:rPr>
                <w:rFonts w:eastAsia="Calibri" w:cs="Times New Roman"/>
                <w:color w:val="000000"/>
                <w:sz w:val="18"/>
                <w:szCs w:val="18"/>
              </w:rPr>
              <w:t>, спрямо общия брой на издадените РА в рамките на отчетния период)</w:t>
            </w:r>
          </w:p>
        </w:tc>
        <w:tc>
          <w:tcPr>
            <w:tcW w:w="1329" w:type="dxa"/>
            <w:shd w:val="clear" w:color="auto" w:fill="F2F2F2" w:themeFill="background1" w:themeFillShade="F2"/>
            <w:vAlign w:val="center"/>
            <w:hideMark/>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w:t>
            </w:r>
          </w:p>
        </w:tc>
        <w:tc>
          <w:tcPr>
            <w:tcW w:w="920" w:type="dxa"/>
            <w:shd w:val="clear" w:color="auto" w:fill="FFFFFF" w:themeFill="background1"/>
          </w:tcPr>
          <w:p w:rsidR="00C97002" w:rsidRPr="00EA6851" w:rsidRDefault="00C97002" w:rsidP="00C97002">
            <w:pPr>
              <w:jc w:val="center"/>
              <w:rPr>
                <w:rFonts w:cs="Times New Roman"/>
                <w:color w:val="000000"/>
                <w:sz w:val="18"/>
                <w:szCs w:val="18"/>
              </w:rPr>
            </w:pPr>
          </w:p>
          <w:p w:rsidR="00C97002" w:rsidRPr="00EA6851" w:rsidRDefault="00C97002" w:rsidP="00C97002">
            <w:pPr>
              <w:jc w:val="center"/>
              <w:rPr>
                <w:rFonts w:cs="Times New Roman"/>
                <w:color w:val="000000"/>
                <w:sz w:val="18"/>
                <w:szCs w:val="18"/>
              </w:rPr>
            </w:pPr>
            <w:r w:rsidRPr="00EA6851">
              <w:rPr>
                <w:rFonts w:cs="Times New Roman"/>
                <w:color w:val="000000"/>
                <w:sz w:val="18"/>
                <w:szCs w:val="18"/>
              </w:rPr>
              <w:t>100</w:t>
            </w:r>
          </w:p>
        </w:tc>
        <w:tc>
          <w:tcPr>
            <w:tcW w:w="932" w:type="dxa"/>
            <w:shd w:val="clear" w:color="auto" w:fill="FFFFFF" w:themeFill="background1"/>
            <w:vAlign w:val="center"/>
            <w:hideMark/>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100</w:t>
            </w:r>
          </w:p>
        </w:tc>
        <w:tc>
          <w:tcPr>
            <w:tcW w:w="948" w:type="dxa"/>
            <w:shd w:val="clear" w:color="auto" w:fill="FFFFFF" w:themeFill="background1"/>
            <w:vAlign w:val="center"/>
            <w:hideMark/>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100</w:t>
            </w:r>
          </w:p>
        </w:tc>
        <w:tc>
          <w:tcPr>
            <w:tcW w:w="1034" w:type="dxa"/>
            <w:shd w:val="clear" w:color="auto" w:fill="FFFFFF" w:themeFill="background1"/>
            <w:vAlign w:val="center"/>
            <w:hideMark/>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100</w:t>
            </w:r>
          </w:p>
        </w:tc>
      </w:tr>
      <w:tr w:rsidR="00C97002" w:rsidRPr="00EA6851" w:rsidTr="0097230C">
        <w:trPr>
          <w:trHeight w:val="647"/>
          <w:jc w:val="center"/>
        </w:trPr>
        <w:tc>
          <w:tcPr>
            <w:tcW w:w="4456" w:type="dxa"/>
            <w:gridSpan w:val="2"/>
            <w:shd w:val="clear" w:color="auto" w:fill="FFFFFF" w:themeFill="background1"/>
            <w:vAlign w:val="center"/>
            <w:hideMark/>
          </w:tcPr>
          <w:p w:rsidR="00C97002" w:rsidRPr="00EA6851" w:rsidRDefault="00C97002" w:rsidP="00C97002">
            <w:pPr>
              <w:rPr>
                <w:rFonts w:cs="Times New Roman"/>
                <w:color w:val="000000"/>
                <w:sz w:val="18"/>
                <w:szCs w:val="18"/>
              </w:rPr>
            </w:pPr>
            <w:r w:rsidRPr="00EA6851">
              <w:rPr>
                <w:rFonts w:eastAsia="Calibri" w:cs="Times New Roman"/>
                <w:color w:val="000000"/>
                <w:sz w:val="18"/>
                <w:szCs w:val="18"/>
              </w:rPr>
              <w:t>6. Дял на решените заявки от идентифицираните инциденти, проблеми или заявки за услуги, регистрирани в националната автоматизирана система Сървис Деск на АМ</w:t>
            </w:r>
          </w:p>
        </w:tc>
        <w:tc>
          <w:tcPr>
            <w:tcW w:w="1329" w:type="dxa"/>
            <w:shd w:val="clear" w:color="auto" w:fill="F2F2F2" w:themeFill="background1" w:themeFillShade="F2"/>
            <w:vAlign w:val="center"/>
            <w:hideMark/>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w:t>
            </w:r>
          </w:p>
        </w:tc>
        <w:tc>
          <w:tcPr>
            <w:tcW w:w="920" w:type="dxa"/>
            <w:shd w:val="clear" w:color="auto" w:fill="FFFFFF" w:themeFill="background1"/>
          </w:tcPr>
          <w:p w:rsidR="00C97002" w:rsidRPr="00EA6851" w:rsidRDefault="00C97002" w:rsidP="00C97002">
            <w:pPr>
              <w:jc w:val="center"/>
              <w:rPr>
                <w:rFonts w:cs="Times New Roman"/>
                <w:color w:val="000000"/>
                <w:sz w:val="18"/>
                <w:szCs w:val="18"/>
              </w:rPr>
            </w:pPr>
          </w:p>
          <w:p w:rsidR="00C97002" w:rsidRPr="00EA6851" w:rsidRDefault="00C97002" w:rsidP="00C97002">
            <w:pPr>
              <w:jc w:val="center"/>
              <w:rPr>
                <w:rFonts w:cs="Times New Roman"/>
                <w:color w:val="000000"/>
                <w:sz w:val="18"/>
                <w:szCs w:val="18"/>
              </w:rPr>
            </w:pPr>
            <w:r w:rsidRPr="00EA6851">
              <w:rPr>
                <w:rFonts w:cs="Times New Roman"/>
                <w:color w:val="000000"/>
                <w:sz w:val="18"/>
                <w:szCs w:val="18"/>
              </w:rPr>
              <w:t>100</w:t>
            </w:r>
          </w:p>
        </w:tc>
        <w:tc>
          <w:tcPr>
            <w:tcW w:w="932" w:type="dxa"/>
            <w:shd w:val="clear" w:color="auto" w:fill="FFFFFF" w:themeFill="background1"/>
            <w:vAlign w:val="center"/>
            <w:hideMark/>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100</w:t>
            </w:r>
          </w:p>
        </w:tc>
        <w:tc>
          <w:tcPr>
            <w:tcW w:w="948" w:type="dxa"/>
            <w:shd w:val="clear" w:color="auto" w:fill="FFFFFF" w:themeFill="background1"/>
            <w:vAlign w:val="center"/>
            <w:hideMark/>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100</w:t>
            </w:r>
          </w:p>
        </w:tc>
        <w:tc>
          <w:tcPr>
            <w:tcW w:w="1034" w:type="dxa"/>
            <w:shd w:val="clear" w:color="auto" w:fill="FFFFFF" w:themeFill="background1"/>
            <w:vAlign w:val="center"/>
            <w:hideMark/>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100</w:t>
            </w:r>
          </w:p>
        </w:tc>
      </w:tr>
      <w:tr w:rsidR="00C97002" w:rsidRPr="00EA6851" w:rsidTr="0097230C">
        <w:trPr>
          <w:trHeight w:val="283"/>
          <w:jc w:val="center"/>
        </w:trPr>
        <w:tc>
          <w:tcPr>
            <w:tcW w:w="4456" w:type="dxa"/>
            <w:gridSpan w:val="2"/>
            <w:shd w:val="clear" w:color="auto" w:fill="FFFFFF" w:themeFill="background1"/>
            <w:vAlign w:val="center"/>
          </w:tcPr>
          <w:p w:rsidR="00C97002" w:rsidRPr="00EA6851" w:rsidRDefault="00C97002" w:rsidP="00C97002">
            <w:pPr>
              <w:rPr>
                <w:rFonts w:eastAsia="Calibri" w:cs="Times New Roman"/>
                <w:color w:val="000000"/>
                <w:sz w:val="18"/>
                <w:szCs w:val="18"/>
              </w:rPr>
            </w:pPr>
            <w:r w:rsidRPr="00EA6851">
              <w:rPr>
                <w:rFonts w:eastAsia="Calibri" w:cs="Times New Roman"/>
                <w:color w:val="000000"/>
                <w:sz w:val="18"/>
                <w:szCs w:val="18"/>
              </w:rPr>
              <w:t>7. Дял на подадените по електронен път декларации и документи от икономически оператори, свързани с изпълнение на дейности по митническо и акцизно законодателство в АМ</w:t>
            </w:r>
          </w:p>
        </w:tc>
        <w:tc>
          <w:tcPr>
            <w:tcW w:w="1329" w:type="dxa"/>
            <w:shd w:val="clear" w:color="auto" w:fill="F2F2F2" w:themeFill="background1" w:themeFillShade="F2"/>
            <w:vAlign w:val="center"/>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w:t>
            </w:r>
          </w:p>
        </w:tc>
        <w:tc>
          <w:tcPr>
            <w:tcW w:w="920" w:type="dxa"/>
            <w:shd w:val="clear" w:color="auto" w:fill="FFFFFF" w:themeFill="background1"/>
          </w:tcPr>
          <w:p w:rsidR="00C97002" w:rsidRPr="00EA6851" w:rsidRDefault="00C97002" w:rsidP="00C97002">
            <w:pPr>
              <w:jc w:val="center"/>
              <w:rPr>
                <w:rFonts w:cs="Times New Roman"/>
                <w:color w:val="000000"/>
                <w:sz w:val="18"/>
                <w:szCs w:val="18"/>
              </w:rPr>
            </w:pPr>
          </w:p>
          <w:p w:rsidR="00C97002" w:rsidRPr="00EA6851" w:rsidRDefault="00C97002" w:rsidP="00C97002">
            <w:pPr>
              <w:jc w:val="center"/>
              <w:rPr>
                <w:rFonts w:cs="Times New Roman"/>
                <w:color w:val="000000"/>
                <w:sz w:val="18"/>
                <w:szCs w:val="18"/>
              </w:rPr>
            </w:pPr>
            <w:r w:rsidRPr="00EA6851">
              <w:rPr>
                <w:rFonts w:cs="Times New Roman"/>
                <w:color w:val="000000"/>
                <w:sz w:val="18"/>
                <w:szCs w:val="18"/>
              </w:rPr>
              <w:t>100</w:t>
            </w:r>
          </w:p>
        </w:tc>
        <w:tc>
          <w:tcPr>
            <w:tcW w:w="932" w:type="dxa"/>
            <w:shd w:val="clear" w:color="auto" w:fill="FFFFFF" w:themeFill="background1"/>
            <w:vAlign w:val="center"/>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100</w:t>
            </w:r>
          </w:p>
        </w:tc>
        <w:tc>
          <w:tcPr>
            <w:tcW w:w="948" w:type="dxa"/>
            <w:shd w:val="clear" w:color="auto" w:fill="FFFFFF" w:themeFill="background1"/>
            <w:vAlign w:val="center"/>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100</w:t>
            </w:r>
          </w:p>
        </w:tc>
        <w:tc>
          <w:tcPr>
            <w:tcW w:w="1034" w:type="dxa"/>
            <w:shd w:val="clear" w:color="auto" w:fill="FFFFFF" w:themeFill="background1"/>
            <w:vAlign w:val="center"/>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100</w:t>
            </w:r>
          </w:p>
        </w:tc>
      </w:tr>
      <w:tr w:rsidR="00C97002" w:rsidRPr="00EA6851" w:rsidTr="0097230C">
        <w:trPr>
          <w:trHeight w:val="647"/>
          <w:jc w:val="center"/>
        </w:trPr>
        <w:tc>
          <w:tcPr>
            <w:tcW w:w="4456" w:type="dxa"/>
            <w:gridSpan w:val="2"/>
            <w:shd w:val="clear" w:color="auto" w:fill="FFFFFF" w:themeFill="background1"/>
            <w:vAlign w:val="center"/>
          </w:tcPr>
          <w:p w:rsidR="00C97002" w:rsidRPr="00EA6851" w:rsidRDefault="00C97002" w:rsidP="00C97002">
            <w:pPr>
              <w:rPr>
                <w:rFonts w:eastAsia="Calibri" w:cs="Times New Roman"/>
                <w:color w:val="000000"/>
                <w:sz w:val="18"/>
                <w:szCs w:val="18"/>
              </w:rPr>
            </w:pPr>
            <w:r w:rsidRPr="00EA6851">
              <w:rPr>
                <w:rFonts w:eastAsia="Calibri" w:cs="Times New Roman"/>
                <w:color w:val="000000"/>
                <w:sz w:val="18"/>
                <w:szCs w:val="18"/>
              </w:rPr>
              <w:t>8. Осигуряване на наличност на информационни системи на АМ и интерфейси за комуникация със системи на ЕК и други държавни институции</w:t>
            </w:r>
          </w:p>
        </w:tc>
        <w:tc>
          <w:tcPr>
            <w:tcW w:w="1329" w:type="dxa"/>
            <w:shd w:val="clear" w:color="auto" w:fill="F2F2F2" w:themeFill="background1" w:themeFillShade="F2"/>
            <w:vAlign w:val="center"/>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w:t>
            </w:r>
          </w:p>
        </w:tc>
        <w:tc>
          <w:tcPr>
            <w:tcW w:w="920" w:type="dxa"/>
            <w:shd w:val="clear" w:color="auto" w:fill="FFFFFF" w:themeFill="background1"/>
          </w:tcPr>
          <w:p w:rsidR="00C97002" w:rsidRPr="00EA6851" w:rsidRDefault="00C97002" w:rsidP="00C97002">
            <w:pPr>
              <w:jc w:val="center"/>
              <w:rPr>
                <w:rFonts w:cs="Times New Roman"/>
                <w:color w:val="000000"/>
                <w:sz w:val="18"/>
                <w:szCs w:val="18"/>
              </w:rPr>
            </w:pPr>
          </w:p>
          <w:p w:rsidR="00C97002" w:rsidRPr="00EA6851" w:rsidRDefault="00C97002" w:rsidP="00C97002">
            <w:pPr>
              <w:jc w:val="center"/>
              <w:rPr>
                <w:rFonts w:cs="Times New Roman"/>
                <w:color w:val="000000"/>
                <w:sz w:val="18"/>
                <w:szCs w:val="18"/>
              </w:rPr>
            </w:pPr>
            <w:r w:rsidRPr="00EA6851">
              <w:rPr>
                <w:rFonts w:cs="Times New Roman"/>
                <w:color w:val="000000"/>
                <w:sz w:val="18"/>
                <w:szCs w:val="18"/>
              </w:rPr>
              <w:t>99,0</w:t>
            </w:r>
          </w:p>
        </w:tc>
        <w:tc>
          <w:tcPr>
            <w:tcW w:w="932" w:type="dxa"/>
            <w:shd w:val="clear" w:color="auto" w:fill="FFFFFF" w:themeFill="background1"/>
            <w:vAlign w:val="center"/>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99,0</w:t>
            </w:r>
          </w:p>
        </w:tc>
        <w:tc>
          <w:tcPr>
            <w:tcW w:w="948" w:type="dxa"/>
            <w:shd w:val="clear" w:color="auto" w:fill="FFFFFF" w:themeFill="background1"/>
            <w:vAlign w:val="center"/>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99,0</w:t>
            </w:r>
          </w:p>
        </w:tc>
        <w:tc>
          <w:tcPr>
            <w:tcW w:w="1034" w:type="dxa"/>
            <w:shd w:val="clear" w:color="auto" w:fill="FFFFFF" w:themeFill="background1"/>
            <w:vAlign w:val="center"/>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99,0</w:t>
            </w:r>
          </w:p>
        </w:tc>
      </w:tr>
      <w:tr w:rsidR="00C97002" w:rsidRPr="00EA6851" w:rsidTr="0097230C">
        <w:trPr>
          <w:trHeight w:val="647"/>
          <w:jc w:val="center"/>
        </w:trPr>
        <w:tc>
          <w:tcPr>
            <w:tcW w:w="4456" w:type="dxa"/>
            <w:gridSpan w:val="2"/>
            <w:shd w:val="clear" w:color="auto" w:fill="FFFFFF" w:themeFill="background1"/>
            <w:vAlign w:val="center"/>
            <w:hideMark/>
          </w:tcPr>
          <w:p w:rsidR="00C97002" w:rsidRPr="00EA6851" w:rsidRDefault="00C97002" w:rsidP="00C97002">
            <w:pPr>
              <w:rPr>
                <w:rFonts w:eastAsia="Calibri" w:cs="Times New Roman"/>
                <w:color w:val="000000"/>
                <w:sz w:val="18"/>
                <w:szCs w:val="18"/>
              </w:rPr>
            </w:pPr>
            <w:r w:rsidRPr="00EA6851">
              <w:rPr>
                <w:rFonts w:eastAsia="Calibri" w:cs="Times New Roman"/>
                <w:color w:val="000000"/>
                <w:sz w:val="18"/>
                <w:szCs w:val="18"/>
              </w:rPr>
              <w:t>9. Проверки и проучвания по подадени искания за издаване на лицензи за организиране на хазартни игри и дейности</w:t>
            </w:r>
          </w:p>
        </w:tc>
        <w:tc>
          <w:tcPr>
            <w:tcW w:w="1329" w:type="dxa"/>
            <w:shd w:val="clear" w:color="auto" w:fill="F2F2F2" w:themeFill="background1" w:themeFillShade="F2"/>
            <w:vAlign w:val="center"/>
            <w:hideMark/>
          </w:tcPr>
          <w:p w:rsidR="00C97002" w:rsidRPr="00EA6851" w:rsidRDefault="009404D1" w:rsidP="00C97002">
            <w:pPr>
              <w:jc w:val="center"/>
              <w:rPr>
                <w:rFonts w:cs="Times New Roman"/>
                <w:color w:val="000000"/>
                <w:sz w:val="18"/>
                <w:szCs w:val="18"/>
              </w:rPr>
            </w:pPr>
            <w:r w:rsidRPr="00EA6851">
              <w:rPr>
                <w:rFonts w:cs="Times New Roman"/>
                <w:color w:val="000000"/>
                <w:sz w:val="18"/>
                <w:szCs w:val="18"/>
              </w:rPr>
              <w:t>Б</w:t>
            </w:r>
            <w:r w:rsidR="00C97002" w:rsidRPr="00EA6851">
              <w:rPr>
                <w:rFonts w:cs="Times New Roman"/>
                <w:color w:val="000000"/>
                <w:sz w:val="18"/>
                <w:szCs w:val="18"/>
              </w:rPr>
              <w:t>рой</w:t>
            </w:r>
          </w:p>
        </w:tc>
        <w:tc>
          <w:tcPr>
            <w:tcW w:w="920" w:type="dxa"/>
            <w:shd w:val="clear" w:color="auto" w:fill="FFFFFF" w:themeFill="background1"/>
          </w:tcPr>
          <w:p w:rsidR="00C97002" w:rsidRPr="00EA6851" w:rsidRDefault="00C97002" w:rsidP="00C97002">
            <w:pPr>
              <w:jc w:val="center"/>
              <w:rPr>
                <w:rFonts w:cs="Times New Roman"/>
                <w:color w:val="000000"/>
                <w:sz w:val="18"/>
                <w:szCs w:val="18"/>
              </w:rPr>
            </w:pPr>
          </w:p>
          <w:p w:rsidR="00C97002" w:rsidRPr="00EA6851" w:rsidRDefault="00C97002" w:rsidP="00C97002">
            <w:pPr>
              <w:jc w:val="center"/>
              <w:rPr>
                <w:rFonts w:cs="Times New Roman"/>
                <w:color w:val="000000"/>
                <w:sz w:val="18"/>
                <w:szCs w:val="18"/>
              </w:rPr>
            </w:pPr>
            <w:r w:rsidRPr="00EA6851">
              <w:rPr>
                <w:rFonts w:cs="Times New Roman"/>
                <w:color w:val="000000"/>
                <w:sz w:val="18"/>
                <w:szCs w:val="18"/>
              </w:rPr>
              <w:t>2000</w:t>
            </w:r>
          </w:p>
        </w:tc>
        <w:tc>
          <w:tcPr>
            <w:tcW w:w="932" w:type="dxa"/>
            <w:shd w:val="clear" w:color="auto" w:fill="FFFFFF" w:themeFill="background1"/>
            <w:vAlign w:val="center"/>
            <w:hideMark/>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2 100</w:t>
            </w:r>
          </w:p>
        </w:tc>
        <w:tc>
          <w:tcPr>
            <w:tcW w:w="948" w:type="dxa"/>
            <w:shd w:val="clear" w:color="auto" w:fill="FFFFFF" w:themeFill="background1"/>
            <w:vAlign w:val="center"/>
            <w:hideMark/>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2 200</w:t>
            </w:r>
          </w:p>
        </w:tc>
        <w:tc>
          <w:tcPr>
            <w:tcW w:w="1034" w:type="dxa"/>
            <w:shd w:val="clear" w:color="auto" w:fill="FFFFFF" w:themeFill="background1"/>
            <w:vAlign w:val="center"/>
            <w:hideMark/>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2 300</w:t>
            </w:r>
          </w:p>
        </w:tc>
      </w:tr>
      <w:tr w:rsidR="00C97002" w:rsidRPr="00EA6851" w:rsidTr="0097230C">
        <w:trPr>
          <w:trHeight w:val="274"/>
          <w:jc w:val="center"/>
        </w:trPr>
        <w:tc>
          <w:tcPr>
            <w:tcW w:w="4456" w:type="dxa"/>
            <w:gridSpan w:val="2"/>
            <w:shd w:val="clear" w:color="auto" w:fill="FFFFFF" w:themeFill="background1"/>
            <w:vAlign w:val="center"/>
            <w:hideMark/>
          </w:tcPr>
          <w:p w:rsidR="00C97002" w:rsidRPr="00EA6851" w:rsidRDefault="00C97002" w:rsidP="00C97002">
            <w:pPr>
              <w:rPr>
                <w:rFonts w:eastAsia="Calibri" w:cs="Times New Roman"/>
                <w:color w:val="000000"/>
                <w:sz w:val="18"/>
                <w:szCs w:val="18"/>
              </w:rPr>
            </w:pPr>
            <w:r w:rsidRPr="00EA6851">
              <w:rPr>
                <w:rFonts w:eastAsia="Calibri" w:cs="Times New Roman"/>
                <w:color w:val="000000"/>
                <w:sz w:val="18"/>
                <w:szCs w:val="18"/>
              </w:rPr>
              <w:t>10. Проверки на лица за  спазване на изискванията на З</w:t>
            </w:r>
            <w:r w:rsidR="009404D1" w:rsidRPr="00EA6851">
              <w:rPr>
                <w:rFonts w:eastAsia="Calibri" w:cs="Times New Roman"/>
                <w:color w:val="000000"/>
                <w:sz w:val="18"/>
                <w:szCs w:val="18"/>
              </w:rPr>
              <w:t>акона за хазарта</w:t>
            </w:r>
            <w:r w:rsidRPr="00EA6851">
              <w:rPr>
                <w:rFonts w:eastAsia="Calibri" w:cs="Times New Roman"/>
                <w:color w:val="000000"/>
                <w:sz w:val="18"/>
                <w:szCs w:val="18"/>
              </w:rPr>
              <w:t xml:space="preserve"> </w:t>
            </w:r>
          </w:p>
        </w:tc>
        <w:tc>
          <w:tcPr>
            <w:tcW w:w="1329" w:type="dxa"/>
            <w:shd w:val="clear" w:color="auto" w:fill="F2F2F2" w:themeFill="background1" w:themeFillShade="F2"/>
            <w:vAlign w:val="center"/>
            <w:hideMark/>
          </w:tcPr>
          <w:p w:rsidR="00C97002" w:rsidRPr="00EA6851" w:rsidRDefault="009404D1" w:rsidP="00C97002">
            <w:pPr>
              <w:jc w:val="center"/>
              <w:rPr>
                <w:rFonts w:cs="Times New Roman"/>
                <w:color w:val="000000"/>
                <w:sz w:val="18"/>
                <w:szCs w:val="18"/>
              </w:rPr>
            </w:pPr>
            <w:r w:rsidRPr="00EA6851">
              <w:rPr>
                <w:rFonts w:cs="Times New Roman"/>
                <w:color w:val="000000"/>
                <w:sz w:val="18"/>
                <w:szCs w:val="18"/>
              </w:rPr>
              <w:t>Б</w:t>
            </w:r>
            <w:r w:rsidR="00C97002" w:rsidRPr="00EA6851">
              <w:rPr>
                <w:rFonts w:cs="Times New Roman"/>
                <w:color w:val="000000"/>
                <w:sz w:val="18"/>
                <w:szCs w:val="18"/>
              </w:rPr>
              <w:t>рой</w:t>
            </w:r>
          </w:p>
        </w:tc>
        <w:tc>
          <w:tcPr>
            <w:tcW w:w="920" w:type="dxa"/>
            <w:shd w:val="clear" w:color="auto" w:fill="FFFFFF" w:themeFill="background1"/>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700</w:t>
            </w:r>
          </w:p>
        </w:tc>
        <w:tc>
          <w:tcPr>
            <w:tcW w:w="932" w:type="dxa"/>
            <w:shd w:val="clear" w:color="auto" w:fill="FFFFFF" w:themeFill="background1"/>
            <w:vAlign w:val="center"/>
            <w:hideMark/>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700</w:t>
            </w:r>
          </w:p>
        </w:tc>
        <w:tc>
          <w:tcPr>
            <w:tcW w:w="948" w:type="dxa"/>
            <w:shd w:val="clear" w:color="auto" w:fill="FFFFFF" w:themeFill="background1"/>
            <w:vAlign w:val="center"/>
            <w:hideMark/>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700</w:t>
            </w:r>
          </w:p>
        </w:tc>
        <w:tc>
          <w:tcPr>
            <w:tcW w:w="1034" w:type="dxa"/>
            <w:shd w:val="clear" w:color="auto" w:fill="FFFFFF" w:themeFill="background1"/>
            <w:vAlign w:val="center"/>
            <w:hideMark/>
          </w:tcPr>
          <w:p w:rsidR="00C97002" w:rsidRPr="00EA6851" w:rsidRDefault="00C97002" w:rsidP="00C97002">
            <w:pPr>
              <w:jc w:val="center"/>
              <w:rPr>
                <w:rFonts w:cs="Times New Roman"/>
                <w:color w:val="000000"/>
                <w:sz w:val="18"/>
                <w:szCs w:val="18"/>
              </w:rPr>
            </w:pPr>
            <w:r w:rsidRPr="00EA6851">
              <w:rPr>
                <w:rFonts w:cs="Times New Roman"/>
                <w:color w:val="000000"/>
                <w:sz w:val="18"/>
                <w:szCs w:val="18"/>
              </w:rPr>
              <w:t>700</w:t>
            </w:r>
          </w:p>
        </w:tc>
      </w:tr>
    </w:tbl>
    <w:p w:rsidR="00C97002" w:rsidRPr="00EA6851" w:rsidRDefault="00C97002" w:rsidP="00C97002">
      <w:pPr>
        <w:spacing w:before="120" w:after="120"/>
        <w:rPr>
          <w:rFonts w:cs="Times New Roman"/>
          <w:i/>
          <w:szCs w:val="24"/>
        </w:rPr>
      </w:pPr>
    </w:p>
    <w:p w:rsidR="00C97002" w:rsidRPr="00EA6851" w:rsidRDefault="00C97002" w:rsidP="00C97002">
      <w:pPr>
        <w:pStyle w:val="Heading4"/>
        <w:spacing w:before="0" w:after="200"/>
      </w:pPr>
      <w:r w:rsidRPr="00EA6851">
        <w:t>Политика в областта на управлението на дълга</w:t>
      </w:r>
    </w:p>
    <w:p w:rsidR="00A12ED0" w:rsidRDefault="00A12ED0" w:rsidP="00C97002">
      <w:pPr>
        <w:ind w:right="45"/>
        <w:rPr>
          <w:rFonts w:cs="Times New Roman"/>
        </w:rPr>
      </w:pPr>
      <w:r w:rsidRPr="00A12ED0">
        <w:rPr>
          <w:rFonts w:cs="Times New Roman"/>
        </w:rPr>
        <w:t>Провежданата от МФ политика в областта на управлението на държавния дълг е насочена към осигуряване на необходимите ресурси за рефинансиране на дълга в обращение, финансиране на планирания дефицит по държавния бюджет и обезпечаване на ликвидната позиция на фискалния резерв. Усилията ще бъдат съсредоточени в посока обезпечаване на възможности за пазарно-ориентирано финансиране както на местния, така и на международните капиталови пазари и на договаряне на държавни заеми по линия на инструменти на Европейския съюз и от международни финансови институции, включително за финансиране на проекти и програми, при спазване на годишните дългови ограничения.</w:t>
      </w:r>
    </w:p>
    <w:p w:rsidR="00C97002" w:rsidRPr="00EA6851" w:rsidRDefault="00C97002" w:rsidP="00C97002">
      <w:pPr>
        <w:ind w:right="45"/>
        <w:rPr>
          <w:rFonts w:eastAsia="Calibri" w:cs="Times New Roman"/>
          <w:b/>
          <w:bCs/>
          <w:sz w:val="20"/>
          <w:szCs w:val="20"/>
          <w:lang w:eastAsia="en-US"/>
        </w:rPr>
      </w:pPr>
      <w:r w:rsidRPr="00EA6851">
        <w:rPr>
          <w:rFonts w:eastAsia="Calibri" w:cs="Times New Roman"/>
          <w:b/>
          <w:bCs/>
          <w:sz w:val="20"/>
          <w:szCs w:val="20"/>
          <w:lang w:eastAsia="en-US"/>
        </w:rPr>
        <w:t>КЛЮЧОВИ ИНДИКАТОРИ ЗА ИЗПЪЛНЕНИЕ И ЦЕЛЕВИ СТОЙНОСТИ</w:t>
      </w:r>
    </w:p>
    <w:tbl>
      <w:tblPr>
        <w:tblW w:w="9360" w:type="dxa"/>
        <w:tblBorders>
          <w:top w:val="single" w:sz="4" w:space="0" w:color="auto"/>
          <w:bottom w:val="single" w:sz="4" w:space="0" w:color="auto"/>
        </w:tblBorders>
        <w:tblLayout w:type="fixed"/>
        <w:tblCellMar>
          <w:left w:w="70" w:type="dxa"/>
          <w:right w:w="70" w:type="dxa"/>
        </w:tblCellMar>
        <w:tblLook w:val="0000" w:firstRow="0" w:lastRow="0" w:firstColumn="0" w:lastColumn="0" w:noHBand="0" w:noVBand="0"/>
      </w:tblPr>
      <w:tblGrid>
        <w:gridCol w:w="2520"/>
        <w:gridCol w:w="1170"/>
        <w:gridCol w:w="1350"/>
        <w:gridCol w:w="1530"/>
        <w:gridCol w:w="1350"/>
        <w:gridCol w:w="1440"/>
      </w:tblGrid>
      <w:tr w:rsidR="00C97002" w:rsidRPr="00EA6851" w:rsidTr="004F2344">
        <w:trPr>
          <w:trHeight w:val="649"/>
          <w:tblHeader/>
        </w:trPr>
        <w:tc>
          <w:tcPr>
            <w:tcW w:w="2520" w:type="dxa"/>
            <w:tcBorders>
              <w:bottom w:val="nil"/>
            </w:tcBorders>
            <w:shd w:val="clear" w:color="auto" w:fill="FFFFFF" w:themeFill="background1"/>
            <w:vAlign w:val="center"/>
          </w:tcPr>
          <w:p w:rsidR="00C97002" w:rsidRPr="00EA6851" w:rsidRDefault="00C97002" w:rsidP="004F2344">
            <w:pPr>
              <w:jc w:val="center"/>
              <w:rPr>
                <w:rFonts w:cs="Times New Roman"/>
                <w:b/>
                <w:i/>
                <w:iCs/>
                <w:sz w:val="18"/>
                <w:szCs w:val="18"/>
              </w:rPr>
            </w:pPr>
            <w:r w:rsidRPr="00EA6851">
              <w:rPr>
                <w:rFonts w:cs="Times New Roman"/>
                <w:b/>
                <w:i/>
                <w:iCs/>
                <w:sz w:val="18"/>
                <w:szCs w:val="18"/>
              </w:rPr>
              <w:t>Политика в областта на управлението на дълга</w:t>
            </w:r>
          </w:p>
        </w:tc>
        <w:tc>
          <w:tcPr>
            <w:tcW w:w="1170" w:type="dxa"/>
            <w:vMerge w:val="restart"/>
            <w:tcBorders>
              <w:bottom w:val="nil"/>
            </w:tcBorders>
            <w:shd w:val="clear" w:color="auto" w:fill="EEF1F6" w:themeFill="accent5" w:themeFillTint="33"/>
          </w:tcPr>
          <w:p w:rsidR="00C97002" w:rsidRPr="00EA6851" w:rsidRDefault="00C97002" w:rsidP="004F2344">
            <w:pPr>
              <w:rPr>
                <w:rFonts w:cs="Times New Roman"/>
                <w:sz w:val="18"/>
                <w:szCs w:val="18"/>
              </w:rPr>
            </w:pPr>
            <w:r w:rsidRPr="00EA6851">
              <w:rPr>
                <w:rFonts w:cs="Times New Roman"/>
                <w:sz w:val="18"/>
                <w:szCs w:val="18"/>
              </w:rPr>
              <w:t> </w:t>
            </w:r>
          </w:p>
          <w:p w:rsidR="00C97002" w:rsidRPr="00EA6851" w:rsidRDefault="00C97002" w:rsidP="004F2344">
            <w:pPr>
              <w:jc w:val="center"/>
              <w:rPr>
                <w:rFonts w:cs="Times New Roman"/>
                <w:sz w:val="18"/>
                <w:szCs w:val="18"/>
              </w:rPr>
            </w:pPr>
            <w:r w:rsidRPr="00EA6851">
              <w:rPr>
                <w:rFonts w:cs="Times New Roman"/>
                <w:b/>
                <w:bCs/>
                <w:sz w:val="18"/>
                <w:szCs w:val="18"/>
              </w:rPr>
              <w:t>Мерна единица</w:t>
            </w:r>
          </w:p>
        </w:tc>
        <w:tc>
          <w:tcPr>
            <w:tcW w:w="1350" w:type="dxa"/>
            <w:tcBorders>
              <w:bottom w:val="single" w:sz="4" w:space="0" w:color="auto"/>
            </w:tcBorders>
            <w:shd w:val="clear" w:color="auto" w:fill="FFFFFF" w:themeFill="background1"/>
          </w:tcPr>
          <w:p w:rsidR="00C97002" w:rsidRPr="00EA6851" w:rsidRDefault="00C97002" w:rsidP="004F2344">
            <w:pPr>
              <w:jc w:val="center"/>
              <w:rPr>
                <w:rFonts w:cs="Times New Roman"/>
                <w:b/>
                <w:bCs/>
                <w:sz w:val="18"/>
                <w:szCs w:val="18"/>
              </w:rPr>
            </w:pPr>
          </w:p>
        </w:tc>
        <w:tc>
          <w:tcPr>
            <w:tcW w:w="4320" w:type="dxa"/>
            <w:gridSpan w:val="3"/>
            <w:tcBorders>
              <w:bottom w:val="single" w:sz="4" w:space="0" w:color="auto"/>
            </w:tcBorders>
            <w:shd w:val="clear" w:color="auto" w:fill="FFFFFF" w:themeFill="background1"/>
            <w:vAlign w:val="center"/>
          </w:tcPr>
          <w:p w:rsidR="00C97002" w:rsidRPr="00EA6851" w:rsidRDefault="00C97002" w:rsidP="004F2344">
            <w:pPr>
              <w:jc w:val="center"/>
              <w:rPr>
                <w:rFonts w:cs="Times New Roman"/>
                <w:b/>
                <w:bCs/>
                <w:sz w:val="18"/>
                <w:szCs w:val="18"/>
              </w:rPr>
            </w:pPr>
            <w:r w:rsidRPr="00EA6851">
              <w:rPr>
                <w:rFonts w:cs="Times New Roman"/>
                <w:b/>
                <w:bCs/>
                <w:sz w:val="18"/>
                <w:szCs w:val="18"/>
              </w:rPr>
              <w:t>Целева стойност</w:t>
            </w:r>
          </w:p>
        </w:tc>
      </w:tr>
      <w:tr w:rsidR="00C97002" w:rsidRPr="00EA6851" w:rsidTr="004F2344">
        <w:trPr>
          <w:trHeight w:val="507"/>
          <w:tblHeader/>
        </w:trPr>
        <w:tc>
          <w:tcPr>
            <w:tcW w:w="2520" w:type="dxa"/>
            <w:tcBorders>
              <w:top w:val="nil"/>
              <w:bottom w:val="single" w:sz="4" w:space="0" w:color="auto"/>
            </w:tcBorders>
            <w:shd w:val="clear" w:color="auto" w:fill="FFFFFF" w:themeFill="background1"/>
            <w:vAlign w:val="center"/>
          </w:tcPr>
          <w:p w:rsidR="00C97002" w:rsidRPr="00EA6851" w:rsidRDefault="00C97002" w:rsidP="004F2344">
            <w:pPr>
              <w:jc w:val="center"/>
              <w:rPr>
                <w:rFonts w:cs="Times New Roman"/>
                <w:b/>
                <w:bCs/>
                <w:sz w:val="18"/>
                <w:szCs w:val="18"/>
              </w:rPr>
            </w:pPr>
            <w:r w:rsidRPr="00EA6851">
              <w:rPr>
                <w:rFonts w:cs="Times New Roman"/>
                <w:b/>
                <w:bCs/>
                <w:sz w:val="18"/>
                <w:szCs w:val="18"/>
              </w:rPr>
              <w:t>Наименование на индикатора</w:t>
            </w:r>
          </w:p>
        </w:tc>
        <w:tc>
          <w:tcPr>
            <w:tcW w:w="1170" w:type="dxa"/>
            <w:vMerge/>
            <w:tcBorders>
              <w:top w:val="nil"/>
              <w:bottom w:val="single" w:sz="4" w:space="0" w:color="auto"/>
            </w:tcBorders>
            <w:shd w:val="clear" w:color="auto" w:fill="EEF1F6" w:themeFill="accent5" w:themeFillTint="33"/>
            <w:vAlign w:val="center"/>
          </w:tcPr>
          <w:p w:rsidR="00C97002" w:rsidRPr="00EA6851" w:rsidRDefault="00C97002" w:rsidP="004F2344">
            <w:pPr>
              <w:jc w:val="center"/>
              <w:rPr>
                <w:rFonts w:cs="Times New Roman"/>
                <w:b/>
                <w:bCs/>
                <w:sz w:val="18"/>
                <w:szCs w:val="18"/>
              </w:rPr>
            </w:pPr>
          </w:p>
        </w:tc>
        <w:tc>
          <w:tcPr>
            <w:tcW w:w="1350" w:type="dxa"/>
            <w:tcBorders>
              <w:top w:val="single" w:sz="4" w:space="0" w:color="auto"/>
              <w:bottom w:val="single" w:sz="4" w:space="0" w:color="auto"/>
            </w:tcBorders>
            <w:shd w:val="clear" w:color="auto" w:fill="FFFFFF" w:themeFill="background1"/>
          </w:tcPr>
          <w:p w:rsidR="00C97002" w:rsidRPr="00EA6851" w:rsidRDefault="00C97002" w:rsidP="004F2344">
            <w:pPr>
              <w:jc w:val="center"/>
              <w:rPr>
                <w:rFonts w:cs="Times New Roman"/>
                <w:b/>
                <w:bCs/>
                <w:i/>
                <w:iCs/>
                <w:sz w:val="18"/>
                <w:szCs w:val="18"/>
              </w:rPr>
            </w:pPr>
            <w:r w:rsidRPr="00EA6851">
              <w:rPr>
                <w:rFonts w:cs="Times New Roman"/>
                <w:b/>
                <w:bCs/>
                <w:i/>
                <w:iCs/>
                <w:sz w:val="18"/>
                <w:szCs w:val="18"/>
              </w:rPr>
              <w:t xml:space="preserve">Програма </w:t>
            </w:r>
            <w:r w:rsidRPr="00EA6851">
              <w:rPr>
                <w:rFonts w:cs="Times New Roman"/>
                <w:b/>
                <w:bCs/>
                <w:i/>
                <w:iCs/>
                <w:sz w:val="18"/>
                <w:szCs w:val="18"/>
              </w:rPr>
              <w:br/>
              <w:t>2023 г.</w:t>
            </w:r>
          </w:p>
        </w:tc>
        <w:tc>
          <w:tcPr>
            <w:tcW w:w="1530" w:type="dxa"/>
            <w:tcBorders>
              <w:top w:val="single" w:sz="4" w:space="0" w:color="auto"/>
              <w:bottom w:val="single" w:sz="4" w:space="0" w:color="auto"/>
            </w:tcBorders>
            <w:shd w:val="clear" w:color="auto" w:fill="FFFFFF" w:themeFill="background1"/>
            <w:vAlign w:val="center"/>
          </w:tcPr>
          <w:p w:rsidR="00C97002" w:rsidRPr="00EA6851" w:rsidRDefault="00C97002" w:rsidP="004F2344">
            <w:pPr>
              <w:jc w:val="center"/>
              <w:rPr>
                <w:rFonts w:cs="Times New Roman"/>
                <w:b/>
                <w:bCs/>
                <w:i/>
                <w:iCs/>
                <w:sz w:val="18"/>
                <w:szCs w:val="18"/>
              </w:rPr>
            </w:pPr>
            <w:r w:rsidRPr="00EA6851">
              <w:rPr>
                <w:rFonts w:cs="Times New Roman"/>
                <w:b/>
                <w:bCs/>
                <w:i/>
                <w:iCs/>
                <w:sz w:val="18"/>
                <w:szCs w:val="18"/>
              </w:rPr>
              <w:t xml:space="preserve">Проект </w:t>
            </w:r>
            <w:r w:rsidRPr="00EA6851">
              <w:rPr>
                <w:rFonts w:cs="Times New Roman"/>
                <w:b/>
                <w:bCs/>
                <w:i/>
                <w:iCs/>
                <w:sz w:val="18"/>
                <w:szCs w:val="18"/>
              </w:rPr>
              <w:br/>
              <w:t>2024 г.</w:t>
            </w:r>
          </w:p>
        </w:tc>
        <w:tc>
          <w:tcPr>
            <w:tcW w:w="1350" w:type="dxa"/>
            <w:tcBorders>
              <w:top w:val="single" w:sz="4" w:space="0" w:color="auto"/>
              <w:bottom w:val="single" w:sz="4" w:space="0" w:color="auto"/>
            </w:tcBorders>
            <w:shd w:val="clear" w:color="auto" w:fill="FFFFFF" w:themeFill="background1"/>
            <w:vAlign w:val="center"/>
          </w:tcPr>
          <w:p w:rsidR="00C97002" w:rsidRPr="00EA6851" w:rsidRDefault="00C97002" w:rsidP="004F2344">
            <w:pPr>
              <w:jc w:val="center"/>
              <w:rPr>
                <w:rFonts w:cs="Times New Roman"/>
                <w:b/>
                <w:bCs/>
                <w:i/>
                <w:iCs/>
                <w:sz w:val="18"/>
                <w:szCs w:val="18"/>
              </w:rPr>
            </w:pPr>
            <w:r w:rsidRPr="00EA6851">
              <w:rPr>
                <w:rFonts w:cs="Times New Roman"/>
                <w:b/>
                <w:bCs/>
                <w:i/>
                <w:iCs/>
                <w:sz w:val="18"/>
                <w:szCs w:val="18"/>
              </w:rPr>
              <w:t xml:space="preserve">Прогноза </w:t>
            </w:r>
            <w:r w:rsidRPr="00EA6851">
              <w:rPr>
                <w:rFonts w:cs="Times New Roman"/>
                <w:b/>
                <w:bCs/>
                <w:i/>
                <w:iCs/>
                <w:sz w:val="18"/>
                <w:szCs w:val="18"/>
              </w:rPr>
              <w:br/>
              <w:t>2025 г.</w:t>
            </w:r>
          </w:p>
        </w:tc>
        <w:tc>
          <w:tcPr>
            <w:tcW w:w="1440" w:type="dxa"/>
            <w:tcBorders>
              <w:top w:val="single" w:sz="4" w:space="0" w:color="auto"/>
              <w:bottom w:val="single" w:sz="4" w:space="0" w:color="auto"/>
            </w:tcBorders>
            <w:shd w:val="clear" w:color="auto" w:fill="FFFFFF" w:themeFill="background1"/>
            <w:vAlign w:val="center"/>
          </w:tcPr>
          <w:p w:rsidR="00C97002" w:rsidRPr="00EA6851" w:rsidRDefault="00C97002" w:rsidP="004F2344">
            <w:pPr>
              <w:jc w:val="center"/>
              <w:rPr>
                <w:rFonts w:cs="Times New Roman"/>
                <w:b/>
                <w:bCs/>
                <w:i/>
                <w:iCs/>
                <w:sz w:val="18"/>
                <w:szCs w:val="18"/>
              </w:rPr>
            </w:pPr>
            <w:r w:rsidRPr="00EA6851">
              <w:rPr>
                <w:rFonts w:cs="Times New Roman"/>
                <w:b/>
                <w:bCs/>
                <w:i/>
                <w:iCs/>
                <w:sz w:val="18"/>
                <w:szCs w:val="18"/>
              </w:rPr>
              <w:t xml:space="preserve">Прогноза </w:t>
            </w:r>
            <w:r w:rsidRPr="00EA6851">
              <w:rPr>
                <w:rFonts w:cs="Times New Roman"/>
                <w:b/>
                <w:bCs/>
                <w:i/>
                <w:iCs/>
                <w:sz w:val="18"/>
                <w:szCs w:val="18"/>
              </w:rPr>
              <w:br/>
              <w:t>2026 г.</w:t>
            </w:r>
          </w:p>
        </w:tc>
      </w:tr>
      <w:tr w:rsidR="00C97002" w:rsidRPr="00EA6851" w:rsidTr="004F2344">
        <w:trPr>
          <w:trHeight w:val="255"/>
        </w:trPr>
        <w:tc>
          <w:tcPr>
            <w:tcW w:w="2520" w:type="dxa"/>
            <w:tcBorders>
              <w:top w:val="single" w:sz="4" w:space="0" w:color="auto"/>
            </w:tcBorders>
            <w:shd w:val="clear" w:color="auto" w:fill="FFFFFF" w:themeFill="background1"/>
          </w:tcPr>
          <w:p w:rsidR="00C97002" w:rsidRPr="00EA6851" w:rsidRDefault="004F2344" w:rsidP="004F2344">
            <w:pPr>
              <w:jc w:val="center"/>
              <w:rPr>
                <w:rFonts w:cs="Times New Roman"/>
                <w:sz w:val="18"/>
                <w:szCs w:val="18"/>
              </w:rPr>
            </w:pPr>
            <w:r w:rsidRPr="00EA6851">
              <w:rPr>
                <w:rFonts w:cs="Times New Roman"/>
                <w:sz w:val="18"/>
                <w:szCs w:val="18"/>
              </w:rPr>
              <w:t>1. Дългови ограничения</w:t>
            </w:r>
          </w:p>
        </w:tc>
        <w:tc>
          <w:tcPr>
            <w:tcW w:w="1170" w:type="dxa"/>
            <w:tcBorders>
              <w:top w:val="single" w:sz="4" w:space="0" w:color="auto"/>
            </w:tcBorders>
            <w:shd w:val="clear" w:color="auto" w:fill="EEF1F6" w:themeFill="accent5" w:themeFillTint="33"/>
          </w:tcPr>
          <w:p w:rsidR="00C97002" w:rsidRPr="00EA6851" w:rsidRDefault="00C97002" w:rsidP="004F2344">
            <w:pPr>
              <w:jc w:val="center"/>
              <w:rPr>
                <w:rFonts w:cs="Times New Roman"/>
                <w:sz w:val="18"/>
                <w:szCs w:val="18"/>
              </w:rPr>
            </w:pPr>
            <w:r w:rsidRPr="00EA6851">
              <w:rPr>
                <w:rFonts w:cs="Times New Roman"/>
                <w:sz w:val="18"/>
                <w:szCs w:val="18"/>
              </w:rPr>
              <w:t>млрд./ млн. лв.</w:t>
            </w:r>
          </w:p>
        </w:tc>
        <w:tc>
          <w:tcPr>
            <w:tcW w:w="1350" w:type="dxa"/>
            <w:tcBorders>
              <w:top w:val="single" w:sz="4" w:space="0" w:color="auto"/>
            </w:tcBorders>
            <w:shd w:val="clear" w:color="auto" w:fill="FFFFFF" w:themeFill="background1"/>
          </w:tcPr>
          <w:p w:rsidR="00C97002" w:rsidRPr="00EA6851" w:rsidRDefault="00C97002" w:rsidP="004F2344">
            <w:pPr>
              <w:jc w:val="center"/>
              <w:rPr>
                <w:rFonts w:cs="Times New Roman"/>
                <w:sz w:val="18"/>
                <w:szCs w:val="18"/>
              </w:rPr>
            </w:pPr>
            <w:r w:rsidRPr="00EA6851">
              <w:rPr>
                <w:rFonts w:cs="Times New Roman"/>
                <w:sz w:val="18"/>
                <w:szCs w:val="18"/>
              </w:rPr>
              <w:t>законово регламентирани стойности</w:t>
            </w:r>
          </w:p>
        </w:tc>
        <w:tc>
          <w:tcPr>
            <w:tcW w:w="1530" w:type="dxa"/>
            <w:tcBorders>
              <w:top w:val="single" w:sz="4" w:space="0" w:color="auto"/>
            </w:tcBorders>
            <w:shd w:val="clear" w:color="auto" w:fill="FFFFFF" w:themeFill="background1"/>
          </w:tcPr>
          <w:p w:rsidR="00C97002" w:rsidRPr="00EA6851" w:rsidRDefault="00C97002" w:rsidP="004F2344">
            <w:pPr>
              <w:jc w:val="center"/>
              <w:rPr>
                <w:rFonts w:cs="Times New Roman"/>
                <w:sz w:val="18"/>
                <w:szCs w:val="18"/>
              </w:rPr>
            </w:pPr>
            <w:r w:rsidRPr="00EA6851">
              <w:rPr>
                <w:rFonts w:cs="Times New Roman"/>
                <w:sz w:val="18"/>
                <w:szCs w:val="18"/>
              </w:rPr>
              <w:t>законово регламентирани стойности</w:t>
            </w:r>
          </w:p>
        </w:tc>
        <w:tc>
          <w:tcPr>
            <w:tcW w:w="1350" w:type="dxa"/>
            <w:tcBorders>
              <w:top w:val="single" w:sz="4" w:space="0" w:color="auto"/>
            </w:tcBorders>
            <w:shd w:val="clear" w:color="auto" w:fill="FFFFFF" w:themeFill="background1"/>
            <w:vAlign w:val="center"/>
          </w:tcPr>
          <w:p w:rsidR="00C97002" w:rsidRPr="00EA6851" w:rsidRDefault="00C97002" w:rsidP="004F2344">
            <w:pPr>
              <w:jc w:val="center"/>
              <w:rPr>
                <w:rFonts w:cs="Times New Roman"/>
                <w:sz w:val="18"/>
                <w:szCs w:val="18"/>
              </w:rPr>
            </w:pPr>
            <w:r w:rsidRPr="00EA6851">
              <w:rPr>
                <w:rFonts w:cs="Times New Roman"/>
                <w:sz w:val="18"/>
                <w:szCs w:val="18"/>
              </w:rPr>
              <w:t>законово регламентирани стойности</w:t>
            </w:r>
          </w:p>
        </w:tc>
        <w:tc>
          <w:tcPr>
            <w:tcW w:w="1440" w:type="dxa"/>
            <w:tcBorders>
              <w:top w:val="single" w:sz="4" w:space="0" w:color="auto"/>
            </w:tcBorders>
            <w:shd w:val="clear" w:color="auto" w:fill="FFFFFF" w:themeFill="background1"/>
            <w:vAlign w:val="center"/>
          </w:tcPr>
          <w:p w:rsidR="00C97002" w:rsidRPr="00EA6851" w:rsidRDefault="00C97002" w:rsidP="004F2344">
            <w:pPr>
              <w:jc w:val="center"/>
              <w:rPr>
                <w:rFonts w:cs="Times New Roman"/>
                <w:sz w:val="18"/>
                <w:szCs w:val="18"/>
              </w:rPr>
            </w:pPr>
            <w:r w:rsidRPr="00EA6851">
              <w:rPr>
                <w:rFonts w:cs="Times New Roman"/>
                <w:sz w:val="18"/>
                <w:szCs w:val="18"/>
              </w:rPr>
              <w:t>законово регламентирани стойности</w:t>
            </w:r>
          </w:p>
        </w:tc>
      </w:tr>
    </w:tbl>
    <w:p w:rsidR="00C97002" w:rsidRPr="00EA6851" w:rsidRDefault="00C97002" w:rsidP="00986333">
      <w:pPr>
        <w:numPr>
          <w:ilvl w:val="0"/>
          <w:numId w:val="51"/>
        </w:numPr>
        <w:spacing w:before="120" w:after="0"/>
        <w:ind w:left="180" w:hanging="180"/>
        <w:rPr>
          <w:rFonts w:cs="Times New Roman"/>
          <w:i/>
          <w:sz w:val="20"/>
          <w:szCs w:val="20"/>
        </w:rPr>
      </w:pPr>
      <w:r w:rsidRPr="00EA6851">
        <w:rPr>
          <w:rFonts w:cs="Times New Roman"/>
          <w:i/>
          <w:sz w:val="20"/>
          <w:szCs w:val="20"/>
        </w:rPr>
        <w:t>Дългови ограничения – измерител е на стратегическата цел за осигуряване на необходимите ресурси за рефинансиране на дълга в обращение, финансиране на планирания дефицит по държавния бюджет и обезпечаване на ликвидната позиция на фискалния резерв.</w:t>
      </w:r>
    </w:p>
    <w:p w:rsidR="0097230C" w:rsidRPr="00EA6851" w:rsidRDefault="0097230C" w:rsidP="00C97002">
      <w:pPr>
        <w:tabs>
          <w:tab w:val="left" w:pos="1988"/>
        </w:tabs>
        <w:spacing w:after="120"/>
        <w:rPr>
          <w:b/>
          <w:bCs/>
          <w:sz w:val="23"/>
          <w:szCs w:val="23"/>
        </w:rPr>
      </w:pPr>
    </w:p>
    <w:p w:rsidR="00C97002" w:rsidRPr="00EA6851" w:rsidRDefault="00C97002" w:rsidP="0097230C">
      <w:pPr>
        <w:tabs>
          <w:tab w:val="left" w:pos="1988"/>
        </w:tabs>
        <w:rPr>
          <w:b/>
          <w:bCs/>
          <w:sz w:val="28"/>
          <w:szCs w:val="28"/>
        </w:rPr>
      </w:pPr>
      <w:r w:rsidRPr="00EA6851">
        <w:rPr>
          <w:b/>
          <w:bCs/>
          <w:sz w:val="28"/>
          <w:szCs w:val="28"/>
        </w:rPr>
        <w:t>Сметна палата</w:t>
      </w:r>
    </w:p>
    <w:p w:rsidR="00C97002" w:rsidRPr="00EA6851" w:rsidRDefault="00C97002" w:rsidP="0097230C">
      <w:r w:rsidRPr="00EA6851">
        <w:t xml:space="preserve">Сметната палата на Република България е държавен орган за независим външен одит в публичния сектор, създаден по силата на чл. 91 от Конституцията на Република България, който при осъществяването на своята дейност се отчита пред Народното събрание. Основна задача на Сметната палата е да контролира надеждността и достоверността на финансовите отчети на бюджетните организации, законосъобразното, ефективно, ефикасно и икономично управление на публичните средства и дейности. </w:t>
      </w:r>
    </w:p>
    <w:p w:rsidR="00C97002" w:rsidRPr="00EA6851" w:rsidRDefault="00C97002" w:rsidP="0097230C">
      <w:r w:rsidRPr="00EA6851">
        <w:t xml:space="preserve">Предвид спецификата в дейността и функциите на Сметната палата, проектът на бюджетна прогноза за периода 2024-2026 г. е изготвен при спазване на приложените най-добри международни практики – Методология за стратегическо планиране и Наръчник за извършване на оценка за потребностите от изграждане на капацитет във върховните одитни институции, разработени от Инициативата на ИНТОСАЙ за развитие (IDI). </w:t>
      </w:r>
    </w:p>
    <w:p w:rsidR="00C97002" w:rsidRPr="00EA6851" w:rsidRDefault="00C97002" w:rsidP="0097230C">
      <w:r w:rsidRPr="00EA6851">
        <w:t>Основните параметри, посочени в проекта на бюджетната прогноза за периода 2024-2026 г., обхващат разходите за ръководните органи, одитния състав, изнесените работни места и администрацията на Сметната палата.</w:t>
      </w:r>
    </w:p>
    <w:p w:rsidR="00C97002" w:rsidRPr="00EA6851" w:rsidRDefault="00C97002" w:rsidP="0097230C">
      <w:r w:rsidRPr="00EA6851">
        <w:t>Планираните за периода 2024-2026 г. бюджетни разходи са обвързани с основните стратегически приоритети и цели, които Сметната палата изпълнява в съответствие със законовите си правомощия. Разходните разчети на С</w:t>
      </w:r>
      <w:r w:rsidR="009404D1" w:rsidRPr="00EA6851">
        <w:t>метната палата</w:t>
      </w:r>
      <w:r w:rsidRPr="00EA6851">
        <w:t xml:space="preserve"> имат своето нормативно основание, посочено в Закона за Сметната палата, Правилника за устройството и организацията на дейността на Сметната палата, като са взети предвид и Програмата за одитната дейност, програмите за обучение и международна дейност и други програми.</w:t>
      </w:r>
    </w:p>
    <w:p w:rsidR="00C97002" w:rsidRPr="00EA6851" w:rsidRDefault="00C97002" w:rsidP="0097230C">
      <w:pPr>
        <w:rPr>
          <w:b/>
          <w:bCs/>
          <w:sz w:val="28"/>
          <w:szCs w:val="28"/>
        </w:rPr>
      </w:pPr>
      <w:r w:rsidRPr="00EA6851">
        <w:rPr>
          <w:b/>
          <w:bCs/>
          <w:sz w:val="28"/>
          <w:szCs w:val="28"/>
        </w:rPr>
        <w:t>Комисия за финансов надзор</w:t>
      </w:r>
    </w:p>
    <w:p w:rsidR="00C97002" w:rsidRPr="00EA6851" w:rsidRDefault="00C97002" w:rsidP="0097230C">
      <w:pPr>
        <w:rPr>
          <w:iCs/>
        </w:rPr>
      </w:pPr>
      <w:r w:rsidRPr="00EA6851">
        <w:rPr>
          <w:iCs/>
        </w:rPr>
        <w:t xml:space="preserve">Комисията за финансов надзор е специализиран държавен орган за регулиране и надзор на небанковия финансов сектор. Комисията извършва регулация и надзор на финансовите пазари, които са част от единния европейски пазар на финансови услуги, и осъществява надзор за спазването на европейското законодателство. </w:t>
      </w:r>
    </w:p>
    <w:p w:rsidR="00C97002" w:rsidRPr="00EA6851" w:rsidRDefault="00C97002" w:rsidP="0097230C">
      <w:pPr>
        <w:rPr>
          <w:iCs/>
        </w:rPr>
      </w:pPr>
      <w:r w:rsidRPr="00EA6851">
        <w:rPr>
          <w:iCs/>
        </w:rPr>
        <w:t>Дейността на Комисията за финансов надзор попада в обхвата на функционална област „Регулация и надзор на небанковия финансов сектор“.</w:t>
      </w:r>
    </w:p>
    <w:p w:rsidR="00C97002" w:rsidRPr="00EA6851" w:rsidRDefault="00C97002" w:rsidP="0097230C">
      <w:pPr>
        <w:rPr>
          <w:b/>
          <w:bCs/>
          <w:sz w:val="28"/>
          <w:szCs w:val="28"/>
        </w:rPr>
      </w:pPr>
      <w:r w:rsidRPr="00EA6851">
        <w:rPr>
          <w:b/>
          <w:bCs/>
          <w:sz w:val="28"/>
          <w:szCs w:val="28"/>
        </w:rPr>
        <w:t>Комисия за публичен надзор над регистрираните одитори</w:t>
      </w:r>
    </w:p>
    <w:p w:rsidR="00C97002" w:rsidRPr="00EA6851" w:rsidRDefault="00C97002" w:rsidP="0097230C">
      <w:r w:rsidRPr="00EA6851">
        <w:t xml:space="preserve">Комисията за публичен надзор над регистрираните одитори е специализиран държавен орган за регулиране и надзор над дейността на регистрираните одитори, който осъществява периодични проверки на одиторските фирми, които извършват одити на предприятия от обществен интерес, изразяващи се в извършване на проверки за контрол на качеството на услугите с цел постигане на високо качество на предоставяните одиторски услуги. </w:t>
      </w:r>
    </w:p>
    <w:p w:rsidR="00C97002" w:rsidRPr="00EA6851" w:rsidRDefault="00C97002" w:rsidP="0097230C">
      <w:pPr>
        <w:rPr>
          <w:b/>
          <w:bCs/>
          <w:sz w:val="23"/>
          <w:szCs w:val="23"/>
        </w:rPr>
      </w:pPr>
      <w:r w:rsidRPr="00EA6851">
        <w:t>Комисията, като компетентен орган, е активно ангажиран в процеса по прилагане на европейското законодателство в областта на независимия финансов одит. Комисията извършва разследвания при получени сигнали за предполагаеми нарушения</w:t>
      </w:r>
      <w:r w:rsidR="00841FBD" w:rsidRPr="00EA6851">
        <w:t>,</w:t>
      </w:r>
      <w:r w:rsidRPr="00EA6851">
        <w:t xml:space="preserve"> свързани с дейността на одиторите. Тя осъществява сътрудничеството със съответните органи на Европейския съюз, с надзорни органи на държавите</w:t>
      </w:r>
      <w:r w:rsidR="00E1001A" w:rsidRPr="00EA6851">
        <w:t>-</w:t>
      </w:r>
      <w:r w:rsidRPr="00EA6851">
        <w:t xml:space="preserve">членки на Европейския съюз, или на трети държави, отговарящи за независимия финансов одит. Приоритет на </w:t>
      </w:r>
      <w:r w:rsidR="00841FBD" w:rsidRPr="00EA6851">
        <w:t>К</w:t>
      </w:r>
      <w:r w:rsidRPr="00EA6851">
        <w:t xml:space="preserve">омисията е утвърждаването на правилата и процедурите за извършване на проверки на качеството на дейността на регистрираните одитори, както и годишните планове за проверки. Дейността на </w:t>
      </w:r>
      <w:r w:rsidR="00841FBD" w:rsidRPr="00EA6851">
        <w:t>К</w:t>
      </w:r>
      <w:r w:rsidRPr="00EA6851">
        <w:t>омисията попада в обхвата на функционална област „Осъществяване на публичен надзор над регистрираните одитори“.</w:t>
      </w:r>
    </w:p>
    <w:p w:rsidR="00C97002" w:rsidRPr="00EA6851" w:rsidRDefault="00C97002" w:rsidP="0097230C">
      <w:pPr>
        <w:rPr>
          <w:b/>
          <w:bCs/>
          <w:sz w:val="28"/>
          <w:szCs w:val="28"/>
        </w:rPr>
      </w:pPr>
      <w:r w:rsidRPr="00EA6851">
        <w:rPr>
          <w:b/>
          <w:bCs/>
          <w:sz w:val="28"/>
          <w:szCs w:val="28"/>
        </w:rPr>
        <w:t>Комисия за защита на конкуренцията</w:t>
      </w:r>
    </w:p>
    <w:p w:rsidR="00C97002" w:rsidRPr="00EA6851" w:rsidRDefault="00C97002" w:rsidP="0097230C">
      <w:pPr>
        <w:rPr>
          <w:szCs w:val="24"/>
        </w:rPr>
      </w:pPr>
      <w:r w:rsidRPr="00EA6851">
        <w:rPr>
          <w:szCs w:val="24"/>
        </w:rPr>
        <w:t>Основната роля на Комисията за защита на конкуренцията (Комисията, КЗК) е да предотвратява прилагането на антиконкурентни практики. От своето създаване през 1991 година до настоящия момент националният орган по конкуренция изпълнява своята мисия да гарантира разширяването на ефективната конкуренция и да стимулира развитието на свободната стопанска инициатива на пазарите в страната.</w:t>
      </w:r>
    </w:p>
    <w:p w:rsidR="00C97002" w:rsidRPr="00EA6851" w:rsidRDefault="00C97002" w:rsidP="0097230C">
      <w:pPr>
        <w:rPr>
          <w:szCs w:val="24"/>
        </w:rPr>
      </w:pPr>
      <w:r w:rsidRPr="00EA6851">
        <w:rPr>
          <w:szCs w:val="24"/>
        </w:rPr>
        <w:t xml:space="preserve">Като независим държавен орган на КЗК са възложени обществено значими функции, свързани с осъществяване на контрол върху пазарните процеси, отношенията между пазарните участници и поведението на пазара както на малките предприятия, така и на компаниите и икономическите групи, заемащи съществен дял от съответния пазар. </w:t>
      </w:r>
    </w:p>
    <w:p w:rsidR="00C97002" w:rsidRPr="00EA6851" w:rsidRDefault="00C97002" w:rsidP="0097230C">
      <w:pPr>
        <w:rPr>
          <w:szCs w:val="24"/>
        </w:rPr>
      </w:pPr>
      <w:r w:rsidRPr="00EA6851">
        <w:rPr>
          <w:szCs w:val="24"/>
        </w:rPr>
        <w:t xml:space="preserve">В изпълнение на правомощията си по </w:t>
      </w:r>
      <w:r w:rsidR="00841FBD" w:rsidRPr="00EA6851">
        <w:rPr>
          <w:szCs w:val="24"/>
        </w:rPr>
        <w:t>Закона за защита на конкуренцията (</w:t>
      </w:r>
      <w:r w:rsidRPr="00EA6851">
        <w:rPr>
          <w:szCs w:val="24"/>
        </w:rPr>
        <w:t>ЗЗК</w:t>
      </w:r>
      <w:r w:rsidR="00841FBD" w:rsidRPr="00EA6851">
        <w:rPr>
          <w:szCs w:val="24"/>
        </w:rPr>
        <w:t>)</w:t>
      </w:r>
      <w:r w:rsidRPr="00EA6851">
        <w:rPr>
          <w:szCs w:val="24"/>
        </w:rPr>
        <w:t>, Комисията приема решения, с които установява наличието или липсата на нарушения, представляващи злоупотреба с монополно или господстващо положение, забранени споразумения или съгласувани практики и нелоялна конкуренция. Тя осъществява и контрол върху концентрациите между предприятията, като може да разреши, включително и под условие, или да забрани осъществяването й. Част от функциите на Комисията са и изготвянето на секторни анализи и осъществяването на застъпничество за конкуренцията, като предлага на компетентните органи на изпълнителната власт и на местното самоуправление да отменят или изменят нормативни актове, издадени в нарушение на правилата на конкуренцията. Проектите на нормативни актове, които предстои да бъдат приети по съответния ред, са обект на анализ за съответствието им със ЗЗК, за което Комисията приема становища.</w:t>
      </w:r>
    </w:p>
    <w:p w:rsidR="00C97002" w:rsidRPr="00EA6851" w:rsidRDefault="00C97002" w:rsidP="0097230C">
      <w:pPr>
        <w:rPr>
          <w:szCs w:val="24"/>
        </w:rPr>
      </w:pPr>
      <w:r w:rsidRPr="00EA6851">
        <w:rPr>
          <w:szCs w:val="24"/>
        </w:rPr>
        <w:t>В изпълнение на своята дейност КЗК съблюдава за стриктното спазване на Закона за защита на конкуренцията, Закона за обществените поръчки, Закона за концесиите и отговаря за прилагането на Общностното право в областта на конкуренцията.</w:t>
      </w:r>
    </w:p>
    <w:p w:rsidR="00C97002" w:rsidRPr="00EA6851" w:rsidRDefault="00C97002" w:rsidP="0097230C">
      <w:pPr>
        <w:rPr>
          <w:szCs w:val="24"/>
        </w:rPr>
      </w:pPr>
      <w:r w:rsidRPr="00EA6851">
        <w:rPr>
          <w:szCs w:val="24"/>
        </w:rPr>
        <w:t>Основна стратегическа цел на Комисията е да гарантира защитата</w:t>
      </w:r>
      <w:r w:rsidR="00841FBD" w:rsidRPr="00EA6851">
        <w:rPr>
          <w:szCs w:val="24"/>
        </w:rPr>
        <w:t xml:space="preserve">, да </w:t>
      </w:r>
      <w:r w:rsidRPr="00EA6851">
        <w:rPr>
          <w:szCs w:val="24"/>
        </w:rPr>
        <w:t xml:space="preserve">създава условия за развитие на конкуренцията и свободната инициатива в стопанската дейност и </w:t>
      </w:r>
      <w:r w:rsidR="00841FBD" w:rsidRPr="00EA6851">
        <w:rPr>
          <w:szCs w:val="24"/>
        </w:rPr>
        <w:t xml:space="preserve">да </w:t>
      </w:r>
      <w:r w:rsidRPr="00EA6851">
        <w:rPr>
          <w:szCs w:val="24"/>
        </w:rPr>
        <w:t>осъществява контрол за законосъобразност на решенията, действията и бездействията на възложители по процедури за възлагане на обществени поръчки и на концеденти по процедури за предоставяне на концесии.</w:t>
      </w:r>
    </w:p>
    <w:p w:rsidR="00C97002" w:rsidRPr="00EA6851" w:rsidRDefault="00C97002" w:rsidP="00AF6C96">
      <w:pPr>
        <w:rPr>
          <w:szCs w:val="24"/>
        </w:rPr>
      </w:pPr>
      <w:r w:rsidRPr="00EA6851">
        <w:rPr>
          <w:szCs w:val="24"/>
        </w:rPr>
        <w:t>Дейността на Комисията за защита на конкуренцията попада в обхвата на функционална област „Защита на конкуренцията и контрол на законосъобразността при процедурите по възлагане на обществени поръчки и предоставяне на концесии“.</w:t>
      </w:r>
    </w:p>
    <w:p w:rsidR="0033580A" w:rsidRPr="00EA6851" w:rsidRDefault="00E71237" w:rsidP="00E71237">
      <w:pPr>
        <w:pStyle w:val="Heading3"/>
        <w:ind w:left="0"/>
      </w:pPr>
      <w:r w:rsidRPr="00EA6851">
        <w:t>Финансово осигуряване на дейността на държавни органи</w:t>
      </w:r>
    </w:p>
    <w:p w:rsidR="0097230C" w:rsidRPr="00EA6851" w:rsidRDefault="0097230C" w:rsidP="0097230C">
      <w:pPr>
        <w:rPr>
          <w:b/>
          <w:sz w:val="28"/>
          <w:szCs w:val="28"/>
        </w:rPr>
      </w:pPr>
      <w:r w:rsidRPr="00EA6851">
        <w:rPr>
          <w:b/>
          <w:sz w:val="28"/>
          <w:szCs w:val="28"/>
        </w:rPr>
        <w:t>Народно събрание</w:t>
      </w:r>
    </w:p>
    <w:p w:rsidR="003158CD" w:rsidRPr="00EA6851" w:rsidRDefault="0097230C" w:rsidP="0097230C">
      <w:pPr>
        <w:rPr>
          <w:szCs w:val="24"/>
        </w:rPr>
      </w:pPr>
      <w:r w:rsidRPr="00EA6851">
        <w:rPr>
          <w:szCs w:val="24"/>
        </w:rPr>
        <w:t xml:space="preserve">Планираните за периода 2024-2026 г. консолидирани бюджетни разходи са обвързани със стратегическите цели и приоритети по основни функционални области и програми, които Народното събрание изпълнява в съответствие с конституционните си правомощия. </w:t>
      </w:r>
    </w:p>
    <w:p w:rsidR="0097230C" w:rsidRPr="00EA6851" w:rsidRDefault="0097230C" w:rsidP="0097230C">
      <w:pPr>
        <w:rPr>
          <w:szCs w:val="24"/>
        </w:rPr>
      </w:pPr>
      <w:r w:rsidRPr="00EA6851">
        <w:rPr>
          <w:szCs w:val="24"/>
        </w:rPr>
        <w:t>Стратегическите цели на Народното събрание за посочения период са насочени към:</w:t>
      </w:r>
    </w:p>
    <w:p w:rsidR="0097230C" w:rsidRPr="00EA6851" w:rsidRDefault="0097230C" w:rsidP="00B30642">
      <w:pPr>
        <w:numPr>
          <w:ilvl w:val="0"/>
          <w:numId w:val="38"/>
        </w:numPr>
        <w:ind w:left="1077" w:hanging="357"/>
        <w:rPr>
          <w:szCs w:val="24"/>
        </w:rPr>
      </w:pPr>
      <w:r w:rsidRPr="00EA6851">
        <w:rPr>
          <w:szCs w:val="24"/>
        </w:rPr>
        <w:t xml:space="preserve">Повишаване качеството на приеманите закони; </w:t>
      </w:r>
    </w:p>
    <w:p w:rsidR="0097230C" w:rsidRPr="00EA6851" w:rsidRDefault="0097230C" w:rsidP="00B30642">
      <w:pPr>
        <w:numPr>
          <w:ilvl w:val="0"/>
          <w:numId w:val="38"/>
        </w:numPr>
        <w:ind w:left="1077" w:hanging="357"/>
        <w:rPr>
          <w:szCs w:val="24"/>
        </w:rPr>
      </w:pPr>
      <w:r w:rsidRPr="00EA6851">
        <w:rPr>
          <w:szCs w:val="24"/>
        </w:rPr>
        <w:t>Осигуряване на ефективно представителство, публичност и прозрачност на дейността на Народното събрание;</w:t>
      </w:r>
    </w:p>
    <w:p w:rsidR="0097230C" w:rsidRPr="00EA6851" w:rsidRDefault="0097230C" w:rsidP="00B30642">
      <w:pPr>
        <w:numPr>
          <w:ilvl w:val="0"/>
          <w:numId w:val="38"/>
        </w:numPr>
        <w:ind w:left="1077" w:hanging="357"/>
        <w:rPr>
          <w:szCs w:val="24"/>
        </w:rPr>
      </w:pPr>
      <w:r w:rsidRPr="00EA6851">
        <w:rPr>
          <w:szCs w:val="24"/>
        </w:rPr>
        <w:t>Повишаване на ефикасността на парламентарния контрол;</w:t>
      </w:r>
    </w:p>
    <w:p w:rsidR="0097230C" w:rsidRPr="00EA6851" w:rsidRDefault="0097230C" w:rsidP="00B30642">
      <w:pPr>
        <w:numPr>
          <w:ilvl w:val="0"/>
          <w:numId w:val="38"/>
        </w:numPr>
        <w:ind w:left="1077" w:hanging="357"/>
        <w:rPr>
          <w:szCs w:val="24"/>
        </w:rPr>
      </w:pPr>
      <w:r w:rsidRPr="00EA6851">
        <w:rPr>
          <w:szCs w:val="24"/>
        </w:rPr>
        <w:t>Приоритизиране на международната дейност на Народното събрание и засилване на междупарламентарното сътрудничество;</w:t>
      </w:r>
    </w:p>
    <w:p w:rsidR="0097230C" w:rsidRPr="00EA6851" w:rsidRDefault="0097230C" w:rsidP="00B30642">
      <w:pPr>
        <w:numPr>
          <w:ilvl w:val="0"/>
          <w:numId w:val="38"/>
        </w:numPr>
        <w:ind w:left="1077" w:hanging="357"/>
        <w:rPr>
          <w:szCs w:val="24"/>
        </w:rPr>
      </w:pPr>
      <w:r w:rsidRPr="00EA6851">
        <w:rPr>
          <w:szCs w:val="24"/>
        </w:rPr>
        <w:t>Повишаване на тежестта на електронния обмен в дейността на Народното събрание.</w:t>
      </w:r>
    </w:p>
    <w:p w:rsidR="0097230C" w:rsidRPr="00EA6851" w:rsidRDefault="0097230C" w:rsidP="00BA7209">
      <w:pPr>
        <w:rPr>
          <w:szCs w:val="24"/>
        </w:rPr>
      </w:pPr>
      <w:r w:rsidRPr="00EA6851">
        <w:rPr>
          <w:szCs w:val="24"/>
        </w:rPr>
        <w:t>За изпълнението на посочените цели Народното събрание предвижда:</w:t>
      </w:r>
    </w:p>
    <w:p w:rsidR="0097230C" w:rsidRPr="00EA6851" w:rsidRDefault="0097230C" w:rsidP="0097230C">
      <w:pPr>
        <w:ind w:firstLine="720"/>
        <w:rPr>
          <w:b/>
          <w:szCs w:val="24"/>
          <w:u w:val="single"/>
        </w:rPr>
      </w:pPr>
      <w:r w:rsidRPr="00EA6851">
        <w:rPr>
          <w:b/>
          <w:szCs w:val="24"/>
          <w:u w:val="single"/>
        </w:rPr>
        <w:t>Към стратегическа цел  1:</w:t>
      </w:r>
    </w:p>
    <w:p w:rsidR="0097230C" w:rsidRPr="00EA6851" w:rsidRDefault="0097230C" w:rsidP="00B30642">
      <w:pPr>
        <w:pStyle w:val="ListParagraph"/>
        <w:numPr>
          <w:ilvl w:val="0"/>
          <w:numId w:val="56"/>
        </w:numPr>
        <w:rPr>
          <w:szCs w:val="24"/>
        </w:rPr>
      </w:pPr>
      <w:r w:rsidRPr="00EA6851">
        <w:rPr>
          <w:szCs w:val="24"/>
        </w:rPr>
        <w:t>Правилно въвеждане в законите на изискванията на директивите и на мерките по прилагането на регламентите, включително на рамковите решения на Европейския съюз;</w:t>
      </w:r>
    </w:p>
    <w:p w:rsidR="0097230C" w:rsidRPr="00EA6851" w:rsidRDefault="0097230C" w:rsidP="00B30642">
      <w:pPr>
        <w:pStyle w:val="ListParagraph"/>
        <w:numPr>
          <w:ilvl w:val="0"/>
          <w:numId w:val="56"/>
        </w:numPr>
        <w:rPr>
          <w:szCs w:val="24"/>
        </w:rPr>
      </w:pPr>
      <w:r w:rsidRPr="00EA6851">
        <w:rPr>
          <w:szCs w:val="24"/>
        </w:rPr>
        <w:t>Проверка за съответствие на законите с актовете на Европейския съюз, Закона за нормативните актове (ЗНА), Указ № 883 от 24.04.1974 г. за прилагане на ЗНА, Правилника за организацията и дейността на Народното събрание (ПОДНС), включително с методологията, приложение към ПОДНС;</w:t>
      </w:r>
    </w:p>
    <w:p w:rsidR="0097230C" w:rsidRPr="00EA6851" w:rsidRDefault="0097230C" w:rsidP="00B30642">
      <w:pPr>
        <w:pStyle w:val="ListParagraph"/>
        <w:numPr>
          <w:ilvl w:val="0"/>
          <w:numId w:val="56"/>
        </w:numPr>
        <w:rPr>
          <w:szCs w:val="24"/>
        </w:rPr>
      </w:pPr>
      <w:r w:rsidRPr="00EA6851">
        <w:rPr>
          <w:szCs w:val="24"/>
        </w:rPr>
        <w:t xml:space="preserve">Наблюдение и контрол по въпросите на Европейския съюз; </w:t>
      </w:r>
    </w:p>
    <w:p w:rsidR="0097230C" w:rsidRPr="00EA6851" w:rsidRDefault="0097230C" w:rsidP="00B30642">
      <w:pPr>
        <w:pStyle w:val="ListParagraph"/>
        <w:numPr>
          <w:ilvl w:val="0"/>
          <w:numId w:val="56"/>
        </w:numPr>
        <w:rPr>
          <w:szCs w:val="24"/>
        </w:rPr>
      </w:pPr>
      <w:r w:rsidRPr="00EA6851">
        <w:rPr>
          <w:szCs w:val="24"/>
        </w:rPr>
        <w:t>Извършване на последващи оценки на законите, възложени при условията и по реда на Правилника за организацията и дейността на Народното събрание и при спазване на механизма, определен в Закона за нормативните актове;</w:t>
      </w:r>
    </w:p>
    <w:p w:rsidR="0097230C" w:rsidRPr="00EA6851" w:rsidRDefault="0097230C" w:rsidP="00B30642">
      <w:pPr>
        <w:pStyle w:val="ListParagraph"/>
        <w:numPr>
          <w:ilvl w:val="0"/>
          <w:numId w:val="56"/>
        </w:numPr>
        <w:rPr>
          <w:szCs w:val="24"/>
        </w:rPr>
      </w:pPr>
      <w:r w:rsidRPr="00EA6851">
        <w:rPr>
          <w:szCs w:val="24"/>
        </w:rPr>
        <w:t>Повишаване и укрепване на капацитета на администрацията на Народното събрание.</w:t>
      </w:r>
    </w:p>
    <w:p w:rsidR="0097230C" w:rsidRPr="00EA6851" w:rsidRDefault="0097230C" w:rsidP="0097230C">
      <w:pPr>
        <w:ind w:firstLine="720"/>
        <w:rPr>
          <w:b/>
          <w:szCs w:val="24"/>
          <w:u w:val="single"/>
        </w:rPr>
      </w:pPr>
      <w:r w:rsidRPr="00EA6851">
        <w:rPr>
          <w:b/>
          <w:szCs w:val="24"/>
          <w:u w:val="single"/>
        </w:rPr>
        <w:t>Към стратегическа цел  2</w:t>
      </w:r>
    </w:p>
    <w:p w:rsidR="0097230C" w:rsidRPr="00EA6851" w:rsidRDefault="0097230C" w:rsidP="00B30642">
      <w:pPr>
        <w:pStyle w:val="ListParagraph"/>
        <w:numPr>
          <w:ilvl w:val="0"/>
          <w:numId w:val="56"/>
        </w:numPr>
        <w:rPr>
          <w:szCs w:val="24"/>
        </w:rPr>
      </w:pPr>
      <w:r w:rsidRPr="00EA6851">
        <w:rPr>
          <w:szCs w:val="24"/>
        </w:rPr>
        <w:t>Провеждане на съвместни инициативи, публични консултации и обсъждания със заинтересованите страни от законодателния процес с институции и неправителствени организации;</w:t>
      </w:r>
    </w:p>
    <w:p w:rsidR="0097230C" w:rsidRPr="00EA6851" w:rsidRDefault="0097230C" w:rsidP="00B30642">
      <w:pPr>
        <w:pStyle w:val="ListParagraph"/>
        <w:numPr>
          <w:ilvl w:val="0"/>
          <w:numId w:val="56"/>
        </w:numPr>
        <w:rPr>
          <w:szCs w:val="24"/>
        </w:rPr>
      </w:pPr>
      <w:r w:rsidRPr="00EA6851">
        <w:rPr>
          <w:szCs w:val="24"/>
        </w:rPr>
        <w:t>Провеждане на проучвания (количествени и качествени) с цел осигуряване на информация относно нагласите и отношението на заинтересованите страни към законодателните инициативи;</w:t>
      </w:r>
    </w:p>
    <w:p w:rsidR="0097230C" w:rsidRPr="00EA6851" w:rsidRDefault="0097230C" w:rsidP="00B30642">
      <w:pPr>
        <w:pStyle w:val="ListParagraph"/>
        <w:numPr>
          <w:ilvl w:val="0"/>
          <w:numId w:val="56"/>
        </w:numPr>
        <w:rPr>
          <w:szCs w:val="24"/>
        </w:rPr>
      </w:pPr>
      <w:r w:rsidRPr="00EA6851">
        <w:rPr>
          <w:szCs w:val="24"/>
        </w:rPr>
        <w:t>Провеждане на открити заседания на Народното събрание на постоянните и временни комисии, включително чрез излъчването им в реално време в интернет.</w:t>
      </w:r>
    </w:p>
    <w:p w:rsidR="0097230C" w:rsidRPr="00EA6851" w:rsidRDefault="0097230C" w:rsidP="0097230C">
      <w:pPr>
        <w:ind w:firstLine="720"/>
        <w:rPr>
          <w:b/>
          <w:szCs w:val="24"/>
          <w:u w:val="single"/>
        </w:rPr>
      </w:pPr>
      <w:r w:rsidRPr="00EA6851">
        <w:rPr>
          <w:b/>
          <w:szCs w:val="24"/>
          <w:u w:val="single"/>
        </w:rPr>
        <w:t>Към стратегическа цел  3</w:t>
      </w:r>
    </w:p>
    <w:p w:rsidR="0097230C" w:rsidRPr="00EA6851" w:rsidRDefault="0097230C" w:rsidP="00B30642">
      <w:pPr>
        <w:pStyle w:val="ListParagraph"/>
        <w:numPr>
          <w:ilvl w:val="0"/>
          <w:numId w:val="56"/>
        </w:numPr>
        <w:rPr>
          <w:szCs w:val="24"/>
        </w:rPr>
      </w:pPr>
      <w:r w:rsidRPr="00EA6851">
        <w:rPr>
          <w:szCs w:val="24"/>
        </w:rPr>
        <w:t>Провеждане на изслушвания и разисквания по актуални въпроси</w:t>
      </w:r>
      <w:r w:rsidR="002411D4" w:rsidRPr="00EA6851">
        <w:rPr>
          <w:szCs w:val="24"/>
        </w:rPr>
        <w:t>,</w:t>
      </w:r>
      <w:r w:rsidRPr="00EA6851">
        <w:rPr>
          <w:szCs w:val="24"/>
        </w:rPr>
        <w:t xml:space="preserve"> представляващи обществен интерес.</w:t>
      </w:r>
    </w:p>
    <w:p w:rsidR="0097230C" w:rsidRPr="00EA6851" w:rsidRDefault="0097230C" w:rsidP="0097230C">
      <w:pPr>
        <w:ind w:firstLine="720"/>
        <w:rPr>
          <w:b/>
          <w:szCs w:val="24"/>
          <w:u w:val="single"/>
        </w:rPr>
      </w:pPr>
      <w:r w:rsidRPr="00EA6851">
        <w:rPr>
          <w:b/>
          <w:szCs w:val="24"/>
          <w:u w:val="single"/>
        </w:rPr>
        <w:t>Към стратегическа цел  4</w:t>
      </w:r>
    </w:p>
    <w:p w:rsidR="0097230C" w:rsidRPr="00EA6851" w:rsidRDefault="0097230C" w:rsidP="00B30642">
      <w:pPr>
        <w:pStyle w:val="ListParagraph"/>
        <w:numPr>
          <w:ilvl w:val="0"/>
          <w:numId w:val="56"/>
        </w:numPr>
        <w:rPr>
          <w:szCs w:val="24"/>
        </w:rPr>
      </w:pPr>
      <w:r w:rsidRPr="00EA6851">
        <w:rPr>
          <w:szCs w:val="24"/>
        </w:rPr>
        <w:t>Участие на Народното събрание в международни програми и инициативи с оглед успешното изпълнение на външнополитическите приоритети на Република България.</w:t>
      </w:r>
    </w:p>
    <w:p w:rsidR="0097230C" w:rsidRPr="00EA6851" w:rsidRDefault="0097230C" w:rsidP="0097230C">
      <w:pPr>
        <w:ind w:firstLine="720"/>
        <w:rPr>
          <w:b/>
          <w:szCs w:val="24"/>
          <w:u w:val="single"/>
        </w:rPr>
      </w:pPr>
      <w:r w:rsidRPr="00EA6851">
        <w:rPr>
          <w:b/>
          <w:szCs w:val="24"/>
          <w:u w:val="single"/>
        </w:rPr>
        <w:t>Към стратегическа цел  5</w:t>
      </w:r>
    </w:p>
    <w:p w:rsidR="0097230C" w:rsidRPr="00EA6851" w:rsidRDefault="0097230C" w:rsidP="00B30642">
      <w:pPr>
        <w:pStyle w:val="ListParagraph"/>
        <w:numPr>
          <w:ilvl w:val="0"/>
          <w:numId w:val="56"/>
        </w:numPr>
        <w:rPr>
          <w:szCs w:val="24"/>
        </w:rPr>
      </w:pPr>
      <w:r w:rsidRPr="00EA6851">
        <w:rPr>
          <w:szCs w:val="24"/>
        </w:rPr>
        <w:t>Въвеждане на електронен документооборот в законодателната дейност на Народното събрание. Въвеждане на електронен документооборот в дейността на администрацията чрез квалифициран електронен подпис.</w:t>
      </w:r>
    </w:p>
    <w:p w:rsidR="001F7E27" w:rsidRPr="00EA6851" w:rsidRDefault="001F7E27" w:rsidP="0097230C">
      <w:pPr>
        <w:rPr>
          <w:b/>
          <w:szCs w:val="24"/>
        </w:rPr>
      </w:pPr>
    </w:p>
    <w:p w:rsidR="0097230C" w:rsidRPr="00EA6851" w:rsidRDefault="0097230C" w:rsidP="0097230C">
      <w:pPr>
        <w:rPr>
          <w:b/>
          <w:sz w:val="28"/>
          <w:szCs w:val="28"/>
        </w:rPr>
      </w:pPr>
      <w:r w:rsidRPr="00EA6851">
        <w:rPr>
          <w:b/>
          <w:sz w:val="28"/>
          <w:szCs w:val="28"/>
        </w:rPr>
        <w:t>Министерски съвет</w:t>
      </w:r>
    </w:p>
    <w:p w:rsidR="0097230C" w:rsidRPr="00EA6851" w:rsidRDefault="0097230C" w:rsidP="0097230C">
      <w:pPr>
        <w:pStyle w:val="Heading4"/>
        <w:spacing w:before="0" w:after="200"/>
      </w:pPr>
      <w:r w:rsidRPr="00EA6851">
        <w:t>Политика в областта на управлението на средствата от Европейския съюз</w:t>
      </w:r>
    </w:p>
    <w:p w:rsidR="0097230C" w:rsidRPr="00EA6851" w:rsidRDefault="0097230C" w:rsidP="0097230C">
      <w:pPr>
        <w:rPr>
          <w:szCs w:val="24"/>
        </w:rPr>
      </w:pPr>
      <w:r w:rsidRPr="00EA6851">
        <w:rPr>
          <w:szCs w:val="24"/>
        </w:rPr>
        <w:t>Политиката е насочена към създаване на условия за засилване на институционалния капацитет на публичните органи и заинтересованите страни, и ефективна публична администрация посредством инвестиции в институционален капацитет и в ефикасността на публичните администрации и публичните услуги на национално, регионално и местно равнище с цел осъществяването на реформи и постигането на по-добро регулиране и добро управление</w:t>
      </w:r>
      <w:r w:rsidR="001F7E27" w:rsidRPr="00EA6851">
        <w:rPr>
          <w:szCs w:val="24"/>
        </w:rPr>
        <w:t>, както и п</w:t>
      </w:r>
      <w:r w:rsidRPr="00EA6851">
        <w:rPr>
          <w:szCs w:val="24"/>
        </w:rPr>
        <w:t xml:space="preserve">одкрепа на хоризонталните структури, отговорни за управлението и изпълнението на ЕСИФ. Стратегическата цел е осигуряване на необходимите предпоставки за повишаване на добавената стойност на системата за управление и контрол на средствата от Споразумението за партньорство 2021-2027 г. </w:t>
      </w:r>
    </w:p>
    <w:p w:rsidR="0097230C" w:rsidRPr="00EA6851" w:rsidRDefault="0097230C" w:rsidP="0097230C">
      <w:pPr>
        <w:rPr>
          <w:b/>
          <w:bCs/>
          <w:sz w:val="20"/>
          <w:szCs w:val="20"/>
        </w:rPr>
      </w:pPr>
      <w:r w:rsidRPr="00EA6851">
        <w:rPr>
          <w:b/>
          <w:bCs/>
          <w:sz w:val="20"/>
          <w:szCs w:val="20"/>
        </w:rPr>
        <w:t>КЛЮЧОВИ ИНДИКАТОРИ ЗА ИЗПЪЛНЕНИЕ И ЦЕЛЕВИ СТОЙНОСТИ</w:t>
      </w:r>
    </w:p>
    <w:tbl>
      <w:tblPr>
        <w:tblW w:w="9443" w:type="dxa"/>
        <w:tblInd w:w="55" w:type="dxa"/>
        <w:tblBorders>
          <w:top w:val="single" w:sz="4" w:space="0" w:color="auto"/>
          <w:bottom w:val="single" w:sz="4" w:space="0" w:color="auto"/>
        </w:tblBorders>
        <w:tblCellMar>
          <w:left w:w="70" w:type="dxa"/>
          <w:right w:w="70" w:type="dxa"/>
        </w:tblCellMar>
        <w:tblLook w:val="0000" w:firstRow="0" w:lastRow="0" w:firstColumn="0" w:lastColumn="0" w:noHBand="0" w:noVBand="0"/>
      </w:tblPr>
      <w:tblGrid>
        <w:gridCol w:w="4198"/>
        <w:gridCol w:w="1134"/>
        <w:gridCol w:w="992"/>
        <w:gridCol w:w="992"/>
        <w:gridCol w:w="993"/>
        <w:gridCol w:w="1134"/>
      </w:tblGrid>
      <w:tr w:rsidR="0097230C" w:rsidRPr="00EA6851" w:rsidTr="004F2344">
        <w:trPr>
          <w:trHeight w:val="73"/>
          <w:tblHeader/>
        </w:trPr>
        <w:tc>
          <w:tcPr>
            <w:tcW w:w="4198" w:type="dxa"/>
            <w:shd w:val="clear" w:color="auto" w:fill="auto"/>
            <w:vAlign w:val="center"/>
          </w:tcPr>
          <w:p w:rsidR="0097230C" w:rsidRPr="00EA6851" w:rsidRDefault="0097230C" w:rsidP="0097230C">
            <w:pPr>
              <w:jc w:val="center"/>
              <w:rPr>
                <w:b/>
                <w:i/>
                <w:iCs/>
                <w:sz w:val="18"/>
                <w:szCs w:val="18"/>
              </w:rPr>
            </w:pPr>
            <w:r w:rsidRPr="00EA6851">
              <w:rPr>
                <w:b/>
                <w:i/>
                <w:iCs/>
                <w:sz w:val="18"/>
                <w:szCs w:val="18"/>
              </w:rPr>
              <w:t>Политика в областта на управлението на средствата от Европейския съюз</w:t>
            </w:r>
          </w:p>
        </w:tc>
        <w:tc>
          <w:tcPr>
            <w:tcW w:w="1134" w:type="dxa"/>
            <w:vMerge w:val="restart"/>
            <w:shd w:val="clear" w:color="auto" w:fill="F2F2F2" w:themeFill="background1" w:themeFillShade="F2"/>
          </w:tcPr>
          <w:p w:rsidR="0097230C" w:rsidRPr="00EA6851" w:rsidRDefault="0097230C" w:rsidP="0097230C">
            <w:pPr>
              <w:jc w:val="center"/>
              <w:rPr>
                <w:sz w:val="18"/>
                <w:szCs w:val="18"/>
              </w:rPr>
            </w:pPr>
          </w:p>
          <w:p w:rsidR="0097230C" w:rsidRPr="00EA6851" w:rsidRDefault="0097230C" w:rsidP="0097230C">
            <w:pPr>
              <w:jc w:val="center"/>
              <w:rPr>
                <w:sz w:val="18"/>
                <w:szCs w:val="18"/>
              </w:rPr>
            </w:pPr>
            <w:r w:rsidRPr="00EA6851">
              <w:rPr>
                <w:b/>
                <w:bCs/>
                <w:sz w:val="18"/>
                <w:szCs w:val="18"/>
              </w:rPr>
              <w:t>Мерна единица</w:t>
            </w:r>
          </w:p>
        </w:tc>
        <w:tc>
          <w:tcPr>
            <w:tcW w:w="992" w:type="dxa"/>
            <w:tcBorders>
              <w:bottom w:val="single" w:sz="4" w:space="0" w:color="auto"/>
            </w:tcBorders>
            <w:shd w:val="clear" w:color="auto" w:fill="auto"/>
          </w:tcPr>
          <w:p w:rsidR="0097230C" w:rsidRPr="00EA6851" w:rsidRDefault="0097230C" w:rsidP="0097230C">
            <w:pPr>
              <w:rPr>
                <w:b/>
                <w:bCs/>
                <w:sz w:val="18"/>
                <w:szCs w:val="18"/>
              </w:rPr>
            </w:pPr>
          </w:p>
        </w:tc>
        <w:tc>
          <w:tcPr>
            <w:tcW w:w="3119" w:type="dxa"/>
            <w:gridSpan w:val="3"/>
            <w:tcBorders>
              <w:bottom w:val="single" w:sz="4" w:space="0" w:color="auto"/>
            </w:tcBorders>
            <w:shd w:val="clear" w:color="auto" w:fill="auto"/>
          </w:tcPr>
          <w:p w:rsidR="001F7E27" w:rsidRPr="00EA6851" w:rsidRDefault="0097230C" w:rsidP="0097230C">
            <w:pPr>
              <w:rPr>
                <w:b/>
                <w:bCs/>
                <w:sz w:val="18"/>
                <w:szCs w:val="18"/>
              </w:rPr>
            </w:pPr>
            <w:r w:rsidRPr="00EA6851">
              <w:rPr>
                <w:b/>
                <w:bCs/>
                <w:sz w:val="18"/>
                <w:szCs w:val="18"/>
              </w:rPr>
              <w:t xml:space="preserve">         </w:t>
            </w:r>
          </w:p>
          <w:p w:rsidR="0097230C" w:rsidRPr="00EA6851" w:rsidRDefault="0097230C" w:rsidP="0097230C">
            <w:pPr>
              <w:rPr>
                <w:b/>
                <w:bCs/>
                <w:sz w:val="18"/>
                <w:szCs w:val="18"/>
              </w:rPr>
            </w:pPr>
            <w:r w:rsidRPr="00EA6851">
              <w:rPr>
                <w:b/>
                <w:bCs/>
                <w:sz w:val="18"/>
                <w:szCs w:val="18"/>
              </w:rPr>
              <w:t xml:space="preserve"> Целева стойност</w:t>
            </w:r>
          </w:p>
        </w:tc>
      </w:tr>
      <w:tr w:rsidR="0097230C" w:rsidRPr="00EA6851" w:rsidTr="004F2344">
        <w:trPr>
          <w:trHeight w:val="450"/>
          <w:tblHeader/>
        </w:trPr>
        <w:tc>
          <w:tcPr>
            <w:tcW w:w="4198" w:type="dxa"/>
            <w:tcBorders>
              <w:bottom w:val="single" w:sz="4" w:space="0" w:color="auto"/>
            </w:tcBorders>
            <w:shd w:val="clear" w:color="auto" w:fill="auto"/>
            <w:vAlign w:val="center"/>
          </w:tcPr>
          <w:p w:rsidR="0097230C" w:rsidRPr="00EA6851" w:rsidRDefault="0097230C" w:rsidP="0097230C">
            <w:pPr>
              <w:jc w:val="center"/>
              <w:rPr>
                <w:b/>
                <w:bCs/>
                <w:sz w:val="18"/>
                <w:szCs w:val="18"/>
              </w:rPr>
            </w:pPr>
            <w:r w:rsidRPr="00EA6851">
              <w:rPr>
                <w:b/>
                <w:bCs/>
                <w:sz w:val="18"/>
                <w:szCs w:val="18"/>
              </w:rPr>
              <w:t>Наименование на индикатора*</w:t>
            </w:r>
          </w:p>
        </w:tc>
        <w:tc>
          <w:tcPr>
            <w:tcW w:w="1134" w:type="dxa"/>
            <w:vMerge/>
            <w:tcBorders>
              <w:bottom w:val="single" w:sz="4" w:space="0" w:color="auto"/>
            </w:tcBorders>
            <w:shd w:val="clear" w:color="auto" w:fill="F2F2F2" w:themeFill="background1" w:themeFillShade="F2"/>
            <w:vAlign w:val="center"/>
          </w:tcPr>
          <w:p w:rsidR="0097230C" w:rsidRPr="00EA6851" w:rsidRDefault="0097230C" w:rsidP="0097230C">
            <w:pPr>
              <w:rPr>
                <w:b/>
                <w:bCs/>
                <w:sz w:val="18"/>
                <w:szCs w:val="18"/>
              </w:rPr>
            </w:pPr>
          </w:p>
        </w:tc>
        <w:tc>
          <w:tcPr>
            <w:tcW w:w="992" w:type="dxa"/>
            <w:tcBorders>
              <w:top w:val="single" w:sz="4" w:space="0" w:color="auto"/>
              <w:bottom w:val="single" w:sz="4" w:space="0" w:color="auto"/>
            </w:tcBorders>
            <w:shd w:val="clear" w:color="auto" w:fill="auto"/>
          </w:tcPr>
          <w:p w:rsidR="0097230C" w:rsidRPr="00EA6851" w:rsidRDefault="0097230C" w:rsidP="0097230C">
            <w:pPr>
              <w:jc w:val="center"/>
              <w:rPr>
                <w:b/>
                <w:bCs/>
                <w:i/>
                <w:iCs/>
                <w:sz w:val="18"/>
                <w:szCs w:val="18"/>
              </w:rPr>
            </w:pPr>
            <w:r w:rsidRPr="00EA6851">
              <w:rPr>
                <w:b/>
                <w:bCs/>
                <w:i/>
                <w:iCs/>
                <w:sz w:val="18"/>
                <w:szCs w:val="18"/>
              </w:rPr>
              <w:t>Програма 2023 г.</w:t>
            </w:r>
          </w:p>
        </w:tc>
        <w:tc>
          <w:tcPr>
            <w:tcW w:w="992" w:type="dxa"/>
            <w:tcBorders>
              <w:top w:val="single" w:sz="4" w:space="0" w:color="auto"/>
              <w:bottom w:val="single" w:sz="4" w:space="0" w:color="auto"/>
            </w:tcBorders>
            <w:shd w:val="clear" w:color="auto" w:fill="auto"/>
          </w:tcPr>
          <w:p w:rsidR="0097230C" w:rsidRPr="00EA6851" w:rsidRDefault="0097230C" w:rsidP="0097230C">
            <w:pPr>
              <w:jc w:val="center"/>
              <w:rPr>
                <w:b/>
                <w:bCs/>
                <w:i/>
                <w:iCs/>
                <w:sz w:val="18"/>
                <w:szCs w:val="18"/>
              </w:rPr>
            </w:pPr>
            <w:r w:rsidRPr="00EA6851">
              <w:rPr>
                <w:b/>
                <w:bCs/>
                <w:i/>
                <w:iCs/>
                <w:sz w:val="18"/>
                <w:szCs w:val="18"/>
              </w:rPr>
              <w:t>Проект 2024 г.</w:t>
            </w:r>
          </w:p>
        </w:tc>
        <w:tc>
          <w:tcPr>
            <w:tcW w:w="993" w:type="dxa"/>
            <w:tcBorders>
              <w:top w:val="single" w:sz="4" w:space="0" w:color="auto"/>
              <w:bottom w:val="single" w:sz="4" w:space="0" w:color="auto"/>
            </w:tcBorders>
            <w:shd w:val="clear" w:color="auto" w:fill="auto"/>
            <w:vAlign w:val="center"/>
          </w:tcPr>
          <w:p w:rsidR="0097230C" w:rsidRPr="00EA6851" w:rsidRDefault="0097230C" w:rsidP="0097230C">
            <w:pPr>
              <w:jc w:val="center"/>
              <w:rPr>
                <w:b/>
                <w:bCs/>
                <w:i/>
                <w:iCs/>
                <w:sz w:val="18"/>
                <w:szCs w:val="18"/>
              </w:rPr>
            </w:pPr>
            <w:r w:rsidRPr="00EA6851">
              <w:rPr>
                <w:b/>
                <w:bCs/>
                <w:i/>
                <w:iCs/>
                <w:sz w:val="18"/>
                <w:szCs w:val="18"/>
              </w:rPr>
              <w:t>Прогноза 2025 г.</w:t>
            </w:r>
          </w:p>
        </w:tc>
        <w:tc>
          <w:tcPr>
            <w:tcW w:w="1134" w:type="dxa"/>
            <w:tcBorders>
              <w:top w:val="single" w:sz="4" w:space="0" w:color="auto"/>
              <w:bottom w:val="single" w:sz="4" w:space="0" w:color="auto"/>
            </w:tcBorders>
            <w:shd w:val="clear" w:color="auto" w:fill="auto"/>
            <w:vAlign w:val="center"/>
          </w:tcPr>
          <w:p w:rsidR="0097230C" w:rsidRPr="00EA6851" w:rsidRDefault="0097230C" w:rsidP="0097230C">
            <w:pPr>
              <w:jc w:val="center"/>
              <w:rPr>
                <w:b/>
                <w:bCs/>
                <w:i/>
                <w:iCs/>
                <w:sz w:val="18"/>
                <w:szCs w:val="18"/>
              </w:rPr>
            </w:pPr>
            <w:r w:rsidRPr="00EA6851">
              <w:rPr>
                <w:b/>
                <w:bCs/>
                <w:i/>
                <w:iCs/>
                <w:sz w:val="18"/>
                <w:szCs w:val="18"/>
              </w:rPr>
              <w:t>Прогноза 2026 г</w:t>
            </w:r>
          </w:p>
        </w:tc>
      </w:tr>
      <w:tr w:rsidR="0097230C" w:rsidRPr="00EA6851" w:rsidTr="00AD3C6A">
        <w:trPr>
          <w:trHeight w:val="525"/>
        </w:trPr>
        <w:tc>
          <w:tcPr>
            <w:tcW w:w="4198" w:type="dxa"/>
            <w:tcBorders>
              <w:top w:val="single" w:sz="4" w:space="0" w:color="auto"/>
            </w:tcBorders>
            <w:shd w:val="clear" w:color="auto" w:fill="auto"/>
          </w:tcPr>
          <w:p w:rsidR="0097230C" w:rsidRPr="00EA6851" w:rsidRDefault="0097230C" w:rsidP="0097230C">
            <w:pPr>
              <w:rPr>
                <w:sz w:val="18"/>
                <w:szCs w:val="18"/>
              </w:rPr>
            </w:pPr>
            <w:r w:rsidRPr="00EA6851">
              <w:rPr>
                <w:sz w:val="18"/>
                <w:szCs w:val="18"/>
              </w:rPr>
              <w:t>1. Брой органи/звена</w:t>
            </w:r>
            <w:r w:rsidRPr="00EA6851">
              <w:rPr>
                <w:sz w:val="18"/>
                <w:szCs w:val="18"/>
                <w:vertAlign w:val="superscript"/>
              </w:rPr>
              <w:footnoteReference w:id="38"/>
            </w:r>
            <w:r w:rsidRPr="00EA6851">
              <w:rPr>
                <w:sz w:val="18"/>
                <w:szCs w:val="18"/>
              </w:rPr>
              <w:t>, подкрепени по Програма „Техническа помощ" за ефективното администриране и използване на фондовете в България във връзка с прилагането на политиката на сближаване на ЕС</w:t>
            </w:r>
          </w:p>
        </w:tc>
        <w:tc>
          <w:tcPr>
            <w:tcW w:w="1134" w:type="dxa"/>
            <w:tcBorders>
              <w:top w:val="single" w:sz="4" w:space="0" w:color="auto"/>
            </w:tcBorders>
            <w:shd w:val="clear" w:color="auto" w:fill="F2F2F2" w:themeFill="background1" w:themeFillShade="F2"/>
          </w:tcPr>
          <w:p w:rsidR="0097230C" w:rsidRPr="00EA6851" w:rsidRDefault="0097230C" w:rsidP="0097230C">
            <w:pPr>
              <w:jc w:val="center"/>
              <w:rPr>
                <w:sz w:val="18"/>
                <w:szCs w:val="18"/>
              </w:rPr>
            </w:pPr>
            <w:r w:rsidRPr="00EA6851">
              <w:rPr>
                <w:sz w:val="18"/>
                <w:szCs w:val="18"/>
              </w:rPr>
              <w:t>Брой</w:t>
            </w:r>
          </w:p>
        </w:tc>
        <w:tc>
          <w:tcPr>
            <w:tcW w:w="992" w:type="dxa"/>
            <w:tcBorders>
              <w:top w:val="single" w:sz="4" w:space="0" w:color="auto"/>
            </w:tcBorders>
            <w:shd w:val="clear" w:color="auto" w:fill="auto"/>
          </w:tcPr>
          <w:p w:rsidR="0097230C" w:rsidRPr="00EA6851" w:rsidRDefault="0097230C" w:rsidP="0097230C">
            <w:pPr>
              <w:jc w:val="center"/>
              <w:rPr>
                <w:sz w:val="18"/>
                <w:szCs w:val="18"/>
              </w:rPr>
            </w:pPr>
            <w:r w:rsidRPr="00EA6851">
              <w:rPr>
                <w:sz w:val="18"/>
                <w:szCs w:val="18"/>
              </w:rPr>
              <w:t>-</w:t>
            </w:r>
          </w:p>
        </w:tc>
        <w:tc>
          <w:tcPr>
            <w:tcW w:w="992" w:type="dxa"/>
            <w:tcBorders>
              <w:top w:val="single" w:sz="4" w:space="0" w:color="auto"/>
            </w:tcBorders>
            <w:shd w:val="clear" w:color="auto" w:fill="auto"/>
          </w:tcPr>
          <w:p w:rsidR="0097230C" w:rsidRPr="00EA6851" w:rsidRDefault="0097230C" w:rsidP="0097230C">
            <w:pPr>
              <w:jc w:val="center"/>
              <w:rPr>
                <w:sz w:val="18"/>
                <w:szCs w:val="18"/>
              </w:rPr>
            </w:pPr>
            <w:r w:rsidRPr="00EA6851">
              <w:rPr>
                <w:sz w:val="18"/>
                <w:szCs w:val="18"/>
              </w:rPr>
              <w:t>4</w:t>
            </w:r>
          </w:p>
        </w:tc>
        <w:tc>
          <w:tcPr>
            <w:tcW w:w="993" w:type="dxa"/>
            <w:tcBorders>
              <w:top w:val="single" w:sz="4" w:space="0" w:color="auto"/>
            </w:tcBorders>
            <w:shd w:val="clear" w:color="auto" w:fill="auto"/>
          </w:tcPr>
          <w:p w:rsidR="0097230C" w:rsidRPr="00EA6851" w:rsidRDefault="0097230C" w:rsidP="0097230C">
            <w:pPr>
              <w:jc w:val="center"/>
              <w:rPr>
                <w:sz w:val="18"/>
                <w:szCs w:val="18"/>
              </w:rPr>
            </w:pPr>
            <w:r w:rsidRPr="00EA6851">
              <w:rPr>
                <w:sz w:val="18"/>
                <w:szCs w:val="18"/>
              </w:rPr>
              <w:t>4</w:t>
            </w:r>
          </w:p>
        </w:tc>
        <w:tc>
          <w:tcPr>
            <w:tcW w:w="1134" w:type="dxa"/>
            <w:tcBorders>
              <w:top w:val="single" w:sz="4" w:space="0" w:color="auto"/>
            </w:tcBorders>
            <w:shd w:val="clear" w:color="auto" w:fill="auto"/>
          </w:tcPr>
          <w:p w:rsidR="0097230C" w:rsidRPr="00EA6851" w:rsidRDefault="0097230C" w:rsidP="0097230C">
            <w:pPr>
              <w:jc w:val="center"/>
              <w:rPr>
                <w:sz w:val="18"/>
                <w:szCs w:val="18"/>
              </w:rPr>
            </w:pPr>
            <w:r w:rsidRPr="00EA6851">
              <w:rPr>
                <w:sz w:val="18"/>
                <w:szCs w:val="18"/>
              </w:rPr>
              <w:t>4</w:t>
            </w:r>
          </w:p>
        </w:tc>
      </w:tr>
    </w:tbl>
    <w:p w:rsidR="0097230C" w:rsidRPr="00EA6851" w:rsidRDefault="0097230C" w:rsidP="0097230C">
      <w:pPr>
        <w:spacing w:before="80"/>
        <w:rPr>
          <w:b/>
          <w:bCs/>
          <w:iCs/>
          <w:szCs w:val="24"/>
        </w:rPr>
      </w:pPr>
    </w:p>
    <w:p w:rsidR="0097230C" w:rsidRPr="00EA6851" w:rsidRDefault="0097230C" w:rsidP="0097230C">
      <w:pPr>
        <w:pStyle w:val="Heading4"/>
        <w:spacing w:before="0" w:after="200"/>
      </w:pPr>
      <w:r w:rsidRPr="00EA6851">
        <w:t>Политика в областта на осъществяването на държавните функции на територията на областите в България</w:t>
      </w:r>
    </w:p>
    <w:p w:rsidR="0097230C" w:rsidRPr="00EA6851" w:rsidRDefault="0097230C" w:rsidP="0097230C">
      <w:pPr>
        <w:rPr>
          <w:szCs w:val="24"/>
        </w:rPr>
      </w:pPr>
      <w:r w:rsidRPr="00EA6851">
        <w:rPr>
          <w:bCs/>
          <w:iCs/>
          <w:szCs w:val="24"/>
        </w:rPr>
        <w:t xml:space="preserve">Областите са административно-териториални единици за провеждане на регионална политика, за осъществяване на държавно управление по места и за осигуряване на съответствие между националните и местните интереси. Стратегическата цел е провеждане на </w:t>
      </w:r>
      <w:r w:rsidRPr="00EA6851">
        <w:rPr>
          <w:szCs w:val="24"/>
        </w:rPr>
        <w:t>ефективна регионална политика и държавно управление по места, осигуряване на съответствие между националните и местните интереси, с оглед създаване на благоприятна среда за живот и модернизация на инфраструктурата, осигуряваща условия за растеж, заетост и подобряване качеството на живот.</w:t>
      </w:r>
    </w:p>
    <w:p w:rsidR="0097230C" w:rsidRPr="00EA6851" w:rsidRDefault="0097230C" w:rsidP="0097230C">
      <w:pPr>
        <w:pStyle w:val="Heading4"/>
        <w:spacing w:before="0" w:after="200"/>
      </w:pPr>
      <w:r w:rsidRPr="00EA6851">
        <w:t>Политика в областта на правото на вероизповедание</w:t>
      </w:r>
    </w:p>
    <w:p w:rsidR="00E04690" w:rsidRPr="00EA6851" w:rsidRDefault="0097230C" w:rsidP="0097230C">
      <w:r w:rsidRPr="00EA6851">
        <w:t>Политиката в областта на вероизповеданията се регламентира от Конституцията на Република България и Закона за вероизповеданията. Законодателството на страната ни в тази област е едно от най-новите и либерални в Европейския съюз. Законът за вероизповеданията е получил положителна оценка от Европейската комисия, което е доказателство, че предначертаната и провеждана политика на държавата в тази насока не се нуждае от корекции на този етап.</w:t>
      </w:r>
    </w:p>
    <w:p w:rsidR="0097230C" w:rsidRPr="00EA6851" w:rsidRDefault="0097230C" w:rsidP="0097230C">
      <w:r w:rsidRPr="00EA6851">
        <w:t>Стратегическата цел е свободно и безпрепятствено упражняване на правото на вероизповедание, поддържане на търпимост и уважение между вярващите от различните вероизповедания, както и между вярващи и невярващи в дългосрочен план.</w:t>
      </w:r>
    </w:p>
    <w:p w:rsidR="0097230C" w:rsidRDefault="0097230C" w:rsidP="0097230C">
      <w:r w:rsidRPr="00EA6851">
        <w:t>За осъществяване на целите на политиката е ангажирана дирекция „Вероизповедания“ към администрацията на Министерския съвет.</w:t>
      </w:r>
    </w:p>
    <w:p w:rsidR="008A54B3" w:rsidRPr="00EA6851" w:rsidRDefault="008A54B3" w:rsidP="0097230C">
      <w:r w:rsidRPr="008A54B3">
        <w:t>В размера и разпределението на субсидията за регистрираните вероизповедания в Република България по чл. 6, ал. 4 от проекта на ЗДБРБ за 2024 г. са отразени данните от националното преброяване на населението през 2021 г., както и предложено от дирекция „Вероизповедания“ към Министерския съвет завишение през 2024 г. на субсидията за регистрираните вероизповедания с повече от 1 на сто от самоопределилите се към съответното вероизповедание спрямо общия брой на преброените лица, при което за едно самоопределило се лице субсидията в размер, не по-малък от 10 лв. се увеличава на 15 лв. Мотивите за това са свързани с неотложните разходи във връзка с компенсирането на свещенослужителите, породено от инфлационните процеси и промяната в множе</w:t>
      </w:r>
      <w:r>
        <w:t>ство сектори на възнагражденията</w:t>
      </w:r>
      <w:r w:rsidRPr="008A54B3">
        <w:t xml:space="preserve"> на служителите, което предполага и актуализация в този сектор. Такава актуализация не се е осъществявала след промените в Закона за вероизп</w:t>
      </w:r>
      <w:r w:rsidR="004631B4">
        <w:t xml:space="preserve">оведанията през 2019 и 2020 г. </w:t>
      </w:r>
    </w:p>
    <w:p w:rsidR="0097230C" w:rsidRPr="00EA6851" w:rsidRDefault="0097230C" w:rsidP="0097230C">
      <w:pPr>
        <w:pStyle w:val="Heading4"/>
        <w:spacing w:before="0" w:after="200"/>
      </w:pPr>
      <w:r w:rsidRPr="00EA6851">
        <w:t>Политика в областта на архивното дело</w:t>
      </w:r>
    </w:p>
    <w:p w:rsidR="0097230C" w:rsidRPr="00EA6851" w:rsidRDefault="0097230C" w:rsidP="0097230C">
      <w:pPr>
        <w:tabs>
          <w:tab w:val="left" w:pos="2106"/>
        </w:tabs>
        <w:rPr>
          <w:szCs w:val="24"/>
        </w:rPr>
      </w:pPr>
      <w:r w:rsidRPr="00EA6851">
        <w:rPr>
          <w:szCs w:val="24"/>
        </w:rPr>
        <w:t xml:space="preserve">В Стратегията на </w:t>
      </w:r>
      <w:r w:rsidRPr="00C20F3B">
        <w:rPr>
          <w:b/>
          <w:szCs w:val="24"/>
        </w:rPr>
        <w:t xml:space="preserve">Държавната агенция </w:t>
      </w:r>
      <w:r w:rsidR="004F2344" w:rsidRPr="00C20F3B">
        <w:rPr>
          <w:b/>
          <w:szCs w:val="24"/>
        </w:rPr>
        <w:t>„</w:t>
      </w:r>
      <w:r w:rsidRPr="00C20F3B">
        <w:rPr>
          <w:b/>
          <w:szCs w:val="24"/>
        </w:rPr>
        <w:t>Архиви</w:t>
      </w:r>
      <w:r w:rsidR="004F2344" w:rsidRPr="00C20F3B">
        <w:rPr>
          <w:b/>
          <w:szCs w:val="24"/>
        </w:rPr>
        <w:t>“</w:t>
      </w:r>
      <w:r w:rsidRPr="00C20F3B">
        <w:rPr>
          <w:b/>
          <w:szCs w:val="24"/>
        </w:rPr>
        <w:t xml:space="preserve"> (ДАА)</w:t>
      </w:r>
      <w:r w:rsidRPr="00EA6851">
        <w:rPr>
          <w:szCs w:val="24"/>
        </w:rPr>
        <w:t xml:space="preserve"> за периода 01.07.2021-31.12.2026 г. са формулирани четири стратегически цели, съобразени с правомощията на Агенцията и отговорностите й по Закона </w:t>
      </w:r>
      <w:r w:rsidR="001A11B1" w:rsidRPr="00EA6851">
        <w:rPr>
          <w:szCs w:val="24"/>
        </w:rPr>
        <w:t xml:space="preserve">за </w:t>
      </w:r>
      <w:r w:rsidRPr="00EA6851">
        <w:rPr>
          <w:szCs w:val="24"/>
        </w:rPr>
        <w:t>Националния архивен фонд (ЗНАФ). За формулиране на стратегическите цели е извършен SWOT анализ на състоянието на дейностите на ДАА по отношение на силните и слаби страни, възможностите и заплахите на външната среда. Във връзка с внедряването през 2019 г. на Общата рамка за оценка (CAF), SWOT анализът е допълнен с показатели, като са включени критерии на CAF за „благоприятстващи фактори“ и критерии за „резултати“. Направен е и повторен преглед на доклада от самооценката, като са взети под внимание областите за подобрение и мерки за тяхното реализиране, относими към процеса на стратегическо планир</w:t>
      </w:r>
      <w:r w:rsidR="001A11B1" w:rsidRPr="00EA6851">
        <w:rPr>
          <w:szCs w:val="24"/>
        </w:rPr>
        <w:t>ане. Целите са съобразени и със</w:t>
      </w:r>
      <w:r w:rsidRPr="00EA6851">
        <w:rPr>
          <w:szCs w:val="24"/>
        </w:rPr>
        <w:t xml:space="preserve"> стратегическите документи, определящи развитието на държавата и администрацията, които имат отношение към функц</w:t>
      </w:r>
      <w:r w:rsidR="001A11B1" w:rsidRPr="00EA6851">
        <w:rPr>
          <w:szCs w:val="24"/>
        </w:rPr>
        <w:t>иите на ДАА през периода 2021-</w:t>
      </w:r>
      <w:r w:rsidRPr="00EA6851">
        <w:rPr>
          <w:szCs w:val="24"/>
        </w:rPr>
        <w:t>2026 г. Формулирани и определени са свързаните с тях оперативни цели и дейности, с които се цели постигането на заложените резултати и индикатори. Определените цели са в контекста на заложените в дългосрочен аспект мисия, визия и ценности на ДАА за развитието и усъвършенстването на администрацията. За тяхното постигане ДАА ще инициира своевременно промени в ЗНАФ и съпътстващата го нормативна уредба. Ежегодно ще се изготвя и План за съответната календарна година с дейности и индикатори, с цел изпълнение на стратегическите и оперативни цели на агенцията. Определени са ключови индикатори за измерване на изпълнението, обвързани със Стратегията на ДАА за периода 01.07.2021-31.12.2026 г. и съобразени с правомощията и отговорностите на Агенцията по ЗНАФ.</w:t>
      </w:r>
    </w:p>
    <w:p w:rsidR="0097230C" w:rsidRPr="00EA6851" w:rsidRDefault="0097230C" w:rsidP="0097230C">
      <w:pPr>
        <w:rPr>
          <w:b/>
          <w:bCs/>
          <w:sz w:val="20"/>
          <w:szCs w:val="20"/>
        </w:rPr>
      </w:pPr>
      <w:r w:rsidRPr="00EA6851">
        <w:rPr>
          <w:b/>
          <w:bCs/>
          <w:sz w:val="20"/>
          <w:szCs w:val="20"/>
        </w:rPr>
        <w:t>КЛЮЧОВИ ИНДИКАТОРИ ЗА ИЗПЪЛНЕНИЕ И ЦЕЛЕВИ СТОЙНОСТИ</w:t>
      </w:r>
    </w:p>
    <w:tbl>
      <w:tblPr>
        <w:tblW w:w="9180" w:type="dxa"/>
        <w:tblBorders>
          <w:top w:val="single" w:sz="4" w:space="0" w:color="auto"/>
          <w:bottom w:val="single" w:sz="4" w:space="0" w:color="auto"/>
        </w:tblBorders>
        <w:tblLayout w:type="fixed"/>
        <w:tblCellMar>
          <w:left w:w="70" w:type="dxa"/>
          <w:right w:w="70" w:type="dxa"/>
        </w:tblCellMar>
        <w:tblLook w:val="0000" w:firstRow="0" w:lastRow="0" w:firstColumn="0" w:lastColumn="0" w:noHBand="0" w:noVBand="0"/>
      </w:tblPr>
      <w:tblGrid>
        <w:gridCol w:w="3870"/>
        <w:gridCol w:w="1251"/>
        <w:gridCol w:w="1089"/>
        <w:gridCol w:w="900"/>
        <w:gridCol w:w="990"/>
        <w:gridCol w:w="1080"/>
      </w:tblGrid>
      <w:tr w:rsidR="0097230C" w:rsidRPr="00EA6851" w:rsidTr="001A11B1">
        <w:trPr>
          <w:trHeight w:val="525"/>
          <w:tblHeader/>
        </w:trPr>
        <w:tc>
          <w:tcPr>
            <w:tcW w:w="3870" w:type="dxa"/>
            <w:tcBorders>
              <w:top w:val="single" w:sz="4" w:space="0" w:color="auto"/>
              <w:bottom w:val="nil"/>
            </w:tcBorders>
            <w:shd w:val="clear" w:color="auto" w:fill="auto"/>
            <w:vAlign w:val="center"/>
          </w:tcPr>
          <w:p w:rsidR="0097230C" w:rsidRPr="00EA6851" w:rsidRDefault="0097230C" w:rsidP="0097230C">
            <w:pPr>
              <w:jc w:val="center"/>
              <w:rPr>
                <w:b/>
                <w:i/>
                <w:iCs/>
                <w:sz w:val="18"/>
                <w:szCs w:val="18"/>
              </w:rPr>
            </w:pPr>
            <w:r w:rsidRPr="00EA6851">
              <w:rPr>
                <w:b/>
                <w:i/>
                <w:iCs/>
                <w:sz w:val="18"/>
                <w:szCs w:val="18"/>
              </w:rPr>
              <w:t>Политика</w:t>
            </w:r>
            <w:r w:rsidRPr="00EA6851">
              <w:rPr>
                <w:b/>
                <w:sz w:val="18"/>
                <w:szCs w:val="18"/>
              </w:rPr>
              <w:t xml:space="preserve"> </w:t>
            </w:r>
            <w:r w:rsidRPr="00EA6851">
              <w:rPr>
                <w:b/>
                <w:i/>
                <w:iCs/>
                <w:sz w:val="18"/>
                <w:szCs w:val="18"/>
              </w:rPr>
              <w:t>в областта на архивното дело</w:t>
            </w:r>
          </w:p>
        </w:tc>
        <w:tc>
          <w:tcPr>
            <w:tcW w:w="1251" w:type="dxa"/>
            <w:vMerge w:val="restart"/>
            <w:tcBorders>
              <w:top w:val="single" w:sz="4" w:space="0" w:color="auto"/>
              <w:bottom w:val="nil"/>
            </w:tcBorders>
            <w:shd w:val="clear" w:color="auto" w:fill="F2F2F2" w:themeFill="background1" w:themeFillShade="F2"/>
          </w:tcPr>
          <w:p w:rsidR="0097230C" w:rsidRPr="00EA6851" w:rsidRDefault="0097230C" w:rsidP="0097230C">
            <w:pPr>
              <w:jc w:val="center"/>
              <w:rPr>
                <w:sz w:val="18"/>
                <w:szCs w:val="18"/>
              </w:rPr>
            </w:pPr>
          </w:p>
          <w:p w:rsidR="0097230C" w:rsidRPr="00EA6851" w:rsidRDefault="0097230C" w:rsidP="0097230C">
            <w:pPr>
              <w:jc w:val="center"/>
              <w:rPr>
                <w:sz w:val="18"/>
                <w:szCs w:val="18"/>
              </w:rPr>
            </w:pPr>
            <w:r w:rsidRPr="00EA6851">
              <w:rPr>
                <w:b/>
                <w:bCs/>
                <w:sz w:val="18"/>
                <w:szCs w:val="18"/>
              </w:rPr>
              <w:t>Мерна единица</w:t>
            </w:r>
          </w:p>
        </w:tc>
        <w:tc>
          <w:tcPr>
            <w:tcW w:w="4059" w:type="dxa"/>
            <w:gridSpan w:val="4"/>
            <w:tcBorders>
              <w:top w:val="single" w:sz="4" w:space="0" w:color="auto"/>
              <w:bottom w:val="single" w:sz="4" w:space="0" w:color="auto"/>
            </w:tcBorders>
            <w:shd w:val="clear" w:color="auto" w:fill="auto"/>
          </w:tcPr>
          <w:p w:rsidR="0097230C" w:rsidRPr="00EA6851" w:rsidRDefault="0097230C" w:rsidP="0097230C">
            <w:pPr>
              <w:jc w:val="center"/>
              <w:rPr>
                <w:b/>
                <w:bCs/>
                <w:sz w:val="18"/>
                <w:szCs w:val="18"/>
              </w:rPr>
            </w:pPr>
            <w:r w:rsidRPr="00EA6851">
              <w:rPr>
                <w:b/>
                <w:bCs/>
                <w:sz w:val="18"/>
                <w:szCs w:val="18"/>
              </w:rPr>
              <w:t>Целева стойност</w:t>
            </w:r>
          </w:p>
        </w:tc>
      </w:tr>
      <w:tr w:rsidR="0097230C" w:rsidRPr="00EA6851" w:rsidTr="004F2344">
        <w:trPr>
          <w:trHeight w:val="450"/>
          <w:tblHeader/>
        </w:trPr>
        <w:tc>
          <w:tcPr>
            <w:tcW w:w="3870" w:type="dxa"/>
            <w:tcBorders>
              <w:top w:val="nil"/>
              <w:bottom w:val="single" w:sz="4" w:space="0" w:color="auto"/>
            </w:tcBorders>
            <w:shd w:val="clear" w:color="auto" w:fill="auto"/>
            <w:vAlign w:val="center"/>
          </w:tcPr>
          <w:p w:rsidR="0097230C" w:rsidRPr="00EA6851" w:rsidRDefault="0097230C" w:rsidP="0097230C">
            <w:pPr>
              <w:jc w:val="center"/>
              <w:rPr>
                <w:b/>
                <w:bCs/>
                <w:sz w:val="18"/>
                <w:szCs w:val="18"/>
              </w:rPr>
            </w:pPr>
            <w:r w:rsidRPr="00EA6851">
              <w:rPr>
                <w:b/>
                <w:bCs/>
                <w:sz w:val="18"/>
                <w:szCs w:val="18"/>
              </w:rPr>
              <w:t>Наименование на индикатора</w:t>
            </w:r>
          </w:p>
        </w:tc>
        <w:tc>
          <w:tcPr>
            <w:tcW w:w="1251" w:type="dxa"/>
            <w:vMerge/>
            <w:tcBorders>
              <w:top w:val="nil"/>
              <w:bottom w:val="single" w:sz="4" w:space="0" w:color="auto"/>
            </w:tcBorders>
            <w:shd w:val="clear" w:color="auto" w:fill="F2F2F2" w:themeFill="background1" w:themeFillShade="F2"/>
            <w:vAlign w:val="center"/>
          </w:tcPr>
          <w:p w:rsidR="0097230C" w:rsidRPr="00EA6851" w:rsidRDefault="0097230C" w:rsidP="0097230C">
            <w:pPr>
              <w:jc w:val="center"/>
              <w:rPr>
                <w:b/>
                <w:bCs/>
                <w:sz w:val="18"/>
                <w:szCs w:val="18"/>
              </w:rPr>
            </w:pPr>
          </w:p>
        </w:tc>
        <w:tc>
          <w:tcPr>
            <w:tcW w:w="1089" w:type="dxa"/>
            <w:tcBorders>
              <w:top w:val="single" w:sz="4" w:space="0" w:color="auto"/>
              <w:bottom w:val="single" w:sz="4" w:space="0" w:color="auto"/>
            </w:tcBorders>
            <w:shd w:val="clear" w:color="auto" w:fill="auto"/>
          </w:tcPr>
          <w:p w:rsidR="0097230C" w:rsidRPr="00EA6851" w:rsidRDefault="0097230C" w:rsidP="0097230C">
            <w:pPr>
              <w:jc w:val="center"/>
              <w:rPr>
                <w:b/>
                <w:bCs/>
                <w:i/>
                <w:iCs/>
                <w:sz w:val="18"/>
                <w:szCs w:val="18"/>
              </w:rPr>
            </w:pPr>
            <w:r w:rsidRPr="00EA6851">
              <w:rPr>
                <w:b/>
                <w:bCs/>
                <w:i/>
                <w:iCs/>
                <w:sz w:val="18"/>
                <w:szCs w:val="18"/>
              </w:rPr>
              <w:t>Програма 2023 г.</w:t>
            </w:r>
          </w:p>
        </w:tc>
        <w:tc>
          <w:tcPr>
            <w:tcW w:w="900" w:type="dxa"/>
            <w:tcBorders>
              <w:top w:val="single" w:sz="4" w:space="0" w:color="auto"/>
              <w:bottom w:val="single" w:sz="4" w:space="0" w:color="auto"/>
            </w:tcBorders>
            <w:shd w:val="clear" w:color="auto" w:fill="auto"/>
          </w:tcPr>
          <w:p w:rsidR="0097230C" w:rsidRPr="00EA6851" w:rsidRDefault="0097230C" w:rsidP="0097230C">
            <w:pPr>
              <w:jc w:val="center"/>
              <w:rPr>
                <w:b/>
                <w:bCs/>
                <w:i/>
                <w:iCs/>
                <w:sz w:val="18"/>
                <w:szCs w:val="18"/>
              </w:rPr>
            </w:pPr>
            <w:r w:rsidRPr="00EA6851">
              <w:rPr>
                <w:b/>
                <w:bCs/>
                <w:i/>
                <w:iCs/>
                <w:sz w:val="18"/>
                <w:szCs w:val="18"/>
              </w:rPr>
              <w:t>Проект 2024 г.</w:t>
            </w:r>
          </w:p>
        </w:tc>
        <w:tc>
          <w:tcPr>
            <w:tcW w:w="990" w:type="dxa"/>
            <w:tcBorders>
              <w:top w:val="single" w:sz="4" w:space="0" w:color="auto"/>
              <w:bottom w:val="single" w:sz="4" w:space="0" w:color="auto"/>
            </w:tcBorders>
            <w:shd w:val="clear" w:color="auto" w:fill="auto"/>
            <w:vAlign w:val="center"/>
          </w:tcPr>
          <w:p w:rsidR="0097230C" w:rsidRPr="00EA6851" w:rsidRDefault="0097230C" w:rsidP="0097230C">
            <w:pPr>
              <w:jc w:val="center"/>
              <w:rPr>
                <w:b/>
                <w:bCs/>
                <w:i/>
                <w:iCs/>
                <w:sz w:val="18"/>
                <w:szCs w:val="18"/>
              </w:rPr>
            </w:pPr>
            <w:r w:rsidRPr="00EA6851">
              <w:rPr>
                <w:b/>
                <w:bCs/>
                <w:i/>
                <w:iCs/>
                <w:sz w:val="18"/>
                <w:szCs w:val="18"/>
              </w:rPr>
              <w:t>Прогноза 2025 г.</w:t>
            </w:r>
          </w:p>
        </w:tc>
        <w:tc>
          <w:tcPr>
            <w:tcW w:w="1080" w:type="dxa"/>
            <w:tcBorders>
              <w:top w:val="single" w:sz="4" w:space="0" w:color="auto"/>
              <w:bottom w:val="single" w:sz="4" w:space="0" w:color="auto"/>
            </w:tcBorders>
            <w:shd w:val="clear" w:color="auto" w:fill="auto"/>
            <w:vAlign w:val="center"/>
          </w:tcPr>
          <w:p w:rsidR="0097230C" w:rsidRPr="00EA6851" w:rsidRDefault="0097230C" w:rsidP="0097230C">
            <w:pPr>
              <w:jc w:val="center"/>
              <w:rPr>
                <w:b/>
                <w:bCs/>
                <w:i/>
                <w:iCs/>
                <w:sz w:val="18"/>
                <w:szCs w:val="18"/>
              </w:rPr>
            </w:pPr>
            <w:r w:rsidRPr="00EA6851">
              <w:rPr>
                <w:b/>
                <w:bCs/>
                <w:i/>
                <w:iCs/>
                <w:sz w:val="18"/>
                <w:szCs w:val="18"/>
              </w:rPr>
              <w:t>Прогноза 2026 г</w:t>
            </w:r>
          </w:p>
        </w:tc>
      </w:tr>
      <w:tr w:rsidR="0097230C" w:rsidRPr="00EA6851" w:rsidTr="001A11B1">
        <w:trPr>
          <w:trHeight w:val="534"/>
        </w:trPr>
        <w:tc>
          <w:tcPr>
            <w:tcW w:w="3870" w:type="dxa"/>
            <w:tcBorders>
              <w:top w:val="single" w:sz="4" w:space="0" w:color="auto"/>
            </w:tcBorders>
            <w:shd w:val="clear" w:color="auto" w:fill="auto"/>
          </w:tcPr>
          <w:p w:rsidR="0097230C" w:rsidRPr="00EA6851" w:rsidRDefault="0097230C" w:rsidP="0097230C">
            <w:pPr>
              <w:rPr>
                <w:sz w:val="18"/>
                <w:szCs w:val="18"/>
              </w:rPr>
            </w:pPr>
            <w:r w:rsidRPr="00EA6851">
              <w:rPr>
                <w:sz w:val="18"/>
                <w:szCs w:val="18"/>
              </w:rPr>
              <w:t xml:space="preserve">1. Нормативни и/или методически указания в областта на е-архив и е-архивиране </w:t>
            </w:r>
          </w:p>
        </w:tc>
        <w:tc>
          <w:tcPr>
            <w:tcW w:w="1251" w:type="dxa"/>
            <w:tcBorders>
              <w:top w:val="single" w:sz="4" w:space="0" w:color="auto"/>
            </w:tcBorders>
            <w:shd w:val="clear" w:color="auto" w:fill="F2F2F2" w:themeFill="background1" w:themeFillShade="F2"/>
          </w:tcPr>
          <w:p w:rsidR="0097230C" w:rsidRPr="00EA6851" w:rsidRDefault="0097230C" w:rsidP="0097230C">
            <w:pPr>
              <w:jc w:val="center"/>
              <w:rPr>
                <w:sz w:val="18"/>
                <w:szCs w:val="18"/>
              </w:rPr>
            </w:pPr>
            <w:r w:rsidRPr="00EA6851">
              <w:rPr>
                <w:sz w:val="18"/>
                <w:szCs w:val="18"/>
              </w:rPr>
              <w:t>Брой</w:t>
            </w:r>
          </w:p>
        </w:tc>
        <w:tc>
          <w:tcPr>
            <w:tcW w:w="1089" w:type="dxa"/>
            <w:tcBorders>
              <w:top w:val="single" w:sz="4" w:space="0" w:color="auto"/>
            </w:tcBorders>
            <w:shd w:val="clear" w:color="auto" w:fill="auto"/>
          </w:tcPr>
          <w:p w:rsidR="0097230C" w:rsidRPr="00EA6851" w:rsidRDefault="0097230C" w:rsidP="0097230C">
            <w:pPr>
              <w:jc w:val="center"/>
              <w:rPr>
                <w:sz w:val="18"/>
                <w:szCs w:val="18"/>
              </w:rPr>
            </w:pPr>
            <w:r w:rsidRPr="00EA6851">
              <w:rPr>
                <w:sz w:val="18"/>
                <w:szCs w:val="18"/>
              </w:rPr>
              <w:t>1</w:t>
            </w:r>
          </w:p>
        </w:tc>
        <w:tc>
          <w:tcPr>
            <w:tcW w:w="900" w:type="dxa"/>
            <w:tcBorders>
              <w:top w:val="single" w:sz="4" w:space="0" w:color="auto"/>
            </w:tcBorders>
            <w:shd w:val="clear" w:color="auto" w:fill="auto"/>
          </w:tcPr>
          <w:p w:rsidR="0097230C" w:rsidRPr="00EA6851" w:rsidRDefault="0097230C" w:rsidP="0097230C">
            <w:pPr>
              <w:jc w:val="center"/>
              <w:rPr>
                <w:sz w:val="18"/>
                <w:szCs w:val="18"/>
              </w:rPr>
            </w:pPr>
            <w:r w:rsidRPr="00EA6851">
              <w:rPr>
                <w:sz w:val="18"/>
                <w:szCs w:val="18"/>
              </w:rPr>
              <w:t>1</w:t>
            </w:r>
          </w:p>
        </w:tc>
        <w:tc>
          <w:tcPr>
            <w:tcW w:w="990" w:type="dxa"/>
            <w:tcBorders>
              <w:top w:val="single" w:sz="4" w:space="0" w:color="auto"/>
            </w:tcBorders>
            <w:shd w:val="clear" w:color="auto" w:fill="auto"/>
          </w:tcPr>
          <w:p w:rsidR="0097230C" w:rsidRPr="00EA6851" w:rsidRDefault="0097230C" w:rsidP="0097230C">
            <w:pPr>
              <w:jc w:val="center"/>
              <w:rPr>
                <w:sz w:val="18"/>
                <w:szCs w:val="18"/>
              </w:rPr>
            </w:pPr>
            <w:r w:rsidRPr="00EA6851">
              <w:rPr>
                <w:sz w:val="18"/>
                <w:szCs w:val="18"/>
              </w:rPr>
              <w:t>1</w:t>
            </w:r>
          </w:p>
        </w:tc>
        <w:tc>
          <w:tcPr>
            <w:tcW w:w="1080" w:type="dxa"/>
            <w:tcBorders>
              <w:top w:val="single" w:sz="4" w:space="0" w:color="auto"/>
            </w:tcBorders>
            <w:shd w:val="clear" w:color="auto" w:fill="auto"/>
          </w:tcPr>
          <w:p w:rsidR="0097230C" w:rsidRPr="00EA6851" w:rsidRDefault="0097230C" w:rsidP="0097230C">
            <w:pPr>
              <w:jc w:val="center"/>
              <w:rPr>
                <w:sz w:val="18"/>
                <w:szCs w:val="18"/>
              </w:rPr>
            </w:pPr>
            <w:r w:rsidRPr="00EA6851">
              <w:rPr>
                <w:sz w:val="18"/>
                <w:szCs w:val="18"/>
              </w:rPr>
              <w:t>1</w:t>
            </w:r>
          </w:p>
        </w:tc>
      </w:tr>
      <w:tr w:rsidR="0097230C" w:rsidRPr="00EA6851" w:rsidTr="00E04690">
        <w:trPr>
          <w:trHeight w:val="814"/>
        </w:trPr>
        <w:tc>
          <w:tcPr>
            <w:tcW w:w="3870" w:type="dxa"/>
            <w:shd w:val="clear" w:color="auto" w:fill="auto"/>
          </w:tcPr>
          <w:p w:rsidR="0097230C" w:rsidRPr="00EA6851" w:rsidRDefault="0097230C" w:rsidP="0097230C">
            <w:pPr>
              <w:rPr>
                <w:sz w:val="18"/>
                <w:szCs w:val="18"/>
              </w:rPr>
            </w:pPr>
            <w:r w:rsidRPr="00EA6851">
              <w:rPr>
                <w:sz w:val="18"/>
                <w:szCs w:val="18"/>
              </w:rPr>
              <w:t xml:space="preserve">2. Въведени архивни описания в Информационната система на държавните архиви (ИСДА) </w:t>
            </w:r>
          </w:p>
        </w:tc>
        <w:tc>
          <w:tcPr>
            <w:tcW w:w="1251" w:type="dxa"/>
            <w:shd w:val="clear" w:color="auto" w:fill="F2F2F2" w:themeFill="background1" w:themeFillShade="F2"/>
          </w:tcPr>
          <w:p w:rsidR="0097230C" w:rsidRPr="00EA6851" w:rsidRDefault="0097230C" w:rsidP="0097230C">
            <w:pPr>
              <w:jc w:val="center"/>
              <w:rPr>
                <w:sz w:val="18"/>
                <w:szCs w:val="18"/>
              </w:rPr>
            </w:pPr>
            <w:r w:rsidRPr="00EA6851">
              <w:rPr>
                <w:sz w:val="18"/>
                <w:szCs w:val="18"/>
              </w:rPr>
              <w:t>Брой</w:t>
            </w:r>
          </w:p>
        </w:tc>
        <w:tc>
          <w:tcPr>
            <w:tcW w:w="1089" w:type="dxa"/>
            <w:shd w:val="clear" w:color="auto" w:fill="auto"/>
          </w:tcPr>
          <w:p w:rsidR="0097230C" w:rsidRPr="00EA6851" w:rsidRDefault="0097230C" w:rsidP="0097230C">
            <w:pPr>
              <w:jc w:val="center"/>
              <w:rPr>
                <w:sz w:val="18"/>
                <w:szCs w:val="18"/>
              </w:rPr>
            </w:pPr>
            <w:r w:rsidRPr="00EA6851">
              <w:rPr>
                <w:sz w:val="18"/>
                <w:szCs w:val="18"/>
              </w:rPr>
              <w:t>1</w:t>
            </w:r>
          </w:p>
        </w:tc>
        <w:tc>
          <w:tcPr>
            <w:tcW w:w="900" w:type="dxa"/>
            <w:shd w:val="clear" w:color="auto" w:fill="auto"/>
          </w:tcPr>
          <w:p w:rsidR="0097230C" w:rsidRPr="00EA6851" w:rsidRDefault="0097230C" w:rsidP="0097230C">
            <w:pPr>
              <w:jc w:val="center"/>
              <w:rPr>
                <w:sz w:val="18"/>
                <w:szCs w:val="18"/>
              </w:rPr>
            </w:pPr>
            <w:r w:rsidRPr="00EA6851">
              <w:rPr>
                <w:sz w:val="18"/>
                <w:szCs w:val="18"/>
              </w:rPr>
              <w:t>1</w:t>
            </w:r>
          </w:p>
        </w:tc>
        <w:tc>
          <w:tcPr>
            <w:tcW w:w="990" w:type="dxa"/>
            <w:shd w:val="clear" w:color="auto" w:fill="auto"/>
          </w:tcPr>
          <w:p w:rsidR="0097230C" w:rsidRPr="00EA6851" w:rsidRDefault="0097230C" w:rsidP="0097230C">
            <w:pPr>
              <w:jc w:val="center"/>
              <w:rPr>
                <w:sz w:val="18"/>
                <w:szCs w:val="18"/>
              </w:rPr>
            </w:pPr>
            <w:r w:rsidRPr="00EA6851">
              <w:rPr>
                <w:sz w:val="18"/>
                <w:szCs w:val="18"/>
              </w:rPr>
              <w:t>1</w:t>
            </w:r>
          </w:p>
        </w:tc>
        <w:tc>
          <w:tcPr>
            <w:tcW w:w="1080" w:type="dxa"/>
            <w:shd w:val="clear" w:color="auto" w:fill="auto"/>
          </w:tcPr>
          <w:p w:rsidR="0097230C" w:rsidRPr="00EA6851" w:rsidRDefault="0097230C" w:rsidP="0097230C">
            <w:pPr>
              <w:jc w:val="center"/>
              <w:rPr>
                <w:sz w:val="18"/>
                <w:szCs w:val="18"/>
              </w:rPr>
            </w:pPr>
            <w:r w:rsidRPr="00EA6851">
              <w:rPr>
                <w:sz w:val="18"/>
                <w:szCs w:val="18"/>
              </w:rPr>
              <w:t>1</w:t>
            </w:r>
          </w:p>
        </w:tc>
      </w:tr>
      <w:tr w:rsidR="0097230C" w:rsidRPr="00EA6851" w:rsidTr="004F2344">
        <w:trPr>
          <w:trHeight w:val="80"/>
        </w:trPr>
        <w:tc>
          <w:tcPr>
            <w:tcW w:w="3870" w:type="dxa"/>
            <w:shd w:val="clear" w:color="auto" w:fill="auto"/>
          </w:tcPr>
          <w:p w:rsidR="0097230C" w:rsidRPr="00EA6851" w:rsidRDefault="0097230C" w:rsidP="0097230C">
            <w:pPr>
              <w:rPr>
                <w:sz w:val="18"/>
                <w:szCs w:val="18"/>
              </w:rPr>
            </w:pPr>
            <w:r w:rsidRPr="00EA6851">
              <w:rPr>
                <w:sz w:val="18"/>
                <w:szCs w:val="18"/>
              </w:rPr>
              <w:t>3. Попълване на системата за е-архивиране</w:t>
            </w:r>
          </w:p>
        </w:tc>
        <w:tc>
          <w:tcPr>
            <w:tcW w:w="1251" w:type="dxa"/>
            <w:shd w:val="clear" w:color="auto" w:fill="F2F2F2" w:themeFill="background1" w:themeFillShade="F2"/>
          </w:tcPr>
          <w:p w:rsidR="0097230C" w:rsidRPr="00EA6851" w:rsidRDefault="0097230C" w:rsidP="0097230C">
            <w:pPr>
              <w:jc w:val="center"/>
              <w:rPr>
                <w:sz w:val="18"/>
                <w:szCs w:val="18"/>
              </w:rPr>
            </w:pPr>
            <w:r w:rsidRPr="00EA6851">
              <w:rPr>
                <w:sz w:val="18"/>
                <w:szCs w:val="18"/>
              </w:rPr>
              <w:t>Бр. постъпления с ценни е-документи</w:t>
            </w:r>
          </w:p>
        </w:tc>
        <w:tc>
          <w:tcPr>
            <w:tcW w:w="1089" w:type="dxa"/>
            <w:shd w:val="clear" w:color="auto" w:fill="auto"/>
          </w:tcPr>
          <w:p w:rsidR="0097230C" w:rsidRPr="00EA6851" w:rsidRDefault="0097230C" w:rsidP="0097230C">
            <w:pPr>
              <w:jc w:val="center"/>
              <w:rPr>
                <w:sz w:val="18"/>
                <w:szCs w:val="18"/>
              </w:rPr>
            </w:pPr>
            <w:r w:rsidRPr="00EA6851">
              <w:rPr>
                <w:sz w:val="18"/>
                <w:szCs w:val="18"/>
              </w:rPr>
              <w:t>-</w:t>
            </w:r>
          </w:p>
        </w:tc>
        <w:tc>
          <w:tcPr>
            <w:tcW w:w="900" w:type="dxa"/>
            <w:shd w:val="clear" w:color="auto" w:fill="auto"/>
          </w:tcPr>
          <w:p w:rsidR="0097230C" w:rsidRPr="00EA6851" w:rsidRDefault="0097230C" w:rsidP="0097230C">
            <w:pPr>
              <w:jc w:val="center"/>
              <w:rPr>
                <w:sz w:val="18"/>
                <w:szCs w:val="18"/>
              </w:rPr>
            </w:pPr>
            <w:r w:rsidRPr="00EA6851">
              <w:rPr>
                <w:sz w:val="18"/>
                <w:szCs w:val="18"/>
              </w:rPr>
              <w:t>1</w:t>
            </w:r>
          </w:p>
        </w:tc>
        <w:tc>
          <w:tcPr>
            <w:tcW w:w="990" w:type="dxa"/>
            <w:shd w:val="clear" w:color="auto" w:fill="auto"/>
          </w:tcPr>
          <w:p w:rsidR="0097230C" w:rsidRPr="00EA6851" w:rsidRDefault="0097230C" w:rsidP="0097230C">
            <w:pPr>
              <w:jc w:val="center"/>
              <w:rPr>
                <w:sz w:val="18"/>
                <w:szCs w:val="18"/>
              </w:rPr>
            </w:pPr>
            <w:r w:rsidRPr="00EA6851">
              <w:rPr>
                <w:sz w:val="18"/>
                <w:szCs w:val="18"/>
              </w:rPr>
              <w:t>1</w:t>
            </w:r>
          </w:p>
        </w:tc>
        <w:tc>
          <w:tcPr>
            <w:tcW w:w="1080" w:type="dxa"/>
            <w:shd w:val="clear" w:color="auto" w:fill="auto"/>
          </w:tcPr>
          <w:p w:rsidR="0097230C" w:rsidRPr="00EA6851" w:rsidRDefault="0097230C" w:rsidP="0097230C">
            <w:pPr>
              <w:jc w:val="center"/>
              <w:rPr>
                <w:sz w:val="18"/>
                <w:szCs w:val="18"/>
              </w:rPr>
            </w:pPr>
            <w:r w:rsidRPr="00EA6851">
              <w:rPr>
                <w:sz w:val="18"/>
                <w:szCs w:val="18"/>
              </w:rPr>
              <w:t>1</w:t>
            </w:r>
          </w:p>
        </w:tc>
      </w:tr>
      <w:tr w:rsidR="0097230C" w:rsidRPr="00EA6851" w:rsidTr="00E04690">
        <w:trPr>
          <w:trHeight w:val="364"/>
        </w:trPr>
        <w:tc>
          <w:tcPr>
            <w:tcW w:w="3870" w:type="dxa"/>
            <w:shd w:val="clear" w:color="auto" w:fill="auto"/>
          </w:tcPr>
          <w:p w:rsidR="0097230C" w:rsidRPr="00EA6851" w:rsidRDefault="0097230C" w:rsidP="0097230C">
            <w:pPr>
              <w:rPr>
                <w:sz w:val="18"/>
                <w:szCs w:val="18"/>
              </w:rPr>
            </w:pPr>
          </w:p>
        </w:tc>
        <w:tc>
          <w:tcPr>
            <w:tcW w:w="1251" w:type="dxa"/>
            <w:shd w:val="clear" w:color="auto" w:fill="F2F2F2" w:themeFill="background1" w:themeFillShade="F2"/>
          </w:tcPr>
          <w:p w:rsidR="0097230C" w:rsidRPr="00EA6851" w:rsidRDefault="0097230C" w:rsidP="0097230C">
            <w:pPr>
              <w:jc w:val="center"/>
              <w:rPr>
                <w:sz w:val="18"/>
                <w:szCs w:val="18"/>
              </w:rPr>
            </w:pPr>
            <w:r w:rsidRPr="00EA6851">
              <w:rPr>
                <w:sz w:val="18"/>
                <w:szCs w:val="18"/>
              </w:rPr>
              <w:t>Бр. цифровизирани аудио-визуални документи</w:t>
            </w:r>
          </w:p>
        </w:tc>
        <w:tc>
          <w:tcPr>
            <w:tcW w:w="1089" w:type="dxa"/>
            <w:shd w:val="clear" w:color="auto" w:fill="auto"/>
          </w:tcPr>
          <w:p w:rsidR="0097230C" w:rsidRPr="00EA6851" w:rsidRDefault="0097230C" w:rsidP="0097230C">
            <w:pPr>
              <w:jc w:val="center"/>
              <w:rPr>
                <w:sz w:val="18"/>
                <w:szCs w:val="18"/>
              </w:rPr>
            </w:pPr>
            <w:r w:rsidRPr="00EA6851">
              <w:rPr>
                <w:sz w:val="18"/>
                <w:szCs w:val="18"/>
              </w:rPr>
              <w:t>1</w:t>
            </w:r>
          </w:p>
        </w:tc>
        <w:tc>
          <w:tcPr>
            <w:tcW w:w="900" w:type="dxa"/>
            <w:shd w:val="clear" w:color="auto" w:fill="auto"/>
          </w:tcPr>
          <w:p w:rsidR="0097230C" w:rsidRPr="00EA6851" w:rsidRDefault="0097230C" w:rsidP="0097230C">
            <w:pPr>
              <w:jc w:val="center"/>
              <w:rPr>
                <w:sz w:val="18"/>
                <w:szCs w:val="18"/>
              </w:rPr>
            </w:pPr>
            <w:r w:rsidRPr="00EA6851">
              <w:rPr>
                <w:sz w:val="18"/>
                <w:szCs w:val="18"/>
              </w:rPr>
              <w:t>1</w:t>
            </w:r>
          </w:p>
        </w:tc>
        <w:tc>
          <w:tcPr>
            <w:tcW w:w="990" w:type="dxa"/>
            <w:shd w:val="clear" w:color="auto" w:fill="auto"/>
          </w:tcPr>
          <w:p w:rsidR="0097230C" w:rsidRPr="00EA6851" w:rsidRDefault="0097230C" w:rsidP="0097230C">
            <w:pPr>
              <w:jc w:val="center"/>
              <w:rPr>
                <w:sz w:val="18"/>
                <w:szCs w:val="18"/>
              </w:rPr>
            </w:pPr>
            <w:r w:rsidRPr="00EA6851">
              <w:rPr>
                <w:sz w:val="18"/>
                <w:szCs w:val="18"/>
              </w:rPr>
              <w:t>1</w:t>
            </w:r>
          </w:p>
        </w:tc>
        <w:tc>
          <w:tcPr>
            <w:tcW w:w="1080" w:type="dxa"/>
            <w:shd w:val="clear" w:color="auto" w:fill="auto"/>
          </w:tcPr>
          <w:p w:rsidR="0097230C" w:rsidRPr="00EA6851" w:rsidRDefault="0097230C" w:rsidP="0097230C">
            <w:pPr>
              <w:jc w:val="center"/>
              <w:rPr>
                <w:sz w:val="18"/>
                <w:szCs w:val="18"/>
              </w:rPr>
            </w:pPr>
            <w:r w:rsidRPr="00EA6851">
              <w:rPr>
                <w:sz w:val="18"/>
                <w:szCs w:val="18"/>
              </w:rPr>
              <w:t>1</w:t>
            </w:r>
          </w:p>
        </w:tc>
      </w:tr>
      <w:tr w:rsidR="0097230C" w:rsidRPr="00EA6851" w:rsidTr="004F2344">
        <w:trPr>
          <w:trHeight w:val="80"/>
        </w:trPr>
        <w:tc>
          <w:tcPr>
            <w:tcW w:w="3870" w:type="dxa"/>
            <w:shd w:val="clear" w:color="auto" w:fill="auto"/>
          </w:tcPr>
          <w:p w:rsidR="0097230C" w:rsidRPr="00EA6851" w:rsidRDefault="0097230C" w:rsidP="0097230C">
            <w:pPr>
              <w:rPr>
                <w:sz w:val="18"/>
                <w:szCs w:val="18"/>
              </w:rPr>
            </w:pPr>
            <w:r w:rsidRPr="00EA6851">
              <w:rPr>
                <w:sz w:val="18"/>
                <w:szCs w:val="18"/>
              </w:rPr>
              <w:t>4. Вписвания в Регистъра на Националния архивен фонд</w:t>
            </w:r>
          </w:p>
        </w:tc>
        <w:tc>
          <w:tcPr>
            <w:tcW w:w="1251" w:type="dxa"/>
            <w:shd w:val="clear" w:color="auto" w:fill="F2F2F2" w:themeFill="background1" w:themeFillShade="F2"/>
          </w:tcPr>
          <w:p w:rsidR="0097230C" w:rsidRPr="00EA6851" w:rsidRDefault="0097230C" w:rsidP="0097230C">
            <w:pPr>
              <w:jc w:val="center"/>
              <w:rPr>
                <w:sz w:val="18"/>
                <w:szCs w:val="18"/>
              </w:rPr>
            </w:pPr>
            <w:r w:rsidRPr="00EA6851">
              <w:rPr>
                <w:sz w:val="18"/>
                <w:szCs w:val="18"/>
              </w:rPr>
              <w:t>Брой</w:t>
            </w:r>
          </w:p>
        </w:tc>
        <w:tc>
          <w:tcPr>
            <w:tcW w:w="1089" w:type="dxa"/>
            <w:shd w:val="clear" w:color="auto" w:fill="auto"/>
          </w:tcPr>
          <w:p w:rsidR="0097230C" w:rsidRPr="00EA6851" w:rsidRDefault="0097230C" w:rsidP="0097230C">
            <w:pPr>
              <w:jc w:val="center"/>
              <w:rPr>
                <w:sz w:val="18"/>
                <w:szCs w:val="18"/>
              </w:rPr>
            </w:pPr>
            <w:r w:rsidRPr="00EA6851">
              <w:rPr>
                <w:sz w:val="18"/>
                <w:szCs w:val="18"/>
              </w:rPr>
              <w:t>1</w:t>
            </w:r>
          </w:p>
        </w:tc>
        <w:tc>
          <w:tcPr>
            <w:tcW w:w="900" w:type="dxa"/>
            <w:shd w:val="clear" w:color="auto" w:fill="auto"/>
          </w:tcPr>
          <w:p w:rsidR="0097230C" w:rsidRPr="00EA6851" w:rsidRDefault="0097230C" w:rsidP="0097230C">
            <w:pPr>
              <w:jc w:val="center"/>
              <w:rPr>
                <w:sz w:val="18"/>
                <w:szCs w:val="18"/>
              </w:rPr>
            </w:pPr>
            <w:r w:rsidRPr="00EA6851">
              <w:rPr>
                <w:sz w:val="18"/>
                <w:szCs w:val="18"/>
              </w:rPr>
              <w:t>1</w:t>
            </w:r>
          </w:p>
        </w:tc>
        <w:tc>
          <w:tcPr>
            <w:tcW w:w="990" w:type="dxa"/>
            <w:shd w:val="clear" w:color="auto" w:fill="auto"/>
          </w:tcPr>
          <w:p w:rsidR="0097230C" w:rsidRPr="00EA6851" w:rsidRDefault="0097230C" w:rsidP="0097230C">
            <w:pPr>
              <w:jc w:val="center"/>
              <w:rPr>
                <w:sz w:val="18"/>
                <w:szCs w:val="18"/>
              </w:rPr>
            </w:pPr>
            <w:r w:rsidRPr="00EA6851">
              <w:rPr>
                <w:sz w:val="18"/>
                <w:szCs w:val="18"/>
              </w:rPr>
              <w:t>1</w:t>
            </w:r>
          </w:p>
        </w:tc>
        <w:tc>
          <w:tcPr>
            <w:tcW w:w="1080" w:type="dxa"/>
            <w:shd w:val="clear" w:color="auto" w:fill="auto"/>
          </w:tcPr>
          <w:p w:rsidR="0097230C" w:rsidRPr="00EA6851" w:rsidRDefault="0097230C" w:rsidP="0097230C">
            <w:pPr>
              <w:jc w:val="center"/>
              <w:rPr>
                <w:sz w:val="18"/>
                <w:szCs w:val="18"/>
              </w:rPr>
            </w:pPr>
            <w:r w:rsidRPr="00EA6851">
              <w:rPr>
                <w:sz w:val="18"/>
                <w:szCs w:val="18"/>
              </w:rPr>
              <w:t>1</w:t>
            </w:r>
          </w:p>
        </w:tc>
      </w:tr>
      <w:tr w:rsidR="0097230C" w:rsidRPr="00EA6851" w:rsidTr="004F2344">
        <w:trPr>
          <w:trHeight w:val="80"/>
        </w:trPr>
        <w:tc>
          <w:tcPr>
            <w:tcW w:w="3870" w:type="dxa"/>
            <w:shd w:val="clear" w:color="auto" w:fill="auto"/>
          </w:tcPr>
          <w:p w:rsidR="0097230C" w:rsidRPr="00EA6851" w:rsidRDefault="0097230C" w:rsidP="0097230C">
            <w:pPr>
              <w:rPr>
                <w:sz w:val="18"/>
                <w:szCs w:val="18"/>
              </w:rPr>
            </w:pPr>
            <w:r w:rsidRPr="00EA6851">
              <w:rPr>
                <w:sz w:val="18"/>
                <w:szCs w:val="18"/>
              </w:rPr>
              <w:t>5. Посещения/показвания от потребители на данни от базите на информационната система на държавните архиви, Системата за е-архивиране, Регистъра на Националния архивен фонд и сайтовете на ДАА</w:t>
            </w:r>
          </w:p>
        </w:tc>
        <w:tc>
          <w:tcPr>
            <w:tcW w:w="1251" w:type="dxa"/>
            <w:shd w:val="clear" w:color="auto" w:fill="F2F2F2" w:themeFill="background1" w:themeFillShade="F2"/>
          </w:tcPr>
          <w:p w:rsidR="0097230C" w:rsidRPr="00EA6851" w:rsidRDefault="0097230C" w:rsidP="0097230C">
            <w:pPr>
              <w:jc w:val="center"/>
              <w:rPr>
                <w:sz w:val="18"/>
                <w:szCs w:val="18"/>
              </w:rPr>
            </w:pPr>
            <w:r w:rsidRPr="00EA6851">
              <w:rPr>
                <w:sz w:val="18"/>
                <w:szCs w:val="18"/>
              </w:rPr>
              <w:t>Брой</w:t>
            </w:r>
          </w:p>
        </w:tc>
        <w:tc>
          <w:tcPr>
            <w:tcW w:w="1089" w:type="dxa"/>
            <w:shd w:val="clear" w:color="auto" w:fill="auto"/>
          </w:tcPr>
          <w:p w:rsidR="0097230C" w:rsidRPr="00EA6851" w:rsidRDefault="0097230C" w:rsidP="0097230C">
            <w:pPr>
              <w:jc w:val="center"/>
              <w:rPr>
                <w:sz w:val="18"/>
                <w:szCs w:val="18"/>
              </w:rPr>
            </w:pPr>
            <w:r w:rsidRPr="00EA6851">
              <w:rPr>
                <w:sz w:val="18"/>
                <w:szCs w:val="18"/>
              </w:rPr>
              <w:t>1</w:t>
            </w:r>
          </w:p>
        </w:tc>
        <w:tc>
          <w:tcPr>
            <w:tcW w:w="900" w:type="dxa"/>
            <w:shd w:val="clear" w:color="auto" w:fill="auto"/>
          </w:tcPr>
          <w:p w:rsidR="0097230C" w:rsidRPr="00EA6851" w:rsidRDefault="0097230C" w:rsidP="0097230C">
            <w:pPr>
              <w:jc w:val="center"/>
              <w:rPr>
                <w:sz w:val="18"/>
                <w:szCs w:val="18"/>
              </w:rPr>
            </w:pPr>
            <w:r w:rsidRPr="00EA6851">
              <w:rPr>
                <w:sz w:val="18"/>
                <w:szCs w:val="18"/>
              </w:rPr>
              <w:t>1</w:t>
            </w:r>
          </w:p>
        </w:tc>
        <w:tc>
          <w:tcPr>
            <w:tcW w:w="990" w:type="dxa"/>
            <w:shd w:val="clear" w:color="auto" w:fill="auto"/>
          </w:tcPr>
          <w:p w:rsidR="0097230C" w:rsidRPr="00EA6851" w:rsidRDefault="0097230C" w:rsidP="0097230C">
            <w:pPr>
              <w:jc w:val="center"/>
              <w:rPr>
                <w:sz w:val="18"/>
                <w:szCs w:val="18"/>
              </w:rPr>
            </w:pPr>
            <w:r w:rsidRPr="00EA6851">
              <w:rPr>
                <w:sz w:val="18"/>
                <w:szCs w:val="18"/>
              </w:rPr>
              <w:t>1</w:t>
            </w:r>
          </w:p>
        </w:tc>
        <w:tc>
          <w:tcPr>
            <w:tcW w:w="1080" w:type="dxa"/>
            <w:shd w:val="clear" w:color="auto" w:fill="auto"/>
          </w:tcPr>
          <w:p w:rsidR="0097230C" w:rsidRPr="00EA6851" w:rsidRDefault="0097230C" w:rsidP="0097230C">
            <w:pPr>
              <w:jc w:val="center"/>
              <w:rPr>
                <w:sz w:val="18"/>
                <w:szCs w:val="18"/>
              </w:rPr>
            </w:pPr>
            <w:r w:rsidRPr="00EA6851">
              <w:rPr>
                <w:sz w:val="18"/>
                <w:szCs w:val="18"/>
              </w:rPr>
              <w:t>1</w:t>
            </w:r>
          </w:p>
        </w:tc>
      </w:tr>
      <w:tr w:rsidR="0097230C" w:rsidRPr="00EA6851" w:rsidTr="004F2344">
        <w:trPr>
          <w:trHeight w:val="687"/>
        </w:trPr>
        <w:tc>
          <w:tcPr>
            <w:tcW w:w="3870" w:type="dxa"/>
            <w:shd w:val="clear" w:color="auto" w:fill="auto"/>
          </w:tcPr>
          <w:p w:rsidR="0097230C" w:rsidRPr="00EA6851" w:rsidRDefault="0097230C" w:rsidP="0097230C">
            <w:pPr>
              <w:rPr>
                <w:sz w:val="18"/>
                <w:szCs w:val="18"/>
              </w:rPr>
            </w:pPr>
            <w:r w:rsidRPr="00EA6851">
              <w:rPr>
                <w:sz w:val="18"/>
                <w:szCs w:val="18"/>
              </w:rPr>
              <w:t>6. Брой реставрирани листове от архивни документи (I-ва, II-ра и III-та степен на увреденост)</w:t>
            </w:r>
          </w:p>
        </w:tc>
        <w:tc>
          <w:tcPr>
            <w:tcW w:w="1251" w:type="dxa"/>
            <w:shd w:val="clear" w:color="auto" w:fill="F2F2F2" w:themeFill="background1" w:themeFillShade="F2"/>
          </w:tcPr>
          <w:p w:rsidR="0097230C" w:rsidRPr="00EA6851" w:rsidRDefault="0097230C" w:rsidP="0097230C">
            <w:pPr>
              <w:jc w:val="center"/>
              <w:rPr>
                <w:sz w:val="18"/>
                <w:szCs w:val="18"/>
              </w:rPr>
            </w:pPr>
            <w:r w:rsidRPr="00EA6851">
              <w:rPr>
                <w:sz w:val="18"/>
                <w:szCs w:val="18"/>
              </w:rPr>
              <w:t>Брой</w:t>
            </w:r>
          </w:p>
        </w:tc>
        <w:tc>
          <w:tcPr>
            <w:tcW w:w="1089" w:type="dxa"/>
            <w:shd w:val="clear" w:color="auto" w:fill="auto"/>
          </w:tcPr>
          <w:p w:rsidR="0097230C" w:rsidRPr="00EA6851" w:rsidRDefault="0097230C" w:rsidP="0097230C">
            <w:pPr>
              <w:jc w:val="center"/>
              <w:rPr>
                <w:sz w:val="18"/>
                <w:szCs w:val="18"/>
              </w:rPr>
            </w:pPr>
            <w:r w:rsidRPr="00EA6851">
              <w:rPr>
                <w:sz w:val="18"/>
                <w:szCs w:val="18"/>
              </w:rPr>
              <w:t>31 000</w:t>
            </w:r>
          </w:p>
        </w:tc>
        <w:tc>
          <w:tcPr>
            <w:tcW w:w="900" w:type="dxa"/>
            <w:shd w:val="clear" w:color="auto" w:fill="auto"/>
          </w:tcPr>
          <w:p w:rsidR="0097230C" w:rsidRPr="00EA6851" w:rsidRDefault="0097230C" w:rsidP="0097230C">
            <w:pPr>
              <w:jc w:val="center"/>
              <w:rPr>
                <w:sz w:val="18"/>
                <w:szCs w:val="18"/>
              </w:rPr>
            </w:pPr>
            <w:r w:rsidRPr="00EA6851">
              <w:rPr>
                <w:sz w:val="18"/>
                <w:szCs w:val="18"/>
              </w:rPr>
              <w:t>31 500</w:t>
            </w:r>
          </w:p>
        </w:tc>
        <w:tc>
          <w:tcPr>
            <w:tcW w:w="990" w:type="dxa"/>
            <w:shd w:val="clear" w:color="auto" w:fill="auto"/>
          </w:tcPr>
          <w:p w:rsidR="0097230C" w:rsidRPr="00EA6851" w:rsidRDefault="0097230C" w:rsidP="0097230C">
            <w:pPr>
              <w:jc w:val="center"/>
              <w:rPr>
                <w:sz w:val="18"/>
                <w:szCs w:val="18"/>
              </w:rPr>
            </w:pPr>
            <w:r w:rsidRPr="00EA6851">
              <w:rPr>
                <w:sz w:val="18"/>
                <w:szCs w:val="18"/>
              </w:rPr>
              <w:t>32 000</w:t>
            </w:r>
          </w:p>
        </w:tc>
        <w:tc>
          <w:tcPr>
            <w:tcW w:w="1080" w:type="dxa"/>
            <w:shd w:val="clear" w:color="auto" w:fill="auto"/>
          </w:tcPr>
          <w:p w:rsidR="0097230C" w:rsidRPr="00EA6851" w:rsidRDefault="0097230C" w:rsidP="0097230C">
            <w:pPr>
              <w:jc w:val="center"/>
              <w:rPr>
                <w:sz w:val="18"/>
                <w:szCs w:val="18"/>
              </w:rPr>
            </w:pPr>
            <w:r w:rsidRPr="00EA6851">
              <w:rPr>
                <w:sz w:val="18"/>
                <w:szCs w:val="18"/>
              </w:rPr>
              <w:t>32 500</w:t>
            </w:r>
          </w:p>
        </w:tc>
      </w:tr>
      <w:tr w:rsidR="0097230C" w:rsidRPr="00EA6851" w:rsidTr="004F2344">
        <w:trPr>
          <w:trHeight w:val="80"/>
        </w:trPr>
        <w:tc>
          <w:tcPr>
            <w:tcW w:w="3870" w:type="dxa"/>
            <w:shd w:val="clear" w:color="auto" w:fill="auto"/>
          </w:tcPr>
          <w:p w:rsidR="0097230C" w:rsidRPr="00EA6851" w:rsidRDefault="0097230C" w:rsidP="0097230C">
            <w:pPr>
              <w:rPr>
                <w:sz w:val="18"/>
                <w:szCs w:val="18"/>
              </w:rPr>
            </w:pPr>
            <w:r w:rsidRPr="00EA6851">
              <w:rPr>
                <w:sz w:val="18"/>
                <w:szCs w:val="18"/>
              </w:rPr>
              <w:t>7. Изготвени кадри негатив за Застрахователния фонд на Държавна агенция „Архиви“ (ДАА)</w:t>
            </w:r>
          </w:p>
        </w:tc>
        <w:tc>
          <w:tcPr>
            <w:tcW w:w="1251" w:type="dxa"/>
            <w:shd w:val="clear" w:color="auto" w:fill="F2F2F2" w:themeFill="background1" w:themeFillShade="F2"/>
          </w:tcPr>
          <w:p w:rsidR="0097230C" w:rsidRPr="00EA6851" w:rsidRDefault="0097230C" w:rsidP="0097230C">
            <w:pPr>
              <w:jc w:val="center"/>
              <w:rPr>
                <w:sz w:val="18"/>
                <w:szCs w:val="18"/>
              </w:rPr>
            </w:pPr>
            <w:r w:rsidRPr="00EA6851">
              <w:rPr>
                <w:sz w:val="18"/>
                <w:szCs w:val="18"/>
              </w:rPr>
              <w:t>Брой</w:t>
            </w:r>
          </w:p>
        </w:tc>
        <w:tc>
          <w:tcPr>
            <w:tcW w:w="1089" w:type="dxa"/>
            <w:shd w:val="clear" w:color="auto" w:fill="auto"/>
          </w:tcPr>
          <w:p w:rsidR="0097230C" w:rsidRPr="00EA6851" w:rsidRDefault="0097230C" w:rsidP="0097230C">
            <w:pPr>
              <w:jc w:val="center"/>
              <w:rPr>
                <w:sz w:val="18"/>
                <w:szCs w:val="18"/>
              </w:rPr>
            </w:pPr>
            <w:r w:rsidRPr="00EA6851">
              <w:rPr>
                <w:sz w:val="18"/>
                <w:szCs w:val="18"/>
              </w:rPr>
              <w:t>60 500</w:t>
            </w:r>
          </w:p>
        </w:tc>
        <w:tc>
          <w:tcPr>
            <w:tcW w:w="900" w:type="dxa"/>
            <w:shd w:val="clear" w:color="auto" w:fill="auto"/>
          </w:tcPr>
          <w:p w:rsidR="0097230C" w:rsidRPr="00EA6851" w:rsidRDefault="0097230C" w:rsidP="0097230C">
            <w:pPr>
              <w:jc w:val="center"/>
              <w:rPr>
                <w:sz w:val="18"/>
                <w:szCs w:val="18"/>
              </w:rPr>
            </w:pPr>
            <w:r w:rsidRPr="00EA6851">
              <w:rPr>
                <w:sz w:val="18"/>
                <w:szCs w:val="18"/>
              </w:rPr>
              <w:t>61 000</w:t>
            </w:r>
          </w:p>
        </w:tc>
        <w:tc>
          <w:tcPr>
            <w:tcW w:w="990" w:type="dxa"/>
            <w:shd w:val="clear" w:color="auto" w:fill="auto"/>
          </w:tcPr>
          <w:p w:rsidR="0097230C" w:rsidRPr="00EA6851" w:rsidRDefault="0097230C" w:rsidP="0097230C">
            <w:pPr>
              <w:jc w:val="center"/>
              <w:rPr>
                <w:sz w:val="18"/>
                <w:szCs w:val="18"/>
              </w:rPr>
            </w:pPr>
            <w:r w:rsidRPr="00EA6851">
              <w:rPr>
                <w:sz w:val="18"/>
                <w:szCs w:val="18"/>
              </w:rPr>
              <w:t>61 500</w:t>
            </w:r>
          </w:p>
        </w:tc>
        <w:tc>
          <w:tcPr>
            <w:tcW w:w="1080" w:type="dxa"/>
            <w:shd w:val="clear" w:color="auto" w:fill="auto"/>
          </w:tcPr>
          <w:p w:rsidR="0097230C" w:rsidRPr="00EA6851" w:rsidRDefault="0097230C" w:rsidP="0097230C">
            <w:pPr>
              <w:jc w:val="center"/>
              <w:rPr>
                <w:sz w:val="18"/>
                <w:szCs w:val="18"/>
              </w:rPr>
            </w:pPr>
            <w:r w:rsidRPr="00EA6851">
              <w:rPr>
                <w:sz w:val="18"/>
                <w:szCs w:val="18"/>
              </w:rPr>
              <w:t>62 000</w:t>
            </w:r>
          </w:p>
        </w:tc>
      </w:tr>
      <w:tr w:rsidR="0097230C" w:rsidRPr="00EA6851" w:rsidTr="003158CD">
        <w:trPr>
          <w:trHeight w:val="364"/>
        </w:trPr>
        <w:tc>
          <w:tcPr>
            <w:tcW w:w="3870" w:type="dxa"/>
            <w:shd w:val="clear" w:color="auto" w:fill="auto"/>
          </w:tcPr>
          <w:p w:rsidR="0097230C" w:rsidRPr="00EA6851" w:rsidRDefault="0097230C" w:rsidP="0097230C">
            <w:pPr>
              <w:rPr>
                <w:sz w:val="18"/>
                <w:szCs w:val="18"/>
              </w:rPr>
            </w:pPr>
            <w:r w:rsidRPr="00EA6851">
              <w:rPr>
                <w:sz w:val="18"/>
                <w:szCs w:val="18"/>
              </w:rPr>
              <w:t>8. Комплектувани постъпления</w:t>
            </w:r>
          </w:p>
        </w:tc>
        <w:tc>
          <w:tcPr>
            <w:tcW w:w="1251" w:type="dxa"/>
            <w:shd w:val="clear" w:color="auto" w:fill="F2F2F2" w:themeFill="background1" w:themeFillShade="F2"/>
          </w:tcPr>
          <w:p w:rsidR="0097230C" w:rsidRPr="00EA6851" w:rsidRDefault="0097230C" w:rsidP="0097230C">
            <w:pPr>
              <w:jc w:val="center"/>
              <w:rPr>
                <w:sz w:val="18"/>
                <w:szCs w:val="18"/>
              </w:rPr>
            </w:pPr>
            <w:r w:rsidRPr="00EA6851">
              <w:rPr>
                <w:sz w:val="18"/>
                <w:szCs w:val="18"/>
              </w:rPr>
              <w:t>Брой</w:t>
            </w:r>
          </w:p>
        </w:tc>
        <w:tc>
          <w:tcPr>
            <w:tcW w:w="1089" w:type="dxa"/>
            <w:shd w:val="clear" w:color="auto" w:fill="auto"/>
          </w:tcPr>
          <w:p w:rsidR="0097230C" w:rsidRPr="00EA6851" w:rsidRDefault="0097230C" w:rsidP="0097230C">
            <w:pPr>
              <w:jc w:val="center"/>
              <w:rPr>
                <w:sz w:val="18"/>
                <w:szCs w:val="18"/>
              </w:rPr>
            </w:pPr>
            <w:r w:rsidRPr="00EA6851">
              <w:rPr>
                <w:sz w:val="18"/>
                <w:szCs w:val="18"/>
              </w:rPr>
              <w:t>500</w:t>
            </w:r>
          </w:p>
        </w:tc>
        <w:tc>
          <w:tcPr>
            <w:tcW w:w="900" w:type="dxa"/>
            <w:shd w:val="clear" w:color="auto" w:fill="auto"/>
          </w:tcPr>
          <w:p w:rsidR="0097230C" w:rsidRPr="00EA6851" w:rsidRDefault="0097230C" w:rsidP="0097230C">
            <w:pPr>
              <w:jc w:val="center"/>
              <w:rPr>
                <w:sz w:val="18"/>
                <w:szCs w:val="18"/>
              </w:rPr>
            </w:pPr>
            <w:r w:rsidRPr="00EA6851">
              <w:rPr>
                <w:sz w:val="18"/>
                <w:szCs w:val="18"/>
              </w:rPr>
              <w:t>515</w:t>
            </w:r>
          </w:p>
        </w:tc>
        <w:tc>
          <w:tcPr>
            <w:tcW w:w="990" w:type="dxa"/>
            <w:shd w:val="clear" w:color="auto" w:fill="auto"/>
          </w:tcPr>
          <w:p w:rsidR="0097230C" w:rsidRPr="00EA6851" w:rsidRDefault="0097230C" w:rsidP="0097230C">
            <w:pPr>
              <w:jc w:val="center"/>
              <w:rPr>
                <w:sz w:val="18"/>
                <w:szCs w:val="18"/>
              </w:rPr>
            </w:pPr>
            <w:r w:rsidRPr="00EA6851">
              <w:rPr>
                <w:sz w:val="18"/>
                <w:szCs w:val="18"/>
              </w:rPr>
              <w:t>520</w:t>
            </w:r>
          </w:p>
        </w:tc>
        <w:tc>
          <w:tcPr>
            <w:tcW w:w="1080" w:type="dxa"/>
            <w:shd w:val="clear" w:color="auto" w:fill="auto"/>
          </w:tcPr>
          <w:p w:rsidR="0097230C" w:rsidRPr="00EA6851" w:rsidRDefault="0097230C" w:rsidP="0097230C">
            <w:pPr>
              <w:jc w:val="center"/>
              <w:rPr>
                <w:sz w:val="18"/>
                <w:szCs w:val="18"/>
              </w:rPr>
            </w:pPr>
            <w:r w:rsidRPr="00EA6851">
              <w:rPr>
                <w:sz w:val="18"/>
                <w:szCs w:val="18"/>
              </w:rPr>
              <w:t>525</w:t>
            </w:r>
          </w:p>
        </w:tc>
      </w:tr>
      <w:tr w:rsidR="0097230C" w:rsidRPr="00EA6851" w:rsidTr="00C27281">
        <w:trPr>
          <w:trHeight w:val="814"/>
        </w:trPr>
        <w:tc>
          <w:tcPr>
            <w:tcW w:w="3870" w:type="dxa"/>
            <w:shd w:val="clear" w:color="auto" w:fill="auto"/>
          </w:tcPr>
          <w:p w:rsidR="0097230C" w:rsidRPr="00EA6851" w:rsidRDefault="0097230C" w:rsidP="0097230C">
            <w:pPr>
              <w:rPr>
                <w:b/>
                <w:sz w:val="18"/>
                <w:szCs w:val="18"/>
              </w:rPr>
            </w:pPr>
            <w:r w:rsidRPr="00EA6851">
              <w:rPr>
                <w:sz w:val="18"/>
                <w:szCs w:val="18"/>
              </w:rPr>
              <w:t>9. Потребители/посещения/обсег на достигнати хора на популяризаторските форми</w:t>
            </w:r>
          </w:p>
        </w:tc>
        <w:tc>
          <w:tcPr>
            <w:tcW w:w="1251" w:type="dxa"/>
            <w:shd w:val="clear" w:color="auto" w:fill="F2F2F2" w:themeFill="background1" w:themeFillShade="F2"/>
          </w:tcPr>
          <w:p w:rsidR="0097230C" w:rsidRPr="00EA6851" w:rsidRDefault="0097230C" w:rsidP="0097230C">
            <w:pPr>
              <w:jc w:val="center"/>
              <w:rPr>
                <w:sz w:val="18"/>
                <w:szCs w:val="18"/>
              </w:rPr>
            </w:pPr>
            <w:r w:rsidRPr="00EA6851">
              <w:rPr>
                <w:sz w:val="18"/>
                <w:szCs w:val="18"/>
              </w:rPr>
              <w:t>Брой</w:t>
            </w:r>
          </w:p>
        </w:tc>
        <w:tc>
          <w:tcPr>
            <w:tcW w:w="1089" w:type="dxa"/>
            <w:shd w:val="clear" w:color="auto" w:fill="auto"/>
          </w:tcPr>
          <w:p w:rsidR="0097230C" w:rsidRPr="00EA6851" w:rsidRDefault="0097230C" w:rsidP="0097230C">
            <w:pPr>
              <w:jc w:val="center"/>
              <w:rPr>
                <w:sz w:val="18"/>
                <w:szCs w:val="18"/>
              </w:rPr>
            </w:pPr>
            <w:r w:rsidRPr="00EA6851">
              <w:rPr>
                <w:sz w:val="18"/>
                <w:szCs w:val="18"/>
              </w:rPr>
              <w:t>149 780/</w:t>
            </w:r>
            <w:r w:rsidRPr="00EA6851">
              <w:rPr>
                <w:sz w:val="18"/>
                <w:szCs w:val="18"/>
              </w:rPr>
              <w:br/>
              <w:t>266 600*</w:t>
            </w:r>
          </w:p>
        </w:tc>
        <w:tc>
          <w:tcPr>
            <w:tcW w:w="900" w:type="dxa"/>
            <w:shd w:val="clear" w:color="auto" w:fill="auto"/>
          </w:tcPr>
          <w:p w:rsidR="0097230C" w:rsidRPr="00EA6851" w:rsidRDefault="00C27281" w:rsidP="00C27281">
            <w:pPr>
              <w:jc w:val="center"/>
              <w:rPr>
                <w:sz w:val="18"/>
                <w:szCs w:val="18"/>
              </w:rPr>
            </w:pPr>
            <w:r w:rsidRPr="00EA6851">
              <w:rPr>
                <w:sz w:val="18"/>
                <w:szCs w:val="18"/>
              </w:rPr>
              <w:t>151 890/</w:t>
            </w:r>
            <w:r w:rsidRPr="00EA6851">
              <w:rPr>
                <w:sz w:val="18"/>
                <w:szCs w:val="18"/>
              </w:rPr>
              <w:br/>
              <w:t>269 000*</w:t>
            </w:r>
          </w:p>
        </w:tc>
        <w:tc>
          <w:tcPr>
            <w:tcW w:w="990" w:type="dxa"/>
            <w:shd w:val="clear" w:color="auto" w:fill="auto"/>
          </w:tcPr>
          <w:p w:rsidR="0097230C" w:rsidRPr="00EA6851" w:rsidRDefault="0097230C" w:rsidP="0097230C">
            <w:pPr>
              <w:jc w:val="center"/>
              <w:rPr>
                <w:sz w:val="18"/>
                <w:szCs w:val="18"/>
              </w:rPr>
            </w:pPr>
            <w:r w:rsidRPr="00EA6851">
              <w:rPr>
                <w:sz w:val="18"/>
                <w:szCs w:val="18"/>
              </w:rPr>
              <w:t>154 000/</w:t>
            </w:r>
            <w:r w:rsidRPr="00EA6851">
              <w:rPr>
                <w:sz w:val="18"/>
                <w:szCs w:val="18"/>
              </w:rPr>
              <w:br/>
              <w:t>272 000*</w:t>
            </w:r>
          </w:p>
        </w:tc>
        <w:tc>
          <w:tcPr>
            <w:tcW w:w="1080" w:type="dxa"/>
            <w:shd w:val="clear" w:color="auto" w:fill="auto"/>
          </w:tcPr>
          <w:p w:rsidR="0097230C" w:rsidRPr="00EA6851" w:rsidRDefault="0097230C" w:rsidP="0097230C">
            <w:pPr>
              <w:jc w:val="center"/>
              <w:rPr>
                <w:sz w:val="18"/>
                <w:szCs w:val="18"/>
              </w:rPr>
            </w:pPr>
            <w:r w:rsidRPr="00EA6851">
              <w:rPr>
                <w:sz w:val="18"/>
                <w:szCs w:val="18"/>
              </w:rPr>
              <w:t>156 110/</w:t>
            </w:r>
            <w:r w:rsidRPr="00EA6851">
              <w:rPr>
                <w:sz w:val="18"/>
                <w:szCs w:val="18"/>
              </w:rPr>
              <w:br/>
              <w:t>275 000*</w:t>
            </w:r>
          </w:p>
        </w:tc>
      </w:tr>
    </w:tbl>
    <w:p w:rsidR="0097230C" w:rsidRPr="00EA6851" w:rsidRDefault="0097230C" w:rsidP="0097230C">
      <w:pPr>
        <w:tabs>
          <w:tab w:val="left" w:pos="2106"/>
        </w:tabs>
        <w:rPr>
          <w:szCs w:val="24"/>
        </w:rPr>
      </w:pPr>
    </w:p>
    <w:p w:rsidR="0097230C" w:rsidRPr="00EA6851" w:rsidRDefault="0097230C" w:rsidP="008E2A87">
      <w:pPr>
        <w:tabs>
          <w:tab w:val="left" w:pos="2106"/>
        </w:tabs>
        <w:rPr>
          <w:szCs w:val="24"/>
        </w:rPr>
      </w:pPr>
      <w:r w:rsidRPr="00EA6851">
        <w:rPr>
          <w:szCs w:val="24"/>
        </w:rPr>
        <w:t xml:space="preserve">В изпълнение на </w:t>
      </w:r>
      <w:r w:rsidRPr="00EA6851">
        <w:rPr>
          <w:b/>
          <w:i/>
          <w:szCs w:val="24"/>
        </w:rPr>
        <w:t>първата стратегическа цел „Усъвършенстване на администрацията”</w:t>
      </w:r>
      <w:r w:rsidRPr="00EA6851">
        <w:rPr>
          <w:szCs w:val="24"/>
        </w:rPr>
        <w:t xml:space="preserve"> ще продължи дейността на Агенцията за подобряване управлението на НАФ чрез осигуряване на необходими нормативни актове.</w:t>
      </w:r>
      <w:r w:rsidRPr="00EA6851">
        <w:rPr>
          <w:b/>
          <w:szCs w:val="24"/>
        </w:rPr>
        <w:t xml:space="preserve"> </w:t>
      </w:r>
      <w:r w:rsidRPr="00EA6851">
        <w:rPr>
          <w:szCs w:val="24"/>
        </w:rPr>
        <w:t>В изпълнение на държавната политика за насърчаване</w:t>
      </w:r>
      <w:r w:rsidR="00EA6851" w:rsidRPr="00EA6851">
        <w:rPr>
          <w:szCs w:val="24"/>
        </w:rPr>
        <w:t>,</w:t>
      </w:r>
      <w:r w:rsidRPr="00EA6851">
        <w:rPr>
          <w:szCs w:val="24"/>
        </w:rPr>
        <w:t xml:space="preserve"> въвеждане и използване на инструментите на електронното управление от държавната администрация се цели повишаване на ефективността на предоставените услуги, както и насърчаване прозрачността във взаимоотношенията между администрацията и потребителите.</w:t>
      </w:r>
    </w:p>
    <w:p w:rsidR="0097230C" w:rsidRPr="00EA6851" w:rsidRDefault="0097230C">
      <w:pPr>
        <w:tabs>
          <w:tab w:val="left" w:pos="2106"/>
        </w:tabs>
        <w:rPr>
          <w:szCs w:val="24"/>
        </w:rPr>
      </w:pPr>
      <w:r w:rsidRPr="00EA6851">
        <w:rPr>
          <w:szCs w:val="24"/>
        </w:rPr>
        <w:t xml:space="preserve">Внедряването на Общата рамка за оценка (CAF) през 2019 г., като инструмент за управление на качеството, е основа за цялостния подход към анализ на организационното изпълнение в администрацията. Проучването на добри практики за изграждане на силна работодателска марка (employer branding) и разработването на Стратегия за employer branding на ДАА цели чрез позициониране на предимствата на ДАА и разграничаване на марката „ДАА“ да подобри капацитета за привличане на таланти, както и конкурентната позиция на агенцията. Това позициониране се базира на идентичност, ценности, култура и цели на ДАА. </w:t>
      </w:r>
    </w:p>
    <w:p w:rsidR="0097230C" w:rsidRPr="00EA6851" w:rsidRDefault="0097230C" w:rsidP="008E2A87">
      <w:pPr>
        <w:tabs>
          <w:tab w:val="left" w:pos="2106"/>
        </w:tabs>
        <w:rPr>
          <w:b/>
          <w:szCs w:val="24"/>
        </w:rPr>
      </w:pPr>
      <w:r w:rsidRPr="00EA6851">
        <w:rPr>
          <w:b/>
          <w:szCs w:val="24"/>
        </w:rPr>
        <w:t>Ключовият индикатор по първа стратегическа цел е:</w:t>
      </w:r>
    </w:p>
    <w:p w:rsidR="0097230C" w:rsidRPr="00EA6851" w:rsidRDefault="0097230C" w:rsidP="008E2A87">
      <w:pPr>
        <w:tabs>
          <w:tab w:val="left" w:pos="2106"/>
        </w:tabs>
        <w:rPr>
          <w:szCs w:val="24"/>
        </w:rPr>
      </w:pPr>
      <w:r w:rsidRPr="00EA6851">
        <w:rPr>
          <w:i/>
          <w:szCs w:val="24"/>
        </w:rPr>
        <w:t>Нормативни и/или методически указания в областта е-архив и е-архивиране</w:t>
      </w:r>
      <w:r w:rsidRPr="00EA6851">
        <w:rPr>
          <w:szCs w:val="24"/>
        </w:rPr>
        <w:t xml:space="preserve"> – обвързан е с нормативно определените правомощия на ДАА по отношение създаването, съхранението, опазването и използването на ценните електронни документи като част от функционирането на електронното управление.</w:t>
      </w:r>
    </w:p>
    <w:p w:rsidR="0097230C" w:rsidRPr="00EA6851" w:rsidRDefault="0097230C" w:rsidP="008E2A87">
      <w:pPr>
        <w:tabs>
          <w:tab w:val="left" w:pos="2106"/>
        </w:tabs>
        <w:rPr>
          <w:szCs w:val="24"/>
        </w:rPr>
      </w:pPr>
      <w:r w:rsidRPr="00EA6851">
        <w:rPr>
          <w:b/>
          <w:i/>
          <w:szCs w:val="24"/>
        </w:rPr>
        <w:t>Втората стратегическа цел „Опазване, съхранение и обогатяване на документалното наследство на нацията”</w:t>
      </w:r>
      <w:r w:rsidRPr="00EA6851">
        <w:rPr>
          <w:szCs w:val="24"/>
        </w:rPr>
        <w:t xml:space="preserve"> е обвързана с обогатяването на НАФ с ценни документи, което е в пряка връзка с разширяване възможностите</w:t>
      </w:r>
      <w:r w:rsidRPr="00EA6851">
        <w:t xml:space="preserve"> </w:t>
      </w:r>
      <w:r w:rsidRPr="00EA6851">
        <w:rPr>
          <w:szCs w:val="24"/>
        </w:rPr>
        <w:t>за достъп до архивна информация на всички заинтересовани страни.</w:t>
      </w:r>
    </w:p>
    <w:p w:rsidR="0097230C" w:rsidRPr="00EA6851" w:rsidRDefault="0097230C" w:rsidP="008E2A87">
      <w:pPr>
        <w:tabs>
          <w:tab w:val="left" w:pos="2106"/>
        </w:tabs>
        <w:rPr>
          <w:szCs w:val="24"/>
        </w:rPr>
      </w:pPr>
      <w:r w:rsidRPr="00EA6851">
        <w:rPr>
          <w:szCs w:val="24"/>
        </w:rPr>
        <w:t xml:space="preserve">Обогатяването на НАФ с ценни документи е от приоритетно значение за ДАА в дългосрочен план и е една от най-важните дейности, осъществявани от държавните архиви. НАФ е исторически формирала се и постоянно попълваща се съвкупност от ценни документи, отразяващи материалния и духовния живот на обществото. Той се попълва с определените за постоянно запазване документи, създадени от дейността на държавните и общинските институции, с ценните документи на политически партии, юридически лица с нестопанска цел и търговски дружества. Важни източници за комплектуване са и документите на значими за обществото личности, както и документите за историята на България, получени от чуждестранни архиви, други институции, българи и български организации в чужбина. Обогатяването на НАФ е в пряка връзка с разширяване възможностите за достъп до архивна информация на всички заинтересовани страни. От съществено значение за реализация на дейността е наличието на необходимите финансови средства за откупуване на ценни документи, чиито собственици отказват да ги дарят на държавните архиви. Ще продължи и дейността за комплектуване на документи от политически партии, обществени и религиозни организации, юридически лица с нестопанска цел и търговски дружества, частни образователни структури, фондации, търговски дружества. </w:t>
      </w:r>
    </w:p>
    <w:p w:rsidR="0097230C" w:rsidRPr="00EA6851" w:rsidRDefault="0097230C" w:rsidP="008E2A87">
      <w:pPr>
        <w:tabs>
          <w:tab w:val="left" w:pos="2106"/>
        </w:tabs>
        <w:rPr>
          <w:szCs w:val="24"/>
        </w:rPr>
      </w:pPr>
      <w:r w:rsidRPr="00EA6851">
        <w:rPr>
          <w:szCs w:val="24"/>
        </w:rPr>
        <w:t>Решаваща мярка за опазването на физическото състояние на архивните документи е тяхната своевременна и прецизна реставрация и консервация. Подходящата и своевременна реставрация е условие за максимално дълга използваемост на архивните документи.</w:t>
      </w:r>
    </w:p>
    <w:p w:rsidR="0097230C" w:rsidRPr="00EA6851" w:rsidRDefault="0097230C" w:rsidP="008E2A87">
      <w:pPr>
        <w:tabs>
          <w:tab w:val="left" w:pos="2106"/>
        </w:tabs>
        <w:rPr>
          <w:szCs w:val="24"/>
        </w:rPr>
      </w:pPr>
      <w:r w:rsidRPr="00EA6851">
        <w:rPr>
          <w:szCs w:val="24"/>
        </w:rPr>
        <w:t>Основна мярка за опазване на съдържанието на архивните документи в случай на тяхното физическо увреждане или загуба е изготвянето на Застрахователен фонд от техни микрофилмови копия, които гарантират възпроизвеждането на това съдържание, независимо от неизбежните промени на всякакви софтуерни платформи и хардуерни устройства и носители.</w:t>
      </w:r>
    </w:p>
    <w:p w:rsidR="0097230C" w:rsidRPr="00EA6851" w:rsidRDefault="0097230C" w:rsidP="008E2A87">
      <w:pPr>
        <w:tabs>
          <w:tab w:val="left" w:pos="2106"/>
        </w:tabs>
        <w:rPr>
          <w:bCs/>
          <w:iCs/>
          <w:szCs w:val="24"/>
        </w:rPr>
      </w:pPr>
      <w:r w:rsidRPr="00EA6851">
        <w:rPr>
          <w:bCs/>
          <w:iCs/>
          <w:szCs w:val="24"/>
        </w:rPr>
        <w:t xml:space="preserve">Осигуряване на архивохранилища, отговарящи на стандартите за опазването на ценните документи на нацията, е едно от основните задължения на ДАА с цел правилно съхранение и опазване на ценните архивни документи, приети в държавните архиви. Необходимо е предприемане на действия за обединяване на </w:t>
      </w:r>
      <w:r w:rsidRPr="00EA6851">
        <w:rPr>
          <w:iCs/>
          <w:szCs w:val="24"/>
        </w:rPr>
        <w:t>архивохранилищна площ</w:t>
      </w:r>
      <w:r w:rsidR="00700A73" w:rsidRPr="00EA6851">
        <w:rPr>
          <w:bCs/>
          <w:iCs/>
          <w:szCs w:val="24"/>
        </w:rPr>
        <w:t xml:space="preserve"> за архивите, чии</w:t>
      </w:r>
      <w:r w:rsidRPr="00EA6851">
        <w:rPr>
          <w:bCs/>
          <w:iCs/>
          <w:szCs w:val="24"/>
        </w:rPr>
        <w:t>то документи се съхраняват на повече от едно място.</w:t>
      </w:r>
    </w:p>
    <w:p w:rsidR="0097230C" w:rsidRPr="00EA6851" w:rsidRDefault="0097230C" w:rsidP="008E2A87">
      <w:pPr>
        <w:tabs>
          <w:tab w:val="left" w:pos="2106"/>
        </w:tabs>
        <w:rPr>
          <w:b/>
          <w:szCs w:val="24"/>
        </w:rPr>
      </w:pPr>
      <w:r w:rsidRPr="00EA6851">
        <w:rPr>
          <w:b/>
          <w:szCs w:val="24"/>
        </w:rPr>
        <w:t>Ключовите индикатори по втора стратегическа цел са:</w:t>
      </w:r>
    </w:p>
    <w:p w:rsidR="0097230C" w:rsidRPr="00EA6851" w:rsidRDefault="0097230C" w:rsidP="00B30642">
      <w:pPr>
        <w:numPr>
          <w:ilvl w:val="0"/>
          <w:numId w:val="39"/>
        </w:numPr>
        <w:tabs>
          <w:tab w:val="num" w:pos="1080"/>
          <w:tab w:val="left" w:pos="2106"/>
        </w:tabs>
        <w:ind w:left="709" w:hanging="425"/>
        <w:rPr>
          <w:i/>
          <w:szCs w:val="24"/>
        </w:rPr>
      </w:pPr>
      <w:r w:rsidRPr="00EA6851">
        <w:rPr>
          <w:i/>
          <w:szCs w:val="24"/>
        </w:rPr>
        <w:t xml:space="preserve">Брой реставрирани листове от архивни документи (І-ва, ІІ-ра и ІІІ-та степен на увреденост) – </w:t>
      </w:r>
      <w:r w:rsidRPr="00EA6851">
        <w:rPr>
          <w:szCs w:val="24"/>
        </w:rPr>
        <w:t>реставрацията и консервацията на архивни документи са основни дейности за тяхното опазване и дългосрочно използване;</w:t>
      </w:r>
    </w:p>
    <w:p w:rsidR="0097230C" w:rsidRPr="00EA6851" w:rsidRDefault="0097230C" w:rsidP="00B30642">
      <w:pPr>
        <w:numPr>
          <w:ilvl w:val="0"/>
          <w:numId w:val="39"/>
        </w:numPr>
        <w:tabs>
          <w:tab w:val="num" w:pos="1080"/>
          <w:tab w:val="left" w:pos="2106"/>
        </w:tabs>
        <w:ind w:left="709" w:hanging="425"/>
        <w:rPr>
          <w:i/>
          <w:szCs w:val="24"/>
        </w:rPr>
      </w:pPr>
      <w:r w:rsidRPr="00EA6851">
        <w:rPr>
          <w:i/>
          <w:szCs w:val="24"/>
        </w:rPr>
        <w:t xml:space="preserve">Брой изготвени кадри негатив за Застрахователния фонд на ДАА –  </w:t>
      </w:r>
      <w:r w:rsidRPr="00EA6851">
        <w:rPr>
          <w:szCs w:val="24"/>
        </w:rPr>
        <w:t>попълването на Застрахователния фонд е основна дейност за съхраняване на съдържанието на архивните документи в случай на тяхна загуба;</w:t>
      </w:r>
    </w:p>
    <w:p w:rsidR="0097230C" w:rsidRPr="00EA6851" w:rsidRDefault="0097230C" w:rsidP="00B30642">
      <w:pPr>
        <w:numPr>
          <w:ilvl w:val="0"/>
          <w:numId w:val="39"/>
        </w:numPr>
        <w:tabs>
          <w:tab w:val="num" w:pos="1080"/>
          <w:tab w:val="left" w:pos="2106"/>
        </w:tabs>
        <w:ind w:left="709" w:hanging="425"/>
        <w:rPr>
          <w:szCs w:val="24"/>
        </w:rPr>
      </w:pPr>
      <w:r w:rsidRPr="00EA6851">
        <w:rPr>
          <w:i/>
          <w:szCs w:val="24"/>
        </w:rPr>
        <w:t xml:space="preserve">Брой комплектувани постъпления – </w:t>
      </w:r>
      <w:r w:rsidRPr="00EA6851">
        <w:rPr>
          <w:szCs w:val="24"/>
        </w:rPr>
        <w:t>обогатяването на НАФ с ценни документи е от приоритетно значение за ДАА в дългосрочен план и е една от най-важните дейности, осъществявани от държавните архиви. НАФ е исторически формирала се и постоянно попълваща се съвкупност от ценни документи, отразяващи материалния и духовния живот на обществото. Той се попълва с определените за постоянно запазване документи, създадени от дейността на държавните и общинските институции, с ценните документи на политически партии, юридически лица с нестопанска цел и търговски дружества. Важни източници за комплектуване са и документите на значими за обществото личности, както и документите за историята на България, получени от чуждестранни архиви, други институции, българи и български организации в чужбина</w:t>
      </w:r>
      <w:r w:rsidR="00700A73" w:rsidRPr="00EA6851">
        <w:rPr>
          <w:szCs w:val="24"/>
        </w:rPr>
        <w:t>.</w:t>
      </w:r>
    </w:p>
    <w:p w:rsidR="0097230C" w:rsidRPr="00EA6851" w:rsidRDefault="0097230C" w:rsidP="008E2A87">
      <w:pPr>
        <w:tabs>
          <w:tab w:val="left" w:pos="2106"/>
        </w:tabs>
        <w:rPr>
          <w:szCs w:val="24"/>
        </w:rPr>
      </w:pPr>
      <w:r w:rsidRPr="00EA6851">
        <w:rPr>
          <w:b/>
          <w:i/>
          <w:szCs w:val="24"/>
        </w:rPr>
        <w:t>Софтуерното управление на архивните процеси е третата стратегическа цел</w:t>
      </w:r>
      <w:r w:rsidRPr="00EA6851">
        <w:rPr>
          <w:szCs w:val="24"/>
        </w:rPr>
        <w:t>, насочена към ефективното и ефикасно изпълнение на основните функции на Агенцията за комплектуване, съхранение, опазване и предоставяне за използване на архивните документи и осигуряване на качествени услуги на нивото на съвременните изисквания за бързина и качество.</w:t>
      </w:r>
    </w:p>
    <w:p w:rsidR="0097230C" w:rsidRPr="00EA6851" w:rsidRDefault="0097230C" w:rsidP="008E2A87">
      <w:pPr>
        <w:tabs>
          <w:tab w:val="left" w:pos="2106"/>
        </w:tabs>
        <w:rPr>
          <w:szCs w:val="24"/>
        </w:rPr>
      </w:pPr>
      <w:r w:rsidRPr="00EA6851">
        <w:rPr>
          <w:szCs w:val="24"/>
        </w:rPr>
        <w:t xml:space="preserve">Ефективното управление на документалното наследство на нацията изисква поддържане на максимално пълен и актуален Регистър на НАФ, независимо от мястото на съхранение на документите, определени като част от него. За тази цел ДАА поддържа публичен електронен регистър. Регистърът централизира информацията за документите от състава на НАФ, с което дава възможност за пълноценното му управление, за подобряване на мерките за опазване на документите, както и за пълноценен и улеснен публичен достъп до информацията за тях. </w:t>
      </w:r>
    </w:p>
    <w:p w:rsidR="0097230C" w:rsidRPr="00EA6851" w:rsidRDefault="0097230C" w:rsidP="008E2A87">
      <w:pPr>
        <w:tabs>
          <w:tab w:val="left" w:pos="2106"/>
        </w:tabs>
        <w:rPr>
          <w:szCs w:val="24"/>
        </w:rPr>
      </w:pPr>
      <w:r w:rsidRPr="00EA6851">
        <w:rPr>
          <w:szCs w:val="24"/>
        </w:rPr>
        <w:t xml:space="preserve">Разработването и внедряването през 2023 г. с проектно финансиране по ОПДУ на Система за е-архивиране ще осигури приемането, съхранението, достъпа (с различни нива) и използването на ценни електронни документи от държавните и общинските институции, както и от видни за обществото личности, политически партии, юридически лица с нестопанска цел и търговски дружества, българи и български организации в чужбина с принос към българската история. Публичен достъп до базата данни от архивни описания ще се осигури чрез web-базиран интерфейс. Създаването на единна нормативна и методическа база е изключително належащо, тъй като действащите нормативни актове не съдържат правна дефиниция на понятието е-архивиране. </w:t>
      </w:r>
    </w:p>
    <w:p w:rsidR="0097230C" w:rsidRPr="00EA6851" w:rsidRDefault="0097230C" w:rsidP="008E2A87">
      <w:pPr>
        <w:tabs>
          <w:tab w:val="left" w:pos="2106"/>
        </w:tabs>
        <w:rPr>
          <w:szCs w:val="24"/>
        </w:rPr>
      </w:pPr>
      <w:r w:rsidRPr="00EA6851">
        <w:rPr>
          <w:szCs w:val="24"/>
        </w:rPr>
        <w:t xml:space="preserve">Планираният за разработване проект на Стратегия за развитие на е-архивиране в Република България с хоризонт до 2030 г. е в съответствие с </w:t>
      </w:r>
      <w:r w:rsidRPr="00EA6851">
        <w:rPr>
          <w:bCs/>
          <w:szCs w:val="24"/>
        </w:rPr>
        <w:t>актуализираната Стратегия за развитие на електронното управле</w:t>
      </w:r>
      <w:r w:rsidR="00A4752A" w:rsidRPr="00EA6851">
        <w:rPr>
          <w:bCs/>
          <w:szCs w:val="24"/>
        </w:rPr>
        <w:t>ние в Република България 2019-</w:t>
      </w:r>
      <w:r w:rsidRPr="00EA6851">
        <w:rPr>
          <w:bCs/>
          <w:szCs w:val="24"/>
        </w:rPr>
        <w:t>2025 г.</w:t>
      </w:r>
      <w:r w:rsidRPr="00EA6851">
        <w:rPr>
          <w:szCs w:val="24"/>
        </w:rPr>
        <w:t xml:space="preserve"> Документът ще представи визията, принципите, целите и дейностите, които ще допринесат за модернизация и трансформация на процесите по организация, експертиза, съхранение и използване на електронните документи в държавните и общинските институции и предаването им в държавен архив. В обхвата на стратегията е и предаването на ценните електронни документите на видни за обществото личности, политически партии, юридически лица с нестопанска цели и търговски дружества, както и на българи и български организации в чужбина с принос към българската история и опазването им за идните поколения.</w:t>
      </w:r>
    </w:p>
    <w:p w:rsidR="0097230C" w:rsidRPr="00EA6851" w:rsidRDefault="0097230C" w:rsidP="008E2A87">
      <w:pPr>
        <w:rPr>
          <w:b/>
          <w:szCs w:val="24"/>
        </w:rPr>
      </w:pPr>
      <w:r w:rsidRPr="00EA6851">
        <w:rPr>
          <w:b/>
          <w:szCs w:val="24"/>
        </w:rPr>
        <w:t>Ключовите индикатори по трета стратегическа цел са:</w:t>
      </w:r>
    </w:p>
    <w:p w:rsidR="0097230C" w:rsidRPr="00EA6851" w:rsidRDefault="0097230C" w:rsidP="00B30642">
      <w:pPr>
        <w:numPr>
          <w:ilvl w:val="0"/>
          <w:numId w:val="52"/>
        </w:numPr>
        <w:tabs>
          <w:tab w:val="left" w:pos="993"/>
          <w:tab w:val="num" w:pos="1080"/>
        </w:tabs>
        <w:ind w:left="993" w:hanging="426"/>
        <w:rPr>
          <w:i/>
          <w:szCs w:val="24"/>
        </w:rPr>
      </w:pPr>
      <w:r w:rsidRPr="00EA6851">
        <w:rPr>
          <w:i/>
          <w:szCs w:val="24"/>
        </w:rPr>
        <w:t>Въведени данни в ИСДА</w:t>
      </w:r>
      <w:r w:rsidRPr="00EA6851">
        <w:rPr>
          <w:szCs w:val="24"/>
        </w:rPr>
        <w:t xml:space="preserve"> – индикаторът включва въведените архивни описания и дигиталните образи в ИСДА. Поддържането и попълването на четирите нива на описание на ИСДА е нормативно определено и е обвързано с</w:t>
      </w:r>
      <w:r w:rsidRPr="00EA6851">
        <w:rPr>
          <w:i/>
          <w:szCs w:val="24"/>
        </w:rPr>
        <w:t xml:space="preserve"> </w:t>
      </w:r>
      <w:r w:rsidRPr="00EA6851">
        <w:rPr>
          <w:szCs w:val="24"/>
        </w:rPr>
        <w:t>ефективното и ефикасно изпълнение на основните функции на агенцията, с улесненото управление на архивните процеси и с облекчения и улеснен достъп на потребителите на архивно описание до архивните документи;</w:t>
      </w:r>
    </w:p>
    <w:p w:rsidR="0097230C" w:rsidRPr="00EA6851" w:rsidRDefault="0097230C" w:rsidP="00B30642">
      <w:pPr>
        <w:numPr>
          <w:ilvl w:val="0"/>
          <w:numId w:val="52"/>
        </w:numPr>
        <w:tabs>
          <w:tab w:val="left" w:pos="0"/>
          <w:tab w:val="left" w:pos="993"/>
          <w:tab w:val="num" w:pos="1080"/>
        </w:tabs>
        <w:ind w:left="993" w:hanging="426"/>
        <w:rPr>
          <w:i/>
          <w:szCs w:val="24"/>
        </w:rPr>
      </w:pPr>
      <w:r w:rsidRPr="00EA6851">
        <w:rPr>
          <w:i/>
          <w:szCs w:val="24"/>
        </w:rPr>
        <w:t>Попълване на Системата за е-архивиране</w:t>
      </w:r>
      <w:r w:rsidRPr="00EA6851">
        <w:rPr>
          <w:szCs w:val="24"/>
        </w:rPr>
        <w:t xml:space="preserve"> – индикаторът включва комплектуване на нови постъпления с ценни е-документи и цифровизация на съхраняваните в държавните архиви аудио-визуални документи с цел тяхното опазване и предоставяне на възможност </w:t>
      </w:r>
      <w:r w:rsidR="00214931" w:rsidRPr="00EA6851">
        <w:rPr>
          <w:szCs w:val="24"/>
        </w:rPr>
        <w:t xml:space="preserve">за </w:t>
      </w:r>
      <w:r w:rsidRPr="00EA6851">
        <w:rPr>
          <w:szCs w:val="24"/>
        </w:rPr>
        <w:t>постоянен публичен достъп до съдържанието им. Чрез внедряването през 2023 г., в изпълнение на проекта по ОПДУ, на Системата за е-архивиране ще се осигури приемането, съхранението, достъпа (с различни нива) и използването на ценни електронни документи от държавните и общинските институции, както и от видни за обществото личности, политически партии, юридически лица с нестопанска цел и търговски дружества, българи и български организации в чужбина с принос към българската история. Архивирането на ценни електронни документи е в пряка връзка с обогатяването на НАФ и комплектуване на пълни по състав и съдържание архивни фондове</w:t>
      </w:r>
      <w:r w:rsidR="00214931" w:rsidRPr="00EA6851">
        <w:rPr>
          <w:szCs w:val="24"/>
        </w:rPr>
        <w:t>;</w:t>
      </w:r>
      <w:r w:rsidRPr="00EA6851">
        <w:rPr>
          <w:szCs w:val="24"/>
        </w:rPr>
        <w:t xml:space="preserve"> </w:t>
      </w:r>
    </w:p>
    <w:p w:rsidR="0097230C" w:rsidRPr="00EA6851" w:rsidRDefault="0097230C" w:rsidP="00B30642">
      <w:pPr>
        <w:numPr>
          <w:ilvl w:val="0"/>
          <w:numId w:val="52"/>
        </w:numPr>
        <w:tabs>
          <w:tab w:val="left" w:pos="993"/>
          <w:tab w:val="num" w:pos="1080"/>
        </w:tabs>
        <w:autoSpaceDE w:val="0"/>
        <w:autoSpaceDN w:val="0"/>
        <w:adjustRightInd w:val="0"/>
        <w:ind w:left="993" w:hanging="426"/>
        <w:contextualSpacing/>
        <w:rPr>
          <w:szCs w:val="24"/>
        </w:rPr>
      </w:pPr>
      <w:r w:rsidRPr="00EA6851">
        <w:rPr>
          <w:i/>
          <w:szCs w:val="24"/>
        </w:rPr>
        <w:t xml:space="preserve">Вписвания в Регистъра на Националния архивен фонд – </w:t>
      </w:r>
      <w:r w:rsidRPr="00EA6851">
        <w:rPr>
          <w:szCs w:val="24"/>
        </w:rPr>
        <w:t>нормативно регламентирано е документите от НАФ да се водят на отчет в Регистър на НАФ, поддържан от ДАА, с цел централизиране на информацията за архивни фондове и документи в архивите, за архивните сбирки</w:t>
      </w:r>
      <w:r w:rsidR="00214931" w:rsidRPr="00EA6851">
        <w:rPr>
          <w:szCs w:val="24"/>
        </w:rPr>
        <w:t xml:space="preserve"> и отделни архивни документи - </w:t>
      </w:r>
      <w:r w:rsidRPr="00EA6851">
        <w:rPr>
          <w:szCs w:val="24"/>
        </w:rPr>
        <w:t>собственост на юридически и физически лица, както и за осигуряване на тяхната публичност;</w:t>
      </w:r>
    </w:p>
    <w:p w:rsidR="00214931" w:rsidRPr="00EA6851" w:rsidRDefault="00214931" w:rsidP="00214931">
      <w:pPr>
        <w:tabs>
          <w:tab w:val="left" w:pos="993"/>
        </w:tabs>
        <w:autoSpaceDE w:val="0"/>
        <w:autoSpaceDN w:val="0"/>
        <w:adjustRightInd w:val="0"/>
        <w:ind w:left="993"/>
        <w:contextualSpacing/>
        <w:rPr>
          <w:szCs w:val="24"/>
        </w:rPr>
      </w:pPr>
    </w:p>
    <w:p w:rsidR="0097230C" w:rsidRPr="00EA6851" w:rsidRDefault="0097230C" w:rsidP="00B30642">
      <w:pPr>
        <w:numPr>
          <w:ilvl w:val="0"/>
          <w:numId w:val="52"/>
        </w:numPr>
        <w:tabs>
          <w:tab w:val="left" w:pos="993"/>
          <w:tab w:val="num" w:pos="1080"/>
        </w:tabs>
        <w:autoSpaceDE w:val="0"/>
        <w:autoSpaceDN w:val="0"/>
        <w:adjustRightInd w:val="0"/>
        <w:ind w:left="993" w:hanging="426"/>
        <w:contextualSpacing/>
        <w:rPr>
          <w:szCs w:val="24"/>
        </w:rPr>
      </w:pPr>
      <w:r w:rsidRPr="00EA6851">
        <w:rPr>
          <w:i/>
          <w:szCs w:val="24"/>
        </w:rPr>
        <w:t xml:space="preserve">Посещения/показвания от потребители на данни от базите на информационната система на държавните архиви, Системата за е-архивиране, Регистъра на Националния архивен фонд и сайтовете на ДАА – </w:t>
      </w:r>
      <w:r w:rsidRPr="00EA6851">
        <w:rPr>
          <w:szCs w:val="24"/>
        </w:rPr>
        <w:t>индикаторът е обвързан с предходните два и е от съществено значение за измерване на удовлетвореността на потребителите на архивна информация във връзка с реализацията на приоритетните цели на Агенцията за улесняване и облекчаване на достъпа до националното документално богатство</w:t>
      </w:r>
      <w:r w:rsidR="00214931" w:rsidRPr="00EA6851">
        <w:rPr>
          <w:szCs w:val="24"/>
        </w:rPr>
        <w:t>.</w:t>
      </w:r>
    </w:p>
    <w:p w:rsidR="00E04690" w:rsidRPr="00EA6851" w:rsidRDefault="00E04690" w:rsidP="008E2A87">
      <w:pPr>
        <w:tabs>
          <w:tab w:val="left" w:pos="2106"/>
        </w:tabs>
        <w:contextualSpacing/>
        <w:rPr>
          <w:szCs w:val="24"/>
        </w:rPr>
      </w:pPr>
    </w:p>
    <w:p w:rsidR="0097230C" w:rsidRPr="00EA6851" w:rsidRDefault="0097230C" w:rsidP="008E2A87">
      <w:pPr>
        <w:tabs>
          <w:tab w:val="left" w:pos="2106"/>
        </w:tabs>
        <w:rPr>
          <w:szCs w:val="24"/>
        </w:rPr>
      </w:pPr>
      <w:r w:rsidRPr="00EA6851">
        <w:rPr>
          <w:b/>
          <w:i/>
          <w:szCs w:val="24"/>
        </w:rPr>
        <w:t>Изпълнението на четвъртата стратегическа цел</w:t>
      </w:r>
      <w:r w:rsidRPr="00EA6851">
        <w:rPr>
          <w:szCs w:val="24"/>
        </w:rPr>
        <w:t xml:space="preserve"> </w:t>
      </w:r>
      <w:r w:rsidRPr="00EA6851">
        <w:rPr>
          <w:b/>
          <w:i/>
          <w:szCs w:val="24"/>
        </w:rPr>
        <w:t>„Иновативност в популяризирането на националното архивно наследство и дейността на ДАА”</w:t>
      </w:r>
      <w:r w:rsidRPr="00EA6851">
        <w:rPr>
          <w:szCs w:val="24"/>
        </w:rPr>
        <w:t xml:space="preserve"> е обвързано с популяризирането на НЛФ чрез формиране на общественото разбиране за значението и функциите на Агенцията като национална институция, съхраняваща културно-историческото документално наследство и осигуряваща използване в общодостъпна форма на архивни документи от и в обществен интерес.</w:t>
      </w:r>
    </w:p>
    <w:p w:rsidR="0097230C" w:rsidRPr="00EA6851" w:rsidRDefault="0097230C" w:rsidP="008E2A87">
      <w:pPr>
        <w:tabs>
          <w:tab w:val="left" w:pos="2106"/>
        </w:tabs>
        <w:rPr>
          <w:szCs w:val="24"/>
        </w:rPr>
      </w:pPr>
      <w:r w:rsidRPr="00EA6851">
        <w:rPr>
          <w:szCs w:val="24"/>
        </w:rPr>
        <w:t xml:space="preserve">ДАА ще води целенасочена политика за активно присъствие в интернет пространството чрез електронни версии на своите периодични издания, нови дигитални колекции по теми от обществен интерес, дигитални изложби, филми, видеа, презентации и др., публикувани в сайтовете на Агенцията и социалните медии. ДАА ще търси и осъществява ползотворни партньорства за привличане и обмен на публики.  </w:t>
      </w:r>
    </w:p>
    <w:p w:rsidR="0097230C" w:rsidRPr="00EA6851" w:rsidRDefault="0097230C" w:rsidP="008E2A87">
      <w:pPr>
        <w:tabs>
          <w:tab w:val="left" w:pos="2106"/>
        </w:tabs>
        <w:rPr>
          <w:b/>
          <w:szCs w:val="24"/>
        </w:rPr>
      </w:pPr>
      <w:r w:rsidRPr="00EA6851">
        <w:rPr>
          <w:b/>
          <w:szCs w:val="24"/>
        </w:rPr>
        <w:t>Ключовият индикатор по четвърта стратегическа цел е:</w:t>
      </w:r>
    </w:p>
    <w:p w:rsidR="0097230C" w:rsidRPr="00EA6851" w:rsidRDefault="0097230C" w:rsidP="00B30642">
      <w:pPr>
        <w:numPr>
          <w:ilvl w:val="0"/>
          <w:numId w:val="52"/>
        </w:numPr>
        <w:tabs>
          <w:tab w:val="num" w:pos="567"/>
        </w:tabs>
        <w:autoSpaceDE w:val="0"/>
        <w:autoSpaceDN w:val="0"/>
        <w:adjustRightInd w:val="0"/>
        <w:ind w:left="567" w:hanging="425"/>
        <w:contextualSpacing/>
        <w:rPr>
          <w:szCs w:val="24"/>
        </w:rPr>
      </w:pPr>
      <w:r w:rsidRPr="00EA6851">
        <w:rPr>
          <w:i/>
          <w:szCs w:val="24"/>
        </w:rPr>
        <w:t xml:space="preserve">Брой потребители/посещения/обсег на достигнати хора на популяризаторските форми – </w:t>
      </w:r>
      <w:r w:rsidRPr="00EA6851">
        <w:rPr>
          <w:szCs w:val="24"/>
        </w:rPr>
        <w:t>индикаторът е свързан с нормативно определени задължения на ДАА за предоставяне за използване на архивни документи за популяризаторски цели/в популяризаторски форми. Популяризирането на документи от НАФ се осъществява чрез електронни издания, тематичните дигитални колекции в интернет, социалните медии – фейсбук, ютюб, туитър и инстаграм, изложби, представяния на издания с публикувани архивни документи и др.</w:t>
      </w:r>
    </w:p>
    <w:p w:rsidR="0097230C" w:rsidRPr="00EA6851" w:rsidRDefault="0097230C" w:rsidP="008E2A87">
      <w:r w:rsidRPr="00EA6851">
        <w:t xml:space="preserve"> </w:t>
      </w:r>
    </w:p>
    <w:p w:rsidR="0097230C" w:rsidRPr="00EA6851" w:rsidRDefault="0097230C" w:rsidP="008E2A87">
      <w:pPr>
        <w:rPr>
          <w:b/>
          <w:sz w:val="28"/>
          <w:szCs w:val="28"/>
        </w:rPr>
      </w:pPr>
      <w:r w:rsidRPr="00EA6851">
        <w:rPr>
          <w:b/>
          <w:sz w:val="28"/>
          <w:szCs w:val="28"/>
        </w:rPr>
        <w:t>Централна избирателна комисия</w:t>
      </w:r>
    </w:p>
    <w:p w:rsidR="0097230C" w:rsidRPr="00EA6851" w:rsidRDefault="0097230C" w:rsidP="008E2A87">
      <w:r w:rsidRPr="00EA6851">
        <w:t>Централната избирателна комисия организира и произвежда законосъобразни, честни и свободни избори и национални референдуми за осигуряване правото на всеки избирател да упражни правото си на глас и работи за повишаване на доверието в изборния процес. За периода 2024-2026 г. са разчетени разходи за изпълнението на дейността на Централната избирателна комисия като постоянно действащ независим държавен орган, насочен към организиране и произвеждане на законосъобразни избори и референдуми, разработени съобразно Изборния кодекс, при спазване принципите на върховенство на закона, публичност и прозрачност.</w:t>
      </w:r>
    </w:p>
    <w:p w:rsidR="0097230C" w:rsidRPr="00EA6851" w:rsidRDefault="0097230C" w:rsidP="008E2A87">
      <w:r w:rsidRPr="00EA6851">
        <w:t>Дейността на Централната избирателна комисия попада в обхвата на функционалната област „Организиране и произвеждане на законосъобразни, честни и свободни избори и национални референдуми“.</w:t>
      </w:r>
    </w:p>
    <w:p w:rsidR="0097230C" w:rsidRPr="00EA6851" w:rsidRDefault="0097230C" w:rsidP="008E2A87">
      <w:r w:rsidRPr="00EA6851">
        <w:t>За периода 2024-2026 г. са предвидени разходи за подготовката и произвеждането на избори съгласно Изборния кодекс.</w:t>
      </w:r>
    </w:p>
    <w:p w:rsidR="0097230C" w:rsidRPr="00EA6851" w:rsidRDefault="0097230C" w:rsidP="008E2A87">
      <w:pPr>
        <w:rPr>
          <w:b/>
          <w:sz w:val="28"/>
          <w:szCs w:val="28"/>
        </w:rPr>
      </w:pPr>
      <w:r w:rsidRPr="00EA6851">
        <w:rPr>
          <w:b/>
          <w:sz w:val="28"/>
          <w:szCs w:val="28"/>
        </w:rPr>
        <w:t>Държавна комисия по сигурността на информацията</w:t>
      </w:r>
    </w:p>
    <w:p w:rsidR="0097230C" w:rsidRPr="00EA6851" w:rsidRDefault="0097230C" w:rsidP="008E2A87">
      <w:pPr>
        <w:rPr>
          <w:szCs w:val="24"/>
        </w:rPr>
      </w:pPr>
      <w:r w:rsidRPr="00EA6851">
        <w:rPr>
          <w:szCs w:val="24"/>
        </w:rPr>
        <w:t xml:space="preserve">Държавната комисия по сигурността на информацията отговаря за организирането, осъществяването, координирането и контролирането на дейностите по защитата на класифицираната информация и осигуряването на еднаквата ѝ защита в национален и международен план. </w:t>
      </w:r>
    </w:p>
    <w:p w:rsidR="0097230C" w:rsidRPr="00EA6851" w:rsidRDefault="0097230C" w:rsidP="008E2A87">
      <w:pPr>
        <w:rPr>
          <w:szCs w:val="24"/>
        </w:rPr>
      </w:pPr>
      <w:r w:rsidRPr="00EA6851">
        <w:rPr>
          <w:szCs w:val="24"/>
        </w:rPr>
        <w:t>Стратегическите и оперативните цели на Държавната комисия по сигурността на информацията включват:</w:t>
      </w:r>
    </w:p>
    <w:p w:rsidR="0097230C" w:rsidRPr="00EA6851" w:rsidRDefault="0097230C" w:rsidP="00B30642">
      <w:pPr>
        <w:pStyle w:val="ListParagraph"/>
        <w:numPr>
          <w:ilvl w:val="0"/>
          <w:numId w:val="57"/>
        </w:numPr>
        <w:rPr>
          <w:szCs w:val="24"/>
        </w:rPr>
      </w:pPr>
      <w:r w:rsidRPr="00EA6851">
        <w:rPr>
          <w:szCs w:val="24"/>
        </w:rPr>
        <w:t>Защита на класифицираната информация от нерегламентиран достъп;</w:t>
      </w:r>
    </w:p>
    <w:p w:rsidR="0097230C" w:rsidRPr="00EA6851" w:rsidRDefault="0097230C" w:rsidP="00B30642">
      <w:pPr>
        <w:pStyle w:val="ListParagraph"/>
        <w:numPr>
          <w:ilvl w:val="0"/>
          <w:numId w:val="57"/>
        </w:numPr>
        <w:rPr>
          <w:szCs w:val="24"/>
        </w:rPr>
      </w:pPr>
      <w:r w:rsidRPr="00EA6851">
        <w:rPr>
          <w:szCs w:val="24"/>
        </w:rPr>
        <w:t>Усъвършенстване, развитие, координация и общ контрол на системата за защита на класифицираната информация по персонална, документална, физическа, индустриална сигурност, сигурност на комуникационните и информационни системи (КИС) и криптографска сигурност;</w:t>
      </w:r>
    </w:p>
    <w:p w:rsidR="0097230C" w:rsidRPr="00EA6851" w:rsidRDefault="0097230C" w:rsidP="00B30642">
      <w:pPr>
        <w:pStyle w:val="ListParagraph"/>
        <w:numPr>
          <w:ilvl w:val="0"/>
          <w:numId w:val="57"/>
        </w:numPr>
        <w:rPr>
          <w:szCs w:val="24"/>
        </w:rPr>
      </w:pPr>
      <w:r w:rsidRPr="00EA6851">
        <w:rPr>
          <w:szCs w:val="24"/>
        </w:rPr>
        <w:t>Усъвършенстване на системата за обучение по защита на класифицирана информация с цел изграждане на съзнание за сигурност сред лицата, ангажирани по Закона за защита на класифицираната информация (ЗЗКИ);</w:t>
      </w:r>
    </w:p>
    <w:p w:rsidR="0097230C" w:rsidRPr="00EA6851" w:rsidRDefault="0097230C" w:rsidP="00B30642">
      <w:pPr>
        <w:pStyle w:val="ListParagraph"/>
        <w:numPr>
          <w:ilvl w:val="0"/>
          <w:numId w:val="57"/>
        </w:numPr>
        <w:rPr>
          <w:szCs w:val="24"/>
        </w:rPr>
      </w:pPr>
      <w:r w:rsidRPr="00EA6851">
        <w:rPr>
          <w:szCs w:val="24"/>
        </w:rPr>
        <w:t>Подобряване на институционалния и административен капацитет на Държавната комисия по сигурността на информацията за успешно изпълнение на мисията и функциите.</w:t>
      </w:r>
    </w:p>
    <w:p w:rsidR="0097230C" w:rsidRPr="00EA6851" w:rsidRDefault="0097230C" w:rsidP="008E2A87">
      <w:pPr>
        <w:rPr>
          <w:szCs w:val="24"/>
        </w:rPr>
      </w:pPr>
      <w:r w:rsidRPr="00EA6851">
        <w:rPr>
          <w:szCs w:val="24"/>
        </w:rPr>
        <w:t>Бюджетната прогноза за периода 2024-2026 г. на Държавната комисия по сигурността на информацията цели финансовото осигуряване на дейността й, което ще гарантира устойчивост в изпълнението на приоритетите и заложените цели през периода.</w:t>
      </w:r>
    </w:p>
    <w:p w:rsidR="0097230C" w:rsidRPr="00EA6851" w:rsidRDefault="0097230C" w:rsidP="008E2A87">
      <w:pPr>
        <w:rPr>
          <w:szCs w:val="24"/>
        </w:rPr>
      </w:pPr>
      <w:r w:rsidRPr="00EA6851">
        <w:rPr>
          <w:szCs w:val="24"/>
        </w:rPr>
        <w:t>Дейността на Държавната комисия по сигурността на информацията попада в обхвата на функционална област „Защита на класифицираната информация“.</w:t>
      </w:r>
    </w:p>
    <w:p w:rsidR="0097230C" w:rsidRPr="00EA6851" w:rsidRDefault="0097230C" w:rsidP="008E2A87">
      <w:pPr>
        <w:rPr>
          <w:b/>
          <w:sz w:val="28"/>
          <w:szCs w:val="28"/>
        </w:rPr>
      </w:pPr>
      <w:r w:rsidRPr="00EA6851">
        <w:rPr>
          <w:b/>
          <w:sz w:val="28"/>
          <w:szCs w:val="28"/>
        </w:rPr>
        <w:t>Комисия за защита от дискриминация</w:t>
      </w:r>
    </w:p>
    <w:p w:rsidR="0097230C" w:rsidRPr="00EA6851" w:rsidRDefault="0097230C" w:rsidP="008E2A87">
      <w:r w:rsidRPr="00EA6851">
        <w:t>Комисията наблюдава и контролира спазването на Закона за защита от дискриминация и съответствието на новоприетото законодателство в страната и на подзаконовата нормативна уредба с неговите антидискриминационни разпоредби. Осъществява наблюдение и предприема мерки за съответствие на българското антидискриминационно законодателство с правото на ЕС и международноправните актове. Осъществява и координира международното сътрудничество в областта на антидискриминационната политика на Република България с международни органи и организации, както и със сходни чуждестранни институции.</w:t>
      </w:r>
    </w:p>
    <w:p w:rsidR="0097230C" w:rsidRPr="00EA6851" w:rsidRDefault="0097230C" w:rsidP="008E2A87">
      <w:r w:rsidRPr="00EA6851">
        <w:t xml:space="preserve">Комисията за защита от дискриминация се явява и като национален орган по правата на човека към ООН. </w:t>
      </w:r>
    </w:p>
    <w:p w:rsidR="0097230C" w:rsidRPr="00EA6851" w:rsidRDefault="0097230C" w:rsidP="008E2A87">
      <w:r w:rsidRPr="00EA6851">
        <w:t>Дейността на Комисията за защита от дискриминация попада в обхвата на функционална област „Противодействие и защита на гражданите от дискриминация“.</w:t>
      </w:r>
    </w:p>
    <w:p w:rsidR="0097230C" w:rsidRPr="00EA6851" w:rsidRDefault="0097230C" w:rsidP="008E2A87">
      <w:pPr>
        <w:rPr>
          <w:b/>
          <w:sz w:val="28"/>
          <w:szCs w:val="28"/>
        </w:rPr>
      </w:pPr>
      <w:r w:rsidRPr="00EA6851">
        <w:rPr>
          <w:b/>
          <w:sz w:val="28"/>
          <w:szCs w:val="28"/>
        </w:rPr>
        <w:t>Администрация на президента</w:t>
      </w:r>
    </w:p>
    <w:p w:rsidR="0097230C" w:rsidRPr="00EA6851" w:rsidRDefault="0097230C" w:rsidP="008E2A87">
      <w:pPr>
        <w:autoSpaceDE w:val="0"/>
        <w:autoSpaceDN w:val="0"/>
        <w:adjustRightInd w:val="0"/>
      </w:pPr>
      <w:r w:rsidRPr="00EA6851">
        <w:t>Осъществяване на конституционните правомощия на президента на Република България в интерес на гражданите и обществото.</w:t>
      </w:r>
    </w:p>
    <w:p w:rsidR="0097230C" w:rsidRPr="00EA6851" w:rsidRDefault="0097230C" w:rsidP="008E2A87">
      <w:pPr>
        <w:autoSpaceDE w:val="0"/>
        <w:autoSpaceDN w:val="0"/>
        <w:adjustRightInd w:val="0"/>
      </w:pPr>
      <w:r w:rsidRPr="00EA6851">
        <w:t>Планираните разходи са обвързани с изпълнението на Програмата за работата на Администрацията на президента по осъществяване на конституционните правомощия на президента и вицепрезидента на Република България в интерес на гражданите и обществото.</w:t>
      </w:r>
    </w:p>
    <w:p w:rsidR="0097230C" w:rsidRPr="00EA6851" w:rsidRDefault="00A4752A" w:rsidP="008E2A87">
      <w:pPr>
        <w:autoSpaceDE w:val="0"/>
        <w:autoSpaceDN w:val="0"/>
        <w:adjustRightInd w:val="0"/>
      </w:pPr>
      <w:r w:rsidRPr="00EA6851">
        <w:t>Целите на Програмата включват:</w:t>
      </w:r>
    </w:p>
    <w:p w:rsidR="0097230C" w:rsidRPr="00EA6851" w:rsidRDefault="0097230C" w:rsidP="00B30642">
      <w:pPr>
        <w:pStyle w:val="ListParagraph"/>
        <w:numPr>
          <w:ilvl w:val="0"/>
          <w:numId w:val="53"/>
        </w:numPr>
        <w:autoSpaceDE w:val="0"/>
        <w:autoSpaceDN w:val="0"/>
        <w:adjustRightInd w:val="0"/>
      </w:pPr>
      <w:r w:rsidRPr="00EA6851">
        <w:t>Защита и реализация на националните интереси на Република България, чрез активно учас</w:t>
      </w:r>
      <w:r w:rsidR="00A4752A" w:rsidRPr="00EA6851">
        <w:t>тие в международните отношения;</w:t>
      </w:r>
    </w:p>
    <w:p w:rsidR="0097230C" w:rsidRPr="00EA6851" w:rsidRDefault="0097230C" w:rsidP="00B30642">
      <w:pPr>
        <w:pStyle w:val="ListParagraph"/>
        <w:numPr>
          <w:ilvl w:val="0"/>
          <w:numId w:val="53"/>
        </w:numPr>
        <w:autoSpaceDE w:val="0"/>
        <w:autoSpaceDN w:val="0"/>
        <w:adjustRightInd w:val="0"/>
      </w:pPr>
      <w:r w:rsidRPr="00EA6851">
        <w:t xml:space="preserve">Устойчиво развитие </w:t>
      </w:r>
      <w:r w:rsidR="00A4752A" w:rsidRPr="00EA6851">
        <w:t>на българската нация и държава;</w:t>
      </w:r>
    </w:p>
    <w:p w:rsidR="0097230C" w:rsidRPr="00EA6851" w:rsidRDefault="0097230C" w:rsidP="00B30642">
      <w:pPr>
        <w:pStyle w:val="ListParagraph"/>
        <w:numPr>
          <w:ilvl w:val="0"/>
          <w:numId w:val="53"/>
        </w:numPr>
        <w:autoSpaceDE w:val="0"/>
        <w:autoSpaceDN w:val="0"/>
        <w:adjustRightInd w:val="0"/>
      </w:pPr>
      <w:r w:rsidRPr="00EA6851">
        <w:t>Защита на националната сигурност и териториалната цялост на Република България - президентът върховен главнокомандващ на въоръжен</w:t>
      </w:r>
      <w:r w:rsidR="00A4752A" w:rsidRPr="00EA6851">
        <w:t>ите сили на Република България;</w:t>
      </w:r>
    </w:p>
    <w:p w:rsidR="0097230C" w:rsidRPr="00EA6851" w:rsidRDefault="0097230C" w:rsidP="00B30642">
      <w:pPr>
        <w:pStyle w:val="ListParagraph"/>
        <w:numPr>
          <w:ilvl w:val="0"/>
          <w:numId w:val="53"/>
        </w:numPr>
        <w:autoSpaceDE w:val="0"/>
        <w:autoSpaceDN w:val="0"/>
        <w:adjustRightInd w:val="0"/>
      </w:pPr>
      <w:r w:rsidRPr="00EA6851">
        <w:t>Усъвършенстване и развитие на съвременна, високо оперативна и функционираща администрация, която напълно да обезпечава организационно, логистично и финансово дейността на президента и вицепрезидента за изпълнение на правомощията им по Конст</w:t>
      </w:r>
      <w:r w:rsidR="00A4752A" w:rsidRPr="00EA6851">
        <w:t>итуцията на Република България;</w:t>
      </w:r>
    </w:p>
    <w:p w:rsidR="0097230C" w:rsidRPr="00EA6851" w:rsidRDefault="0097230C" w:rsidP="00B30642">
      <w:pPr>
        <w:pStyle w:val="ListParagraph"/>
        <w:numPr>
          <w:ilvl w:val="0"/>
          <w:numId w:val="53"/>
        </w:numPr>
        <w:autoSpaceDE w:val="0"/>
        <w:autoSpaceDN w:val="0"/>
        <w:adjustRightInd w:val="0"/>
      </w:pPr>
      <w:r w:rsidRPr="00EA6851">
        <w:t>Поддържане и модернизиране на сградния фонд и прилежащите площи в съответствие с из</w:t>
      </w:r>
      <w:r w:rsidR="00A4752A" w:rsidRPr="00EA6851">
        <w:t>искванията за представителност.</w:t>
      </w:r>
    </w:p>
    <w:p w:rsidR="0097230C" w:rsidRPr="00EA6851" w:rsidRDefault="0097230C" w:rsidP="004F2344">
      <w:pPr>
        <w:autoSpaceDE w:val="0"/>
        <w:autoSpaceDN w:val="0"/>
        <w:adjustRightInd w:val="0"/>
      </w:pPr>
      <w:r w:rsidRPr="00EA6851">
        <w:t>Дейността на Администрацията на президента попада в обхвата на функционална област „Осъществяване на конституционните правомощия на пре</w:t>
      </w:r>
      <w:r w:rsidR="004F2344" w:rsidRPr="00EA6851">
        <w:t>зидента на Република България“.</w:t>
      </w:r>
    </w:p>
    <w:p w:rsidR="0097230C" w:rsidRPr="00EA6851" w:rsidRDefault="0097230C" w:rsidP="008E2A87">
      <w:pPr>
        <w:rPr>
          <w:b/>
          <w:sz w:val="28"/>
          <w:szCs w:val="28"/>
        </w:rPr>
      </w:pPr>
      <w:r w:rsidRPr="00EA6851">
        <w:rPr>
          <w:b/>
          <w:sz w:val="28"/>
          <w:szCs w:val="28"/>
        </w:rPr>
        <w:t>Омбудсман</w:t>
      </w:r>
    </w:p>
    <w:p w:rsidR="0097230C" w:rsidRPr="00EA6851" w:rsidRDefault="0097230C" w:rsidP="008E2A87">
      <w:pPr>
        <w:rPr>
          <w:color w:val="000000"/>
          <w:szCs w:val="24"/>
        </w:rPr>
      </w:pPr>
      <w:r w:rsidRPr="00EA6851">
        <w:rPr>
          <w:color w:val="000000"/>
          <w:szCs w:val="24"/>
        </w:rPr>
        <w:t xml:space="preserve">Омбудсманът е застъпник на правата на хората и пазител на обществения интерес. Основната функция на </w:t>
      </w:r>
      <w:r w:rsidR="00AD3C6A" w:rsidRPr="00EA6851">
        <w:rPr>
          <w:color w:val="000000"/>
          <w:szCs w:val="24"/>
        </w:rPr>
        <w:t>О</w:t>
      </w:r>
      <w:r w:rsidRPr="00EA6851">
        <w:rPr>
          <w:color w:val="000000"/>
          <w:szCs w:val="24"/>
        </w:rPr>
        <w:t>мбудсмана е да създава условия за достоен живот на всеки български граждани и защита на неговите права в обществена и институционална среда на респект и уважение към тях. В тази връзка държавата финансира дейността му, която е изключително разнородна и всеобхватна, а основните му инициативи са свързани предимно с:</w:t>
      </w:r>
    </w:p>
    <w:p w:rsidR="0097230C" w:rsidRPr="00EA6851" w:rsidRDefault="0097230C" w:rsidP="00B30642">
      <w:pPr>
        <w:numPr>
          <w:ilvl w:val="0"/>
          <w:numId w:val="33"/>
        </w:numPr>
      </w:pPr>
      <w:r w:rsidRPr="00EA6851">
        <w:t>Правата на човека в местата за лишаване от свобода;</w:t>
      </w:r>
    </w:p>
    <w:p w:rsidR="0097230C" w:rsidRPr="00EA6851" w:rsidRDefault="0097230C" w:rsidP="00B30642">
      <w:pPr>
        <w:numPr>
          <w:ilvl w:val="0"/>
          <w:numId w:val="33"/>
        </w:numPr>
      </w:pPr>
      <w:r w:rsidRPr="00EA6851">
        <w:t>Правата на децата;</w:t>
      </w:r>
    </w:p>
    <w:p w:rsidR="0097230C" w:rsidRPr="00EA6851" w:rsidRDefault="0097230C" w:rsidP="00B30642">
      <w:pPr>
        <w:numPr>
          <w:ilvl w:val="0"/>
          <w:numId w:val="33"/>
        </w:numPr>
      </w:pPr>
      <w:r w:rsidRPr="00EA6851">
        <w:t>Правата на хората с увреждания;</w:t>
      </w:r>
    </w:p>
    <w:p w:rsidR="0097230C" w:rsidRPr="00EA6851" w:rsidRDefault="0097230C" w:rsidP="00B30642">
      <w:pPr>
        <w:numPr>
          <w:ilvl w:val="0"/>
          <w:numId w:val="33"/>
        </w:numPr>
      </w:pPr>
      <w:r w:rsidRPr="00EA6851">
        <w:t>Правата на потребителите;</w:t>
      </w:r>
    </w:p>
    <w:p w:rsidR="0097230C" w:rsidRPr="00EA6851" w:rsidRDefault="0097230C" w:rsidP="00B30642">
      <w:pPr>
        <w:numPr>
          <w:ilvl w:val="0"/>
          <w:numId w:val="33"/>
        </w:numPr>
      </w:pPr>
      <w:r w:rsidRPr="00EA6851">
        <w:t>Социалните права на гражданите;</w:t>
      </w:r>
    </w:p>
    <w:p w:rsidR="0097230C" w:rsidRPr="00EA6851" w:rsidRDefault="0097230C" w:rsidP="00B30642">
      <w:pPr>
        <w:numPr>
          <w:ilvl w:val="0"/>
          <w:numId w:val="33"/>
        </w:numPr>
      </w:pPr>
      <w:r w:rsidRPr="00EA6851">
        <w:t>Здравеопазването;</w:t>
      </w:r>
    </w:p>
    <w:p w:rsidR="0097230C" w:rsidRPr="00EA6851" w:rsidRDefault="0097230C" w:rsidP="00B30642">
      <w:pPr>
        <w:numPr>
          <w:ilvl w:val="0"/>
          <w:numId w:val="33"/>
        </w:numPr>
      </w:pPr>
      <w:r w:rsidRPr="00EA6851">
        <w:t>Образованието;</w:t>
      </w:r>
    </w:p>
    <w:p w:rsidR="0097230C" w:rsidRPr="00EA6851" w:rsidRDefault="0097230C" w:rsidP="00B30642">
      <w:pPr>
        <w:numPr>
          <w:ilvl w:val="0"/>
          <w:numId w:val="33"/>
        </w:numPr>
      </w:pPr>
      <w:r w:rsidRPr="00EA6851">
        <w:t>Собствеността на гражданите;</w:t>
      </w:r>
    </w:p>
    <w:p w:rsidR="0097230C" w:rsidRPr="00EA6851" w:rsidRDefault="0097230C" w:rsidP="00B30642">
      <w:pPr>
        <w:numPr>
          <w:ilvl w:val="0"/>
          <w:numId w:val="33"/>
        </w:numPr>
      </w:pPr>
      <w:r w:rsidRPr="00EA6851">
        <w:t>Опазването на околната среда</w:t>
      </w:r>
      <w:r w:rsidR="00D20ECF" w:rsidRPr="00EA6851">
        <w:t>.</w:t>
      </w:r>
    </w:p>
    <w:p w:rsidR="0097230C" w:rsidRPr="00EA6851" w:rsidRDefault="0097230C" w:rsidP="008E2A87">
      <w:pPr>
        <w:rPr>
          <w:color w:val="000000"/>
          <w:szCs w:val="24"/>
        </w:rPr>
      </w:pPr>
      <w:r w:rsidRPr="00EA6851">
        <w:rPr>
          <w:color w:val="000000"/>
          <w:szCs w:val="24"/>
        </w:rPr>
        <w:t xml:space="preserve">Основните принципи, от които се ръководи </w:t>
      </w:r>
      <w:r w:rsidR="00AD3C6A" w:rsidRPr="00EA6851">
        <w:rPr>
          <w:color w:val="000000"/>
          <w:szCs w:val="24"/>
        </w:rPr>
        <w:t>О</w:t>
      </w:r>
      <w:r w:rsidRPr="00EA6851">
        <w:rPr>
          <w:color w:val="000000"/>
          <w:szCs w:val="24"/>
        </w:rPr>
        <w:t>мбудсманът са безпристрастност, независимост, справедливост, утвърждаване на правова държава, защита на най-добрия интерес на детето, преценка по вътрешно убеждение относно спазването на изискванията за добро управление.</w:t>
      </w:r>
    </w:p>
    <w:p w:rsidR="0097230C" w:rsidRPr="00EA6851" w:rsidRDefault="0097230C" w:rsidP="008E2A87">
      <w:pPr>
        <w:rPr>
          <w:color w:val="000000"/>
          <w:szCs w:val="24"/>
        </w:rPr>
      </w:pPr>
      <w:r w:rsidRPr="00EA6851">
        <w:rPr>
          <w:color w:val="000000"/>
          <w:szCs w:val="24"/>
        </w:rPr>
        <w:t>В своята дейност Омбудсманът се подпомага от своята администрация, осъществява сътрудничество със сродни институции в други държави, както и с международни организации, чийто предмет на дейност обхваща защитата на правата на човека. Взаимодейства с местните обществени посредници и други сродни институции в България, осъществява сътрудничество с неправителствени организации, чийто предмет на дейност обхваща защитата на правата на човека.</w:t>
      </w:r>
    </w:p>
    <w:p w:rsidR="0097230C" w:rsidRPr="00EA6851" w:rsidRDefault="0097230C" w:rsidP="008E2A87">
      <w:pPr>
        <w:rPr>
          <w:color w:val="000000"/>
          <w:szCs w:val="24"/>
        </w:rPr>
      </w:pPr>
      <w:r w:rsidRPr="00EA6851">
        <w:rPr>
          <w:color w:val="000000"/>
          <w:szCs w:val="24"/>
        </w:rPr>
        <w:t>С новоприетия Закон за защита на лицата, подаващи сигнали или публично оповестяващи информация за нарушения на Омбудсмана са вменени нови отговорности</w:t>
      </w:r>
      <w:r w:rsidR="00AD3C6A" w:rsidRPr="00EA6851">
        <w:rPr>
          <w:color w:val="000000"/>
          <w:szCs w:val="24"/>
        </w:rPr>
        <w:t>,</w:t>
      </w:r>
      <w:r w:rsidRPr="00EA6851">
        <w:rPr>
          <w:color w:val="000000"/>
          <w:szCs w:val="24"/>
        </w:rPr>
        <w:t xml:space="preserve"> касаещи външното одитиране, извършване на проверки на място, приемане и разглеждане на жалби </w:t>
      </w:r>
      <w:r w:rsidRPr="00EA6851">
        <w:rPr>
          <w:rFonts w:cs="Times New Roman"/>
          <w:szCs w:val="24"/>
        </w:rPr>
        <w:t>срещу Комисията за защита на личните данни на лица, подали сигнали, включително за неосигурена защита или нарушения на поверителността на информацията за тях.</w:t>
      </w:r>
      <w:r w:rsidRPr="00EA6851">
        <w:rPr>
          <w:color w:val="000000"/>
          <w:szCs w:val="24"/>
        </w:rPr>
        <w:t xml:space="preserve"> </w:t>
      </w:r>
    </w:p>
    <w:p w:rsidR="0097230C" w:rsidRPr="00EA6851" w:rsidRDefault="0097230C" w:rsidP="008E2A87">
      <w:pPr>
        <w:rPr>
          <w:color w:val="000000"/>
          <w:szCs w:val="24"/>
        </w:rPr>
      </w:pPr>
      <w:r w:rsidRPr="00EA6851">
        <w:rPr>
          <w:color w:val="000000"/>
          <w:szCs w:val="24"/>
        </w:rPr>
        <w:t>Параметрите, заложени в бюджетната прогноза, касаещи Омбудсмана, целят финансовото осигуряване на дейността му, което ще гарантира устойчивост в изпълнението на приоритетите и заложените цели през периода.</w:t>
      </w:r>
    </w:p>
    <w:p w:rsidR="0097230C" w:rsidRPr="00EA6851" w:rsidRDefault="0097230C" w:rsidP="008E2A87">
      <w:pPr>
        <w:rPr>
          <w:color w:val="000000"/>
          <w:szCs w:val="24"/>
        </w:rPr>
      </w:pPr>
      <w:r w:rsidRPr="00EA6851">
        <w:rPr>
          <w:color w:val="000000"/>
          <w:szCs w:val="24"/>
        </w:rPr>
        <w:t>Дейността на Омбудсмана попада в обхвата на функционална област „Защита правата на гражданите“.</w:t>
      </w:r>
    </w:p>
    <w:p w:rsidR="0097230C" w:rsidRPr="00EA6851" w:rsidRDefault="0097230C" w:rsidP="008E2A87">
      <w:pPr>
        <w:rPr>
          <w:b/>
          <w:sz w:val="28"/>
          <w:szCs w:val="28"/>
        </w:rPr>
      </w:pPr>
      <w:r w:rsidRPr="00EA6851">
        <w:rPr>
          <w:b/>
          <w:sz w:val="28"/>
          <w:szCs w:val="28"/>
        </w:rPr>
        <w:t>Комисия за разкриване на документите и за обявяване на принадлежност на български граждани към Държавна сигурност и разузнавателните служби на Българската народна армия</w:t>
      </w:r>
    </w:p>
    <w:p w:rsidR="0097230C" w:rsidRPr="00EA6851" w:rsidRDefault="0097230C" w:rsidP="008E2A87">
      <w:pPr>
        <w:autoSpaceDE w:val="0"/>
        <w:autoSpaceDN w:val="0"/>
        <w:adjustRightInd w:val="0"/>
        <w:rPr>
          <w:rFonts w:cs="Times New Roman"/>
          <w:szCs w:val="24"/>
        </w:rPr>
      </w:pPr>
      <w:r w:rsidRPr="00EA6851">
        <w:rPr>
          <w:rFonts w:cs="Times New Roman"/>
          <w:szCs w:val="24"/>
        </w:rPr>
        <w:t>Комисията за разкриване на документите и за обявяване на принадлежност на български граждани към Държавна сигурност и разузнавателните служби на Българската</w:t>
      </w:r>
      <w:r w:rsidR="002E00B3" w:rsidRPr="00EA6851">
        <w:rPr>
          <w:rFonts w:cs="Times New Roman"/>
          <w:szCs w:val="24"/>
        </w:rPr>
        <w:t xml:space="preserve"> народна армия (КРДОПБГДСРСБНА)</w:t>
      </w:r>
      <w:r w:rsidRPr="00EA6851">
        <w:rPr>
          <w:rFonts w:cs="Times New Roman"/>
          <w:szCs w:val="24"/>
        </w:rPr>
        <w:t xml:space="preserve"> е независим държавен орган, който осъществява политиката на Република България за разкриването, обявяването и съхраняването на документите на Държавна сигурност и разузнавателните служби на Българска</w:t>
      </w:r>
      <w:r w:rsidR="004F2344" w:rsidRPr="00EA6851">
        <w:rPr>
          <w:rFonts w:cs="Times New Roman"/>
          <w:szCs w:val="24"/>
        </w:rPr>
        <w:t>та народна армия</w:t>
      </w:r>
      <w:r w:rsidR="00AD3C6A" w:rsidRPr="00EA6851">
        <w:t xml:space="preserve"> </w:t>
      </w:r>
      <w:r w:rsidR="00AD3C6A" w:rsidRPr="00EA6851">
        <w:rPr>
          <w:rFonts w:cs="Times New Roman"/>
          <w:szCs w:val="24"/>
        </w:rPr>
        <w:t>съгласно Закона за достъп и разкриване на документите и за обявяване на принадлежност на български граждани към Държавна сигурност и разузнавателните служби на Българската народна армия</w:t>
      </w:r>
      <w:r w:rsidR="004F2344" w:rsidRPr="00EA6851">
        <w:rPr>
          <w:rFonts w:cs="Times New Roman"/>
          <w:szCs w:val="24"/>
        </w:rPr>
        <w:t xml:space="preserve">. </w:t>
      </w:r>
      <w:r w:rsidRPr="00EA6851">
        <w:t>Планираните разходи са за обезпечаване дейността на Комисията за разкриване на</w:t>
      </w:r>
      <w:r w:rsidRPr="00EA6851">
        <w:rPr>
          <w:rFonts w:cs="Times New Roman"/>
          <w:szCs w:val="24"/>
        </w:rPr>
        <w:t xml:space="preserve"> </w:t>
      </w:r>
      <w:r w:rsidRPr="00EA6851">
        <w:t>документите и за обявяване на принадлежност на български граждани към Държавна</w:t>
      </w:r>
      <w:r w:rsidRPr="00EA6851">
        <w:rPr>
          <w:rFonts w:cs="Times New Roman"/>
          <w:szCs w:val="24"/>
        </w:rPr>
        <w:t xml:space="preserve"> </w:t>
      </w:r>
      <w:r w:rsidRPr="00EA6851">
        <w:t>сигурност и разузнавателните служби на Българската народна армия.</w:t>
      </w:r>
      <w:r w:rsidRPr="00EA6851">
        <w:rPr>
          <w:rFonts w:cs="Times New Roman"/>
          <w:szCs w:val="24"/>
        </w:rPr>
        <w:t xml:space="preserve"> </w:t>
      </w:r>
    </w:p>
    <w:p w:rsidR="0097230C" w:rsidRPr="00EA6851" w:rsidRDefault="0097230C" w:rsidP="008E2A87">
      <w:pPr>
        <w:autoSpaceDE w:val="0"/>
        <w:autoSpaceDN w:val="0"/>
        <w:adjustRightInd w:val="0"/>
      </w:pPr>
      <w:r w:rsidRPr="00EA6851">
        <w:t>Предоставянето на висококачествени услуги в изпълнение на стратегическите и оперативните цели, и постигането на значими ползи/ефекти за обществото от изпълнението на функционална област „Архив на Държавна сигурност и разузнавателните служби на Българската народна армия“ е основна цел и първостепенна задача на комисията.</w:t>
      </w:r>
    </w:p>
    <w:p w:rsidR="0097230C" w:rsidRPr="00EA6851" w:rsidRDefault="0097230C" w:rsidP="008E2A87">
      <w:pPr>
        <w:autoSpaceDE w:val="0"/>
        <w:autoSpaceDN w:val="0"/>
        <w:adjustRightInd w:val="0"/>
      </w:pPr>
      <w:r w:rsidRPr="00EA6851">
        <w:t xml:space="preserve">През периода 2024-2026 г. </w:t>
      </w:r>
      <w:r w:rsidR="00841FBD" w:rsidRPr="00EA6851">
        <w:t>К</w:t>
      </w:r>
      <w:r w:rsidRPr="00EA6851">
        <w:t>омисията ще продължава да води целенасочена политика в изпълнение на задълженията си, произтичащи от Закона за достъп и разкриване на документите и за обявяване принадлежност на български граждани към Държавна сигурност и разузнавателните служби на Българската народна армия в три приоритетни направления, а именно:</w:t>
      </w:r>
    </w:p>
    <w:p w:rsidR="0097230C" w:rsidRPr="00EA6851" w:rsidRDefault="0097230C" w:rsidP="00B30642">
      <w:pPr>
        <w:numPr>
          <w:ilvl w:val="0"/>
          <w:numId w:val="33"/>
        </w:numPr>
      </w:pPr>
      <w:r w:rsidRPr="00EA6851">
        <w:t>да установява и обявява принадлежност към Държавна сигурност и разузнавателните служби на Българската народна армия на български граждани, заемали или заемащи публични длъжности, извършвали или извършващи публични дейности;</w:t>
      </w:r>
    </w:p>
    <w:p w:rsidR="0097230C" w:rsidRPr="00EA6851" w:rsidRDefault="0097230C" w:rsidP="00B30642">
      <w:pPr>
        <w:numPr>
          <w:ilvl w:val="0"/>
          <w:numId w:val="33"/>
        </w:numPr>
      </w:pPr>
      <w:r w:rsidRPr="00EA6851">
        <w:t>да комплектува и съхранява в Централизирания архив документите на органите по чл. 1 от Закона за достъп и разкриване на документите и за обявяване на принадлежност на български граждани към Държавна сигурност и разузнавателните служби на Българската народна армия, съставени в периода от 9 септември 1944 г. до 16 юли 1991 г.;</w:t>
      </w:r>
    </w:p>
    <w:p w:rsidR="0097230C" w:rsidRPr="00EA6851" w:rsidRDefault="0097230C" w:rsidP="00B30642">
      <w:pPr>
        <w:numPr>
          <w:ilvl w:val="0"/>
          <w:numId w:val="33"/>
        </w:numPr>
      </w:pPr>
      <w:r w:rsidRPr="00EA6851">
        <w:t>да осигурява достъп до тези документи.</w:t>
      </w:r>
    </w:p>
    <w:p w:rsidR="0097230C" w:rsidRPr="00EA6851" w:rsidRDefault="0097230C" w:rsidP="008E2A87">
      <w:pPr>
        <w:autoSpaceDE w:val="0"/>
        <w:autoSpaceDN w:val="0"/>
        <w:adjustRightInd w:val="0"/>
      </w:pPr>
      <w:r w:rsidRPr="00EA6851">
        <w:t>Дейността на Комисия за разкриване на документите и за обявяване на принадлежност на български граждани към Държавна сигурност и разузнавателните служби на Българската народна армия попада в обхвата на функционална област „Архив на Държавна сигурност и разузнавателните служби на Българската народна армия“.</w:t>
      </w:r>
    </w:p>
    <w:p w:rsidR="00176E22" w:rsidRPr="00EA6851" w:rsidRDefault="00176E22" w:rsidP="00176E22">
      <w:pPr>
        <w:rPr>
          <w:b/>
          <w:sz w:val="28"/>
          <w:szCs w:val="28"/>
        </w:rPr>
      </w:pPr>
      <w:r w:rsidRPr="00EA6851">
        <w:rPr>
          <w:b/>
          <w:sz w:val="28"/>
          <w:szCs w:val="28"/>
        </w:rPr>
        <w:t>Комисия за отнемане на незаконно придобитото имущество</w:t>
      </w:r>
    </w:p>
    <w:p w:rsidR="00176E22" w:rsidRPr="00EA6851" w:rsidRDefault="00176E22" w:rsidP="00176E22">
      <w:pPr>
        <w:rPr>
          <w:szCs w:val="24"/>
        </w:rPr>
      </w:pPr>
      <w:r w:rsidRPr="00EA6851">
        <w:rPr>
          <w:szCs w:val="24"/>
        </w:rPr>
        <w:t>Комисията за отнемане на незаконно придобитото имущество (КОНПИ) е независим специализиран постоянно действащ държавен орган за осъществяване на политиката по о</w:t>
      </w:r>
      <w:r w:rsidR="003E64E6" w:rsidRPr="00EA6851">
        <w:rPr>
          <w:szCs w:val="24"/>
        </w:rPr>
        <w:t>тнемане на незаконно придобито</w:t>
      </w:r>
      <w:r w:rsidRPr="00EA6851">
        <w:rPr>
          <w:szCs w:val="24"/>
        </w:rPr>
        <w:t xml:space="preserve"> имущество.</w:t>
      </w:r>
    </w:p>
    <w:p w:rsidR="00176E22" w:rsidRPr="00EA6851" w:rsidRDefault="00176E22" w:rsidP="00176E22">
      <w:pPr>
        <w:spacing w:before="120"/>
        <w:rPr>
          <w:rFonts w:eastAsia="Times New Roman" w:cs="Times New Roman"/>
          <w:szCs w:val="24"/>
        </w:rPr>
      </w:pPr>
      <w:r w:rsidRPr="00EA6851">
        <w:rPr>
          <w:szCs w:val="24"/>
        </w:rPr>
        <w:t xml:space="preserve">За постигане на целите на Закона за отнемане на незаконно придобитото имущество (ЗОНПИ), Комисията и органите на Комисията, </w:t>
      </w:r>
      <w:r w:rsidRPr="00EA6851">
        <w:rPr>
          <w:rFonts w:eastAsia="Times New Roman" w:cs="Times New Roman"/>
          <w:szCs w:val="24"/>
        </w:rPr>
        <w:t xml:space="preserve">Комисията за противодействие на корупцията, Прокуратурата, Министерството на вътрешните работи, органите на Държавна агенция </w:t>
      </w:r>
      <w:r w:rsidR="003E64E6" w:rsidRPr="00EA6851">
        <w:rPr>
          <w:rFonts w:eastAsia="Times New Roman" w:cs="Times New Roman"/>
          <w:szCs w:val="24"/>
        </w:rPr>
        <w:t>„Национална сигурност“</w:t>
      </w:r>
      <w:r w:rsidRPr="00EA6851">
        <w:rPr>
          <w:rFonts w:eastAsia="Times New Roman" w:cs="Times New Roman"/>
          <w:szCs w:val="24"/>
        </w:rPr>
        <w:t xml:space="preserve">, органите </w:t>
      </w:r>
      <w:r w:rsidR="00CA3388" w:rsidRPr="00EA6851">
        <w:rPr>
          <w:rFonts w:eastAsia="Times New Roman" w:cs="Times New Roman"/>
          <w:szCs w:val="24"/>
        </w:rPr>
        <w:t>на Националната агенция за приходите</w:t>
      </w:r>
      <w:r w:rsidR="003E64E6" w:rsidRPr="00EA6851">
        <w:rPr>
          <w:rFonts w:eastAsia="Times New Roman" w:cs="Times New Roman"/>
          <w:szCs w:val="24"/>
        </w:rPr>
        <w:t>, органите на Агенция „Митници“</w:t>
      </w:r>
      <w:r w:rsidRPr="00EA6851">
        <w:rPr>
          <w:rFonts w:eastAsia="Times New Roman" w:cs="Times New Roman"/>
          <w:szCs w:val="24"/>
        </w:rPr>
        <w:t>, Главният инспекторат на Министерския съвет, Инспекторатът към Висшия съдебен съвет и инспекторатите по чл. 46 от Закона за администрацията си взаимодействат съобразно предоставената им компетентност.</w:t>
      </w:r>
    </w:p>
    <w:p w:rsidR="00176E22" w:rsidRPr="00EA6851" w:rsidRDefault="00176E22" w:rsidP="00176E22">
      <w:pPr>
        <w:rPr>
          <w:szCs w:val="24"/>
        </w:rPr>
      </w:pPr>
      <w:r w:rsidRPr="00EA6851">
        <w:rPr>
          <w:szCs w:val="24"/>
        </w:rPr>
        <w:t xml:space="preserve">Дейността на Комисията за отнемане на незаконно придобитото имущество попада в обхвата на функционална област „Предотвратяване на възможностите за незаконно придобиване на имущество“, която включва само една бюджетна програма - „Установяване и отнемане на незаконно придобито имущество“. </w:t>
      </w:r>
      <w:r w:rsidR="0099700E" w:rsidRPr="00EA6851">
        <w:rPr>
          <w:szCs w:val="24"/>
        </w:rPr>
        <w:t>Функционалната област е отражение на дефинираните със ЗОНПИ дейности и цели по установяване и отнемане на незаконно придобитото имущество и сътрудничество на международно ниво.</w:t>
      </w:r>
    </w:p>
    <w:p w:rsidR="0099700E" w:rsidRPr="00EA6851" w:rsidRDefault="00176E22" w:rsidP="0099700E">
      <w:pPr>
        <w:rPr>
          <w:szCs w:val="24"/>
        </w:rPr>
      </w:pPr>
      <w:r w:rsidRPr="00EA6851">
        <w:rPr>
          <w:szCs w:val="24"/>
        </w:rPr>
        <w:t>Предвидените със ЗОНПИ специфични дейности на Комисията са публични и прозрачни, и съобразно естеството на частта от функционалната област са насочени към осъществяване на процедурите по налагане на обезпечителни мерки и отнемане в</w:t>
      </w:r>
      <w:r w:rsidR="0099700E" w:rsidRPr="00EA6851">
        <w:rPr>
          <w:szCs w:val="24"/>
        </w:rPr>
        <w:t xml:space="preserve"> следните направления:</w:t>
      </w:r>
    </w:p>
    <w:p w:rsidR="0099700E" w:rsidRPr="00EA6851" w:rsidRDefault="0099700E" w:rsidP="0099700E">
      <w:pPr>
        <w:numPr>
          <w:ilvl w:val="0"/>
          <w:numId w:val="65"/>
        </w:numPr>
        <w:rPr>
          <w:szCs w:val="24"/>
        </w:rPr>
      </w:pPr>
      <w:r w:rsidRPr="00EA6851">
        <w:rPr>
          <w:szCs w:val="24"/>
        </w:rPr>
        <w:t xml:space="preserve">По установяване на незаконно придобито имущество –  </w:t>
      </w:r>
      <w:r w:rsidR="00841FBD" w:rsidRPr="00EA6851">
        <w:rPr>
          <w:szCs w:val="24"/>
        </w:rPr>
        <w:t>К</w:t>
      </w:r>
      <w:r w:rsidRPr="00EA6851">
        <w:rPr>
          <w:szCs w:val="24"/>
        </w:rPr>
        <w:t>омисията образува производство за отнемане на незаконно придобито имущество, когато може да се направи обосновано предположение и установи значително несъответствие в имуществото на проверяваното лице;</w:t>
      </w:r>
    </w:p>
    <w:p w:rsidR="0099700E" w:rsidRPr="00EA6851" w:rsidRDefault="0099700E" w:rsidP="0099700E">
      <w:pPr>
        <w:numPr>
          <w:ilvl w:val="0"/>
          <w:numId w:val="65"/>
        </w:numPr>
        <w:rPr>
          <w:szCs w:val="24"/>
        </w:rPr>
      </w:pPr>
      <w:r w:rsidRPr="00EA6851">
        <w:rPr>
          <w:szCs w:val="24"/>
        </w:rPr>
        <w:t>По отнемане на незаконно придобитото имущество – осъществяване на процедурите по налагане на обезпечителни мерки и отнемане в полза на държавата на незаконно придобитото имущество, в т.ч. съдебни производства, организиране на дейностите по управление и пазене на имуществото, върху което е наложено обезпечение на основание ЗОНПИ, поддържане на регистър за обезпеченото имущество, както и механизъм за предоставяне за обществени нужди на отнети в полза на държавата имоти, изготвяне на удостоверения за наличието на обезпечителни мерки, наложени по реда на ЗОНПИ и други.</w:t>
      </w:r>
    </w:p>
    <w:p w:rsidR="00176E22" w:rsidRPr="00EA6851" w:rsidRDefault="00176E22" w:rsidP="00176E22">
      <w:pPr>
        <w:rPr>
          <w:b/>
          <w:sz w:val="28"/>
          <w:szCs w:val="28"/>
        </w:rPr>
      </w:pPr>
      <w:r w:rsidRPr="00EA6851">
        <w:rPr>
          <w:b/>
          <w:sz w:val="28"/>
          <w:szCs w:val="28"/>
        </w:rPr>
        <w:t>Комисия за противодействие на корупцията</w:t>
      </w:r>
    </w:p>
    <w:p w:rsidR="00176E22" w:rsidRPr="00EA6851" w:rsidRDefault="00176E22" w:rsidP="00176E22">
      <w:pPr>
        <w:rPr>
          <w:szCs w:val="24"/>
        </w:rPr>
      </w:pPr>
      <w:r w:rsidRPr="00EA6851">
        <w:rPr>
          <w:szCs w:val="24"/>
        </w:rPr>
        <w:t>Комисията за противодействие на корупцията (КПК) е независим специализиран постоянно действащ държавен орган за осъществяване на политиката по превенция, противодействие на корупцията и установяване на конфликт на интереси.</w:t>
      </w:r>
    </w:p>
    <w:p w:rsidR="00176E22" w:rsidRPr="00EA6851" w:rsidRDefault="00176E22" w:rsidP="00176E22">
      <w:pPr>
        <w:spacing w:before="120"/>
      </w:pPr>
      <w:r w:rsidRPr="00EA6851">
        <w:rPr>
          <w:szCs w:val="24"/>
        </w:rPr>
        <w:t>За постигане на целите на Закона за противодействие на корупцията (ЗПК), Комисията</w:t>
      </w:r>
      <w:r w:rsidRPr="00EA6851">
        <w:t>, разследващите инспектори и инспекторите, осъществяващи опeративно-издирвателна дейност, Комисията за отнемане на незаконно придобитото имущество, Прокуратурата на Република България, Европейската прокуратура, Министерството на вътрешните работи, Министерството на финансите, Агенцията за държавна финансо</w:t>
      </w:r>
      <w:r w:rsidR="002E00B3" w:rsidRPr="00EA6851">
        <w:t>ва инспекция, Държавна агенция „</w:t>
      </w:r>
      <w:r w:rsidR="003158CD" w:rsidRPr="00EA6851">
        <w:t>Национална сигурност“</w:t>
      </w:r>
      <w:r w:rsidRPr="00EA6851">
        <w:t>, Национална агенция за приходите, Агенц</w:t>
      </w:r>
      <w:r w:rsidR="002E00B3" w:rsidRPr="00EA6851">
        <w:t>ия „Митници“</w:t>
      </w:r>
      <w:r w:rsidRPr="00EA6851">
        <w:t>, Главният инспекторат към Министерския съвет, Инспекторатът към Висшия съдебен съвет и инспекторатите по чл. 46 от Закона за администрацията си взаимодействат съобразно предоставената им компетентност.</w:t>
      </w:r>
    </w:p>
    <w:p w:rsidR="00FD4B9E" w:rsidRPr="00EA6851" w:rsidRDefault="00176E22" w:rsidP="00176E22">
      <w:pPr>
        <w:rPr>
          <w:szCs w:val="24"/>
        </w:rPr>
      </w:pPr>
      <w:r w:rsidRPr="00EA6851">
        <w:rPr>
          <w:szCs w:val="24"/>
        </w:rPr>
        <w:t xml:space="preserve">Дейността на Комисията за противодействие на корупцията попада в обхвата на функционална област „Осъществяване на превенция, ефективно противодействие на корупцията и установяване на конфликт на интереси“, която включва само една бюджетна програма - „Превенция и противодействие на прояви на корупция от лица, заемащи публични длъжности, и установяване конфликт на интереси“. </w:t>
      </w:r>
      <w:r w:rsidR="00AE58C4" w:rsidRPr="00EA6851">
        <w:rPr>
          <w:szCs w:val="24"/>
        </w:rPr>
        <w:t>Функционалната област е отражение на дефинираните със ЗПК дейности и цели по превенция и противодействие на корупцията и установяване на конфликт на интереси.</w:t>
      </w:r>
    </w:p>
    <w:p w:rsidR="00176E22" w:rsidRPr="00EA6851" w:rsidRDefault="00176E22" w:rsidP="00176E22">
      <w:pPr>
        <w:rPr>
          <w:szCs w:val="24"/>
        </w:rPr>
      </w:pPr>
      <w:r w:rsidRPr="00EA6851">
        <w:rPr>
          <w:szCs w:val="24"/>
        </w:rPr>
        <w:t>Предвидените със ЗПК специфични дейности на Ко</w:t>
      </w:r>
      <w:r w:rsidR="00CA3388" w:rsidRPr="00EA6851">
        <w:rPr>
          <w:szCs w:val="24"/>
        </w:rPr>
        <w:t>мисията са публични и прозрачни</w:t>
      </w:r>
      <w:r w:rsidRPr="00EA6851">
        <w:rPr>
          <w:szCs w:val="24"/>
        </w:rPr>
        <w:t xml:space="preserve"> и съобразно естеството на частта от функционалната област са насочени в следните направления:</w:t>
      </w:r>
    </w:p>
    <w:p w:rsidR="00176E22" w:rsidRPr="00EA6851" w:rsidRDefault="00176E22" w:rsidP="00B30642">
      <w:pPr>
        <w:numPr>
          <w:ilvl w:val="0"/>
          <w:numId w:val="60"/>
        </w:numPr>
        <w:rPr>
          <w:szCs w:val="24"/>
        </w:rPr>
      </w:pPr>
      <w:r w:rsidRPr="00EA6851">
        <w:rPr>
          <w:szCs w:val="24"/>
        </w:rPr>
        <w:t>По превенция на корупцията – събира, обобщава и анализира информация за националните антикорупционни политики и мерки; извършва анализи, разработва и предлага мерки за превенция и</w:t>
      </w:r>
      <w:r w:rsidR="00CA3388" w:rsidRPr="00EA6851">
        <w:rPr>
          <w:szCs w:val="24"/>
        </w:rPr>
        <w:t xml:space="preserve"> противодействие на корупцията и</w:t>
      </w:r>
      <w:r w:rsidRPr="00EA6851">
        <w:rPr>
          <w:szCs w:val="24"/>
        </w:rPr>
        <w:t xml:space="preserve"> координира прилагането им, осъществява дейности за разпространение на информацията, свързана с противодействието на корупцията, включително антикорупционните политики и мерки; обучава инспекторите от Главния инспекторат към Министерския съвет и към отделните инспекторати; дава становище по стратегическия и годишния план за дейността и по отчета на Главния инспекторат към Министерския съвет и към отделните инспекторати (чл. 44 от ЗПК);</w:t>
      </w:r>
    </w:p>
    <w:p w:rsidR="00176E22" w:rsidRPr="00EA6851" w:rsidRDefault="00176E22" w:rsidP="00B30642">
      <w:pPr>
        <w:numPr>
          <w:ilvl w:val="0"/>
          <w:numId w:val="60"/>
        </w:numPr>
        <w:rPr>
          <w:szCs w:val="24"/>
        </w:rPr>
      </w:pPr>
      <w:r w:rsidRPr="00EA6851">
        <w:rPr>
          <w:szCs w:val="24"/>
        </w:rPr>
        <w:t>По предотвратяване, разкриване и разследване на корупционни престъпления – събиране, анализ и извършване на проверки на сведения при или по повод информация за прояви на корупция от лица, заемащи публични длъжности;</w:t>
      </w:r>
    </w:p>
    <w:p w:rsidR="00176E22" w:rsidRPr="00EA6851" w:rsidRDefault="00176E22" w:rsidP="00B30642">
      <w:pPr>
        <w:numPr>
          <w:ilvl w:val="0"/>
          <w:numId w:val="60"/>
        </w:numPr>
        <w:rPr>
          <w:szCs w:val="24"/>
        </w:rPr>
      </w:pPr>
      <w:r w:rsidRPr="00EA6851">
        <w:rPr>
          <w:szCs w:val="24"/>
        </w:rPr>
        <w:t>По установяване на конфликт на интереси при лица, заемащи публични длъжности – приемане, обработване, проверка, анализ и публикуване на декларациите за имущество и интереси.</w:t>
      </w:r>
    </w:p>
    <w:p w:rsidR="0097230C" w:rsidRPr="00EA6851" w:rsidRDefault="0097230C" w:rsidP="008E2A87">
      <w:pPr>
        <w:rPr>
          <w:b/>
          <w:sz w:val="28"/>
          <w:szCs w:val="28"/>
        </w:rPr>
      </w:pPr>
      <w:r w:rsidRPr="00EA6851">
        <w:rPr>
          <w:b/>
          <w:sz w:val="28"/>
          <w:szCs w:val="28"/>
        </w:rPr>
        <w:t>Комисия за защита на личните данни</w:t>
      </w:r>
    </w:p>
    <w:p w:rsidR="0097230C" w:rsidRPr="00EA6851" w:rsidRDefault="0097230C" w:rsidP="008E2A87">
      <w:r w:rsidRPr="00EA6851">
        <w:t>Комисията наблюдава и контролира спазването на Закона за защита от дискриминация и съответствието на новоприетото законодателство в страната и на подзаконовата нормативна уредба с неговите антидискриминационни разпоредби. Осъществява н</w:t>
      </w:r>
      <w:r w:rsidR="003158CD" w:rsidRPr="00EA6851">
        <w:t xml:space="preserve">аблюдение и предприема мерки за </w:t>
      </w:r>
      <w:r w:rsidRPr="00EA6851">
        <w:t>съответствие на българското антидискриминационно законодателство с правото на ЕС и международноправните актове. Осъществява и координира международното сътрудничество в областта на антидискриминационната политика на Република България с международни органи и организации, както и със сходни чуждестранни институции.</w:t>
      </w:r>
    </w:p>
    <w:p w:rsidR="0097230C" w:rsidRPr="00EA6851" w:rsidRDefault="0097230C" w:rsidP="008E2A87">
      <w:r w:rsidRPr="00EA6851">
        <w:t xml:space="preserve">Комисията за защита от дискриминация се явява и като национален орган по правата на човека към ООН. </w:t>
      </w:r>
    </w:p>
    <w:p w:rsidR="0097230C" w:rsidRPr="00EA6851" w:rsidRDefault="0097230C" w:rsidP="008E2A87">
      <w:r w:rsidRPr="00EA6851">
        <w:t>Дейността на Комисията за защита от дискриминация попада в обхвата на функционална област „Противодействие и защита на гражданите от дискриминация“.</w:t>
      </w:r>
    </w:p>
    <w:p w:rsidR="0097230C" w:rsidRPr="00EA6851" w:rsidRDefault="0097230C" w:rsidP="008E2A87">
      <w:pPr>
        <w:rPr>
          <w:b/>
          <w:sz w:val="28"/>
          <w:szCs w:val="28"/>
        </w:rPr>
      </w:pPr>
      <w:r w:rsidRPr="00EA6851">
        <w:rPr>
          <w:b/>
          <w:sz w:val="28"/>
          <w:szCs w:val="28"/>
        </w:rPr>
        <w:t>Национален статистически институт</w:t>
      </w:r>
    </w:p>
    <w:p w:rsidR="0097230C" w:rsidRPr="00EA6851" w:rsidRDefault="0097230C" w:rsidP="008E2A87">
      <w:r w:rsidRPr="00EA6851">
        <w:t>Националният статистически институт (НСИ) осъществява независима статистическа дейност на Република България. Мисията на НСИ относно Националната статистическа система е да осигурява безпристрастна, обективна, навременна и точна информация за състоянието и тенденциите в развитието на икономиката, социалната сфера, демографията и околната среда.</w:t>
      </w:r>
    </w:p>
    <w:p w:rsidR="0097230C" w:rsidRPr="00EA6851" w:rsidRDefault="0097230C" w:rsidP="008E2A87">
      <w:r w:rsidRPr="00EA6851">
        <w:t>Основна цел за развитието на Националната статистическа система за периода 2024-2026 г. е да осигури непрекъснатост по отношение на разработването, изготвянето и разпространението на висококачествени, съпоставими и надеждни статистически данни, които да са основа за формулирането, изпълнението, мониторингът и оценката на всички политики в Европа и България и да помага на гражданите, създателите на политики, предприятията, академичните среди и медиите да вземат информирани решения.</w:t>
      </w:r>
    </w:p>
    <w:p w:rsidR="0097230C" w:rsidRPr="00EA6851" w:rsidRDefault="0097230C" w:rsidP="008E2A87">
      <w:r w:rsidRPr="00EA6851">
        <w:t>Дейността на НСИ попада в обхвата на функционална област „Безпристрастна, обективна, навременна и точна информация за състоянието на Република България“.</w:t>
      </w:r>
    </w:p>
    <w:p w:rsidR="0097230C" w:rsidRPr="00EA6851" w:rsidRDefault="0097230C" w:rsidP="008E2A87">
      <w:pPr>
        <w:rPr>
          <w:b/>
          <w:sz w:val="28"/>
          <w:szCs w:val="28"/>
        </w:rPr>
      </w:pPr>
      <w:r w:rsidRPr="00EA6851">
        <w:rPr>
          <w:b/>
          <w:sz w:val="28"/>
          <w:szCs w:val="28"/>
        </w:rPr>
        <w:t>Съвет за електронните медии</w:t>
      </w:r>
    </w:p>
    <w:p w:rsidR="0097230C" w:rsidRPr="00EA6851" w:rsidRDefault="0097230C" w:rsidP="008E2A87">
      <w:pPr>
        <w:rPr>
          <w:rFonts w:eastAsia="Times New Roman" w:cs="Times New Roman"/>
        </w:rPr>
      </w:pPr>
      <w:r w:rsidRPr="00EA6851">
        <w:rPr>
          <w:rFonts w:eastAsia="Times New Roman" w:cs="Times New Roman"/>
        </w:rPr>
        <w:t>Съветът за електронни медии е независим специализиран орган, който регулира медийните услуги и услугите на платформите за споделяне на видеоклипове, предоставяни от лица под юрисдикцията на Република България.</w:t>
      </w:r>
    </w:p>
    <w:p w:rsidR="0097230C" w:rsidRPr="00EA6851" w:rsidRDefault="0097230C" w:rsidP="008E2A87">
      <w:pPr>
        <w:rPr>
          <w:rFonts w:eastAsia="Times New Roman" w:cs="Times New Roman"/>
        </w:rPr>
      </w:pPr>
      <w:r w:rsidRPr="00EA6851">
        <w:rPr>
          <w:rFonts w:eastAsia="Times New Roman" w:cs="Times New Roman"/>
        </w:rPr>
        <w:t xml:space="preserve">Съветът за електронни </w:t>
      </w:r>
      <w:r w:rsidR="003158CD" w:rsidRPr="00EA6851">
        <w:rPr>
          <w:rFonts w:eastAsia="Times New Roman" w:cs="Times New Roman"/>
        </w:rPr>
        <w:t>медии упражнява правомощията си</w:t>
      </w:r>
      <w:r w:rsidRPr="00EA6851">
        <w:rPr>
          <w:rFonts w:eastAsia="Times New Roman" w:cs="Times New Roman"/>
        </w:rPr>
        <w:t xml:space="preserve"> съгласно Закона за радиото и телевизията и осъществява приоритетите си в следните основни насоки:</w:t>
      </w:r>
    </w:p>
    <w:p w:rsidR="0097230C" w:rsidRPr="00EA6851" w:rsidRDefault="0097230C" w:rsidP="00B30642">
      <w:pPr>
        <w:numPr>
          <w:ilvl w:val="0"/>
          <w:numId w:val="40"/>
        </w:numPr>
        <w:ind w:left="709" w:hanging="283"/>
        <w:rPr>
          <w:rFonts w:eastAsia="Times New Roman" w:cs="Times New Roman"/>
        </w:rPr>
      </w:pPr>
      <w:r w:rsidRPr="00EA6851">
        <w:rPr>
          <w:rFonts w:eastAsia="Times New Roman" w:cs="Times New Roman"/>
        </w:rPr>
        <w:t>регулира медийните услуги чрез издаване на лицензии и регистрации за осъществяване на радио- и телевизионна дейност, вписва лицата, заявили намерение да осъществяват услуги по заявка и заявили намерение да предоставят услуги на платформа за споделяне на видеоклипове;</w:t>
      </w:r>
    </w:p>
    <w:p w:rsidR="0097230C" w:rsidRPr="00EA6851" w:rsidRDefault="0097230C" w:rsidP="00B30642">
      <w:pPr>
        <w:numPr>
          <w:ilvl w:val="0"/>
          <w:numId w:val="40"/>
        </w:numPr>
        <w:ind w:left="709" w:hanging="283"/>
        <w:rPr>
          <w:rFonts w:eastAsia="Times New Roman" w:cs="Times New Roman"/>
        </w:rPr>
      </w:pPr>
      <w:r w:rsidRPr="00EA6851">
        <w:rPr>
          <w:rFonts w:eastAsia="Times New Roman" w:cs="Times New Roman"/>
        </w:rPr>
        <w:t>осъществява надзор върху дейността на доставчиците на линейни медийни услуги относно спазването на разпоредбите на Закона за радиото и телевизията, на условията на издадените им лицензии, съответно заявените при регистрацията програмни ангажименти; осъществява надзор за спазване на закона от доставчиците на нелинейни медийни услуги и надзор върху платформите за споделяне на видеоклипове.</w:t>
      </w:r>
    </w:p>
    <w:p w:rsidR="0097230C" w:rsidRPr="00EA6851" w:rsidRDefault="0097230C" w:rsidP="008E2A87">
      <w:pPr>
        <w:rPr>
          <w:rFonts w:eastAsia="Times New Roman" w:cs="Times New Roman"/>
        </w:rPr>
      </w:pPr>
      <w:r w:rsidRPr="00EA6851">
        <w:rPr>
          <w:rFonts w:eastAsia="Times New Roman" w:cs="Times New Roman"/>
        </w:rPr>
        <w:t xml:space="preserve">Планираните за периода 2024-2026 г. бюджетни разходи са обвързани с основните приоритети и цели, които Съветът за електронни медии изпълнява в съответствие с определените му със Закона за радиото и телевизията правомощия. </w:t>
      </w:r>
    </w:p>
    <w:p w:rsidR="00DD3838" w:rsidRPr="00EA6851" w:rsidRDefault="0097230C" w:rsidP="00B221A3">
      <w:pPr>
        <w:rPr>
          <w:b/>
        </w:rPr>
        <w:sectPr w:rsidR="00DD3838" w:rsidRPr="00EA6851" w:rsidSect="00C3380E">
          <w:pgSz w:w="11906" w:h="16838" w:code="9"/>
          <w:pgMar w:top="1418" w:right="1418" w:bottom="851" w:left="1418" w:header="708" w:footer="708" w:gutter="0"/>
          <w:cols w:space="708"/>
          <w:titlePg/>
          <w:docGrid w:linePitch="360"/>
        </w:sectPr>
      </w:pPr>
      <w:r w:rsidRPr="00EA6851">
        <w:rPr>
          <w:rFonts w:eastAsia="Times New Roman" w:cs="Times New Roman"/>
        </w:rPr>
        <w:t>Дейността на Съвета за електронни медии попада в обхвата на функционална област „Регулиране на медийните услуги и на услуги на платформи за споделяне на видеоклипове“.</w:t>
      </w:r>
    </w:p>
    <w:bookmarkStart w:id="336" w:name="_Toc151557302"/>
    <w:p w:rsidR="00BA5B3F" w:rsidRPr="008D2B61" w:rsidRDefault="001E0DF0" w:rsidP="007D0124">
      <w:pPr>
        <w:pStyle w:val="Heading1"/>
      </w:pPr>
      <w:r w:rsidRPr="001E0DF0">
        <w:rPr>
          <w:noProof/>
        </w:rPr>
        <mc:AlternateContent>
          <mc:Choice Requires="wps">
            <w:drawing>
              <wp:anchor distT="0" distB="0" distL="114300" distR="114300" simplePos="0" relativeHeight="251661824" behindDoc="0" locked="0" layoutInCell="1" allowOverlap="1" wp14:anchorId="5DB3FEFF" wp14:editId="5D4A5533">
                <wp:simplePos x="0" y="0"/>
                <wp:positionH relativeFrom="column">
                  <wp:posOffset>-898525</wp:posOffset>
                </wp:positionH>
                <wp:positionV relativeFrom="paragraph">
                  <wp:posOffset>1605128</wp:posOffset>
                </wp:positionV>
                <wp:extent cx="7560310" cy="0"/>
                <wp:effectExtent l="0" t="0" r="21590" b="19050"/>
                <wp:wrapNone/>
                <wp:docPr id="691" name="Straight Connector 691"/>
                <wp:cNvGraphicFramePr/>
                <a:graphic xmlns:a="http://schemas.openxmlformats.org/drawingml/2006/main">
                  <a:graphicData uri="http://schemas.microsoft.com/office/word/2010/wordprocessingShape">
                    <wps:wsp>
                      <wps:cNvCnPr/>
                      <wps:spPr>
                        <a:xfrm>
                          <a:off x="0" y="0"/>
                          <a:ext cx="7560310" cy="0"/>
                        </a:xfrm>
                        <a:prstGeom prst="line">
                          <a:avLst/>
                        </a:prstGeom>
                        <a:ln>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B5017BF" id="Straight Connector 691" o:spid="_x0000_s1026" style="position:absolute;z-index:251661824;visibility:visible;mso-wrap-style:square;mso-wrap-distance-left:9pt;mso-wrap-distance-top:0;mso-wrap-distance-right:9pt;mso-wrap-distance-bottom:0;mso-position-horizontal:absolute;mso-position-horizontal-relative:text;mso-position-vertical:absolute;mso-position-vertical-relative:text" from="-70.75pt,126.4pt" to="524.55pt,12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NV0gEAAAsEAAAOAAAAZHJzL2Uyb0RvYy54bWysU8Fu1DAQvSPxD5bvbJJWLBBttoetygXB&#10;isIHuI69sWR7rLHZZP+esbObVgUJteIyydjznt88jzc3k7PsqDAa8B1vVjVnykvojT90/OePu3cf&#10;OYtJ+F5Y8KrjJxX5zfbtm80YWnUFA9heISMSH9sxdHxIKbRVFeWgnIgrCMrTpgZ0IlGKh6pHMRK7&#10;s9VVXa+rEbAPCFLFSKu38ybfFn6tlUzftI4qMdtx0pZKxBIfcqy2G9EeUITByLMM8QoVThhPhy5U&#10;tyIJ9gvNH1TOSIQIOq0kuAq0NlKVHqibpn7Wzf0ggiq9kDkxLDbF/0crvx73yEzf8fWnhjMvHF3S&#10;fUJhDkNiO/CeLARkeZe8GkNsCbLzezxnMewxNz5pdPlLLbGp+Hta/FVTYpIWP7xf19cNXYO87FWP&#10;wIAxfVbgWP7puDU+ty5acfwSEx1GpZeSvGx9jhGs6e+MtSXJQ6N2FtlR0HULKZVP11k2YZ9UUpbR&#10;VW5mll/+0smqmfm70mQJCW6KgjKMz3mLHYWJqjNMk4oFWP8beK7PUFUG9SXgBVFOBp8WsDMe8G+n&#10;p+kiWc/1FwfmvrMFD9CfysUWa2jiinPn15FH+mle4I9vePsbAAD//wMAUEsDBBQABgAIAAAAIQC5&#10;FQtq4QAAAA0BAAAPAAAAZHJzL2Rvd25yZXYueG1sTI/BTsMwDIbvSLxDZCRuW9qyoVGaTtPELlwQ&#10;YwKOWWOabolTNelaeHoyCYkdbX/6/f3FcrSGnbDzjSMB6TQBhlQ51VAtYPe2mSyA+SBJSeMIBXyj&#10;h2V5fVXIXLmBXvG0DTWLIeRzKUCH0Oac+0qjlX7qWqR4+3KdlSGOXc1VJ4cYbg3PkuSeW9lQ/KBl&#10;i2uN1XHbWwHm4+Vpcfz5PNw9t73eDD4bD+9WiNubcfUILOAY/mE460d1KKPT3vWkPDMCJuksnUdW&#10;QDbPYokzksweUmD7vxUvC37ZovwFAAD//wMAUEsBAi0AFAAGAAgAAAAhALaDOJL+AAAA4QEAABMA&#10;AAAAAAAAAAAAAAAAAAAAAFtDb250ZW50X1R5cGVzXS54bWxQSwECLQAUAAYACAAAACEAOP0h/9YA&#10;AACUAQAACwAAAAAAAAAAAAAAAAAvAQAAX3JlbHMvLnJlbHNQSwECLQAUAAYACAAAACEAfnEjVdIB&#10;AAALBAAADgAAAAAAAAAAAAAAAAAuAgAAZHJzL2Uyb0RvYy54bWxQSwECLQAUAAYACAAAACEAuRUL&#10;auEAAAANAQAADwAAAAAAAAAAAAAAAAAsBAAAZHJzL2Rvd25yZXYueG1sUEsFBgAAAAAEAAQA8wAA&#10;ADoFAAAAAA==&#10;" strokecolor="#b32c16 [3206]"/>
            </w:pict>
          </mc:Fallback>
        </mc:AlternateContent>
      </w:r>
      <w:r w:rsidRPr="001E0DF0">
        <w:rPr>
          <w:noProof/>
        </w:rPr>
        <mc:AlternateContent>
          <mc:Choice Requires="wps">
            <w:drawing>
              <wp:anchor distT="0" distB="0" distL="114300" distR="114300" simplePos="0" relativeHeight="251658752" behindDoc="1" locked="0" layoutInCell="1" allowOverlap="1" wp14:anchorId="07B37A32" wp14:editId="0B637C86">
                <wp:simplePos x="0" y="0"/>
                <wp:positionH relativeFrom="column">
                  <wp:posOffset>-897890</wp:posOffset>
                </wp:positionH>
                <wp:positionV relativeFrom="paragraph">
                  <wp:posOffset>-911225</wp:posOffset>
                </wp:positionV>
                <wp:extent cx="7560860" cy="2520000"/>
                <wp:effectExtent l="0" t="0" r="2540" b="0"/>
                <wp:wrapNone/>
                <wp:docPr id="690" name="Rectangle 690"/>
                <wp:cNvGraphicFramePr/>
                <a:graphic xmlns:a="http://schemas.openxmlformats.org/drawingml/2006/main">
                  <a:graphicData uri="http://schemas.microsoft.com/office/word/2010/wordprocessingShape">
                    <wps:wsp>
                      <wps:cNvSpPr/>
                      <wps:spPr>
                        <a:xfrm>
                          <a:off x="0" y="0"/>
                          <a:ext cx="7560860" cy="2520000"/>
                        </a:xfrm>
                        <a:prstGeom prst="rect">
                          <a:avLst/>
                        </a:prstGeom>
                        <a:solidFill>
                          <a:schemeClr val="accent3">
                            <a:lumMod val="20000"/>
                            <a:lumOff val="8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3F293B4" id="Rectangle 690" o:spid="_x0000_s1026" style="position:absolute;margin-left:-70.7pt;margin-top:-71.75pt;width:595.35pt;height:198.45pt;z-index:-251657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AV4qgIAANIFAAAOAAAAZHJzL2Uyb0RvYy54bWysVN1P2zAQf5+0/8Hy+0jb0VIiUlSBmCYx&#10;QMDEs3HsJpLt82y3affX72ynoTB4mfaS+L7vfvdxdr7VimyE8y2Yio6PRpQIw6FuzaqiPx+vvswp&#10;8YGZmikwoqI74en54vOns86WYgINqFo4gk6MLztb0SYEWxaF543QzB+BFQaFEpxmAUm3KmrHOvSu&#10;VTEZjWZFB662DrjwHrmXWUgXyb+UgodbKb0IRFUUcwvp69L3OX6LxRkrV47ZpuV9GuwfstCsNRh0&#10;cHXJAiNr1/7lSrfcgQcZjjjoAqRsuUg1YDXj0ZtqHhpmRaoFwfF2gMn/P7f8ZnPnSFtXdHaK+Bim&#10;sUn3CBszKyVIZCJEnfUlaj7YO9dTHp+x3q10Ov6xErJNsO4GWMU2EI7Mk+lsNJ+hd46yyRTbNkpe&#10;ixdz63z4JkCT+KiowwQSnGxz7QOGRNW9SozmQbX1VatUIuKsiAvlyIZhlxnnwoSvyVyt9Q+oM38I&#10;y0pk41Rk9vwgmzR10VMK+CqIMqTD+Z6cYOoxqIEYPmemDOpHiDIo6RV2SkQ9Ze6FRHwRhkkyHGIc&#10;ZjvOoobVIrOnH2aVHEbPEuMPvnsH7yExjg1E/Hr9aCrSYgzGuaIPEsvGg0WKDCYMxro14N6rTIUh&#10;ctbfg5ShiSg9Q73D6XOQ19JbftVi/6+ZD3fM4R7izOBtCbf4kQqwAdC/KGnA/X6PH/VxPVBKSYd7&#10;XVH/a82coER9N7g4p+Pj43gIEnE8PZkg4Q4lz4cSs9YXgEM1xitmeXpG/aD2T+lAP+EJWsaoKGKG&#10;Y+yK8uD2xEXI9waPGBfLZVLD5bcsXJsHy6PziGqc78ftE3O2X4KA+3MD+xvAyje7kHWjpYHlOoBs&#10;06K84NrjjYcj9b8/cvEyHdJJ6+UUL/4AAAD//wMAUEsDBBQABgAIAAAAIQCjf7cS5QAAAA4BAAAP&#10;AAAAZHJzL2Rvd25yZXYueG1sTI9NT8JAEIbvJv6HzZh4g23pIlq7JUjCjZiAkJTb0h3bxv1ouktp&#10;/fUuXvQ2k3nyzvNmy0Er0mPnGms4xNMICJrSysZUHA4fm8kzEOeFkUJZgxxGdLDM7+8ykUp7NTvs&#10;974iIcS4VHCovW9TSl1ZoxZuals04fZpOy18WLuKyk5cQ7hWdBZFT1SLxoQPtWhxXWP5tb9oDuvF&#10;aiwWbFsc+/K0Ld7eN+PpW3H++DCsXoF4HPwfDDf9oA55cDrbi5GOKA6TmMUssL9TMgdyYyL2kgA5&#10;c5jNEwY0z+j/GvkPAAAA//8DAFBLAQItABQABgAIAAAAIQC2gziS/gAAAOEBAAATAAAAAAAAAAAA&#10;AAAAAAAAAABbQ29udGVudF9UeXBlc10ueG1sUEsBAi0AFAAGAAgAAAAhADj9If/WAAAAlAEAAAsA&#10;AAAAAAAAAAAAAAAALwEAAF9yZWxzLy5yZWxzUEsBAi0AFAAGAAgAAAAhAAwsBXiqAgAA0gUAAA4A&#10;AAAAAAAAAAAAAAAALgIAAGRycy9lMm9Eb2MueG1sUEsBAi0AFAAGAAgAAAAhAKN/txLlAAAADgEA&#10;AA8AAAAAAAAAAAAAAAAABAUAAGRycy9kb3ducmV2LnhtbFBLBQYAAAAABAAEAPMAAAAWBgAAAAA=&#10;" fillcolor="#f8cec7 [662]" stroked="f" strokeweight="1pt"/>
            </w:pict>
          </mc:Fallback>
        </mc:AlternateContent>
      </w:r>
      <w:r w:rsidR="00AA3035">
        <w:br/>
      </w:r>
      <w:bookmarkStart w:id="337" w:name="_Toc465205555"/>
      <w:r w:rsidR="00733B0F" w:rsidRPr="001E0DF0">
        <w:rPr>
          <w:color w:val="auto"/>
        </w:rPr>
        <w:t>Фискална децентрализация и бюджетни взаимоотн</w:t>
      </w:r>
      <w:r w:rsidR="002A37C0">
        <w:rPr>
          <w:color w:val="auto"/>
        </w:rPr>
        <w:t>о</w:t>
      </w:r>
      <w:r w:rsidR="0019728D">
        <w:rPr>
          <w:color w:val="auto"/>
        </w:rPr>
        <w:t>шения с общините за периода 2024</w:t>
      </w:r>
      <w:r w:rsidR="00733B0F" w:rsidRPr="001E0DF0">
        <w:rPr>
          <w:color w:val="auto"/>
        </w:rPr>
        <w:t>-20</w:t>
      </w:r>
      <w:r w:rsidR="00D16620">
        <w:rPr>
          <w:color w:val="auto"/>
        </w:rPr>
        <w:t>2</w:t>
      </w:r>
      <w:r w:rsidR="0019728D">
        <w:rPr>
          <w:color w:val="auto"/>
        </w:rPr>
        <w:t>6</w:t>
      </w:r>
      <w:r w:rsidR="00AA3035" w:rsidRPr="001E0DF0">
        <w:rPr>
          <w:color w:val="auto"/>
        </w:rPr>
        <w:t> г.</w:t>
      </w:r>
      <w:bookmarkEnd w:id="326"/>
      <w:bookmarkEnd w:id="327"/>
      <w:bookmarkEnd w:id="328"/>
      <w:bookmarkEnd w:id="329"/>
      <w:bookmarkEnd w:id="330"/>
      <w:bookmarkEnd w:id="331"/>
      <w:bookmarkEnd w:id="332"/>
      <w:bookmarkEnd w:id="333"/>
      <w:bookmarkEnd w:id="334"/>
      <w:bookmarkEnd w:id="336"/>
      <w:bookmarkEnd w:id="337"/>
    </w:p>
    <w:p w:rsidR="00F2635E" w:rsidRPr="008A399F" w:rsidRDefault="00F2635E" w:rsidP="00F2635E">
      <w:r w:rsidRPr="0081355D">
        <w:rPr>
          <w:b/>
        </w:rPr>
        <w:t xml:space="preserve">Приходите на общините </w:t>
      </w:r>
      <w:r w:rsidRPr="0081355D">
        <w:t>по КФП за 2024 г. спрямо програмата за 2023 г. бележат номинален ръст о</w:t>
      </w:r>
      <w:r w:rsidRPr="008A399F">
        <w:t>т 558,4 млн. лв.</w:t>
      </w:r>
    </w:p>
    <w:p w:rsidR="00F2635E" w:rsidRPr="008A399F" w:rsidRDefault="00F2635E" w:rsidP="00F2635E">
      <w:r w:rsidRPr="008A399F">
        <w:t xml:space="preserve">Предвидените общински приходи за 2024 г. са в размер на 3 841,5 млн. лв., като са разработени при съобразяване с отчета за 2023 г. и тенденциите в постъпленията през предходните няколко години. Предвижда се ръст от 17,0% през 2024 г. спрямо програмата за 2023 г. главно поради наблюдаващата се стабилна тенденция на нарастване на постъпленията от имуществени данъци, таксата за битови отпадъци и приходите от продажби. Отразена е и предвижданата промяна в </w:t>
      </w:r>
      <w:r w:rsidR="00122EE0">
        <w:t>Закона за местните данъци и такси (</w:t>
      </w:r>
      <w:r w:rsidRPr="008A399F">
        <w:t>ЗМДТ</w:t>
      </w:r>
      <w:r w:rsidR="00122EE0">
        <w:t>)</w:t>
      </w:r>
      <w:r w:rsidRPr="008A399F">
        <w:t>, свързана с преминаване към облагане с патентен данък на лицата с оборот между 50 на 100 хил. лв., вкл. на тези, извършващи дейност като заведения за хранене и развлечения.</w:t>
      </w:r>
    </w:p>
    <w:p w:rsidR="00F2635E" w:rsidRPr="008A399F" w:rsidRDefault="00F2635E" w:rsidP="00F2635E">
      <w:r w:rsidRPr="008A399F">
        <w:t>В прогнозата за 2025 г. се предвиждат 4 020,4 млн. лв. приходи на общините, а за 2026 г. – 4 135,3 млн. лв.</w:t>
      </w:r>
    </w:p>
    <w:p w:rsidR="00F2635E" w:rsidRPr="008A399F" w:rsidRDefault="00F2635E" w:rsidP="00F2635E">
      <w:r w:rsidRPr="008A399F">
        <w:rPr>
          <w:b/>
        </w:rPr>
        <w:t>Разходите на общините</w:t>
      </w:r>
      <w:r w:rsidRPr="008A399F">
        <w:t xml:space="preserve"> по КФП за 2024 г. спрямо програмата за 2023 г. бележат номинален ръст от  </w:t>
      </w:r>
      <w:r>
        <w:t>558</w:t>
      </w:r>
      <w:r w:rsidRPr="008A399F">
        <w:t>,9 млн. лв.</w:t>
      </w:r>
    </w:p>
    <w:p w:rsidR="00F2635E" w:rsidRPr="0055614D" w:rsidRDefault="00F2635E" w:rsidP="00F2635E">
      <w:pPr>
        <w:rPr>
          <w:lang w:val="en-US"/>
        </w:rPr>
      </w:pPr>
      <w:r w:rsidRPr="008A399F">
        <w:t>Предвидени са разходи за 2024 г. в размер на 10 </w:t>
      </w:r>
      <w:r>
        <w:t>030</w:t>
      </w:r>
      <w:r w:rsidRPr="008A399F">
        <w:t>,1</w:t>
      </w:r>
      <w:r w:rsidRPr="008A399F">
        <w:rPr>
          <w:b/>
        </w:rPr>
        <w:t xml:space="preserve"> </w:t>
      </w:r>
      <w:r w:rsidRPr="008A399F">
        <w:t>млн. лв., които к</w:t>
      </w:r>
      <w:r>
        <w:t xml:space="preserve">ато относителен дял достигат </w:t>
      </w:r>
      <w:r w:rsidRPr="00A85F12">
        <w:t>4</w:t>
      </w:r>
      <w:r w:rsidRPr="00874D01">
        <w:t>,</w:t>
      </w:r>
      <w:r w:rsidRPr="00A85F12">
        <w:t>9</w:t>
      </w:r>
      <w:r w:rsidRPr="00874D01">
        <w:t>%</w:t>
      </w:r>
      <w:r w:rsidRPr="008A399F">
        <w:t xml:space="preserve"> спрямо БВП, а спрямо общата структура на разходите по КФП – </w:t>
      </w:r>
      <w:r w:rsidRPr="00EB28A6">
        <w:t>1</w:t>
      </w:r>
      <w:r w:rsidR="00A12AD7">
        <w:t>2,7</w:t>
      </w:r>
      <w:r w:rsidRPr="00EB28A6">
        <w:t>%.</w:t>
      </w:r>
    </w:p>
    <w:p w:rsidR="00F2635E" w:rsidRPr="008A399F" w:rsidRDefault="00F2635E" w:rsidP="00F2635E">
      <w:r w:rsidRPr="008A399F">
        <w:t xml:space="preserve">Разходите за местни дейности през 2024 г. са в размер на </w:t>
      </w:r>
      <w:r>
        <w:t>2</w:t>
      </w:r>
      <w:r w:rsidRPr="008A399F">
        <w:t> </w:t>
      </w:r>
      <w:r>
        <w:t>959</w:t>
      </w:r>
      <w:r w:rsidRPr="008A399F">
        <w:t xml:space="preserve">,2 млн. лв. и представляват </w:t>
      </w:r>
      <w:r w:rsidRPr="00A85F12">
        <w:t>29</w:t>
      </w:r>
      <w:r w:rsidRPr="00874D01">
        <w:t>,</w:t>
      </w:r>
      <w:r w:rsidRPr="00874D01">
        <w:rPr>
          <w:lang w:val="en-US"/>
        </w:rPr>
        <w:t>5</w:t>
      </w:r>
      <w:r w:rsidRPr="00874D01">
        <w:t>%</w:t>
      </w:r>
      <w:r w:rsidRPr="008A399F">
        <w:t xml:space="preserve"> от общите разходи на общините. </w:t>
      </w:r>
    </w:p>
    <w:p w:rsidR="00F2635E" w:rsidRPr="008A399F" w:rsidRDefault="00F2635E" w:rsidP="00F2635E">
      <w:r w:rsidRPr="008A399F">
        <w:t>Предвидените за 2024 г.  разходи за делегираните от държавата дейности са в размер на 7 070,9 млн. лв., като са увеличени спрямо 2023 г. с 840,2 млн. лв., които са изцяло за  текущи разходи и са по видове</w:t>
      </w:r>
      <w:r>
        <w:t>,</w:t>
      </w:r>
      <w:r w:rsidRPr="008A399F">
        <w:t xml:space="preserve"> както следва:</w:t>
      </w:r>
    </w:p>
    <w:p w:rsidR="00F2635E" w:rsidRPr="008A399F" w:rsidRDefault="00F2635E" w:rsidP="00F2635E">
      <w:pPr>
        <w:numPr>
          <w:ilvl w:val="0"/>
          <w:numId w:val="43"/>
        </w:numPr>
      </w:pPr>
      <w:r w:rsidRPr="008A399F">
        <w:t xml:space="preserve">Увеличение на заплатите на </w:t>
      </w:r>
      <w:r>
        <w:t>педагогическите специалисти</w:t>
      </w:r>
      <w:r w:rsidRPr="008A399F">
        <w:t xml:space="preserve"> в образованието до 125% от СБРЗ за 2023 г. – 246,3 млн. лв.</w:t>
      </w:r>
    </w:p>
    <w:p w:rsidR="00F2635E" w:rsidRPr="008A399F" w:rsidRDefault="00F2635E" w:rsidP="00F2635E">
      <w:pPr>
        <w:numPr>
          <w:ilvl w:val="0"/>
          <w:numId w:val="43"/>
        </w:numPr>
      </w:pPr>
      <w:r w:rsidRPr="008A399F">
        <w:t>Увеличение на заплатите на педагозите в здравеопазването до 125% от СБРЗ за 2023 г. – 2,3 млн. лв.</w:t>
      </w:r>
    </w:p>
    <w:p w:rsidR="00F2635E" w:rsidRPr="008A399F" w:rsidRDefault="00F2635E" w:rsidP="00F2635E">
      <w:pPr>
        <w:numPr>
          <w:ilvl w:val="0"/>
          <w:numId w:val="43"/>
        </w:numPr>
      </w:pPr>
      <w:r w:rsidRPr="008A399F">
        <w:t>Ефект от увеличение на МРЗ от 780 лв. на 933 лв. – 321,7 млн. лв.</w:t>
      </w:r>
    </w:p>
    <w:p w:rsidR="00F2635E" w:rsidRPr="008A399F" w:rsidRDefault="00F2635E" w:rsidP="00F2635E">
      <w:pPr>
        <w:numPr>
          <w:ilvl w:val="0"/>
          <w:numId w:val="43"/>
        </w:numPr>
      </w:pPr>
      <w:r w:rsidRPr="008A399F">
        <w:t>Ефект от промяна в натуралните показатели – 113,9 млн. лв.</w:t>
      </w:r>
    </w:p>
    <w:p w:rsidR="00F2635E" w:rsidRPr="008A399F" w:rsidRDefault="00F2635E" w:rsidP="00F2635E">
      <w:pPr>
        <w:numPr>
          <w:ilvl w:val="0"/>
          <w:numId w:val="43"/>
        </w:numPr>
      </w:pPr>
      <w:r w:rsidRPr="008A399F">
        <w:t>Ефект от увеличението на издръжката с 5% – 70,5 млн. лв.</w:t>
      </w:r>
    </w:p>
    <w:p w:rsidR="00F2635E" w:rsidRPr="008A399F" w:rsidRDefault="00F2635E" w:rsidP="00F2635E">
      <w:pPr>
        <w:numPr>
          <w:ilvl w:val="0"/>
          <w:numId w:val="43"/>
        </w:numPr>
      </w:pPr>
      <w:r w:rsidRPr="008A399F">
        <w:t>Ефект от увеличение на норматива за издръжка в детските градини до 1 125 лв. – 63,3 млн. лв.</w:t>
      </w:r>
    </w:p>
    <w:p w:rsidR="00F2635E" w:rsidRPr="008A399F" w:rsidRDefault="00F2635E" w:rsidP="00F2635E">
      <w:pPr>
        <w:numPr>
          <w:ilvl w:val="0"/>
          <w:numId w:val="43"/>
        </w:numPr>
      </w:pPr>
      <w:r w:rsidRPr="008A399F">
        <w:t>Ефект от изменението на стандарти в образованието считано от 01.10.2023 г. – 26,6 млн. лв.</w:t>
      </w:r>
    </w:p>
    <w:p w:rsidR="00F2635E" w:rsidRPr="008A399F" w:rsidRDefault="00F2635E" w:rsidP="00F2635E">
      <w:pPr>
        <w:numPr>
          <w:ilvl w:val="0"/>
          <w:numId w:val="43"/>
        </w:numPr>
      </w:pPr>
      <w:r w:rsidRPr="008A399F">
        <w:t xml:space="preserve">Ефект от увеличение на МОД за 2024 г. – 4,2 млн. лв. </w:t>
      </w:r>
    </w:p>
    <w:p w:rsidR="00F2635E" w:rsidRPr="008A399F" w:rsidRDefault="00F2635E" w:rsidP="00F2635E">
      <w:pPr>
        <w:numPr>
          <w:ilvl w:val="0"/>
          <w:numId w:val="43"/>
        </w:numPr>
      </w:pPr>
      <w:r w:rsidRPr="008A399F">
        <w:t>Ефект от продължаване на политики по чл.</w:t>
      </w:r>
      <w:r>
        <w:t xml:space="preserve"> </w:t>
      </w:r>
      <w:r w:rsidRPr="008A399F">
        <w:t>1, ал.</w:t>
      </w:r>
      <w:r>
        <w:t xml:space="preserve"> </w:t>
      </w:r>
      <w:r w:rsidRPr="008A399F">
        <w:t>5 от ЗДБРБ за 2023 г. – 5,1 млн. лв.</w:t>
      </w:r>
    </w:p>
    <w:p w:rsidR="00F2635E" w:rsidRPr="008A399F" w:rsidRDefault="00F2635E" w:rsidP="00F2635E">
      <w:r w:rsidRPr="008A399F">
        <w:t xml:space="preserve">В прогнозата за 2025 г. се предвиждат разходи за общините в размер на </w:t>
      </w:r>
      <w:r>
        <w:t>10</w:t>
      </w:r>
      <w:r w:rsidRPr="008A399F">
        <w:t xml:space="preserve"> </w:t>
      </w:r>
      <w:r>
        <w:t>705</w:t>
      </w:r>
      <w:r w:rsidRPr="008A399F">
        <w:t xml:space="preserve">,4 млн. лв., от които разходите за местни дейности са 3 </w:t>
      </w:r>
      <w:r>
        <w:t>026</w:t>
      </w:r>
      <w:r w:rsidRPr="008A399F">
        <w:t xml:space="preserve">,7 млн. лв. и за делегирани от държавата дейности – 7 678,7 млн. лв. </w:t>
      </w:r>
    </w:p>
    <w:p w:rsidR="00F2635E" w:rsidRPr="008A399F" w:rsidRDefault="00F2635E" w:rsidP="00F2635E">
      <w:r w:rsidRPr="008A399F">
        <w:t xml:space="preserve">В прогнозата за 2026 г. се предвиждат разходи за общините в размер на 11 </w:t>
      </w:r>
      <w:r>
        <w:t>279</w:t>
      </w:r>
      <w:r w:rsidRPr="008A399F">
        <w:t xml:space="preserve">,3 млн. лв., от които разходите за местни дейности са 3 </w:t>
      </w:r>
      <w:r>
        <w:t>079</w:t>
      </w:r>
      <w:r w:rsidRPr="008A399F">
        <w:t>,7 млн. лв. и за делегирани от държавата дейности – 8 199,6 млн. лв.</w:t>
      </w:r>
    </w:p>
    <w:p w:rsidR="00F2635E" w:rsidRPr="008A399F" w:rsidRDefault="00F2635E" w:rsidP="00F2635E">
      <w:r w:rsidRPr="008A399F">
        <w:t>Предвидените капиталови разходи за 2024 г. са в размер на </w:t>
      </w:r>
      <w:r>
        <w:t>547</w:t>
      </w:r>
      <w:r w:rsidRPr="008A399F">
        <w:t>,3 млн. лв</w:t>
      </w:r>
      <w:r w:rsidR="006827E4">
        <w:t>.</w:t>
      </w:r>
    </w:p>
    <w:p w:rsidR="00F2635E" w:rsidRDefault="00F2635E" w:rsidP="00F2635E"/>
    <w:p w:rsidR="00F2635E" w:rsidRDefault="00F2635E" w:rsidP="00F2635E">
      <w:pPr>
        <w:spacing w:after="160" w:line="256" w:lineRule="auto"/>
        <w:rPr>
          <w:rFonts w:eastAsia="Calibri" w:cs="Times New Roman"/>
          <w:szCs w:val="24"/>
          <w:lang w:eastAsia="en-US"/>
        </w:rPr>
      </w:pPr>
      <w:r w:rsidRPr="00557422">
        <w:rPr>
          <w:rFonts w:eastAsia="Calibri" w:cs="Times New Roman"/>
          <w:szCs w:val="24"/>
          <w:lang w:eastAsia="en-US"/>
        </w:rPr>
        <w:t xml:space="preserve">Предвид установените диспропорции по общини при финансирането на делегираните от държавата дейности, с цел подобряване на качеството на предоставените услуги е предложен нов подход, като е дадена възможност по решение на общинските съвети да се определи, че разходите за издръжка в делегираните от държавата дейности в сферата на образованието, социалните услуги и културата, финансирани по стандарти да бъдат в размер на не по-малко от 11 на сто от разходите в съответната функция. </w:t>
      </w:r>
    </w:p>
    <w:p w:rsidR="00F2635E" w:rsidRPr="00557422" w:rsidRDefault="00F2635E" w:rsidP="00F2635E">
      <w:pPr>
        <w:spacing w:after="160" w:line="256" w:lineRule="auto"/>
        <w:rPr>
          <w:rFonts w:eastAsia="Calibri" w:cs="Times New Roman"/>
          <w:szCs w:val="24"/>
          <w:lang w:eastAsia="en-US"/>
        </w:rPr>
      </w:pPr>
      <w:r w:rsidRPr="00557422">
        <w:rPr>
          <w:rFonts w:eastAsia="Calibri" w:cs="Times New Roman"/>
          <w:szCs w:val="24"/>
          <w:lang w:eastAsia="en-US"/>
        </w:rPr>
        <w:t xml:space="preserve">Предложено е неусвоените средства от обща субсидия от делегираните от държавата дейности, постъпили от предходни години да могат де се  </w:t>
      </w:r>
      <w:r w:rsidRPr="00557422">
        <w:rPr>
          <w:rFonts w:eastAsia="Times New Roman" w:cs="Times New Roman"/>
          <w:szCs w:val="24"/>
          <w:lang w:eastAsia="en-US"/>
        </w:rPr>
        <w:t>разходват по решение на общинския съвет за делегираните от държавата дейности във всички функции, в т.ч. за капиталови разходи, ако това не противоречи на условията, определени в нормативния акт, с който са одобрени.</w:t>
      </w:r>
    </w:p>
    <w:p w:rsidR="00304A36" w:rsidRPr="00EA6851" w:rsidRDefault="00304A36" w:rsidP="006F08F9">
      <w:pPr>
        <w:pStyle w:val="Caption"/>
        <w:spacing w:before="360"/>
      </w:pPr>
      <w:bookmarkStart w:id="338" w:name="_Toc150443426"/>
      <w:r w:rsidRPr="00EA6851">
        <w:t xml:space="preserve">Табл. </w:t>
      </w:r>
      <w:fldSimple w:instr=" STYLEREF 1 \s ">
        <w:r w:rsidR="005A69ED">
          <w:rPr>
            <w:noProof/>
          </w:rPr>
          <w:t>IV</w:t>
        </w:r>
      </w:fldSimple>
      <w:r w:rsidRPr="00EA6851">
        <w:noBreakHyphen/>
      </w:r>
      <w:fldSimple w:instr=" SEQ Табл. \* ARABIC \s 1 ">
        <w:r w:rsidR="005A69ED">
          <w:rPr>
            <w:noProof/>
          </w:rPr>
          <w:t>1</w:t>
        </w:r>
      </w:fldSimple>
      <w:r w:rsidRPr="00EA6851">
        <w:t>:</w:t>
      </w:r>
      <w:r w:rsidRPr="00EA6851">
        <w:tab/>
        <w:t>Основни бюджетни взаимоотношения на общините с ц</w:t>
      </w:r>
      <w:r w:rsidR="00545946" w:rsidRPr="00EA6851">
        <w:t>ентралния бюджет за периода 2024-2026</w:t>
      </w:r>
      <w:r w:rsidRPr="00EA6851">
        <w:t xml:space="preserve"> г. (в хил. лв.)</w:t>
      </w:r>
      <w:bookmarkEnd w:id="338"/>
    </w:p>
    <w:tbl>
      <w:tblPr>
        <w:tblW w:w="9735" w:type="dxa"/>
        <w:tblCellMar>
          <w:left w:w="70" w:type="dxa"/>
          <w:right w:w="70" w:type="dxa"/>
        </w:tblCellMar>
        <w:tblLook w:val="04A0" w:firstRow="1" w:lastRow="0" w:firstColumn="1" w:lastColumn="0" w:noHBand="0" w:noVBand="1"/>
      </w:tblPr>
      <w:tblGrid>
        <w:gridCol w:w="3824"/>
        <w:gridCol w:w="1224"/>
        <w:gridCol w:w="970"/>
        <w:gridCol w:w="1248"/>
        <w:gridCol w:w="1184"/>
        <w:gridCol w:w="1285"/>
      </w:tblGrid>
      <w:tr w:rsidR="00283DFE" w:rsidRPr="00EA6851" w:rsidTr="00C20F3B">
        <w:trPr>
          <w:trHeight w:val="288"/>
          <w:tblHeader/>
        </w:trPr>
        <w:tc>
          <w:tcPr>
            <w:tcW w:w="3809" w:type="dxa"/>
            <w:tcBorders>
              <w:top w:val="single" w:sz="8" w:space="0" w:color="auto"/>
              <w:left w:val="nil"/>
              <w:bottom w:val="nil"/>
              <w:right w:val="nil"/>
            </w:tcBorders>
            <w:shd w:val="clear" w:color="auto" w:fill="auto"/>
            <w:noWrap/>
            <w:vAlign w:val="center"/>
            <w:hideMark/>
          </w:tcPr>
          <w:p w:rsidR="00283DFE" w:rsidRPr="00EA6851" w:rsidRDefault="00283DFE" w:rsidP="0081355D">
            <w:pPr>
              <w:spacing w:after="0"/>
              <w:jc w:val="center"/>
              <w:rPr>
                <w:rFonts w:eastAsia="Times New Roman" w:cs="Times New Roman"/>
                <w:b/>
                <w:bCs/>
                <w:color w:val="000000"/>
                <w:sz w:val="20"/>
                <w:szCs w:val="20"/>
              </w:rPr>
            </w:pPr>
            <w:r w:rsidRPr="00EA6851">
              <w:rPr>
                <w:rFonts w:eastAsia="Times New Roman" w:cs="Times New Roman"/>
                <w:b/>
                <w:bCs/>
                <w:color w:val="000000"/>
                <w:sz w:val="20"/>
                <w:szCs w:val="20"/>
              </w:rPr>
              <w:t>Основни бюджетни</w:t>
            </w:r>
          </w:p>
        </w:tc>
        <w:tc>
          <w:tcPr>
            <w:tcW w:w="1220" w:type="dxa"/>
            <w:tcBorders>
              <w:top w:val="single" w:sz="8" w:space="0" w:color="auto"/>
              <w:left w:val="nil"/>
              <w:bottom w:val="nil"/>
              <w:right w:val="nil"/>
            </w:tcBorders>
            <w:shd w:val="clear" w:color="auto" w:fill="auto"/>
            <w:vAlign w:val="center"/>
            <w:hideMark/>
          </w:tcPr>
          <w:p w:rsidR="00283DFE" w:rsidRPr="00EA6851" w:rsidRDefault="00283DFE" w:rsidP="0081355D">
            <w:pPr>
              <w:spacing w:after="0"/>
              <w:jc w:val="center"/>
              <w:rPr>
                <w:rFonts w:eastAsia="Times New Roman" w:cs="Times New Roman"/>
                <w:b/>
                <w:bCs/>
                <w:color w:val="000000"/>
                <w:sz w:val="20"/>
                <w:szCs w:val="20"/>
              </w:rPr>
            </w:pPr>
            <w:r w:rsidRPr="00EA6851">
              <w:rPr>
                <w:rFonts w:eastAsia="Times New Roman" w:cs="Times New Roman"/>
                <w:b/>
                <w:bCs/>
                <w:color w:val="000000"/>
                <w:sz w:val="20"/>
                <w:szCs w:val="20"/>
              </w:rPr>
              <w:t>Проект</w:t>
            </w:r>
          </w:p>
        </w:tc>
        <w:tc>
          <w:tcPr>
            <w:tcW w:w="2211" w:type="dxa"/>
            <w:gridSpan w:val="2"/>
            <w:tcBorders>
              <w:top w:val="single" w:sz="8" w:space="0" w:color="auto"/>
              <w:left w:val="nil"/>
              <w:bottom w:val="single" w:sz="4" w:space="0" w:color="auto"/>
              <w:right w:val="nil"/>
            </w:tcBorders>
            <w:shd w:val="clear" w:color="auto" w:fill="auto"/>
            <w:vAlign w:val="center"/>
            <w:hideMark/>
          </w:tcPr>
          <w:p w:rsidR="00283DFE" w:rsidRPr="00EA6851" w:rsidRDefault="00283DFE" w:rsidP="0081355D">
            <w:pPr>
              <w:spacing w:after="0"/>
              <w:jc w:val="center"/>
              <w:rPr>
                <w:rFonts w:eastAsia="Times New Roman" w:cs="Times New Roman"/>
                <w:b/>
                <w:bCs/>
                <w:color w:val="000000"/>
                <w:sz w:val="20"/>
                <w:szCs w:val="20"/>
              </w:rPr>
            </w:pPr>
            <w:r w:rsidRPr="00EA6851">
              <w:rPr>
                <w:rFonts w:eastAsia="Times New Roman" w:cs="Times New Roman"/>
                <w:b/>
                <w:bCs/>
                <w:color w:val="000000"/>
                <w:sz w:val="20"/>
                <w:szCs w:val="20"/>
              </w:rPr>
              <w:t>от тях:</w:t>
            </w:r>
          </w:p>
        </w:tc>
        <w:tc>
          <w:tcPr>
            <w:tcW w:w="1180" w:type="dxa"/>
            <w:tcBorders>
              <w:top w:val="single" w:sz="8" w:space="0" w:color="auto"/>
              <w:left w:val="nil"/>
              <w:bottom w:val="nil"/>
              <w:right w:val="nil"/>
            </w:tcBorders>
            <w:shd w:val="clear" w:color="auto" w:fill="auto"/>
            <w:vAlign w:val="center"/>
            <w:hideMark/>
          </w:tcPr>
          <w:p w:rsidR="00283DFE" w:rsidRPr="00EA6851" w:rsidRDefault="00283DFE" w:rsidP="0081355D">
            <w:pPr>
              <w:spacing w:after="0"/>
              <w:jc w:val="center"/>
              <w:rPr>
                <w:rFonts w:eastAsia="Times New Roman" w:cs="Times New Roman"/>
                <w:b/>
                <w:bCs/>
                <w:color w:val="000000"/>
                <w:sz w:val="20"/>
                <w:szCs w:val="20"/>
              </w:rPr>
            </w:pPr>
            <w:r w:rsidRPr="00EA6851">
              <w:rPr>
                <w:rFonts w:eastAsia="Times New Roman" w:cs="Times New Roman"/>
                <w:b/>
                <w:bCs/>
                <w:color w:val="000000"/>
                <w:sz w:val="20"/>
                <w:szCs w:val="20"/>
              </w:rPr>
              <w:t>Прогноза</w:t>
            </w:r>
          </w:p>
        </w:tc>
        <w:tc>
          <w:tcPr>
            <w:tcW w:w="1280" w:type="dxa"/>
            <w:tcBorders>
              <w:top w:val="single" w:sz="8" w:space="0" w:color="auto"/>
              <w:left w:val="nil"/>
              <w:bottom w:val="nil"/>
              <w:right w:val="nil"/>
            </w:tcBorders>
            <w:shd w:val="clear" w:color="auto" w:fill="auto"/>
            <w:vAlign w:val="center"/>
            <w:hideMark/>
          </w:tcPr>
          <w:p w:rsidR="00283DFE" w:rsidRPr="00EA6851" w:rsidRDefault="00283DFE" w:rsidP="0081355D">
            <w:pPr>
              <w:spacing w:after="0"/>
              <w:jc w:val="center"/>
              <w:rPr>
                <w:rFonts w:eastAsia="Times New Roman" w:cs="Times New Roman"/>
                <w:b/>
                <w:bCs/>
                <w:color w:val="000000"/>
                <w:sz w:val="20"/>
                <w:szCs w:val="20"/>
              </w:rPr>
            </w:pPr>
            <w:r w:rsidRPr="00EA6851">
              <w:rPr>
                <w:rFonts w:eastAsia="Times New Roman" w:cs="Times New Roman"/>
                <w:b/>
                <w:bCs/>
                <w:color w:val="000000"/>
                <w:sz w:val="20"/>
                <w:szCs w:val="20"/>
              </w:rPr>
              <w:t>Прогноза</w:t>
            </w:r>
          </w:p>
        </w:tc>
      </w:tr>
      <w:tr w:rsidR="00283DFE" w:rsidRPr="00EA6851" w:rsidTr="00C20F3B">
        <w:trPr>
          <w:trHeight w:val="288"/>
          <w:tblHeader/>
        </w:trPr>
        <w:tc>
          <w:tcPr>
            <w:tcW w:w="3809" w:type="dxa"/>
            <w:tcBorders>
              <w:top w:val="nil"/>
              <w:left w:val="nil"/>
              <w:bottom w:val="nil"/>
              <w:right w:val="nil"/>
            </w:tcBorders>
            <w:shd w:val="clear" w:color="auto" w:fill="auto"/>
            <w:noWrap/>
            <w:vAlign w:val="center"/>
            <w:hideMark/>
          </w:tcPr>
          <w:p w:rsidR="00283DFE" w:rsidRPr="00EA6851" w:rsidRDefault="00283DFE" w:rsidP="0081355D">
            <w:pPr>
              <w:spacing w:after="0"/>
              <w:jc w:val="center"/>
              <w:rPr>
                <w:rFonts w:eastAsia="Times New Roman" w:cs="Times New Roman"/>
                <w:b/>
                <w:bCs/>
                <w:color w:val="000000"/>
                <w:sz w:val="20"/>
                <w:szCs w:val="20"/>
              </w:rPr>
            </w:pPr>
            <w:r w:rsidRPr="00EA6851">
              <w:rPr>
                <w:rFonts w:eastAsia="Times New Roman" w:cs="Times New Roman"/>
                <w:b/>
                <w:bCs/>
                <w:color w:val="000000"/>
                <w:sz w:val="20"/>
                <w:szCs w:val="20"/>
              </w:rPr>
              <w:t xml:space="preserve"> взаимоотношения</w:t>
            </w:r>
          </w:p>
        </w:tc>
        <w:tc>
          <w:tcPr>
            <w:tcW w:w="1220" w:type="dxa"/>
            <w:tcBorders>
              <w:top w:val="nil"/>
              <w:left w:val="nil"/>
              <w:bottom w:val="nil"/>
              <w:right w:val="nil"/>
            </w:tcBorders>
            <w:shd w:val="clear" w:color="auto" w:fill="auto"/>
            <w:noWrap/>
            <w:vAlign w:val="center"/>
            <w:hideMark/>
          </w:tcPr>
          <w:p w:rsidR="00283DFE" w:rsidRPr="00EA6851" w:rsidRDefault="00283DFE" w:rsidP="0081355D">
            <w:pPr>
              <w:spacing w:after="0"/>
              <w:jc w:val="center"/>
              <w:rPr>
                <w:rFonts w:eastAsia="Times New Roman" w:cs="Times New Roman"/>
                <w:b/>
                <w:bCs/>
                <w:color w:val="000000"/>
                <w:sz w:val="20"/>
                <w:szCs w:val="20"/>
              </w:rPr>
            </w:pPr>
            <w:r w:rsidRPr="00EA6851">
              <w:rPr>
                <w:rFonts w:eastAsia="Times New Roman" w:cs="Times New Roman"/>
                <w:b/>
                <w:bCs/>
                <w:color w:val="000000"/>
                <w:sz w:val="20"/>
                <w:szCs w:val="20"/>
              </w:rPr>
              <w:t>2024</w:t>
            </w:r>
          </w:p>
        </w:tc>
        <w:tc>
          <w:tcPr>
            <w:tcW w:w="967" w:type="dxa"/>
            <w:tcBorders>
              <w:top w:val="nil"/>
              <w:left w:val="nil"/>
              <w:bottom w:val="nil"/>
              <w:right w:val="nil"/>
            </w:tcBorders>
            <w:shd w:val="clear" w:color="auto" w:fill="auto"/>
            <w:noWrap/>
            <w:vAlign w:val="center"/>
            <w:hideMark/>
          </w:tcPr>
          <w:p w:rsidR="00283DFE" w:rsidRPr="00EA6851" w:rsidRDefault="00283DFE" w:rsidP="0081355D">
            <w:pPr>
              <w:spacing w:after="0"/>
              <w:jc w:val="center"/>
              <w:rPr>
                <w:rFonts w:eastAsia="Times New Roman" w:cs="Times New Roman"/>
                <w:b/>
                <w:bCs/>
                <w:color w:val="000000"/>
                <w:sz w:val="20"/>
                <w:szCs w:val="20"/>
              </w:rPr>
            </w:pPr>
            <w:r w:rsidRPr="00EA6851">
              <w:rPr>
                <w:rFonts w:eastAsia="Times New Roman" w:cs="Times New Roman"/>
                <w:b/>
                <w:bCs/>
                <w:color w:val="000000"/>
                <w:sz w:val="20"/>
                <w:szCs w:val="20"/>
              </w:rPr>
              <w:t>местни</w:t>
            </w:r>
          </w:p>
        </w:tc>
        <w:tc>
          <w:tcPr>
            <w:tcW w:w="1244" w:type="dxa"/>
            <w:tcBorders>
              <w:top w:val="nil"/>
              <w:left w:val="nil"/>
              <w:bottom w:val="nil"/>
              <w:right w:val="nil"/>
            </w:tcBorders>
            <w:shd w:val="clear" w:color="auto" w:fill="auto"/>
            <w:noWrap/>
            <w:vAlign w:val="center"/>
            <w:hideMark/>
          </w:tcPr>
          <w:p w:rsidR="00283DFE" w:rsidRPr="00EA6851" w:rsidRDefault="00283DFE" w:rsidP="0081355D">
            <w:pPr>
              <w:spacing w:after="0"/>
              <w:jc w:val="center"/>
              <w:rPr>
                <w:rFonts w:eastAsia="Times New Roman" w:cs="Times New Roman"/>
                <w:b/>
                <w:bCs/>
                <w:color w:val="000000"/>
                <w:sz w:val="20"/>
                <w:szCs w:val="20"/>
              </w:rPr>
            </w:pPr>
            <w:r w:rsidRPr="00EA6851">
              <w:rPr>
                <w:rFonts w:eastAsia="Times New Roman" w:cs="Times New Roman"/>
                <w:b/>
                <w:bCs/>
                <w:color w:val="000000"/>
                <w:sz w:val="20"/>
                <w:szCs w:val="20"/>
              </w:rPr>
              <w:t>делегирани</w:t>
            </w:r>
          </w:p>
        </w:tc>
        <w:tc>
          <w:tcPr>
            <w:tcW w:w="1180" w:type="dxa"/>
            <w:tcBorders>
              <w:top w:val="nil"/>
              <w:left w:val="nil"/>
              <w:bottom w:val="nil"/>
              <w:right w:val="nil"/>
            </w:tcBorders>
            <w:shd w:val="clear" w:color="auto" w:fill="auto"/>
            <w:noWrap/>
            <w:vAlign w:val="center"/>
            <w:hideMark/>
          </w:tcPr>
          <w:p w:rsidR="00283DFE" w:rsidRPr="00EA6851" w:rsidRDefault="00283DFE" w:rsidP="0081355D">
            <w:pPr>
              <w:spacing w:after="0"/>
              <w:jc w:val="center"/>
              <w:rPr>
                <w:rFonts w:eastAsia="Times New Roman" w:cs="Times New Roman"/>
                <w:b/>
                <w:bCs/>
                <w:color w:val="000000"/>
                <w:sz w:val="20"/>
                <w:szCs w:val="20"/>
              </w:rPr>
            </w:pPr>
            <w:r w:rsidRPr="00EA6851">
              <w:rPr>
                <w:rFonts w:eastAsia="Times New Roman" w:cs="Times New Roman"/>
                <w:b/>
                <w:bCs/>
                <w:color w:val="000000"/>
                <w:sz w:val="20"/>
                <w:szCs w:val="20"/>
              </w:rPr>
              <w:t>2025</w:t>
            </w:r>
          </w:p>
        </w:tc>
        <w:tc>
          <w:tcPr>
            <w:tcW w:w="1280" w:type="dxa"/>
            <w:tcBorders>
              <w:top w:val="nil"/>
              <w:left w:val="nil"/>
              <w:bottom w:val="nil"/>
              <w:right w:val="nil"/>
            </w:tcBorders>
            <w:shd w:val="clear" w:color="auto" w:fill="auto"/>
            <w:noWrap/>
            <w:vAlign w:val="center"/>
            <w:hideMark/>
          </w:tcPr>
          <w:p w:rsidR="00283DFE" w:rsidRPr="00EA6851" w:rsidRDefault="00283DFE" w:rsidP="0081355D">
            <w:pPr>
              <w:spacing w:after="0"/>
              <w:jc w:val="center"/>
              <w:rPr>
                <w:rFonts w:eastAsia="Times New Roman" w:cs="Times New Roman"/>
                <w:b/>
                <w:bCs/>
                <w:color w:val="000000"/>
                <w:sz w:val="20"/>
                <w:szCs w:val="20"/>
              </w:rPr>
            </w:pPr>
            <w:r w:rsidRPr="00EA6851">
              <w:rPr>
                <w:rFonts w:eastAsia="Times New Roman" w:cs="Times New Roman"/>
                <w:b/>
                <w:bCs/>
                <w:color w:val="000000"/>
                <w:sz w:val="20"/>
                <w:szCs w:val="20"/>
              </w:rPr>
              <w:t>2026</w:t>
            </w:r>
          </w:p>
        </w:tc>
      </w:tr>
      <w:tr w:rsidR="00283DFE" w:rsidRPr="00EA6851" w:rsidTr="00C20F3B">
        <w:trPr>
          <w:trHeight w:val="202"/>
          <w:tblHeader/>
        </w:trPr>
        <w:tc>
          <w:tcPr>
            <w:tcW w:w="3809" w:type="dxa"/>
            <w:tcBorders>
              <w:top w:val="nil"/>
              <w:left w:val="nil"/>
              <w:bottom w:val="single" w:sz="4" w:space="0" w:color="auto"/>
              <w:right w:val="nil"/>
            </w:tcBorders>
            <w:shd w:val="clear" w:color="auto" w:fill="auto"/>
            <w:noWrap/>
            <w:vAlign w:val="center"/>
            <w:hideMark/>
          </w:tcPr>
          <w:p w:rsidR="00283DFE" w:rsidRPr="00EA6851" w:rsidRDefault="00283DFE" w:rsidP="0081355D">
            <w:pPr>
              <w:spacing w:after="0"/>
              <w:jc w:val="left"/>
              <w:rPr>
                <w:rFonts w:eastAsia="Times New Roman" w:cs="Times New Roman"/>
                <w:b/>
                <w:bCs/>
                <w:color w:val="000000"/>
                <w:sz w:val="20"/>
                <w:szCs w:val="20"/>
              </w:rPr>
            </w:pPr>
            <w:r w:rsidRPr="00EA6851">
              <w:rPr>
                <w:rFonts w:eastAsia="Times New Roman" w:cs="Times New Roman"/>
                <w:b/>
                <w:bCs/>
                <w:color w:val="000000"/>
                <w:sz w:val="20"/>
                <w:szCs w:val="20"/>
              </w:rPr>
              <w:t> </w:t>
            </w:r>
          </w:p>
        </w:tc>
        <w:tc>
          <w:tcPr>
            <w:tcW w:w="1220" w:type="dxa"/>
            <w:tcBorders>
              <w:top w:val="nil"/>
              <w:left w:val="nil"/>
              <w:bottom w:val="single" w:sz="4" w:space="0" w:color="auto"/>
              <w:right w:val="nil"/>
            </w:tcBorders>
            <w:shd w:val="clear" w:color="auto" w:fill="auto"/>
            <w:noWrap/>
            <w:vAlign w:val="center"/>
            <w:hideMark/>
          </w:tcPr>
          <w:p w:rsidR="00283DFE" w:rsidRPr="00EA6851" w:rsidRDefault="00283DFE" w:rsidP="0081355D">
            <w:pPr>
              <w:spacing w:after="0"/>
              <w:jc w:val="left"/>
              <w:rPr>
                <w:rFonts w:eastAsia="Times New Roman" w:cs="Times New Roman"/>
                <w:b/>
                <w:bCs/>
                <w:color w:val="000000"/>
                <w:sz w:val="20"/>
                <w:szCs w:val="20"/>
              </w:rPr>
            </w:pPr>
            <w:r w:rsidRPr="00EA6851">
              <w:rPr>
                <w:rFonts w:eastAsia="Times New Roman" w:cs="Times New Roman"/>
                <w:b/>
                <w:bCs/>
                <w:color w:val="000000"/>
                <w:sz w:val="20"/>
                <w:szCs w:val="20"/>
              </w:rPr>
              <w:t> </w:t>
            </w:r>
          </w:p>
        </w:tc>
        <w:tc>
          <w:tcPr>
            <w:tcW w:w="967" w:type="dxa"/>
            <w:tcBorders>
              <w:top w:val="nil"/>
              <w:left w:val="nil"/>
              <w:bottom w:val="single" w:sz="4" w:space="0" w:color="auto"/>
              <w:right w:val="nil"/>
            </w:tcBorders>
            <w:shd w:val="clear" w:color="auto" w:fill="auto"/>
            <w:noWrap/>
            <w:vAlign w:val="center"/>
            <w:hideMark/>
          </w:tcPr>
          <w:p w:rsidR="00283DFE" w:rsidRPr="00EA6851" w:rsidRDefault="00283DFE" w:rsidP="0081355D">
            <w:pPr>
              <w:spacing w:after="0"/>
              <w:jc w:val="left"/>
              <w:rPr>
                <w:rFonts w:eastAsia="Times New Roman" w:cs="Times New Roman"/>
                <w:b/>
                <w:bCs/>
                <w:color w:val="000000"/>
                <w:sz w:val="20"/>
                <w:szCs w:val="20"/>
              </w:rPr>
            </w:pPr>
            <w:r w:rsidRPr="00EA6851">
              <w:rPr>
                <w:rFonts w:eastAsia="Times New Roman" w:cs="Times New Roman"/>
                <w:b/>
                <w:bCs/>
                <w:color w:val="000000"/>
                <w:sz w:val="20"/>
                <w:szCs w:val="20"/>
              </w:rPr>
              <w:t> </w:t>
            </w:r>
          </w:p>
        </w:tc>
        <w:tc>
          <w:tcPr>
            <w:tcW w:w="1244" w:type="dxa"/>
            <w:tcBorders>
              <w:top w:val="nil"/>
              <w:left w:val="nil"/>
              <w:bottom w:val="single" w:sz="4" w:space="0" w:color="auto"/>
              <w:right w:val="nil"/>
            </w:tcBorders>
            <w:shd w:val="clear" w:color="auto" w:fill="auto"/>
            <w:noWrap/>
            <w:vAlign w:val="center"/>
            <w:hideMark/>
          </w:tcPr>
          <w:p w:rsidR="00283DFE" w:rsidRPr="00EA6851" w:rsidRDefault="00283DFE" w:rsidP="0081355D">
            <w:pPr>
              <w:spacing w:after="0"/>
              <w:jc w:val="left"/>
              <w:rPr>
                <w:rFonts w:eastAsia="Times New Roman" w:cs="Times New Roman"/>
                <w:b/>
                <w:bCs/>
                <w:color w:val="000000"/>
                <w:sz w:val="20"/>
                <w:szCs w:val="20"/>
              </w:rPr>
            </w:pPr>
            <w:r w:rsidRPr="00EA6851">
              <w:rPr>
                <w:rFonts w:eastAsia="Times New Roman" w:cs="Times New Roman"/>
                <w:b/>
                <w:bCs/>
                <w:color w:val="000000"/>
                <w:sz w:val="20"/>
                <w:szCs w:val="20"/>
              </w:rPr>
              <w:t> </w:t>
            </w:r>
          </w:p>
        </w:tc>
        <w:tc>
          <w:tcPr>
            <w:tcW w:w="1180" w:type="dxa"/>
            <w:tcBorders>
              <w:top w:val="nil"/>
              <w:left w:val="nil"/>
              <w:bottom w:val="single" w:sz="4" w:space="0" w:color="auto"/>
              <w:right w:val="nil"/>
            </w:tcBorders>
            <w:shd w:val="clear" w:color="auto" w:fill="auto"/>
            <w:noWrap/>
            <w:vAlign w:val="center"/>
            <w:hideMark/>
          </w:tcPr>
          <w:p w:rsidR="00283DFE" w:rsidRPr="00EA6851" w:rsidRDefault="00283DFE" w:rsidP="0081355D">
            <w:pPr>
              <w:spacing w:after="0"/>
              <w:jc w:val="left"/>
              <w:rPr>
                <w:rFonts w:eastAsia="Times New Roman" w:cs="Times New Roman"/>
                <w:b/>
                <w:bCs/>
                <w:color w:val="000000"/>
                <w:sz w:val="20"/>
                <w:szCs w:val="20"/>
              </w:rPr>
            </w:pPr>
            <w:r w:rsidRPr="00EA6851">
              <w:rPr>
                <w:rFonts w:eastAsia="Times New Roman" w:cs="Times New Roman"/>
                <w:b/>
                <w:bCs/>
                <w:color w:val="000000"/>
                <w:sz w:val="20"/>
                <w:szCs w:val="20"/>
              </w:rPr>
              <w:t> </w:t>
            </w:r>
          </w:p>
        </w:tc>
        <w:tc>
          <w:tcPr>
            <w:tcW w:w="1280" w:type="dxa"/>
            <w:tcBorders>
              <w:top w:val="nil"/>
              <w:left w:val="nil"/>
              <w:bottom w:val="single" w:sz="4" w:space="0" w:color="auto"/>
              <w:right w:val="nil"/>
            </w:tcBorders>
            <w:shd w:val="clear" w:color="auto" w:fill="auto"/>
            <w:noWrap/>
            <w:vAlign w:val="center"/>
            <w:hideMark/>
          </w:tcPr>
          <w:p w:rsidR="00283DFE" w:rsidRPr="00EA6851" w:rsidRDefault="00283DFE" w:rsidP="0081355D">
            <w:pPr>
              <w:spacing w:after="0"/>
              <w:jc w:val="left"/>
              <w:rPr>
                <w:rFonts w:eastAsia="Times New Roman" w:cs="Times New Roman"/>
                <w:b/>
                <w:bCs/>
                <w:color w:val="000000"/>
                <w:sz w:val="20"/>
                <w:szCs w:val="20"/>
              </w:rPr>
            </w:pPr>
            <w:r w:rsidRPr="00EA6851">
              <w:rPr>
                <w:rFonts w:eastAsia="Times New Roman" w:cs="Times New Roman"/>
                <w:b/>
                <w:bCs/>
                <w:color w:val="000000"/>
                <w:sz w:val="20"/>
                <w:szCs w:val="20"/>
              </w:rPr>
              <w:t> </w:t>
            </w:r>
          </w:p>
        </w:tc>
      </w:tr>
      <w:tr w:rsidR="00283DFE" w:rsidRPr="00EA6851" w:rsidTr="00283DFE">
        <w:trPr>
          <w:trHeight w:val="288"/>
        </w:trPr>
        <w:tc>
          <w:tcPr>
            <w:tcW w:w="3809" w:type="dxa"/>
            <w:tcBorders>
              <w:top w:val="single" w:sz="4" w:space="0" w:color="auto"/>
              <w:left w:val="nil"/>
              <w:bottom w:val="nil"/>
              <w:right w:val="nil"/>
            </w:tcBorders>
            <w:shd w:val="clear" w:color="auto" w:fill="auto"/>
            <w:noWrap/>
            <w:vAlign w:val="center"/>
            <w:hideMark/>
          </w:tcPr>
          <w:p w:rsidR="00283DFE" w:rsidRPr="00EA6851" w:rsidRDefault="00283DFE" w:rsidP="0081355D">
            <w:pPr>
              <w:spacing w:after="0"/>
              <w:jc w:val="left"/>
              <w:rPr>
                <w:rFonts w:eastAsia="Times New Roman" w:cs="Times New Roman"/>
                <w:b/>
                <w:bCs/>
                <w:color w:val="000000"/>
                <w:sz w:val="20"/>
                <w:szCs w:val="20"/>
              </w:rPr>
            </w:pPr>
            <w:r w:rsidRPr="00EA6851">
              <w:rPr>
                <w:rFonts w:eastAsia="Times New Roman" w:cs="Times New Roman"/>
                <w:b/>
                <w:bCs/>
                <w:color w:val="000000"/>
                <w:sz w:val="20"/>
                <w:szCs w:val="20"/>
              </w:rPr>
              <w:t>Общо:</w:t>
            </w:r>
          </w:p>
        </w:tc>
        <w:tc>
          <w:tcPr>
            <w:tcW w:w="1220" w:type="dxa"/>
            <w:tcBorders>
              <w:top w:val="single" w:sz="4" w:space="0" w:color="auto"/>
              <w:left w:val="nil"/>
              <w:bottom w:val="nil"/>
              <w:right w:val="nil"/>
            </w:tcBorders>
            <w:shd w:val="clear" w:color="auto" w:fill="auto"/>
            <w:noWrap/>
            <w:vAlign w:val="center"/>
            <w:hideMark/>
          </w:tcPr>
          <w:p w:rsidR="00283DFE" w:rsidRPr="00EA6851" w:rsidRDefault="00283DFE" w:rsidP="0081355D">
            <w:pPr>
              <w:spacing w:after="0"/>
              <w:jc w:val="right"/>
              <w:rPr>
                <w:rFonts w:eastAsia="Times New Roman" w:cs="Times New Roman"/>
                <w:b/>
                <w:bCs/>
                <w:color w:val="000000"/>
                <w:sz w:val="20"/>
                <w:szCs w:val="20"/>
              </w:rPr>
            </w:pPr>
            <w:r w:rsidRPr="00EA6851">
              <w:rPr>
                <w:rFonts w:eastAsia="Times New Roman" w:cs="Times New Roman"/>
                <w:b/>
                <w:bCs/>
                <w:color w:val="000000"/>
                <w:sz w:val="20"/>
                <w:szCs w:val="20"/>
              </w:rPr>
              <w:t>7 812 497,4</w:t>
            </w:r>
          </w:p>
        </w:tc>
        <w:tc>
          <w:tcPr>
            <w:tcW w:w="967" w:type="dxa"/>
            <w:tcBorders>
              <w:top w:val="single" w:sz="4" w:space="0" w:color="auto"/>
              <w:left w:val="nil"/>
              <w:bottom w:val="nil"/>
              <w:right w:val="nil"/>
            </w:tcBorders>
            <w:shd w:val="clear" w:color="auto" w:fill="auto"/>
            <w:noWrap/>
            <w:vAlign w:val="center"/>
            <w:hideMark/>
          </w:tcPr>
          <w:p w:rsidR="00283DFE" w:rsidRPr="00EA6851" w:rsidRDefault="00283DFE" w:rsidP="0081355D">
            <w:pPr>
              <w:spacing w:after="0"/>
              <w:jc w:val="right"/>
              <w:rPr>
                <w:rFonts w:eastAsia="Times New Roman" w:cs="Times New Roman"/>
                <w:b/>
                <w:bCs/>
                <w:color w:val="000000"/>
                <w:sz w:val="20"/>
                <w:szCs w:val="20"/>
              </w:rPr>
            </w:pPr>
            <w:r w:rsidRPr="00EA6851">
              <w:rPr>
                <w:rFonts w:eastAsia="Times New Roman" w:cs="Times New Roman"/>
                <w:b/>
                <w:bCs/>
                <w:color w:val="000000"/>
                <w:sz w:val="20"/>
                <w:szCs w:val="20"/>
              </w:rPr>
              <w:t>741 565,4</w:t>
            </w:r>
          </w:p>
        </w:tc>
        <w:tc>
          <w:tcPr>
            <w:tcW w:w="1244" w:type="dxa"/>
            <w:tcBorders>
              <w:top w:val="single" w:sz="4" w:space="0" w:color="auto"/>
              <w:left w:val="nil"/>
              <w:bottom w:val="nil"/>
              <w:right w:val="nil"/>
            </w:tcBorders>
            <w:shd w:val="clear" w:color="auto" w:fill="auto"/>
            <w:noWrap/>
            <w:vAlign w:val="center"/>
            <w:hideMark/>
          </w:tcPr>
          <w:p w:rsidR="00283DFE" w:rsidRPr="00EA6851" w:rsidRDefault="00283DFE" w:rsidP="0081355D">
            <w:pPr>
              <w:spacing w:after="0"/>
              <w:jc w:val="right"/>
              <w:rPr>
                <w:rFonts w:eastAsia="Times New Roman" w:cs="Times New Roman"/>
                <w:b/>
                <w:bCs/>
                <w:color w:val="000000"/>
                <w:sz w:val="20"/>
                <w:szCs w:val="20"/>
              </w:rPr>
            </w:pPr>
            <w:r w:rsidRPr="00EA6851">
              <w:rPr>
                <w:rFonts w:eastAsia="Times New Roman" w:cs="Times New Roman"/>
                <w:b/>
                <w:bCs/>
                <w:color w:val="000000"/>
                <w:sz w:val="20"/>
                <w:szCs w:val="20"/>
              </w:rPr>
              <w:t>7 070 932,0</w:t>
            </w:r>
          </w:p>
        </w:tc>
        <w:tc>
          <w:tcPr>
            <w:tcW w:w="1180" w:type="dxa"/>
            <w:tcBorders>
              <w:top w:val="single" w:sz="4" w:space="0" w:color="auto"/>
              <w:left w:val="nil"/>
              <w:bottom w:val="nil"/>
              <w:right w:val="nil"/>
            </w:tcBorders>
            <w:shd w:val="clear" w:color="auto" w:fill="auto"/>
            <w:noWrap/>
            <w:vAlign w:val="center"/>
            <w:hideMark/>
          </w:tcPr>
          <w:p w:rsidR="00283DFE" w:rsidRPr="00EA6851" w:rsidRDefault="00283DFE" w:rsidP="0081355D">
            <w:pPr>
              <w:spacing w:after="0"/>
              <w:jc w:val="right"/>
              <w:rPr>
                <w:rFonts w:eastAsia="Times New Roman" w:cs="Times New Roman"/>
                <w:b/>
                <w:bCs/>
                <w:color w:val="000000"/>
                <w:sz w:val="20"/>
                <w:szCs w:val="20"/>
              </w:rPr>
            </w:pPr>
            <w:r w:rsidRPr="00EA6851">
              <w:rPr>
                <w:rFonts w:eastAsia="Times New Roman" w:cs="Times New Roman"/>
                <w:b/>
                <w:bCs/>
                <w:color w:val="000000"/>
                <w:sz w:val="20"/>
                <w:szCs w:val="20"/>
              </w:rPr>
              <w:t>8 420 294,9</w:t>
            </w:r>
          </w:p>
        </w:tc>
        <w:tc>
          <w:tcPr>
            <w:tcW w:w="1280" w:type="dxa"/>
            <w:tcBorders>
              <w:top w:val="single" w:sz="4" w:space="0" w:color="auto"/>
              <w:left w:val="nil"/>
              <w:bottom w:val="nil"/>
              <w:right w:val="nil"/>
            </w:tcBorders>
            <w:shd w:val="clear" w:color="auto" w:fill="auto"/>
            <w:noWrap/>
            <w:vAlign w:val="center"/>
            <w:hideMark/>
          </w:tcPr>
          <w:p w:rsidR="00283DFE" w:rsidRPr="00EA6851" w:rsidRDefault="00283DFE" w:rsidP="0081355D">
            <w:pPr>
              <w:spacing w:after="0"/>
              <w:jc w:val="right"/>
              <w:rPr>
                <w:rFonts w:eastAsia="Times New Roman" w:cs="Times New Roman"/>
                <w:b/>
                <w:bCs/>
                <w:color w:val="000000"/>
                <w:sz w:val="20"/>
                <w:szCs w:val="20"/>
              </w:rPr>
            </w:pPr>
            <w:r w:rsidRPr="00EA6851">
              <w:rPr>
                <w:rFonts w:eastAsia="Times New Roman" w:cs="Times New Roman"/>
                <w:b/>
                <w:bCs/>
                <w:color w:val="000000"/>
                <w:sz w:val="20"/>
                <w:szCs w:val="20"/>
              </w:rPr>
              <w:t>8 941 160,0</w:t>
            </w:r>
          </w:p>
        </w:tc>
      </w:tr>
      <w:tr w:rsidR="00283DFE" w:rsidRPr="00EA6851" w:rsidTr="0081355D">
        <w:trPr>
          <w:trHeight w:val="600"/>
        </w:trPr>
        <w:tc>
          <w:tcPr>
            <w:tcW w:w="3809" w:type="dxa"/>
            <w:tcBorders>
              <w:top w:val="nil"/>
              <w:left w:val="nil"/>
              <w:bottom w:val="nil"/>
              <w:right w:val="nil"/>
            </w:tcBorders>
            <w:shd w:val="clear" w:color="auto" w:fill="auto"/>
            <w:vAlign w:val="center"/>
            <w:hideMark/>
          </w:tcPr>
          <w:p w:rsidR="00283DFE" w:rsidRPr="00EA6851" w:rsidRDefault="00283DFE" w:rsidP="0081355D">
            <w:pPr>
              <w:spacing w:after="0"/>
              <w:ind w:firstLineChars="100" w:firstLine="200"/>
              <w:jc w:val="left"/>
              <w:rPr>
                <w:rFonts w:eastAsia="Times New Roman" w:cs="Times New Roman"/>
                <w:color w:val="000000"/>
                <w:sz w:val="20"/>
                <w:szCs w:val="20"/>
              </w:rPr>
            </w:pPr>
            <w:r w:rsidRPr="00EA6851">
              <w:rPr>
                <w:rFonts w:eastAsia="Times New Roman" w:cs="Times New Roman"/>
                <w:color w:val="000000"/>
                <w:sz w:val="20"/>
                <w:szCs w:val="20"/>
              </w:rPr>
              <w:t>Обща субсидия за делегираните от държавата дейности</w:t>
            </w:r>
          </w:p>
        </w:tc>
        <w:tc>
          <w:tcPr>
            <w:tcW w:w="1220" w:type="dxa"/>
            <w:tcBorders>
              <w:top w:val="nil"/>
              <w:left w:val="nil"/>
              <w:bottom w:val="nil"/>
              <w:right w:val="nil"/>
            </w:tcBorders>
            <w:shd w:val="clear" w:color="auto" w:fill="auto"/>
            <w:noWrap/>
            <w:vAlign w:val="center"/>
            <w:hideMark/>
          </w:tcPr>
          <w:p w:rsidR="00283DFE" w:rsidRPr="00EA6851" w:rsidRDefault="00283DFE" w:rsidP="0081355D">
            <w:pPr>
              <w:spacing w:after="0"/>
              <w:jc w:val="right"/>
              <w:rPr>
                <w:rFonts w:eastAsia="Times New Roman" w:cs="Times New Roman"/>
                <w:color w:val="000000"/>
                <w:sz w:val="20"/>
                <w:szCs w:val="20"/>
              </w:rPr>
            </w:pPr>
            <w:r w:rsidRPr="00EA6851">
              <w:rPr>
                <w:rFonts w:eastAsia="Times New Roman" w:cs="Times New Roman"/>
                <w:color w:val="000000"/>
                <w:sz w:val="20"/>
                <w:szCs w:val="20"/>
              </w:rPr>
              <w:t>6 927 959,1</w:t>
            </w:r>
          </w:p>
        </w:tc>
        <w:tc>
          <w:tcPr>
            <w:tcW w:w="967" w:type="dxa"/>
            <w:tcBorders>
              <w:top w:val="nil"/>
              <w:left w:val="nil"/>
              <w:bottom w:val="nil"/>
              <w:right w:val="nil"/>
            </w:tcBorders>
            <w:shd w:val="clear" w:color="auto" w:fill="auto"/>
            <w:noWrap/>
            <w:vAlign w:val="center"/>
            <w:hideMark/>
          </w:tcPr>
          <w:p w:rsidR="00283DFE" w:rsidRPr="00EA6851" w:rsidRDefault="00283DFE" w:rsidP="0081355D">
            <w:pPr>
              <w:spacing w:after="0"/>
              <w:jc w:val="right"/>
              <w:rPr>
                <w:rFonts w:eastAsia="Times New Roman" w:cs="Times New Roman"/>
                <w:color w:val="000000"/>
                <w:sz w:val="20"/>
                <w:szCs w:val="20"/>
              </w:rPr>
            </w:pPr>
            <w:r w:rsidRPr="00EA6851">
              <w:rPr>
                <w:rFonts w:eastAsia="Times New Roman" w:cs="Times New Roman"/>
                <w:color w:val="000000"/>
                <w:sz w:val="20"/>
                <w:szCs w:val="20"/>
              </w:rPr>
              <w:t>0,0</w:t>
            </w:r>
          </w:p>
        </w:tc>
        <w:tc>
          <w:tcPr>
            <w:tcW w:w="1244" w:type="dxa"/>
            <w:tcBorders>
              <w:top w:val="nil"/>
              <w:left w:val="nil"/>
              <w:bottom w:val="nil"/>
              <w:right w:val="nil"/>
            </w:tcBorders>
            <w:shd w:val="clear" w:color="auto" w:fill="auto"/>
            <w:noWrap/>
            <w:vAlign w:val="center"/>
            <w:hideMark/>
          </w:tcPr>
          <w:p w:rsidR="00283DFE" w:rsidRPr="00EA6851" w:rsidRDefault="00283DFE" w:rsidP="0081355D">
            <w:pPr>
              <w:spacing w:after="0"/>
              <w:jc w:val="right"/>
              <w:rPr>
                <w:rFonts w:eastAsia="Times New Roman" w:cs="Times New Roman"/>
                <w:color w:val="000000"/>
                <w:sz w:val="20"/>
                <w:szCs w:val="20"/>
              </w:rPr>
            </w:pPr>
            <w:r w:rsidRPr="00EA6851">
              <w:rPr>
                <w:rFonts w:eastAsia="Times New Roman" w:cs="Times New Roman"/>
                <w:color w:val="000000"/>
                <w:sz w:val="20"/>
                <w:szCs w:val="20"/>
              </w:rPr>
              <w:t>6 927 959,1</w:t>
            </w:r>
          </w:p>
        </w:tc>
        <w:tc>
          <w:tcPr>
            <w:tcW w:w="1180" w:type="dxa"/>
            <w:tcBorders>
              <w:top w:val="nil"/>
              <w:left w:val="nil"/>
              <w:bottom w:val="nil"/>
              <w:right w:val="nil"/>
            </w:tcBorders>
            <w:shd w:val="clear" w:color="auto" w:fill="auto"/>
            <w:noWrap/>
            <w:vAlign w:val="center"/>
            <w:hideMark/>
          </w:tcPr>
          <w:p w:rsidR="00283DFE" w:rsidRPr="00EA6851" w:rsidRDefault="00283DFE" w:rsidP="0081355D">
            <w:pPr>
              <w:spacing w:after="0"/>
              <w:jc w:val="right"/>
              <w:rPr>
                <w:rFonts w:eastAsia="Times New Roman" w:cs="Times New Roman"/>
                <w:color w:val="000000"/>
                <w:sz w:val="20"/>
                <w:szCs w:val="20"/>
              </w:rPr>
            </w:pPr>
            <w:r w:rsidRPr="00EA6851">
              <w:rPr>
                <w:rFonts w:eastAsia="Times New Roman" w:cs="Times New Roman"/>
                <w:color w:val="000000"/>
                <w:sz w:val="20"/>
                <w:szCs w:val="20"/>
              </w:rPr>
              <w:t>7 535 756,6</w:t>
            </w:r>
          </w:p>
        </w:tc>
        <w:tc>
          <w:tcPr>
            <w:tcW w:w="1280" w:type="dxa"/>
            <w:tcBorders>
              <w:top w:val="nil"/>
              <w:left w:val="nil"/>
              <w:bottom w:val="nil"/>
              <w:right w:val="nil"/>
            </w:tcBorders>
            <w:shd w:val="clear" w:color="auto" w:fill="auto"/>
            <w:noWrap/>
            <w:vAlign w:val="center"/>
            <w:hideMark/>
          </w:tcPr>
          <w:p w:rsidR="00283DFE" w:rsidRPr="00EA6851" w:rsidRDefault="00283DFE" w:rsidP="0081355D">
            <w:pPr>
              <w:spacing w:after="0"/>
              <w:jc w:val="right"/>
              <w:rPr>
                <w:rFonts w:eastAsia="Times New Roman" w:cs="Times New Roman"/>
                <w:color w:val="000000"/>
                <w:sz w:val="20"/>
                <w:szCs w:val="20"/>
              </w:rPr>
            </w:pPr>
            <w:r w:rsidRPr="00EA6851">
              <w:rPr>
                <w:rFonts w:eastAsia="Times New Roman" w:cs="Times New Roman"/>
                <w:color w:val="000000"/>
                <w:sz w:val="20"/>
                <w:szCs w:val="20"/>
              </w:rPr>
              <w:t>8 056 621,7</w:t>
            </w:r>
          </w:p>
        </w:tc>
      </w:tr>
      <w:tr w:rsidR="00283DFE" w:rsidRPr="00EA6851" w:rsidTr="0081355D">
        <w:trPr>
          <w:trHeight w:val="288"/>
        </w:trPr>
        <w:tc>
          <w:tcPr>
            <w:tcW w:w="3809" w:type="dxa"/>
            <w:tcBorders>
              <w:top w:val="nil"/>
              <w:left w:val="nil"/>
              <w:bottom w:val="nil"/>
              <w:right w:val="nil"/>
            </w:tcBorders>
            <w:shd w:val="clear" w:color="auto" w:fill="auto"/>
            <w:vAlign w:val="center"/>
            <w:hideMark/>
          </w:tcPr>
          <w:p w:rsidR="00283DFE" w:rsidRPr="00EA6851" w:rsidRDefault="00283DFE" w:rsidP="0081355D">
            <w:pPr>
              <w:spacing w:after="0"/>
              <w:ind w:firstLineChars="100" w:firstLine="200"/>
              <w:jc w:val="left"/>
              <w:rPr>
                <w:rFonts w:eastAsia="Times New Roman" w:cs="Times New Roman"/>
                <w:color w:val="000000"/>
                <w:sz w:val="20"/>
                <w:szCs w:val="20"/>
              </w:rPr>
            </w:pPr>
            <w:r w:rsidRPr="00EA6851">
              <w:rPr>
                <w:rFonts w:eastAsia="Times New Roman" w:cs="Times New Roman"/>
                <w:color w:val="000000"/>
                <w:sz w:val="20"/>
                <w:szCs w:val="20"/>
              </w:rPr>
              <w:t>Обща изравнителна субсидия</w:t>
            </w:r>
          </w:p>
        </w:tc>
        <w:tc>
          <w:tcPr>
            <w:tcW w:w="1220" w:type="dxa"/>
            <w:tcBorders>
              <w:top w:val="nil"/>
              <w:left w:val="nil"/>
              <w:bottom w:val="nil"/>
              <w:right w:val="nil"/>
            </w:tcBorders>
            <w:shd w:val="clear" w:color="auto" w:fill="auto"/>
            <w:noWrap/>
            <w:vAlign w:val="center"/>
            <w:hideMark/>
          </w:tcPr>
          <w:p w:rsidR="00283DFE" w:rsidRPr="00EA6851" w:rsidRDefault="00283DFE" w:rsidP="0081355D">
            <w:pPr>
              <w:spacing w:after="0"/>
              <w:jc w:val="right"/>
              <w:rPr>
                <w:rFonts w:eastAsia="Times New Roman" w:cs="Times New Roman"/>
                <w:color w:val="000000"/>
                <w:sz w:val="20"/>
                <w:szCs w:val="20"/>
              </w:rPr>
            </w:pPr>
            <w:r w:rsidRPr="00EA6851">
              <w:rPr>
                <w:rFonts w:eastAsia="Times New Roman" w:cs="Times New Roman"/>
                <w:color w:val="000000"/>
                <w:sz w:val="20"/>
                <w:szCs w:val="20"/>
              </w:rPr>
              <w:t>410 000,0</w:t>
            </w:r>
          </w:p>
        </w:tc>
        <w:tc>
          <w:tcPr>
            <w:tcW w:w="967" w:type="dxa"/>
            <w:tcBorders>
              <w:top w:val="nil"/>
              <w:left w:val="nil"/>
              <w:bottom w:val="nil"/>
              <w:right w:val="nil"/>
            </w:tcBorders>
            <w:shd w:val="clear" w:color="auto" w:fill="auto"/>
            <w:noWrap/>
            <w:vAlign w:val="center"/>
            <w:hideMark/>
          </w:tcPr>
          <w:p w:rsidR="00283DFE" w:rsidRPr="00EA6851" w:rsidRDefault="00283DFE" w:rsidP="0081355D">
            <w:pPr>
              <w:spacing w:after="0"/>
              <w:jc w:val="right"/>
              <w:rPr>
                <w:rFonts w:eastAsia="Times New Roman" w:cs="Times New Roman"/>
                <w:color w:val="000000"/>
                <w:sz w:val="20"/>
                <w:szCs w:val="20"/>
              </w:rPr>
            </w:pPr>
            <w:r w:rsidRPr="00EA6851">
              <w:rPr>
                <w:rFonts w:eastAsia="Times New Roman" w:cs="Times New Roman"/>
                <w:color w:val="000000"/>
                <w:sz w:val="20"/>
                <w:szCs w:val="20"/>
              </w:rPr>
              <w:t>410 000,0</w:t>
            </w:r>
          </w:p>
        </w:tc>
        <w:tc>
          <w:tcPr>
            <w:tcW w:w="1244" w:type="dxa"/>
            <w:tcBorders>
              <w:top w:val="nil"/>
              <w:left w:val="nil"/>
              <w:bottom w:val="nil"/>
              <w:right w:val="nil"/>
            </w:tcBorders>
            <w:shd w:val="clear" w:color="auto" w:fill="auto"/>
            <w:noWrap/>
            <w:vAlign w:val="center"/>
            <w:hideMark/>
          </w:tcPr>
          <w:p w:rsidR="00283DFE" w:rsidRPr="00EA6851" w:rsidRDefault="00283DFE" w:rsidP="0081355D">
            <w:pPr>
              <w:spacing w:after="0"/>
              <w:jc w:val="right"/>
              <w:rPr>
                <w:rFonts w:eastAsia="Times New Roman" w:cs="Times New Roman"/>
                <w:color w:val="000000"/>
                <w:sz w:val="20"/>
                <w:szCs w:val="20"/>
              </w:rPr>
            </w:pPr>
            <w:r w:rsidRPr="00EA6851">
              <w:rPr>
                <w:rFonts w:eastAsia="Times New Roman" w:cs="Times New Roman"/>
                <w:color w:val="000000"/>
                <w:sz w:val="20"/>
                <w:szCs w:val="20"/>
              </w:rPr>
              <w:t>0,0</w:t>
            </w:r>
          </w:p>
        </w:tc>
        <w:tc>
          <w:tcPr>
            <w:tcW w:w="1180" w:type="dxa"/>
            <w:tcBorders>
              <w:top w:val="nil"/>
              <w:left w:val="nil"/>
              <w:bottom w:val="nil"/>
              <w:right w:val="nil"/>
            </w:tcBorders>
            <w:shd w:val="clear" w:color="auto" w:fill="auto"/>
            <w:noWrap/>
            <w:vAlign w:val="center"/>
            <w:hideMark/>
          </w:tcPr>
          <w:p w:rsidR="00283DFE" w:rsidRPr="00EA6851" w:rsidRDefault="00283DFE" w:rsidP="0081355D">
            <w:pPr>
              <w:spacing w:after="0"/>
              <w:jc w:val="right"/>
              <w:rPr>
                <w:rFonts w:eastAsia="Times New Roman" w:cs="Times New Roman"/>
                <w:color w:val="000000"/>
                <w:sz w:val="20"/>
                <w:szCs w:val="20"/>
              </w:rPr>
            </w:pPr>
            <w:r w:rsidRPr="00EA6851">
              <w:rPr>
                <w:rFonts w:eastAsia="Times New Roman" w:cs="Times New Roman"/>
                <w:color w:val="000000"/>
                <w:sz w:val="20"/>
                <w:szCs w:val="20"/>
              </w:rPr>
              <w:t>410 000,0</w:t>
            </w:r>
          </w:p>
        </w:tc>
        <w:tc>
          <w:tcPr>
            <w:tcW w:w="1280" w:type="dxa"/>
            <w:tcBorders>
              <w:top w:val="nil"/>
              <w:left w:val="nil"/>
              <w:bottom w:val="nil"/>
              <w:right w:val="nil"/>
            </w:tcBorders>
            <w:shd w:val="clear" w:color="auto" w:fill="auto"/>
            <w:noWrap/>
            <w:vAlign w:val="center"/>
            <w:hideMark/>
          </w:tcPr>
          <w:p w:rsidR="00283DFE" w:rsidRPr="00EA6851" w:rsidRDefault="00283DFE" w:rsidP="0081355D">
            <w:pPr>
              <w:spacing w:after="0"/>
              <w:jc w:val="right"/>
              <w:rPr>
                <w:rFonts w:eastAsia="Times New Roman" w:cs="Times New Roman"/>
                <w:color w:val="000000"/>
                <w:sz w:val="20"/>
                <w:szCs w:val="20"/>
              </w:rPr>
            </w:pPr>
            <w:r w:rsidRPr="00EA6851">
              <w:rPr>
                <w:rFonts w:eastAsia="Times New Roman" w:cs="Times New Roman"/>
                <w:color w:val="000000"/>
                <w:sz w:val="20"/>
                <w:szCs w:val="20"/>
              </w:rPr>
              <w:t>410 000,0</w:t>
            </w:r>
          </w:p>
        </w:tc>
      </w:tr>
      <w:tr w:rsidR="00283DFE" w:rsidRPr="00EA6851" w:rsidTr="0081355D">
        <w:trPr>
          <w:trHeight w:val="459"/>
        </w:trPr>
        <w:tc>
          <w:tcPr>
            <w:tcW w:w="3809" w:type="dxa"/>
            <w:tcBorders>
              <w:top w:val="nil"/>
              <w:left w:val="nil"/>
              <w:bottom w:val="nil"/>
              <w:right w:val="nil"/>
            </w:tcBorders>
            <w:shd w:val="clear" w:color="auto" w:fill="auto"/>
            <w:vAlign w:val="center"/>
            <w:hideMark/>
          </w:tcPr>
          <w:p w:rsidR="00283DFE" w:rsidRPr="00EA6851" w:rsidRDefault="00283DFE" w:rsidP="0081355D">
            <w:pPr>
              <w:spacing w:after="0"/>
              <w:ind w:firstLineChars="100" w:firstLine="200"/>
              <w:jc w:val="left"/>
              <w:rPr>
                <w:rFonts w:eastAsia="Times New Roman" w:cs="Times New Roman"/>
                <w:color w:val="000000"/>
                <w:sz w:val="20"/>
                <w:szCs w:val="20"/>
              </w:rPr>
            </w:pPr>
            <w:r w:rsidRPr="00EA6851">
              <w:rPr>
                <w:rFonts w:eastAsia="Times New Roman" w:cs="Times New Roman"/>
                <w:color w:val="000000"/>
                <w:sz w:val="20"/>
                <w:szCs w:val="20"/>
              </w:rPr>
              <w:t>Трансфер за зимно поддържане и снегопочистване на общински пътища</w:t>
            </w:r>
          </w:p>
        </w:tc>
        <w:tc>
          <w:tcPr>
            <w:tcW w:w="1220" w:type="dxa"/>
            <w:tcBorders>
              <w:top w:val="nil"/>
              <w:left w:val="nil"/>
              <w:bottom w:val="nil"/>
              <w:right w:val="nil"/>
            </w:tcBorders>
            <w:shd w:val="clear" w:color="auto" w:fill="auto"/>
            <w:noWrap/>
            <w:vAlign w:val="center"/>
            <w:hideMark/>
          </w:tcPr>
          <w:p w:rsidR="00283DFE" w:rsidRPr="00EA6851" w:rsidRDefault="00283DFE" w:rsidP="0081355D">
            <w:pPr>
              <w:spacing w:after="0"/>
              <w:jc w:val="right"/>
              <w:rPr>
                <w:rFonts w:eastAsia="Times New Roman" w:cs="Times New Roman"/>
                <w:color w:val="000000"/>
                <w:sz w:val="20"/>
                <w:szCs w:val="20"/>
              </w:rPr>
            </w:pPr>
            <w:r w:rsidRPr="00EA6851">
              <w:rPr>
                <w:rFonts w:eastAsia="Times New Roman" w:cs="Times New Roman"/>
                <w:color w:val="000000"/>
                <w:sz w:val="20"/>
                <w:szCs w:val="20"/>
              </w:rPr>
              <w:t>48 228,1</w:t>
            </w:r>
          </w:p>
        </w:tc>
        <w:tc>
          <w:tcPr>
            <w:tcW w:w="967" w:type="dxa"/>
            <w:tcBorders>
              <w:top w:val="nil"/>
              <w:left w:val="nil"/>
              <w:bottom w:val="nil"/>
              <w:right w:val="nil"/>
            </w:tcBorders>
            <w:shd w:val="clear" w:color="auto" w:fill="auto"/>
            <w:noWrap/>
            <w:vAlign w:val="center"/>
            <w:hideMark/>
          </w:tcPr>
          <w:p w:rsidR="00283DFE" w:rsidRPr="00EA6851" w:rsidRDefault="00283DFE" w:rsidP="0081355D">
            <w:pPr>
              <w:spacing w:after="0"/>
              <w:jc w:val="right"/>
              <w:rPr>
                <w:rFonts w:eastAsia="Times New Roman" w:cs="Times New Roman"/>
                <w:color w:val="000000"/>
                <w:sz w:val="20"/>
                <w:szCs w:val="20"/>
              </w:rPr>
            </w:pPr>
            <w:r w:rsidRPr="00EA6851">
              <w:rPr>
                <w:rFonts w:eastAsia="Times New Roman" w:cs="Times New Roman"/>
                <w:color w:val="000000"/>
                <w:sz w:val="20"/>
                <w:szCs w:val="20"/>
              </w:rPr>
              <w:t>48 228,1</w:t>
            </w:r>
          </w:p>
        </w:tc>
        <w:tc>
          <w:tcPr>
            <w:tcW w:w="1244" w:type="dxa"/>
            <w:tcBorders>
              <w:top w:val="nil"/>
              <w:left w:val="nil"/>
              <w:bottom w:val="nil"/>
              <w:right w:val="nil"/>
            </w:tcBorders>
            <w:shd w:val="clear" w:color="auto" w:fill="auto"/>
            <w:noWrap/>
            <w:vAlign w:val="center"/>
            <w:hideMark/>
          </w:tcPr>
          <w:p w:rsidR="00283DFE" w:rsidRPr="00EA6851" w:rsidRDefault="00283DFE" w:rsidP="0081355D">
            <w:pPr>
              <w:spacing w:after="0"/>
              <w:jc w:val="right"/>
              <w:rPr>
                <w:rFonts w:eastAsia="Times New Roman" w:cs="Times New Roman"/>
                <w:color w:val="000000"/>
                <w:sz w:val="20"/>
                <w:szCs w:val="20"/>
              </w:rPr>
            </w:pPr>
            <w:r w:rsidRPr="00EA6851">
              <w:rPr>
                <w:rFonts w:eastAsia="Times New Roman" w:cs="Times New Roman"/>
                <w:color w:val="000000"/>
                <w:sz w:val="20"/>
                <w:szCs w:val="20"/>
              </w:rPr>
              <w:t>0,0</w:t>
            </w:r>
          </w:p>
        </w:tc>
        <w:tc>
          <w:tcPr>
            <w:tcW w:w="1180" w:type="dxa"/>
            <w:tcBorders>
              <w:top w:val="nil"/>
              <w:left w:val="nil"/>
              <w:bottom w:val="nil"/>
              <w:right w:val="nil"/>
            </w:tcBorders>
            <w:shd w:val="clear" w:color="auto" w:fill="auto"/>
            <w:noWrap/>
            <w:vAlign w:val="center"/>
            <w:hideMark/>
          </w:tcPr>
          <w:p w:rsidR="00283DFE" w:rsidRPr="00EA6851" w:rsidRDefault="00283DFE" w:rsidP="0081355D">
            <w:pPr>
              <w:spacing w:after="0"/>
              <w:jc w:val="right"/>
              <w:rPr>
                <w:rFonts w:eastAsia="Times New Roman" w:cs="Times New Roman"/>
                <w:color w:val="000000"/>
                <w:sz w:val="20"/>
                <w:szCs w:val="20"/>
              </w:rPr>
            </w:pPr>
            <w:r w:rsidRPr="00EA6851">
              <w:rPr>
                <w:rFonts w:eastAsia="Times New Roman" w:cs="Times New Roman"/>
                <w:color w:val="000000"/>
                <w:sz w:val="20"/>
                <w:szCs w:val="20"/>
              </w:rPr>
              <w:t>48 228,1</w:t>
            </w:r>
          </w:p>
        </w:tc>
        <w:tc>
          <w:tcPr>
            <w:tcW w:w="1280" w:type="dxa"/>
            <w:tcBorders>
              <w:top w:val="nil"/>
              <w:left w:val="nil"/>
              <w:bottom w:val="nil"/>
              <w:right w:val="nil"/>
            </w:tcBorders>
            <w:shd w:val="clear" w:color="auto" w:fill="auto"/>
            <w:noWrap/>
            <w:vAlign w:val="center"/>
            <w:hideMark/>
          </w:tcPr>
          <w:p w:rsidR="00283DFE" w:rsidRPr="00EA6851" w:rsidRDefault="00283DFE" w:rsidP="0081355D">
            <w:pPr>
              <w:spacing w:after="0"/>
              <w:jc w:val="right"/>
              <w:rPr>
                <w:rFonts w:eastAsia="Times New Roman" w:cs="Times New Roman"/>
                <w:color w:val="000000"/>
                <w:sz w:val="20"/>
                <w:szCs w:val="20"/>
              </w:rPr>
            </w:pPr>
            <w:r w:rsidRPr="00EA6851">
              <w:rPr>
                <w:rFonts w:eastAsia="Times New Roman" w:cs="Times New Roman"/>
                <w:color w:val="000000"/>
                <w:sz w:val="20"/>
                <w:szCs w:val="20"/>
              </w:rPr>
              <w:t>48 228,1</w:t>
            </w:r>
          </w:p>
        </w:tc>
      </w:tr>
      <w:tr w:rsidR="00283DFE" w:rsidRPr="00EA6851" w:rsidTr="0081355D">
        <w:trPr>
          <w:trHeight w:val="339"/>
        </w:trPr>
        <w:tc>
          <w:tcPr>
            <w:tcW w:w="3809" w:type="dxa"/>
            <w:tcBorders>
              <w:top w:val="nil"/>
              <w:left w:val="nil"/>
              <w:bottom w:val="single" w:sz="4" w:space="0" w:color="auto"/>
              <w:right w:val="nil"/>
            </w:tcBorders>
            <w:shd w:val="clear" w:color="auto" w:fill="auto"/>
            <w:noWrap/>
            <w:vAlign w:val="center"/>
            <w:hideMark/>
          </w:tcPr>
          <w:p w:rsidR="00283DFE" w:rsidRPr="00EA6851" w:rsidRDefault="00283DFE" w:rsidP="0081355D">
            <w:pPr>
              <w:spacing w:after="0"/>
              <w:ind w:firstLineChars="100" w:firstLine="200"/>
              <w:jc w:val="left"/>
              <w:rPr>
                <w:rFonts w:eastAsia="Times New Roman" w:cs="Times New Roman"/>
                <w:color w:val="000000"/>
                <w:sz w:val="20"/>
                <w:szCs w:val="20"/>
              </w:rPr>
            </w:pPr>
            <w:r w:rsidRPr="00EA6851">
              <w:rPr>
                <w:rFonts w:eastAsia="Times New Roman" w:cs="Times New Roman"/>
                <w:color w:val="000000"/>
                <w:sz w:val="20"/>
                <w:szCs w:val="20"/>
              </w:rPr>
              <w:t>Целева субсидия за капиталови разходи</w:t>
            </w:r>
          </w:p>
        </w:tc>
        <w:tc>
          <w:tcPr>
            <w:tcW w:w="1220" w:type="dxa"/>
            <w:tcBorders>
              <w:top w:val="nil"/>
              <w:left w:val="nil"/>
              <w:bottom w:val="single" w:sz="4" w:space="0" w:color="auto"/>
              <w:right w:val="nil"/>
            </w:tcBorders>
            <w:shd w:val="clear" w:color="auto" w:fill="auto"/>
            <w:noWrap/>
            <w:vAlign w:val="center"/>
            <w:hideMark/>
          </w:tcPr>
          <w:p w:rsidR="00283DFE" w:rsidRPr="00EA6851" w:rsidRDefault="00283DFE" w:rsidP="0081355D">
            <w:pPr>
              <w:spacing w:after="0"/>
              <w:jc w:val="right"/>
              <w:rPr>
                <w:rFonts w:eastAsia="Times New Roman" w:cs="Times New Roman"/>
                <w:color w:val="000000"/>
                <w:sz w:val="20"/>
                <w:szCs w:val="20"/>
              </w:rPr>
            </w:pPr>
            <w:r w:rsidRPr="00EA6851">
              <w:rPr>
                <w:rFonts w:eastAsia="Times New Roman" w:cs="Times New Roman"/>
                <w:color w:val="000000"/>
                <w:sz w:val="20"/>
                <w:szCs w:val="20"/>
              </w:rPr>
              <w:t>426 310,2</w:t>
            </w:r>
          </w:p>
        </w:tc>
        <w:tc>
          <w:tcPr>
            <w:tcW w:w="967" w:type="dxa"/>
            <w:tcBorders>
              <w:top w:val="nil"/>
              <w:left w:val="nil"/>
              <w:bottom w:val="single" w:sz="4" w:space="0" w:color="auto"/>
              <w:right w:val="nil"/>
            </w:tcBorders>
            <w:shd w:val="clear" w:color="auto" w:fill="auto"/>
            <w:noWrap/>
            <w:vAlign w:val="center"/>
            <w:hideMark/>
          </w:tcPr>
          <w:p w:rsidR="00283DFE" w:rsidRPr="00EA6851" w:rsidRDefault="00283DFE" w:rsidP="0081355D">
            <w:pPr>
              <w:spacing w:after="0"/>
              <w:jc w:val="right"/>
              <w:rPr>
                <w:rFonts w:eastAsia="Times New Roman" w:cs="Times New Roman"/>
                <w:color w:val="000000"/>
                <w:sz w:val="20"/>
                <w:szCs w:val="20"/>
              </w:rPr>
            </w:pPr>
            <w:r w:rsidRPr="00EA6851">
              <w:rPr>
                <w:rFonts w:eastAsia="Times New Roman" w:cs="Times New Roman"/>
                <w:color w:val="000000"/>
                <w:sz w:val="20"/>
                <w:szCs w:val="20"/>
              </w:rPr>
              <w:t>283 337,3</w:t>
            </w:r>
          </w:p>
        </w:tc>
        <w:tc>
          <w:tcPr>
            <w:tcW w:w="1244" w:type="dxa"/>
            <w:tcBorders>
              <w:top w:val="nil"/>
              <w:left w:val="nil"/>
              <w:bottom w:val="single" w:sz="4" w:space="0" w:color="auto"/>
              <w:right w:val="nil"/>
            </w:tcBorders>
            <w:shd w:val="clear" w:color="auto" w:fill="auto"/>
            <w:noWrap/>
            <w:vAlign w:val="center"/>
            <w:hideMark/>
          </w:tcPr>
          <w:p w:rsidR="00283DFE" w:rsidRPr="00EA6851" w:rsidRDefault="00283DFE" w:rsidP="0081355D">
            <w:pPr>
              <w:spacing w:after="0"/>
              <w:jc w:val="right"/>
              <w:rPr>
                <w:rFonts w:eastAsia="Times New Roman" w:cs="Times New Roman"/>
                <w:color w:val="000000"/>
                <w:sz w:val="20"/>
                <w:szCs w:val="20"/>
              </w:rPr>
            </w:pPr>
            <w:r w:rsidRPr="00EA6851">
              <w:rPr>
                <w:rFonts w:eastAsia="Times New Roman" w:cs="Times New Roman"/>
                <w:color w:val="000000"/>
                <w:sz w:val="20"/>
                <w:szCs w:val="20"/>
              </w:rPr>
              <w:t>142 972,9</w:t>
            </w:r>
          </w:p>
        </w:tc>
        <w:tc>
          <w:tcPr>
            <w:tcW w:w="1180" w:type="dxa"/>
            <w:tcBorders>
              <w:top w:val="nil"/>
              <w:left w:val="nil"/>
              <w:bottom w:val="single" w:sz="4" w:space="0" w:color="auto"/>
              <w:right w:val="nil"/>
            </w:tcBorders>
            <w:shd w:val="clear" w:color="auto" w:fill="auto"/>
            <w:noWrap/>
            <w:vAlign w:val="center"/>
            <w:hideMark/>
          </w:tcPr>
          <w:p w:rsidR="00283DFE" w:rsidRPr="00EA6851" w:rsidRDefault="00283DFE" w:rsidP="0081355D">
            <w:pPr>
              <w:spacing w:after="0"/>
              <w:jc w:val="right"/>
              <w:rPr>
                <w:rFonts w:eastAsia="Times New Roman" w:cs="Times New Roman"/>
                <w:color w:val="000000"/>
                <w:sz w:val="20"/>
                <w:szCs w:val="20"/>
              </w:rPr>
            </w:pPr>
            <w:r w:rsidRPr="00EA6851">
              <w:rPr>
                <w:rFonts w:eastAsia="Times New Roman" w:cs="Times New Roman"/>
                <w:color w:val="000000"/>
                <w:sz w:val="20"/>
                <w:szCs w:val="20"/>
              </w:rPr>
              <w:t>426 310,2</w:t>
            </w:r>
          </w:p>
        </w:tc>
        <w:tc>
          <w:tcPr>
            <w:tcW w:w="1280" w:type="dxa"/>
            <w:tcBorders>
              <w:top w:val="nil"/>
              <w:left w:val="nil"/>
              <w:bottom w:val="single" w:sz="4" w:space="0" w:color="auto"/>
              <w:right w:val="nil"/>
            </w:tcBorders>
            <w:shd w:val="clear" w:color="auto" w:fill="auto"/>
            <w:noWrap/>
            <w:vAlign w:val="center"/>
            <w:hideMark/>
          </w:tcPr>
          <w:p w:rsidR="00283DFE" w:rsidRPr="00EA6851" w:rsidRDefault="00283DFE" w:rsidP="0081355D">
            <w:pPr>
              <w:spacing w:after="0"/>
              <w:jc w:val="right"/>
              <w:rPr>
                <w:rFonts w:eastAsia="Times New Roman" w:cs="Times New Roman"/>
                <w:color w:val="000000"/>
                <w:sz w:val="20"/>
                <w:szCs w:val="20"/>
              </w:rPr>
            </w:pPr>
            <w:r w:rsidRPr="00EA6851">
              <w:rPr>
                <w:rFonts w:eastAsia="Times New Roman" w:cs="Times New Roman"/>
                <w:color w:val="000000"/>
                <w:sz w:val="20"/>
                <w:szCs w:val="20"/>
              </w:rPr>
              <w:t>426 310,2</w:t>
            </w:r>
          </w:p>
        </w:tc>
      </w:tr>
    </w:tbl>
    <w:p w:rsidR="001524A0" w:rsidRPr="00EA6851" w:rsidRDefault="001524A0" w:rsidP="001524A0">
      <w:pPr>
        <w:jc w:val="right"/>
        <w:rPr>
          <w:sz w:val="20"/>
          <w:szCs w:val="20"/>
        </w:rPr>
      </w:pPr>
      <w:r w:rsidRPr="00EA6851">
        <w:rPr>
          <w:sz w:val="20"/>
          <w:szCs w:val="20"/>
        </w:rPr>
        <w:t>Източник: МФ</w:t>
      </w:r>
    </w:p>
    <w:p w:rsidR="00283DFE" w:rsidRPr="00EA6851" w:rsidRDefault="00283DFE" w:rsidP="00283DFE">
      <w:r w:rsidRPr="00EA6851">
        <w:t xml:space="preserve">В прогнозата за 2024 г. са разчетени </w:t>
      </w:r>
      <w:r w:rsidRPr="00EA6851">
        <w:rPr>
          <w:b/>
        </w:rPr>
        <w:t>основни бюджетни взаимоотношения между общините и централния бюджет</w:t>
      </w:r>
      <w:r w:rsidRPr="00EA6851">
        <w:t xml:space="preserve"> в общ размер 7 812,5 млн. лв., от които обща субсидия за делегираните от държавата дейности – 6 928,0 млн. лв.; обща изравнителна субсидия – 410,0 млн. лв.; трансфер за зимно поддържане и снегопочистване на общински пътища – 48,2 млн. лв.; целева субсидия за капиталови разходи – 426,3 млн. лв. </w:t>
      </w:r>
    </w:p>
    <w:p w:rsidR="00E95867" w:rsidRPr="00F1390B" w:rsidRDefault="00E95867" w:rsidP="00E95867">
      <w:pPr>
        <w:rPr>
          <w:rFonts w:eastAsia="Batang" w:cs="Times New Roman"/>
        </w:rPr>
      </w:pPr>
      <w:bookmarkStart w:id="339" w:name="_Toc464464927"/>
      <w:bookmarkStart w:id="340" w:name="_Toc464465433"/>
      <w:bookmarkStart w:id="341" w:name="_Toc464465621"/>
      <w:bookmarkStart w:id="342" w:name="_Toc464466446"/>
      <w:bookmarkStart w:id="343" w:name="_Toc464466690"/>
      <w:bookmarkStart w:id="344" w:name="_Toc464466733"/>
      <w:bookmarkStart w:id="345" w:name="_Toc464470240"/>
      <w:bookmarkStart w:id="346" w:name="_Toc464645006"/>
      <w:bookmarkStart w:id="347" w:name="_Toc464646373"/>
      <w:r w:rsidRPr="009172EA">
        <w:rPr>
          <w:rFonts w:eastAsia="Batang" w:cs="Times New Roman"/>
        </w:rPr>
        <w:t>Допълнително в бюджетните взаимоотношения между централния бюджет и бюджетите на общините като трансфер за други целеви разходи за местни дейности са предвидени 60</w:t>
      </w:r>
      <w:r w:rsidR="006D0C8E">
        <w:rPr>
          <w:rFonts w:eastAsia="Batang" w:cs="Times New Roman"/>
        </w:rPr>
        <w:t>,0</w:t>
      </w:r>
      <w:r w:rsidRPr="009172EA">
        <w:rPr>
          <w:rFonts w:eastAsia="Batang" w:cs="Times New Roman"/>
        </w:rPr>
        <w:t xml:space="preserve"> млн. лв. за достигане на минималната работна заплата за 2024 г. в местните дейности на общините.</w:t>
      </w:r>
      <w:r w:rsidRPr="009172EA">
        <w:rPr>
          <w:rFonts w:eastAsia="Times New Roman" w:cs="Times New Roman"/>
        </w:rPr>
        <w:t xml:space="preserve"> </w:t>
      </w:r>
      <w:r w:rsidRPr="009172EA">
        <w:rPr>
          <w:rFonts w:eastAsia="Batang" w:cs="Times New Roman"/>
        </w:rPr>
        <w:t>Разпределението на средствата по общини е на база относителния дял на разходите за заплати и възнаграждения на конкретната община в съответната функция в местните дейности спрямо общия им размер във функцията и съобразно теглото на всяка функция, определено чрез относителния дял на броя персонал на минимална работна заплата за всяка функция в местни дейности спрямо общия брой персонал на минимална работна заплата в местни дейности по данни от отчета за касово</w:t>
      </w:r>
      <w:r w:rsidR="006D0C8E">
        <w:rPr>
          <w:rFonts w:eastAsia="Batang" w:cs="Times New Roman"/>
        </w:rPr>
        <w:t>то</w:t>
      </w:r>
      <w:r w:rsidRPr="009172EA">
        <w:rPr>
          <w:rFonts w:eastAsia="Batang" w:cs="Times New Roman"/>
        </w:rPr>
        <w:t xml:space="preserve"> изпълнение на бюджета на общината към 31 декември 2022 г. и справката за натурални показатели към него.</w:t>
      </w:r>
    </w:p>
    <w:p w:rsidR="00E95867" w:rsidRPr="00F1390B" w:rsidRDefault="00E95867" w:rsidP="00E95867">
      <w:pPr>
        <w:rPr>
          <w:rFonts w:eastAsia="Batang" w:cs="Times New Roman"/>
          <w:b/>
          <w:i/>
          <w:lang w:val="ru-RU"/>
        </w:rPr>
      </w:pPr>
      <w:r w:rsidRPr="00F1390B">
        <w:rPr>
          <w:rFonts w:eastAsia="Batang" w:cs="Times New Roman"/>
          <w:b/>
          <w:i/>
        </w:rPr>
        <w:t>По механизма за разпределение на общата изравнителна субсидия:</w:t>
      </w:r>
    </w:p>
    <w:p w:rsidR="00E95867" w:rsidRPr="00F1390B" w:rsidRDefault="00E95867" w:rsidP="00E95867">
      <w:pPr>
        <w:rPr>
          <w:rFonts w:eastAsia="Batang" w:cs="Times New Roman"/>
        </w:rPr>
      </w:pPr>
      <w:r w:rsidRPr="00F1390B">
        <w:rPr>
          <w:rFonts w:eastAsia="Batang" w:cs="Times New Roman"/>
        </w:rPr>
        <w:t xml:space="preserve">С цел намаляване на фискалните дисбаланси между общините и подпомагане на по-слабите финансово общини е предвидено запазване на условието за достъп до изравнителната субсидия, като общините, чиито постоянни данъчни приходи на един жител през преходната година е над 120% от равнището за страната, не получават достъп до субсидията. </w:t>
      </w:r>
    </w:p>
    <w:p w:rsidR="00E95867" w:rsidRDefault="00E95867" w:rsidP="00E95867">
      <w:pPr>
        <w:rPr>
          <w:rFonts w:eastAsia="Batang" w:cs="Times New Roman"/>
        </w:rPr>
      </w:pPr>
      <w:r w:rsidRPr="00F1390B">
        <w:rPr>
          <w:rFonts w:eastAsia="Batang" w:cs="Times New Roman"/>
        </w:rPr>
        <w:t>Моделът за разпределение н</w:t>
      </w:r>
      <w:r w:rsidR="006D0C8E">
        <w:rPr>
          <w:rFonts w:eastAsia="Batang" w:cs="Times New Roman"/>
        </w:rPr>
        <w:t>а общата изравнителна субсидия</w:t>
      </w:r>
      <w:r w:rsidRPr="00F1390B">
        <w:rPr>
          <w:rFonts w:eastAsia="Batang" w:cs="Times New Roman"/>
        </w:rPr>
        <w:t xml:space="preserve"> за общините с достъп през 2024 г. включва 5 компонента, като най-голям дял</w:t>
      </w:r>
      <w:r w:rsidRPr="00F1390B">
        <w:rPr>
          <w:rFonts w:eastAsia="Batang" w:cs="Times New Roman"/>
          <w:lang w:val="ru-RU"/>
        </w:rPr>
        <w:t xml:space="preserve"> </w:t>
      </w:r>
      <w:r w:rsidRPr="00F1390B">
        <w:rPr>
          <w:rFonts w:eastAsia="Batang" w:cs="Times New Roman"/>
        </w:rPr>
        <w:t>(62,8% от общата сума)</w:t>
      </w:r>
      <w:r w:rsidRPr="00F1390B">
        <w:rPr>
          <w:rFonts w:eastAsia="Batang" w:cs="Times New Roman"/>
          <w:lang w:val="ru-RU"/>
        </w:rPr>
        <w:t xml:space="preserve"> </w:t>
      </w:r>
      <w:r w:rsidRPr="00F1390B">
        <w:rPr>
          <w:rFonts w:eastAsia="Batang" w:cs="Times New Roman"/>
        </w:rPr>
        <w:t>има компонентът, който осигурява изравняване на разликата между 120% от равнището за страната и постоянните данъчни постъпления на един жител за конкретната община. Останалите компоненти на общата изравнителна субсидия включват: разпределение на база дяловете за разходни потребности на общините с достъп, оценени чрез натурални показатели (12,2% от общата сума); компонент за общините, чийто дял на приходите спрямо общите постъпления е по-малък от 25 на сто (6,8% от общата сума); компонент за осигуряване на размера на субсидията, определен със ЗДБРБ за 2023 г. (18,0% от общата сума), както и допълнителен компонент, който се разпределя за общините, които имат осреднено данъчно усилие над средното ниво на съответната ставка в границите, определени със ЗМДТ (0,2% от общата сума).</w:t>
      </w:r>
    </w:p>
    <w:p w:rsidR="00E95867" w:rsidRPr="00F1390B" w:rsidRDefault="00E95867" w:rsidP="00E95867">
      <w:pPr>
        <w:rPr>
          <w:rFonts w:eastAsia="Batang" w:cs="Times New Roman"/>
        </w:rPr>
      </w:pPr>
      <w:r>
        <w:rPr>
          <w:rFonts w:eastAsia="Batang" w:cs="Times New Roman"/>
        </w:rPr>
        <w:t xml:space="preserve">Използваните в механизма данни са от </w:t>
      </w:r>
      <w:r w:rsidRPr="00F1390B">
        <w:rPr>
          <w:rFonts w:eastAsia="Batang" w:cs="Times New Roman"/>
        </w:rPr>
        <w:t>отчет</w:t>
      </w:r>
      <w:r>
        <w:rPr>
          <w:rFonts w:eastAsia="Batang" w:cs="Times New Roman"/>
        </w:rPr>
        <w:t>ите за касово изпълнение на бюджетите на общините</w:t>
      </w:r>
      <w:r w:rsidRPr="00F1390B">
        <w:rPr>
          <w:rFonts w:eastAsia="Batang" w:cs="Times New Roman"/>
        </w:rPr>
        <w:t xml:space="preserve"> </w:t>
      </w:r>
      <w:r>
        <w:rPr>
          <w:rFonts w:eastAsia="Batang" w:cs="Times New Roman"/>
        </w:rPr>
        <w:t>към 31 декември 2022 г., и</w:t>
      </w:r>
      <w:r w:rsidRPr="00F1390B">
        <w:rPr>
          <w:rFonts w:eastAsia="Batang" w:cs="Times New Roman"/>
        </w:rPr>
        <w:t>нформацията за населението, децата до 5 години, децата от 6 до 14 години и възрастните на и над 65 години е по данни на НСИ към 31 декември 20</w:t>
      </w:r>
      <w:r w:rsidRPr="00F1390B">
        <w:rPr>
          <w:rFonts w:eastAsia="Batang" w:cs="Times New Roman"/>
          <w:lang w:val="en-US"/>
        </w:rPr>
        <w:t>2</w:t>
      </w:r>
      <w:r w:rsidRPr="00F1390B">
        <w:rPr>
          <w:rFonts w:eastAsia="Batang" w:cs="Times New Roman"/>
        </w:rPr>
        <w:t>2 г., а за дължината на общинските пътища – по данни на Министерството на регионалното развитие и благоустройството към месец септември 2023 г.</w:t>
      </w:r>
    </w:p>
    <w:p w:rsidR="00E95867" w:rsidRPr="00755F8F" w:rsidRDefault="00E95867" w:rsidP="00E95867">
      <w:pPr>
        <w:spacing w:after="120"/>
        <w:rPr>
          <w:rFonts w:eastAsia="Batang" w:cs="Times New Roman"/>
          <w:b/>
          <w:i/>
        </w:rPr>
      </w:pPr>
      <w:r w:rsidRPr="00755F8F">
        <w:rPr>
          <w:rFonts w:eastAsia="Batang" w:cs="Times New Roman"/>
          <w:b/>
          <w:i/>
        </w:rPr>
        <w:t>По механизма за разпределение на целевата субсидия за капиталови разходи:</w:t>
      </w:r>
    </w:p>
    <w:p w:rsidR="00E95867" w:rsidRPr="00755F8F" w:rsidRDefault="00E95867" w:rsidP="00E95867">
      <w:pPr>
        <w:spacing w:after="120"/>
        <w:rPr>
          <w:rFonts w:eastAsia="Batang" w:cs="Times New Roman"/>
        </w:rPr>
      </w:pPr>
      <w:r>
        <w:rPr>
          <w:rFonts w:eastAsia="Batang" w:cs="Times New Roman"/>
        </w:rPr>
        <w:t>О</w:t>
      </w:r>
      <w:r w:rsidRPr="00755F8F">
        <w:rPr>
          <w:rFonts w:eastAsia="Batang" w:cs="Times New Roman"/>
        </w:rPr>
        <w:t>сновният компонент се разпределя</w:t>
      </w:r>
      <w:r>
        <w:rPr>
          <w:rFonts w:eastAsia="Batang" w:cs="Times New Roman"/>
        </w:rPr>
        <w:t xml:space="preserve"> на базата на показатели по общини, п</w:t>
      </w:r>
      <w:r w:rsidRPr="00755F8F">
        <w:rPr>
          <w:rFonts w:eastAsia="Batang" w:cs="Times New Roman"/>
        </w:rPr>
        <w:t xml:space="preserve">ри следните съотношения – 45% </w:t>
      </w:r>
      <w:r>
        <w:rPr>
          <w:rFonts w:eastAsia="Batang" w:cs="Times New Roman"/>
        </w:rPr>
        <w:t>по</w:t>
      </w:r>
      <w:r w:rsidRPr="00755F8F">
        <w:rPr>
          <w:rFonts w:eastAsia="Batang" w:cs="Times New Roman"/>
        </w:rPr>
        <w:t xml:space="preserve"> показател брой населени места, с изключване на местата без население и с население до 10 души; 25% </w:t>
      </w:r>
      <w:r>
        <w:rPr>
          <w:rFonts w:eastAsia="Batang" w:cs="Times New Roman"/>
        </w:rPr>
        <w:t>по показател</w:t>
      </w:r>
      <w:r w:rsidRPr="00755F8F">
        <w:rPr>
          <w:rFonts w:eastAsia="Batang" w:cs="Times New Roman"/>
        </w:rPr>
        <w:t xml:space="preserve"> дължина на общински</w:t>
      </w:r>
      <w:r>
        <w:rPr>
          <w:rFonts w:eastAsia="Batang" w:cs="Times New Roman"/>
        </w:rPr>
        <w:t>те</w:t>
      </w:r>
      <w:r w:rsidRPr="00755F8F">
        <w:rPr>
          <w:rFonts w:eastAsia="Batang" w:cs="Times New Roman"/>
        </w:rPr>
        <w:t xml:space="preserve"> пътища; 25% </w:t>
      </w:r>
      <w:r>
        <w:rPr>
          <w:rFonts w:eastAsia="Batang" w:cs="Times New Roman"/>
        </w:rPr>
        <w:t>по показател</w:t>
      </w:r>
      <w:r w:rsidRPr="00755F8F">
        <w:rPr>
          <w:rFonts w:eastAsia="Batang" w:cs="Times New Roman"/>
        </w:rPr>
        <w:t xml:space="preserve"> брой население и 5% по показател </w:t>
      </w:r>
      <w:r>
        <w:rPr>
          <w:rFonts w:eastAsia="Batang" w:cs="Times New Roman"/>
        </w:rPr>
        <w:t>територия.</w:t>
      </w:r>
    </w:p>
    <w:p w:rsidR="00E95867" w:rsidRPr="00755F8F" w:rsidRDefault="00E95867" w:rsidP="00E95867">
      <w:pPr>
        <w:spacing w:after="120"/>
        <w:rPr>
          <w:rFonts w:eastAsia="Batang" w:cs="Times New Roman"/>
        </w:rPr>
      </w:pPr>
      <w:r w:rsidRPr="00755F8F">
        <w:rPr>
          <w:rFonts w:eastAsia="Batang" w:cs="Times New Roman"/>
        </w:rPr>
        <w:t xml:space="preserve">Информацията за населението и за населените места е по данни на НСИ към 31 декември 2022 г., а за дължината на общинските пътища </w:t>
      </w:r>
      <w:r w:rsidR="004A6CC5" w:rsidRPr="004A6CC5">
        <w:rPr>
          <w:rFonts w:eastAsia="Batang" w:cs="Times New Roman"/>
        </w:rPr>
        <w:t>–</w:t>
      </w:r>
      <w:r w:rsidRPr="00755F8F">
        <w:rPr>
          <w:rFonts w:eastAsia="Batang" w:cs="Times New Roman"/>
        </w:rPr>
        <w:t xml:space="preserve"> по данни на Министерството на регионалното развитие и благоустройството към месец септември 2023 г.</w:t>
      </w:r>
    </w:p>
    <w:p w:rsidR="00E95867" w:rsidRPr="00755F8F" w:rsidRDefault="00E95867" w:rsidP="00E95867">
      <w:pPr>
        <w:spacing w:after="120"/>
        <w:rPr>
          <w:rFonts w:eastAsia="Batang" w:cs="Times New Roman"/>
        </w:rPr>
      </w:pPr>
      <w:r w:rsidRPr="00755F8F">
        <w:rPr>
          <w:rFonts w:eastAsia="Batang" w:cs="Times New Roman"/>
        </w:rPr>
        <w:t>Предвиден е и допълнителен ресурс за подпомагане на общините от 4-та и 5-та категория за подобряване състоянието на социалната и техническа инфраструктура на територията на общината. Достъп до тази част на субсидията имат всички общини от 4-та и 5-та категория, съгласно утвърдената от министъра на регионалното развитие и благоустройството категоризация на общините в Република България, на основание чл. 36, ал. 2 от Закона за административно-териториалното у</w:t>
      </w:r>
      <w:r>
        <w:rPr>
          <w:rFonts w:eastAsia="Batang" w:cs="Times New Roman"/>
        </w:rPr>
        <w:t>стройство на Република България.</w:t>
      </w:r>
    </w:p>
    <w:p w:rsidR="00E95867" w:rsidRPr="00755F8F" w:rsidRDefault="00E95867" w:rsidP="00E95867">
      <w:pPr>
        <w:spacing w:after="120"/>
        <w:rPr>
          <w:rFonts w:eastAsia="Batang" w:cs="Times New Roman"/>
        </w:rPr>
      </w:pPr>
      <w:r w:rsidRPr="00755F8F">
        <w:rPr>
          <w:rFonts w:eastAsia="Batang" w:cs="Times New Roman"/>
        </w:rPr>
        <w:t>Обхванатите общини от допълнителния компонент от 4-та и 5-та категории са 131, като всяка от тях получава допълнително по 70 хил. лв. след разпределението по основния компонент.</w:t>
      </w:r>
    </w:p>
    <w:p w:rsidR="00E95867" w:rsidRPr="00755F8F" w:rsidRDefault="00E95867" w:rsidP="00E95867">
      <w:pPr>
        <w:spacing w:after="120"/>
        <w:rPr>
          <w:rFonts w:eastAsia="Batang" w:cs="Times New Roman"/>
        </w:rPr>
      </w:pPr>
      <w:r w:rsidRPr="00755F8F">
        <w:rPr>
          <w:rFonts w:eastAsia="Batang" w:cs="Times New Roman"/>
        </w:rPr>
        <w:t>С проекта на  ЗДБРБ за 2024 г. се запазва възможност</w:t>
      </w:r>
      <w:r>
        <w:rPr>
          <w:rFonts w:eastAsia="Batang" w:cs="Times New Roman"/>
        </w:rPr>
        <w:t>та</w:t>
      </w:r>
      <w:r w:rsidRPr="00755F8F">
        <w:rPr>
          <w:rFonts w:eastAsia="Batang" w:cs="Times New Roman"/>
        </w:rPr>
        <w:t xml:space="preserve"> </w:t>
      </w:r>
      <w:r>
        <w:rPr>
          <w:rFonts w:eastAsia="Batang" w:cs="Times New Roman"/>
        </w:rPr>
        <w:t>за трансформиране на целева субсидия за капиталови разходи в трансфер за други целеви разходи по решение на общинския съвет.</w:t>
      </w:r>
      <w:r w:rsidRPr="00755F8F">
        <w:rPr>
          <w:rFonts w:eastAsia="Batang" w:cs="Times New Roman"/>
        </w:rPr>
        <w:t xml:space="preserve"> С разпоредбата ще се даде възможност на общините да приоритизират своите потребности и при необходимост да пренасочат средства за финансиране на неотложни текущи ремонти на общински пътища, на улична мрежа, и на сгради, публична общинска собственост.</w:t>
      </w:r>
    </w:p>
    <w:p w:rsidR="00E95867" w:rsidRPr="00755F8F" w:rsidRDefault="00E95867" w:rsidP="00E95867">
      <w:pPr>
        <w:spacing w:after="120"/>
        <w:rPr>
          <w:rFonts w:eastAsia="Batang" w:cs="Times New Roman"/>
          <w:b/>
          <w:i/>
        </w:rPr>
      </w:pPr>
      <w:r w:rsidRPr="00755F8F">
        <w:rPr>
          <w:rFonts w:eastAsia="Batang" w:cs="Times New Roman"/>
          <w:b/>
          <w:i/>
        </w:rPr>
        <w:t>По механизма за разпределение на трансфера за зимно поддържане и снегопочистване на общинските пътища:</w:t>
      </w:r>
    </w:p>
    <w:p w:rsidR="00E95867" w:rsidRDefault="00E95867" w:rsidP="00E95867">
      <w:pPr>
        <w:spacing w:after="120"/>
        <w:rPr>
          <w:rFonts w:eastAsia="Batang" w:cs="Times New Roman"/>
        </w:rPr>
      </w:pPr>
      <w:r>
        <w:rPr>
          <w:rFonts w:eastAsia="Batang" w:cs="Times New Roman"/>
        </w:rPr>
        <w:t>Разпределението е както следва:</w:t>
      </w:r>
      <w:r w:rsidRPr="00755F8F">
        <w:rPr>
          <w:rFonts w:eastAsia="Batang" w:cs="Times New Roman"/>
        </w:rPr>
        <w:t xml:space="preserve"> 85% от средствата се разпределят на базата на показател дължина на общинските пътища с отчитане на географското и височинното им разположение; 10% по показател брой населени места с изключване на местата без население и 5% по показател брой население. </w:t>
      </w:r>
    </w:p>
    <w:p w:rsidR="00E95867" w:rsidRPr="00755F8F" w:rsidRDefault="00E95867" w:rsidP="00E95867">
      <w:pPr>
        <w:spacing w:after="120"/>
        <w:rPr>
          <w:rFonts w:eastAsia="Batang" w:cs="Times New Roman"/>
        </w:rPr>
      </w:pPr>
      <w:r w:rsidRPr="00755F8F">
        <w:rPr>
          <w:rFonts w:eastAsia="Batang" w:cs="Times New Roman"/>
        </w:rPr>
        <w:t>Информацията за населението и за населените места е по данни на НСИ към 31 декември 2022 г., а за дължината на общинските пътища - по данни на Министерството на регионалното развитие и благоустройството към месец септември 2023 г.</w:t>
      </w:r>
    </w:p>
    <w:p w:rsidR="00E95867" w:rsidRPr="00755F8F" w:rsidRDefault="00E95867" w:rsidP="00E95867">
      <w:pPr>
        <w:spacing w:after="120"/>
        <w:rPr>
          <w:rFonts w:eastAsia="Batang" w:cs="Times New Roman"/>
        </w:rPr>
      </w:pPr>
      <w:r w:rsidRPr="00755F8F">
        <w:rPr>
          <w:rFonts w:eastAsia="Batang" w:cs="Times New Roman"/>
        </w:rPr>
        <w:t>Предвидена е възможност неусвоените към 31 декември 2023 г. средства по бюджетите на общините от трансфера за зимно поддържане и снегопочистване на общинските пътища, постъпили през предходни години, да се разходват през 2024 г. за дейностите по зимно поддържане и снегопочистване на общинските пътища, както и за придобиване на дълготрайни материални активи за снегопочистване на територията на общината, по решения на общинските съвети и за материали за обезопасяване срещу хлъзгане.</w:t>
      </w:r>
    </w:p>
    <w:p w:rsidR="00F10E07" w:rsidRPr="006F08F9" w:rsidRDefault="00F10E07" w:rsidP="00882A3B">
      <w:pPr>
        <w:rPr>
          <w:b/>
          <w:u w:val="single"/>
        </w:rPr>
        <w:sectPr w:rsidR="00F10E07" w:rsidRPr="006F08F9" w:rsidSect="002D7CED">
          <w:type w:val="oddPage"/>
          <w:pgSz w:w="11906" w:h="16838" w:code="9"/>
          <w:pgMar w:top="1418" w:right="1418" w:bottom="851" w:left="1418" w:header="708" w:footer="708" w:gutter="0"/>
          <w:cols w:space="708"/>
          <w:titlePg/>
          <w:docGrid w:linePitch="360"/>
        </w:sectPr>
      </w:pPr>
    </w:p>
    <w:bookmarkStart w:id="348" w:name="_Toc151557303"/>
    <w:p w:rsidR="00877FB1" w:rsidRPr="00A77E4C" w:rsidRDefault="001E0DF0" w:rsidP="007D0124">
      <w:pPr>
        <w:pStyle w:val="Heading1"/>
      </w:pPr>
      <w:r w:rsidRPr="001E0DF0">
        <w:rPr>
          <w:noProof/>
        </w:rPr>
        <mc:AlternateContent>
          <mc:Choice Requires="wps">
            <w:drawing>
              <wp:anchor distT="0" distB="0" distL="114300" distR="114300" simplePos="0" relativeHeight="251667968" behindDoc="0" locked="0" layoutInCell="1" allowOverlap="1" wp14:anchorId="02ACE88A" wp14:editId="3E61B107">
                <wp:simplePos x="0" y="0"/>
                <wp:positionH relativeFrom="column">
                  <wp:posOffset>-898525</wp:posOffset>
                </wp:positionH>
                <wp:positionV relativeFrom="paragraph">
                  <wp:posOffset>1618463</wp:posOffset>
                </wp:positionV>
                <wp:extent cx="7560310" cy="0"/>
                <wp:effectExtent l="0" t="0" r="21590" b="19050"/>
                <wp:wrapNone/>
                <wp:docPr id="693" name="Straight Connector 693"/>
                <wp:cNvGraphicFramePr/>
                <a:graphic xmlns:a="http://schemas.openxmlformats.org/drawingml/2006/main">
                  <a:graphicData uri="http://schemas.microsoft.com/office/word/2010/wordprocessingShape">
                    <wps:wsp>
                      <wps:cNvCnPr/>
                      <wps:spPr>
                        <a:xfrm>
                          <a:off x="0" y="0"/>
                          <a:ext cx="7560310" cy="0"/>
                        </a:xfrm>
                        <a:prstGeom prst="line">
                          <a:avLst/>
                        </a:prstGeom>
                        <a:ln>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336445A" id="Straight Connector 693" o:spid="_x0000_s1026" style="position:absolute;z-index:251667968;visibility:visible;mso-wrap-style:square;mso-wrap-distance-left:9pt;mso-wrap-distance-top:0;mso-wrap-distance-right:9pt;mso-wrap-distance-bottom:0;mso-position-horizontal:absolute;mso-position-horizontal-relative:text;mso-position-vertical:absolute;mso-position-vertical-relative:text" from="-70.75pt,127.45pt" to="524.55pt,12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G7G0gEAAAsEAAAOAAAAZHJzL2Uyb0RvYy54bWysU8Fu1DAQvSPxD5bvbJJWLBBttoetygXB&#10;isIHuI69sWR7rLHZZP+esbObVgUJteIyydjznuc9jzc3k7PsqDAa8B1vVjVnykvojT90/OePu3cf&#10;OYtJ+F5Y8KrjJxX5zfbtm80YWnUFA9heISMSH9sxdHxIKbRVFeWgnIgrCMrTpgZ0IlGKh6pHMRK7&#10;s9VVXa+rEbAPCFLFSKu38ybfFn6tlUzftI4qMdtx6i2ViCU+5FhtN6I9oAiDkec2xCu6cMJ4OnSh&#10;uhVJsF9o/qByRiJE0GklwVWgtZGqaCA1Tf1Mzf0ggipayJwYFpvi/6OVX497ZKbv+PrTNWdeOLqk&#10;+4TCHIbEduA9WQjI8i55NYbYEmTn93jOYthjFj5pdPlLkthU/D0t/qopMUmLH96v6+uGrkFe9qpH&#10;YMCYPitwLP903BqfpYtWHL/ERIdR6aUkL1ufYwRr+jtjbUny0KidRXYUdN1CSuVTaZuwTyopy+gq&#10;i5nbL3/pZNXM/F1psoQabkoHZRif8zbZjsJE1RmmqYsFWP8beK7PUFUG9SXgBVFOBp8WsDMe8G+n&#10;p+nSsp7rLw7MurMFD9CfysUWa2jiisLz68gj/TQv8Mc3vP0NAAD//wMAUEsDBBQABgAIAAAAIQBh&#10;ygXI4QAAAA0BAAAPAAAAZHJzL2Rvd25yZXYueG1sTI/BTsMwDIbvSLxDZCRuW9rSoa00nRBiFy6I&#10;DQHHrDFNt8SpmnQtPD2ZhARH259+f3+5nqxhJ+x960hAOk+AIdVOtdQIeN1tZktgPkhS0jhCAV/o&#10;YV1dXpSyUG6kFzxtQ8NiCPlCCtAhdAXnvtZopZ+7DinePl1vZYhj33DVyzGGW8OzJLnlVrYUP2jZ&#10;4YPG+rgdrADz/vy4PH5/HG6eukFvRp9NhzcrxPXVdH8HLOAU/mA460d1qKLT3g2kPDMCZmmeLiIr&#10;IFvkK2BnJMlXKbD974pXJf/fovoBAAD//wMAUEsBAi0AFAAGAAgAAAAhALaDOJL+AAAA4QEAABMA&#10;AAAAAAAAAAAAAAAAAAAAAFtDb250ZW50X1R5cGVzXS54bWxQSwECLQAUAAYACAAAACEAOP0h/9YA&#10;AACUAQAACwAAAAAAAAAAAAAAAAAvAQAAX3JlbHMvLnJlbHNQSwECLQAUAAYACAAAACEAjHxuxtIB&#10;AAALBAAADgAAAAAAAAAAAAAAAAAuAgAAZHJzL2Uyb0RvYy54bWxQSwECLQAUAAYACAAAACEAYcoF&#10;yOEAAAANAQAADwAAAAAAAAAAAAAAAAAsBAAAZHJzL2Rvd25yZXYueG1sUEsFBgAAAAAEAAQA8wAA&#10;ADoFAAAAAA==&#10;" strokecolor="#b32c16 [3206]"/>
            </w:pict>
          </mc:Fallback>
        </mc:AlternateContent>
      </w:r>
      <w:r w:rsidRPr="001E0DF0">
        <w:rPr>
          <w:noProof/>
        </w:rPr>
        <mc:AlternateContent>
          <mc:Choice Requires="wps">
            <w:drawing>
              <wp:anchor distT="0" distB="0" distL="114300" distR="114300" simplePos="0" relativeHeight="251664896" behindDoc="1" locked="0" layoutInCell="1" allowOverlap="1" wp14:anchorId="44D12A8B" wp14:editId="2759EE8A">
                <wp:simplePos x="0" y="0"/>
                <wp:positionH relativeFrom="column">
                  <wp:posOffset>-897890</wp:posOffset>
                </wp:positionH>
                <wp:positionV relativeFrom="paragraph">
                  <wp:posOffset>-897890</wp:posOffset>
                </wp:positionV>
                <wp:extent cx="7560860" cy="2520000"/>
                <wp:effectExtent l="0" t="0" r="2540" b="0"/>
                <wp:wrapNone/>
                <wp:docPr id="692" name="Rectangle 692"/>
                <wp:cNvGraphicFramePr/>
                <a:graphic xmlns:a="http://schemas.openxmlformats.org/drawingml/2006/main">
                  <a:graphicData uri="http://schemas.microsoft.com/office/word/2010/wordprocessingShape">
                    <wps:wsp>
                      <wps:cNvSpPr/>
                      <wps:spPr>
                        <a:xfrm>
                          <a:off x="0" y="0"/>
                          <a:ext cx="7560860" cy="2520000"/>
                        </a:xfrm>
                        <a:prstGeom prst="rect">
                          <a:avLst/>
                        </a:prstGeom>
                        <a:solidFill>
                          <a:schemeClr val="accent3">
                            <a:lumMod val="20000"/>
                            <a:lumOff val="8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F9418C7" id="Rectangle 692" o:spid="_x0000_s1026" style="position:absolute;margin-left:-70.7pt;margin-top:-70.7pt;width:595.35pt;height:198.45pt;z-index:-2516515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UYqwIAANIFAAAOAAAAZHJzL2Uyb0RvYy54bWysVN1P2zAQf5+0/8Hy+0ib0QIRKapATJPY&#10;QMDEs3HsJpLt82y3affX72ynoWPwMu0l8X3f/e7j/GKrFdkI5zswNZ0eTSgRhkPTmVVNfzxefzql&#10;xAdmGqbAiJruhKcXi48fzntbiRJaUI1wBJ0YX/W2pm0ItioKz1uhmT8CKwwKJTjNApJuVTSO9ehd&#10;q6KcTOZFD66xDrjwHrlXWUgXyb+UgodbKb0IRNUUcwvp69L3OX6LxTmrVo7ZtuNDGuwfstCsMxh0&#10;dHXFAiNr1/3lSnfcgQcZjjjoAqTsuEg1YDXTyatqHlpmRaoFwfF2hMn/P7f8++bOka6p6fyspMQw&#10;jU26R9iYWSlBIhMh6q2vUPPB3rmB8viM9W6l0/GPlZBtgnU3wiq2gXBknszmk9M5os9RVs6wbZME&#10;fPFibp0PXwRoEh81dZhAgpNtbnzAkKi6V4nRPKiuue6USkScFXGpHNkw7DLjXJjwOZmrtf4GTeaP&#10;YVmFbJyKzD49yCZNXfSUAv4RRBnS43yXJ5h6DGoghs+ZKYP6EaIMSnqFnRJRT5l7IRFfhKFMhmOM&#10;w2ynWdSyRmT27N2sksPoWWL80ffg4C0kprGBiN+gH01FWozROFf0TmLZeLRIkcGE0Vh3Btxblakw&#10;Rs76e5AyNBGlZ2h2OH0O8lp6y6877P8N8+GOOdxDnBm8LeEWP1IBNgCGFyUtuF9v8aM+rgdKKelx&#10;r2vqf66ZE5SorwYX52x6fBwPQSKOZyclEu5Q8nwoMWt9CThUU7xilqdn1A9q/5QO9BOeoGWMiiJm&#10;OMauKQ9uT1yGfG/wiHGxXCY1XH7Lwo15sDw6j6jG+X7cPjFnhyUIuD/fYX8DWPVqF7JutDSwXAeQ&#10;XVqUF1wHvPFwpP4PRy5epkM6ab2c4sVvAAAA//8DAFBLAwQUAAYACAAAACEAnojsUeEAAAAOAQAA&#10;DwAAAGRycy9kb3ducmV2LnhtbEyPwU7DMAyG70i8Q2Qkblva0TIoTacxabcJiQFSd8sa01YkTtVk&#10;XcvTk12Amy1/+v39+Wo0mg3Yu9aSgHgeAUOqrGqpFvD+tp09AHNekpLaEgqY0MGquL7KZabsmV5x&#10;2PuahRBymRTQeN9lnLuqQSPd3HZI4fZpeyN9WPuaq16eQ7jRfBFF99zIlsKHRna4abD62p+MgM1y&#10;PZXLZFd+DNVhVz6/bKfDtxbi9mZcPwHzOPo/GC76QR2K4HS0J1KOaQGzOImTwP5OFyZKHu+AHQUs&#10;0jQFXuT8f43iBwAA//8DAFBLAQItABQABgAIAAAAIQC2gziS/gAAAOEBAAATAAAAAAAAAAAAAAAA&#10;AAAAAABbQ29udGVudF9UeXBlc10ueG1sUEsBAi0AFAAGAAgAAAAhADj9If/WAAAAlAEAAAsAAAAA&#10;AAAAAAAAAAAALwEAAF9yZWxzLy5yZWxzUEsBAi0AFAAGAAgAAAAhAD9qpRirAgAA0gUAAA4AAAAA&#10;AAAAAAAAAAAALgIAAGRycy9lMm9Eb2MueG1sUEsBAi0AFAAGAAgAAAAhAJ6I7FHhAAAADgEAAA8A&#10;AAAAAAAAAAAAAAAABQUAAGRycy9kb3ducmV2LnhtbFBLBQYAAAAABAAEAPMAAAATBgAAAAA=&#10;" fillcolor="#f8cec7 [662]" stroked="f" strokeweight="1pt"/>
            </w:pict>
          </mc:Fallback>
        </mc:AlternateContent>
      </w:r>
      <w:r w:rsidR="00AA3035">
        <w:br/>
      </w:r>
      <w:bookmarkStart w:id="349" w:name="_Toc465205556"/>
      <w:r w:rsidR="00877FB1" w:rsidRPr="001E0DF0">
        <w:rPr>
          <w:color w:val="auto"/>
        </w:rPr>
        <w:t>Управление на средствата от европейските ф</w:t>
      </w:r>
      <w:r w:rsidR="002A37C0">
        <w:rPr>
          <w:color w:val="auto"/>
        </w:rPr>
        <w:t>о</w:t>
      </w:r>
      <w:r w:rsidR="00AD7791">
        <w:rPr>
          <w:color w:val="auto"/>
        </w:rPr>
        <w:t>ндове и програми за пери</w:t>
      </w:r>
      <w:r w:rsidR="0019728D">
        <w:rPr>
          <w:color w:val="auto"/>
        </w:rPr>
        <w:t>ода 2024-2026</w:t>
      </w:r>
      <w:r w:rsidR="00AA3035" w:rsidRPr="001E0DF0">
        <w:rPr>
          <w:color w:val="auto"/>
        </w:rPr>
        <w:t> г.</w:t>
      </w:r>
      <w:bookmarkEnd w:id="339"/>
      <w:bookmarkEnd w:id="340"/>
      <w:bookmarkEnd w:id="341"/>
      <w:bookmarkEnd w:id="342"/>
      <w:bookmarkEnd w:id="343"/>
      <w:bookmarkEnd w:id="344"/>
      <w:bookmarkEnd w:id="345"/>
      <w:bookmarkEnd w:id="346"/>
      <w:bookmarkEnd w:id="347"/>
      <w:bookmarkEnd w:id="348"/>
      <w:bookmarkEnd w:id="349"/>
    </w:p>
    <w:p w:rsidR="00216D28" w:rsidRPr="00006A45" w:rsidRDefault="00853713" w:rsidP="00DE2BDB">
      <w:pPr>
        <w:pStyle w:val="Heading2"/>
        <w:rPr>
          <w:lang w:eastAsia="en-GB"/>
        </w:rPr>
      </w:pPr>
      <w:bookmarkStart w:id="350" w:name="_Toc464224804"/>
      <w:bookmarkStart w:id="351" w:name="_Toc464225454"/>
      <w:bookmarkStart w:id="352" w:name="_Toc464459001"/>
      <w:bookmarkStart w:id="353" w:name="_Toc464459749"/>
      <w:bookmarkStart w:id="354" w:name="_Toc464460702"/>
      <w:bookmarkStart w:id="355" w:name="_Toc464463101"/>
      <w:bookmarkStart w:id="356" w:name="_Toc464464930"/>
      <w:bookmarkStart w:id="357" w:name="_Toc464465434"/>
      <w:bookmarkStart w:id="358" w:name="_Toc464465622"/>
      <w:bookmarkStart w:id="359" w:name="_Toc464466447"/>
      <w:bookmarkStart w:id="360" w:name="_Toc464466691"/>
      <w:bookmarkStart w:id="361" w:name="_Toc464645007"/>
      <w:bookmarkStart w:id="362" w:name="_Toc465205557"/>
      <w:bookmarkStart w:id="363" w:name="_Toc151557304"/>
      <w:r w:rsidRPr="00006A45">
        <w:rPr>
          <w:lang w:eastAsia="en-GB"/>
        </w:rPr>
        <w:t>НАЦИОНАЛЕН ФОНД</w:t>
      </w:r>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p>
    <w:p w:rsidR="00D4311E" w:rsidRPr="007100B2" w:rsidRDefault="00E42934" w:rsidP="00B1706B">
      <w:pPr>
        <w:pStyle w:val="Heading3"/>
        <w:spacing w:before="0" w:after="200"/>
        <w:ind w:left="0"/>
      </w:pPr>
      <w:r>
        <w:t>Разходна част</w:t>
      </w:r>
    </w:p>
    <w:p w:rsidR="006E6FFB" w:rsidRPr="00AA3F66" w:rsidRDefault="006E6FFB" w:rsidP="006E6FFB">
      <w:pPr>
        <w:rPr>
          <w:rFonts w:cs="Times New Roman"/>
          <w:b/>
          <w:color w:val="852010" w:themeColor="accent3" w:themeShade="BF"/>
        </w:rPr>
      </w:pPr>
      <w:r w:rsidRPr="00AA3F66">
        <w:rPr>
          <w:rFonts w:cs="Times New Roman"/>
          <w:b/>
          <w:color w:val="852010" w:themeColor="accent3" w:themeShade="BF"/>
        </w:rPr>
        <w:t xml:space="preserve">Европейски социален фонд, Европейски социален фонд+, Европейски фонд за регионално развитие, Кохезионен фонд, Фонд за европейско подпомагане на най-нуждаещите се лица, REACT-EU, Механизъм за възстановяване и устойчивост, Фонд за справедлив преход, двустранни програми за трансгранично сътрудничество по външни граници на Европейския съюз и програми, съфинансирани от Финансовия механизъм на Европейското икономическо пространство, Норвежкия финансов механизъм 2014-2021 г. и Швейцарско-Българска програма за сътрудничество </w:t>
      </w:r>
    </w:p>
    <w:p w:rsidR="006E6FFB" w:rsidRPr="00AA3F66" w:rsidRDefault="006E6FFB" w:rsidP="006E6FFB">
      <w:r w:rsidRPr="00AA3F66">
        <w:t>Очакваните разходи и плащания за периода 2024-2026 г. са, както следва: 6 703 610,8 хил. лв. за 2024 г., 7 730 311,7 хил. лв. за 2025 г. и 8 433 349,4 хил. лв. за 2026 г.</w:t>
      </w:r>
    </w:p>
    <w:p w:rsidR="006E6FFB" w:rsidRPr="00AA3F66" w:rsidRDefault="006E6FFB" w:rsidP="006E6FFB">
      <w:pPr>
        <w:rPr>
          <w:rFonts w:eastAsia="Batang" w:cs="Times New Roman"/>
        </w:rPr>
      </w:pPr>
      <w:r w:rsidRPr="00AA3F66">
        <w:rPr>
          <w:rFonts w:eastAsia="Batang" w:cs="Times New Roman"/>
        </w:rPr>
        <w:t xml:space="preserve">При планирането на разходите по програмите, съфинансирани от Европейския социален фонд, Европейския социален фонд+, Европейския фонд за регионално развитие, Кохезионния фонд, Фонда за европейско подпомагане на най-нуждаещите се лица, вкл. средствата от механизма REACT-EU и двустранните програми за трансгранично сътрудничество по външни граници на Европейския съюз, са взети под внимание: </w:t>
      </w:r>
    </w:p>
    <w:p w:rsidR="006E6FFB" w:rsidRPr="00AA3F66" w:rsidRDefault="006E6FFB" w:rsidP="006E6FFB">
      <w:pPr>
        <w:pStyle w:val="ListParagraph"/>
        <w:numPr>
          <w:ilvl w:val="0"/>
          <w:numId w:val="4"/>
        </w:numPr>
        <w:spacing w:after="200"/>
        <w:ind w:left="851" w:hanging="284"/>
        <w:rPr>
          <w:rFonts w:eastAsia="Times New Roman"/>
        </w:rPr>
      </w:pPr>
      <w:r w:rsidRPr="00AA3F66">
        <w:rPr>
          <w:rFonts w:eastAsia="Times New Roman"/>
        </w:rPr>
        <w:t xml:space="preserve">етапът на изпълнение на програмите; </w:t>
      </w:r>
    </w:p>
    <w:p w:rsidR="006E6FFB" w:rsidRPr="00AA3F66" w:rsidRDefault="006E6FFB" w:rsidP="006E6FFB">
      <w:pPr>
        <w:pStyle w:val="ListParagraph"/>
        <w:numPr>
          <w:ilvl w:val="0"/>
          <w:numId w:val="4"/>
        </w:numPr>
        <w:spacing w:after="200"/>
        <w:ind w:left="851" w:hanging="284"/>
        <w:rPr>
          <w:rFonts w:eastAsia="Times New Roman"/>
        </w:rPr>
      </w:pPr>
      <w:r w:rsidRPr="00AA3F66">
        <w:rPr>
          <w:rFonts w:eastAsia="Times New Roman"/>
        </w:rPr>
        <w:t>прогнозите на отделните органи и структури за периода 2024-2026 г.;</w:t>
      </w:r>
    </w:p>
    <w:p w:rsidR="006E6FFB" w:rsidRPr="00AA3F66" w:rsidRDefault="006E6FFB" w:rsidP="006E6FFB">
      <w:pPr>
        <w:pStyle w:val="ListParagraph"/>
        <w:numPr>
          <w:ilvl w:val="0"/>
          <w:numId w:val="4"/>
        </w:numPr>
        <w:spacing w:after="200"/>
        <w:ind w:left="851" w:hanging="284"/>
        <w:rPr>
          <w:rFonts w:eastAsia="Times New Roman"/>
        </w:rPr>
      </w:pPr>
      <w:r w:rsidRPr="00AA3F66">
        <w:rPr>
          <w:rFonts w:eastAsia="Times New Roman"/>
        </w:rPr>
        <w:t>изпълнението на прогнозите на Управляващите органи за минали години;</w:t>
      </w:r>
    </w:p>
    <w:p w:rsidR="006E6FFB" w:rsidRPr="00AA3F66" w:rsidRDefault="006E6FFB" w:rsidP="006E6FFB">
      <w:pPr>
        <w:pStyle w:val="ListParagraph"/>
        <w:numPr>
          <w:ilvl w:val="0"/>
          <w:numId w:val="4"/>
        </w:numPr>
        <w:spacing w:after="200"/>
        <w:ind w:left="851" w:hanging="284"/>
        <w:rPr>
          <w:rFonts w:eastAsia="Times New Roman"/>
        </w:rPr>
      </w:pPr>
      <w:r w:rsidRPr="00AA3F66">
        <w:rPr>
          <w:rFonts w:eastAsia="Times New Roman"/>
        </w:rPr>
        <w:t xml:space="preserve">спецификите на отделните програми от гледна точка на икономическата област, към която са насочени; </w:t>
      </w:r>
    </w:p>
    <w:p w:rsidR="006E6FFB" w:rsidRPr="00AA3F66" w:rsidRDefault="006E6FFB" w:rsidP="006E6FFB">
      <w:pPr>
        <w:pStyle w:val="ListParagraph"/>
        <w:numPr>
          <w:ilvl w:val="0"/>
          <w:numId w:val="4"/>
        </w:numPr>
        <w:spacing w:after="200"/>
        <w:ind w:left="851" w:hanging="284"/>
        <w:rPr>
          <w:rFonts w:eastAsia="Times New Roman"/>
        </w:rPr>
      </w:pPr>
      <w:r w:rsidRPr="00AA3F66">
        <w:rPr>
          <w:rFonts w:eastAsia="Times New Roman"/>
        </w:rPr>
        <w:t>договорените до момента средства по отделните програми;</w:t>
      </w:r>
    </w:p>
    <w:p w:rsidR="006E6FFB" w:rsidRPr="00AA3F66" w:rsidRDefault="006E6FFB" w:rsidP="006E6FFB">
      <w:pPr>
        <w:pStyle w:val="ListParagraph"/>
        <w:numPr>
          <w:ilvl w:val="0"/>
          <w:numId w:val="4"/>
        </w:numPr>
        <w:spacing w:after="200"/>
        <w:ind w:left="851" w:hanging="284"/>
        <w:rPr>
          <w:rFonts w:eastAsia="Times New Roman"/>
        </w:rPr>
      </w:pPr>
      <w:r w:rsidRPr="00AA3F66">
        <w:rPr>
          <w:rFonts w:eastAsia="Times New Roman"/>
        </w:rPr>
        <w:t xml:space="preserve">за програмите от програмен период 2021-2027 г. е направен </w:t>
      </w:r>
      <w:r w:rsidRPr="00AA3F66">
        <w:rPr>
          <w:rFonts w:eastAsia="Batang"/>
        </w:rPr>
        <w:t>анализ на исторически данни за изпълнението на оперативните програми в първите години от програмните периоди.</w:t>
      </w:r>
    </w:p>
    <w:p w:rsidR="006E6FFB" w:rsidRPr="00AA3F66" w:rsidRDefault="006E6FFB" w:rsidP="006E6FFB">
      <w:pPr>
        <w:rPr>
          <w:rFonts w:eastAsia="Batang" w:cs="Times New Roman"/>
        </w:rPr>
      </w:pPr>
      <w:r w:rsidRPr="00AA3F66">
        <w:rPr>
          <w:rFonts w:eastAsia="Batang" w:cs="Times New Roman"/>
        </w:rPr>
        <w:t>Отчетена е и необходимостта от текущо осигуряване на национални средства за извършване на плащания във връзка с въведените правила за възстановяване от 90%/95% от сертифицираните разходи преди годишното уравняване на сметките с ЕК на база представените от държавите членки годишни счетоводни отчети.</w:t>
      </w:r>
    </w:p>
    <w:p w:rsidR="006E6FFB" w:rsidRPr="00AA3F66" w:rsidRDefault="006E6FFB" w:rsidP="006E6FFB">
      <w:pPr>
        <w:rPr>
          <w:rFonts w:eastAsia="Batang" w:cs="Times New Roman"/>
        </w:rPr>
      </w:pPr>
      <w:r w:rsidRPr="00AA3F66">
        <w:rPr>
          <w:rFonts w:eastAsia="Batang" w:cs="Times New Roman"/>
        </w:rPr>
        <w:t>Очакваните разходи по Механизма за възстановяване и устойчивост се основат на актуалните към момента на изготвяне на прогнозата финансови планове по инвестициите, включени в одобрения на 04.05.2022 г. от ЕК Национален план за възстановяване и устойчивост</w:t>
      </w:r>
      <w:r w:rsidR="00C4088B" w:rsidRPr="00AA3F66">
        <w:rPr>
          <w:rFonts w:eastAsia="Batang" w:cs="Times New Roman"/>
        </w:rPr>
        <w:t>,</w:t>
      </w:r>
      <w:r w:rsidRPr="00AA3F66">
        <w:rPr>
          <w:rFonts w:eastAsia="Batang" w:cs="Times New Roman"/>
        </w:rPr>
        <w:t xml:space="preserve"> и </w:t>
      </w:r>
      <w:r w:rsidR="00C4088B" w:rsidRPr="00AA3F66">
        <w:rPr>
          <w:rFonts w:eastAsia="Batang" w:cs="Times New Roman"/>
        </w:rPr>
        <w:t xml:space="preserve">на </w:t>
      </w:r>
      <w:r w:rsidRPr="00AA3F66">
        <w:rPr>
          <w:rFonts w:eastAsia="Batang" w:cs="Times New Roman"/>
        </w:rPr>
        <w:t>етапа на изпълнение на инвестициите. Прогнозните разходи по програмите, съфинансирани от Финансовия механизъм на Европейското икономическо пространство, Норвежкия финансов механизъм 2014-2021 г. и Швейцарско-Българската програма за сътрудничество, са индикативни и обхващат бъдещи плащания по договори с бенефициенти и разходи на отделните органи и на програмните оператори за дейности за управление на програмите.</w:t>
      </w:r>
    </w:p>
    <w:p w:rsidR="00E17E42" w:rsidRPr="00AA3F66" w:rsidRDefault="006E6FFB" w:rsidP="00B1706B">
      <w:pPr>
        <w:rPr>
          <w:rFonts w:eastAsia="Batang" w:cs="Times New Roman"/>
        </w:rPr>
      </w:pPr>
      <w:r w:rsidRPr="00AA3F66">
        <w:rPr>
          <w:rFonts w:cs="Times New Roman"/>
        </w:rPr>
        <w:t>Разходите по НПВУ и програмите от програмния период 2021-2027 г. са пряко зависими от наличието на висока проектна готовност и административен капацитет, което при създалото се струпване на дейности по приключване на оперативните програми от програмен период 2014-2020 г. и стартиране на тези от програмен период 2021-2027 г. и инвестициите по НПВУ</w:t>
      </w:r>
      <w:r w:rsidR="00C4088B" w:rsidRPr="00AA3F66">
        <w:rPr>
          <w:rFonts w:cs="Times New Roman"/>
        </w:rPr>
        <w:t>,</w:t>
      </w:r>
      <w:r w:rsidRPr="00AA3F66">
        <w:rPr>
          <w:rFonts w:cs="Times New Roman"/>
        </w:rPr>
        <w:t xml:space="preserve"> може да породи риск от забавяне и </w:t>
      </w:r>
      <w:r w:rsidR="00D20ECF" w:rsidRPr="00AA3F66">
        <w:rPr>
          <w:rFonts w:cs="Times New Roman"/>
        </w:rPr>
        <w:t>от</w:t>
      </w:r>
      <w:r w:rsidRPr="00AA3F66">
        <w:rPr>
          <w:rFonts w:cs="Times New Roman"/>
        </w:rPr>
        <w:t xml:space="preserve"> неизпълнението им.</w:t>
      </w:r>
    </w:p>
    <w:p w:rsidR="004E3881" w:rsidRPr="00AA3F66" w:rsidRDefault="00D4311E" w:rsidP="008D2D0E">
      <w:pPr>
        <w:pStyle w:val="Caption"/>
        <w:jc w:val="both"/>
      </w:pPr>
      <w:r w:rsidRPr="00AA3F66">
        <w:t xml:space="preserve">Граф. </w:t>
      </w:r>
      <w:fldSimple w:instr=" STYLEREF 1 \s ">
        <w:r w:rsidR="005A69ED">
          <w:rPr>
            <w:noProof/>
          </w:rPr>
          <w:t>V</w:t>
        </w:r>
      </w:fldSimple>
      <w:r w:rsidRPr="00AA3F66">
        <w:noBreakHyphen/>
      </w:r>
      <w:fldSimple w:instr=" SEQ Граф. \* ARABIC \s 1 ">
        <w:r w:rsidR="005A69ED">
          <w:rPr>
            <w:noProof/>
          </w:rPr>
          <w:t>1</w:t>
        </w:r>
      </w:fldSimple>
      <w:r w:rsidRPr="00AA3F66">
        <w:t>:</w:t>
      </w:r>
      <w:r w:rsidRPr="00AA3F66">
        <w:tab/>
        <w:t xml:space="preserve">Разходи на Национален фонд – сметка за средства от ЕС за периода </w:t>
      </w:r>
      <w:r w:rsidR="00545946" w:rsidRPr="00AA3F66">
        <w:t>2024</w:t>
      </w:r>
      <w:r w:rsidRPr="00AA3F66">
        <w:t>-202</w:t>
      </w:r>
      <w:r w:rsidR="00545946" w:rsidRPr="00AA3F66">
        <w:t>6</w:t>
      </w:r>
      <w:r w:rsidRPr="00AA3F66">
        <w:t xml:space="preserve"> г.</w:t>
      </w:r>
      <w:r w:rsidR="00E26A8D" w:rsidRPr="00AA3F66">
        <w:t xml:space="preserve"> </w:t>
      </w:r>
    </w:p>
    <w:p w:rsidR="008D2D0E" w:rsidRPr="00AA3F66" w:rsidRDefault="008D2D0E" w:rsidP="004E3881">
      <w:pPr>
        <w:rPr>
          <w:noProof/>
        </w:rPr>
      </w:pPr>
      <w:r w:rsidRPr="00AA3F66">
        <w:rPr>
          <w:noProof/>
        </w:rPr>
        <w:drawing>
          <wp:inline distT="0" distB="0" distL="0" distR="0" wp14:anchorId="4020E805" wp14:editId="4971D105">
            <wp:extent cx="5759450" cy="2901272"/>
            <wp:effectExtent l="0" t="0" r="12700" b="13970"/>
            <wp:docPr id="14" name="Chart 4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D5513C" w:rsidRPr="00AA3F66" w:rsidRDefault="00D5513C" w:rsidP="00D5513C">
      <w:pPr>
        <w:jc w:val="right"/>
        <w:rPr>
          <w:rFonts w:eastAsia="Batang" w:cs="Times New Roman"/>
          <w:sz w:val="18"/>
          <w:szCs w:val="18"/>
        </w:rPr>
      </w:pPr>
      <w:r w:rsidRPr="00AA3F66">
        <w:rPr>
          <w:rFonts w:eastAsia="Batang" w:cs="Times New Roman"/>
          <w:sz w:val="18"/>
          <w:szCs w:val="18"/>
        </w:rPr>
        <w:t>Източник: МФ</w:t>
      </w:r>
    </w:p>
    <w:p w:rsidR="006E6FFB" w:rsidRPr="00AA3F66" w:rsidRDefault="006E6FFB" w:rsidP="00D5513C">
      <w:pPr>
        <w:jc w:val="right"/>
        <w:rPr>
          <w:rFonts w:eastAsia="Batang" w:cs="Times New Roman"/>
          <w:sz w:val="18"/>
          <w:szCs w:val="18"/>
        </w:rPr>
      </w:pPr>
    </w:p>
    <w:p w:rsidR="006E6FFB" w:rsidRPr="00AA3F66" w:rsidRDefault="006E6FFB" w:rsidP="006E6FFB">
      <w:pPr>
        <w:rPr>
          <w:rFonts w:eastAsia="Batang" w:cs="Times New Roman"/>
        </w:rPr>
      </w:pPr>
      <w:r w:rsidRPr="00AA3F66">
        <w:rPr>
          <w:rFonts w:eastAsia="Batang" w:cs="Times New Roman"/>
        </w:rPr>
        <w:t>При планиране на разходите по програмите, съфинансирани от Европейския социален фонд, Европейския социален фонд+, Европейския фонд за регионално развитие, Кохезионния фонд</w:t>
      </w:r>
      <w:r w:rsidR="00C4088B" w:rsidRPr="00AA3F66">
        <w:rPr>
          <w:rFonts w:eastAsia="Batang" w:cs="Times New Roman"/>
        </w:rPr>
        <w:t>,</w:t>
      </w:r>
      <w:r w:rsidRPr="00AA3F66">
        <w:rPr>
          <w:rFonts w:eastAsia="Batang" w:cs="Times New Roman"/>
        </w:rPr>
        <w:t xml:space="preserve"> Фонда за европейско подпомагане на най-нуждаещите се лица и двустранните програми за трансгранично сътрудничество по външни граници на Европейския съюз</w:t>
      </w:r>
      <w:r w:rsidR="00C4088B" w:rsidRPr="00AA3F66">
        <w:rPr>
          <w:rFonts w:eastAsia="Batang" w:cs="Times New Roman"/>
        </w:rPr>
        <w:t>,</w:t>
      </w:r>
      <w:r w:rsidRPr="00AA3F66">
        <w:rPr>
          <w:rFonts w:eastAsia="Batang" w:cs="Times New Roman"/>
        </w:rPr>
        <w:t xml:space="preserve"> са взети под внимание правилата за съответния програмен период, етапът на изпълнение на всяка една от програмите, особеностите на подпомаганите сектори, както и характерът и сроковете за реализация на отделните проекти. </w:t>
      </w:r>
    </w:p>
    <w:p w:rsidR="006E6FFB" w:rsidRPr="00AA3F66" w:rsidRDefault="006E6FFB" w:rsidP="006E6FFB">
      <w:pPr>
        <w:rPr>
          <w:rFonts w:eastAsia="Batang" w:cs="Times New Roman"/>
        </w:rPr>
      </w:pPr>
      <w:r w:rsidRPr="00AA3F66">
        <w:rPr>
          <w:rFonts w:eastAsia="Batang" w:cs="Times New Roman"/>
        </w:rPr>
        <w:t>Оперативните програми, съфинансирани от Европейския фонд за регионално развитие и Кохезионния фонд, са насочени към изграждане на балансирана и устойчива транспортна система чрез развитие и модернизация на ключовата транспортна инфраструктура за връзки от национално, трансгранично и европейско значение, развитие на динамична икономика, конкурентоспособна на европейския и световен пазар, развитие на екологичната инфраструктура и подобряване, опазване и възстановяване на природната среда и биоразнообразието, икономическо сближаване в европейски, национален и вътрешнорегионален план, социално сближаване и намаляване на регионалните диспропорции в социалната сфера</w:t>
      </w:r>
      <w:r w:rsidR="00CB7828" w:rsidRPr="00AA3F66">
        <w:rPr>
          <w:rFonts w:eastAsia="Batang" w:cs="Times New Roman"/>
        </w:rPr>
        <w:t>.</w:t>
      </w:r>
      <w:r w:rsidRPr="00AA3F66">
        <w:rPr>
          <w:rFonts w:eastAsia="Batang" w:cs="Times New Roman"/>
        </w:rPr>
        <w:t xml:space="preserve"> </w:t>
      </w:r>
      <w:r w:rsidR="00CB7828" w:rsidRPr="00AA3F66">
        <w:rPr>
          <w:rFonts w:eastAsia="Batang" w:cs="Times New Roman"/>
        </w:rPr>
        <w:t>Тези оперативни програми о</w:t>
      </w:r>
      <w:r w:rsidRPr="00AA3F66">
        <w:rPr>
          <w:rFonts w:eastAsia="Batang" w:cs="Times New Roman"/>
        </w:rPr>
        <w:t>бхващат проекти с голям мащаб, реализуеми поетапно във времето с ангажиране на значителен финансов ресурс за тяхното изпълнение. Крайният срок за извършване на плащания от бенефициентите в рамките на програмен период 2014-2020 е до края на 2023 г., като те са обезпечени на база ритмична сертификация и възстановяване на средства от ЕК. Възстановяването на разходи към бенефициентите ще продължи до 30.06.2024 г, като последното искане за плащане ще бъде подадено през месец юли 2024 г.</w:t>
      </w:r>
    </w:p>
    <w:p w:rsidR="006E6FFB" w:rsidRPr="00AA3F66" w:rsidRDefault="006E6FFB" w:rsidP="006E6FFB">
      <w:pPr>
        <w:rPr>
          <w:rFonts w:eastAsia="Batang" w:cs="Times New Roman"/>
        </w:rPr>
      </w:pPr>
      <w:r w:rsidRPr="00AA3F66">
        <w:rPr>
          <w:rFonts w:eastAsia="Batang" w:cs="Times New Roman"/>
        </w:rPr>
        <w:t xml:space="preserve">Част от инициативата </w:t>
      </w:r>
      <w:r w:rsidRPr="00AA3F66">
        <w:rPr>
          <w:rFonts w:eastAsia="Batang" w:cs="Times New Roman"/>
          <w:b/>
        </w:rPr>
        <w:t>NEXT GENERATION EU</w:t>
      </w:r>
      <w:r w:rsidRPr="00AA3F66">
        <w:rPr>
          <w:rFonts w:eastAsia="Batang" w:cs="Times New Roman"/>
        </w:rPr>
        <w:t xml:space="preserve"> са механизмът </w:t>
      </w:r>
      <w:r w:rsidRPr="00AA3F66">
        <w:rPr>
          <w:rFonts w:eastAsia="Batang" w:cs="Times New Roman"/>
          <w:b/>
        </w:rPr>
        <w:t>REACT-EU</w:t>
      </w:r>
      <w:r w:rsidRPr="00AA3F66">
        <w:rPr>
          <w:rFonts w:eastAsia="Batang" w:cs="Times New Roman"/>
        </w:rPr>
        <w:t xml:space="preserve"> за подкрепа на най-силно засегнатите от COVID-19 държави членки и региони с инвестиции, насочени към възстановяване на пазарите на труда, подпомагане на системите за здравеопазване и подкрепа на ликвидността на малките и средните предприятия, и </w:t>
      </w:r>
      <w:r w:rsidRPr="00AA3F66">
        <w:rPr>
          <w:rFonts w:eastAsia="Batang" w:cs="Times New Roman"/>
          <w:b/>
        </w:rPr>
        <w:t>Механизмът за възстановяване и устойчивост</w:t>
      </w:r>
      <w:r w:rsidRPr="00AA3F66">
        <w:rPr>
          <w:rFonts w:eastAsia="Batang" w:cs="Times New Roman"/>
        </w:rPr>
        <w:t>, чрез който се финансират реформи и инвестиции с цел смекчаване на икономическото и социалното въздействие на пандемията, както и превръщането на икономиките на ЕС в по-устойчиви и издръжливи на сътресения и по-добре подготвени за предизвикателствата на екологичния и цифровия преход.</w:t>
      </w:r>
    </w:p>
    <w:p w:rsidR="006E6FFB" w:rsidRPr="00C20F3B" w:rsidRDefault="006E6FFB" w:rsidP="006E6FFB">
      <w:pPr>
        <w:rPr>
          <w:rFonts w:eastAsia="Batang" w:cs="Times New Roman"/>
          <w:b/>
          <w:bCs/>
          <w:color w:val="852010" w:themeColor="accent3" w:themeShade="BF"/>
        </w:rPr>
      </w:pPr>
      <w:r w:rsidRPr="00C20F3B">
        <w:rPr>
          <w:rFonts w:eastAsia="Batang" w:cs="Times New Roman"/>
          <w:b/>
          <w:bCs/>
          <w:color w:val="852010" w:themeColor="accent3" w:themeShade="BF"/>
        </w:rPr>
        <w:t>REACT-EU</w:t>
      </w:r>
    </w:p>
    <w:p w:rsidR="006E6FFB" w:rsidRPr="00AA3F66" w:rsidRDefault="006E6FFB" w:rsidP="006E6FFB">
      <w:pPr>
        <w:rPr>
          <w:rFonts w:eastAsia="Batang"/>
        </w:rPr>
      </w:pPr>
      <w:r w:rsidRPr="00AA3F66">
        <w:rPr>
          <w:rFonts w:eastAsia="Batang" w:cs="Times New Roman"/>
        </w:rPr>
        <w:t xml:space="preserve">Заделеният за България ресурс по инициативата REACT-EU е в размер на 1,283 млрд. лв., а средствата са разпределени в пет от действащите оперативни програми от програмен период 2014-2020 г., които позволяват финансиране на дейности, необходими за противодействие на COVID-19. </w:t>
      </w:r>
    </w:p>
    <w:p w:rsidR="006E6FFB" w:rsidRPr="00AA3F66" w:rsidRDefault="006E6FFB" w:rsidP="00417DBB">
      <w:pPr>
        <w:rPr>
          <w:rFonts w:eastAsia="Batang" w:cs="Times New Roman"/>
        </w:rPr>
      </w:pPr>
      <w:r w:rsidRPr="00AA3F66">
        <w:rPr>
          <w:rFonts w:eastAsia="Batang" w:cs="Times New Roman"/>
        </w:rPr>
        <w:t>Усилията в настоящия момент са насочени към ускоряване изпълнението на проектите и успешно приключване на програмите, без да се допуска загуба на средства, като се предприемат необходимите действия за фазиране на проектите, които няма да приключат до края на годината; включване на проекти, за които бенефициентите имат проектна готовност; приключване на процеса по индексиране.</w:t>
      </w:r>
    </w:p>
    <w:p w:rsidR="006E6FFB" w:rsidRPr="00AA3F66" w:rsidRDefault="006E6FFB" w:rsidP="006E6FFB">
      <w:pPr>
        <w:rPr>
          <w:rFonts w:eastAsia="Batang" w:cs="Times New Roman"/>
          <w:b/>
          <w:bCs/>
          <w:color w:val="852010" w:themeColor="accent3" w:themeShade="BF"/>
        </w:rPr>
      </w:pPr>
      <w:r w:rsidRPr="00AA3F66">
        <w:rPr>
          <w:rFonts w:eastAsia="Batang" w:cs="Times New Roman"/>
          <w:b/>
          <w:bCs/>
          <w:color w:val="852010" w:themeColor="accent3" w:themeShade="BF"/>
        </w:rPr>
        <w:t>Механизъм за възстановяване и устойчивост (МВУ)</w:t>
      </w:r>
    </w:p>
    <w:p w:rsidR="006E6FFB" w:rsidRPr="00AA3F66" w:rsidRDefault="006E6FFB" w:rsidP="006E6FFB">
      <w:pPr>
        <w:rPr>
          <w:rFonts w:eastAsia="Batang" w:cs="Times New Roman"/>
        </w:rPr>
      </w:pPr>
      <w:r w:rsidRPr="00AA3F66">
        <w:rPr>
          <w:rFonts w:eastAsia="Batang" w:cs="Times New Roman"/>
        </w:rPr>
        <w:t>Механизмът за възстановяване и устойчивост (Recovery and Resilience Facility) е ключова програма на Инструмента за възстановяване на ЕС. С него на държавите членки се предоставят безвъзмездна финансова подкрепа и заеми за подпомагане на публичните инвестиции и реформи, предвидени в техните планове за възстановяване и устойчивост, както и за смекчаване на последиците за обществото, причинени от кризата от COVID-19. Механизмът за възстановяване и устойчивост се прилага в широк кръг от сфери на политиката и включва области, свързани със сближаването, двата прехода (екологичен и цифров), конкурентоспособността, производителността, здравеопазването и интелигентните иновации и е на пряко управление от ЕК в съответствие с Финансовия регламент. Финансовата подкрепа е в допълнение към предоставената по линия на други фондове и програми на ЕС и не може да покрива същите разходи. Финансовата подкрепа се предоставя за постигане на общите и специфични цели, посочени в регламента. Средствата се предоставят на държавите членки под формата на безвъзмездна помощ и под формата на заеми. Механизмът за възстановяване и устойчивост е резултатно ориентиран инструмент. Плащанията от страна на ЕК към България не са свързани с направените разходи, а с отчитането на етапи и цели. По линия на Механизма България получава само безвъзмездна финансова подкрепа.</w:t>
      </w:r>
    </w:p>
    <w:p w:rsidR="006E6FFB" w:rsidRPr="00AA3F66" w:rsidRDefault="006E6FFB" w:rsidP="006E6FFB">
      <w:pPr>
        <w:rPr>
          <w:rFonts w:eastAsia="Batang" w:cs="Times New Roman"/>
        </w:rPr>
      </w:pPr>
      <w:r w:rsidRPr="00AA3F66">
        <w:rPr>
          <w:rFonts w:eastAsia="Batang" w:cs="Times New Roman"/>
        </w:rPr>
        <w:t>С Решение за изпълнение на Съвета от 04.05.2022 г. за одобряване на оценката на Плана за възстановяване и устойчивост на Република България беше одобрен Планът за възстановяване и устойчивост на Република България, финансиран от Механизма за възстановяване и устойчивост. Финансовият пакет, от който страната ни може да се възползва, към момента е 5,689 млрд. евро безвъзмездна финансова помощ.</w:t>
      </w:r>
    </w:p>
    <w:p w:rsidR="006E6FFB" w:rsidRPr="00AA3F66" w:rsidRDefault="006E6FFB" w:rsidP="006E6FFB">
      <w:pPr>
        <w:rPr>
          <w:rFonts w:eastAsia="Times New Roman" w:cs="Times New Roman"/>
          <w:szCs w:val="24"/>
        </w:rPr>
      </w:pPr>
      <w:r w:rsidRPr="00AA3F66">
        <w:rPr>
          <w:rFonts w:eastAsia="Times New Roman" w:cs="Times New Roman"/>
          <w:szCs w:val="24"/>
        </w:rPr>
        <w:t>Съгласно Плана за възстановяване и устойчивост на България се финансират реформи и инвестиции в следните области на интервенция:</w:t>
      </w:r>
    </w:p>
    <w:p w:rsidR="006E6FFB" w:rsidRPr="00AA3F66" w:rsidRDefault="006E6FFB" w:rsidP="00986333">
      <w:pPr>
        <w:numPr>
          <w:ilvl w:val="0"/>
          <w:numId w:val="13"/>
        </w:numPr>
        <w:ind w:left="900"/>
        <w:rPr>
          <w:rFonts w:eastAsia="Times New Roman" w:cs="Times New Roman"/>
          <w:i/>
          <w:szCs w:val="24"/>
        </w:rPr>
      </w:pPr>
      <w:r w:rsidRPr="00AA3F66">
        <w:rPr>
          <w:rFonts w:eastAsia="Times New Roman" w:cs="Times New Roman"/>
          <w:i/>
          <w:szCs w:val="24"/>
        </w:rPr>
        <w:t>Стълб Иновативна България с Компонент 1: Образование и умения; Компонент 2: Научни изследвания и иновации и Компонент 3: Интелигентна индустрия;</w:t>
      </w:r>
    </w:p>
    <w:p w:rsidR="006E6FFB" w:rsidRPr="00AA3F66" w:rsidRDefault="006E6FFB" w:rsidP="00986333">
      <w:pPr>
        <w:pStyle w:val="ListParagraph"/>
        <w:numPr>
          <w:ilvl w:val="0"/>
          <w:numId w:val="13"/>
        </w:numPr>
        <w:spacing w:after="200"/>
        <w:ind w:left="900"/>
        <w:rPr>
          <w:rFonts w:eastAsia="Times New Roman"/>
          <w:i/>
          <w:szCs w:val="24"/>
        </w:rPr>
      </w:pPr>
      <w:r w:rsidRPr="00AA3F66">
        <w:rPr>
          <w:rFonts w:eastAsia="Times New Roman"/>
          <w:i/>
          <w:szCs w:val="24"/>
        </w:rPr>
        <w:t>Стълб Зелена България с Компонент 4: Нисковъглеродна икономика; Компонент 5</w:t>
      </w:r>
      <w:r w:rsidR="00CB7828" w:rsidRPr="00AA3F66">
        <w:rPr>
          <w:rFonts w:eastAsia="Times New Roman"/>
          <w:i/>
          <w:szCs w:val="24"/>
        </w:rPr>
        <w:t>:</w:t>
      </w:r>
      <w:r w:rsidRPr="00AA3F66">
        <w:rPr>
          <w:rFonts w:eastAsia="Times New Roman"/>
          <w:i/>
          <w:szCs w:val="24"/>
        </w:rPr>
        <w:t xml:space="preserve"> Биоразнообразие и Компонент 6: Устойчиво земеделие;</w:t>
      </w:r>
    </w:p>
    <w:p w:rsidR="006E6FFB" w:rsidRPr="00AA3F66" w:rsidRDefault="006E6FFB" w:rsidP="00986333">
      <w:pPr>
        <w:pStyle w:val="ListParagraph"/>
        <w:numPr>
          <w:ilvl w:val="0"/>
          <w:numId w:val="13"/>
        </w:numPr>
        <w:spacing w:after="200"/>
        <w:ind w:left="900"/>
        <w:rPr>
          <w:rFonts w:eastAsia="Times New Roman"/>
          <w:i/>
          <w:szCs w:val="24"/>
        </w:rPr>
      </w:pPr>
      <w:r w:rsidRPr="00AA3F66">
        <w:rPr>
          <w:rFonts w:eastAsia="Times New Roman"/>
          <w:i/>
          <w:szCs w:val="24"/>
        </w:rPr>
        <w:t>Стълб Свързана България с Компонент 7: Цифрова свързаност; Компонент 8: Транспортна свързаност и Компонент 9: Местно развитие;</w:t>
      </w:r>
    </w:p>
    <w:p w:rsidR="006E6FFB" w:rsidRPr="00AA3F66" w:rsidRDefault="006E6FFB" w:rsidP="00986333">
      <w:pPr>
        <w:numPr>
          <w:ilvl w:val="0"/>
          <w:numId w:val="13"/>
        </w:numPr>
        <w:ind w:left="900"/>
        <w:rPr>
          <w:rFonts w:eastAsia="Times New Roman" w:cs="Times New Roman"/>
          <w:i/>
          <w:szCs w:val="24"/>
        </w:rPr>
      </w:pPr>
      <w:r w:rsidRPr="00AA3F66">
        <w:rPr>
          <w:rFonts w:eastAsia="Times New Roman" w:cs="Times New Roman"/>
          <w:i/>
          <w:szCs w:val="24"/>
        </w:rPr>
        <w:t>Стълб Справедлива България с Компонент 10: Бизнес среда; Компонент 11: Социално включване и Компонент 12: Здравеопазване.</w:t>
      </w:r>
    </w:p>
    <w:p w:rsidR="006E6FFB" w:rsidRPr="00AA3F66" w:rsidRDefault="006E6FFB" w:rsidP="006E6FFB">
      <w:pPr>
        <w:rPr>
          <w:b/>
        </w:rPr>
      </w:pPr>
      <w:r w:rsidRPr="00AA3F66">
        <w:t xml:space="preserve">На 29.09.2023 г. България представи пред Европейската комисия проект за актуализиране на бюджетни линии по НПВУ с оглед намаленото максимално безвъзмездно финансиране от ЕС от 6 268 706 000 евро на 5 688 778 600 евро в съответствие с чл. 11, параграф 2 от Регламент (ЕС) 2021/241, Европейската комисия във връзка с по-добро от очакваното възстановяване на България от кризата с COVID-19. </w:t>
      </w:r>
    </w:p>
    <w:p w:rsidR="006E6FFB" w:rsidRPr="00AA3F66" w:rsidRDefault="006E6FFB" w:rsidP="006E6FFB">
      <w:r w:rsidRPr="00AA3F66">
        <w:t xml:space="preserve">В резултат на извършен преглед е предлoжена актуализация в бюджетите на 17 инвестиции (от които за 3 се предлага да отпаднат), с което общата стойност на финансирането по НПВУ отразява намалените безвъзмездни средства от Механизма за възстановяване и устойчивост (МВУ). По този начин се използва възможността на чл. 18(2) с цел намаляване на риска от последваща допълнителна загуба на средства поради физическа невъзможност за вместване на инвестиции в рамките на периода на допустимост по ПВУ. </w:t>
      </w:r>
    </w:p>
    <w:p w:rsidR="006E6FFB" w:rsidRPr="00AA3F66" w:rsidRDefault="006E6FFB" w:rsidP="006E6FFB">
      <w:r w:rsidRPr="00AA3F66">
        <w:t xml:space="preserve">ЕК ще извърши оценка на предложението в съответствие с изискванията по МВУ, като в процеса на оценка е възможно допълнително прецизиране. Актуализираните стойности се очаква да бъдат одобрени от ЕК и от държавите членки преди края на 2023 г. </w:t>
      </w:r>
    </w:p>
    <w:p w:rsidR="006E6FFB" w:rsidRPr="00AA3F66" w:rsidRDefault="006E6FFB" w:rsidP="006E6FFB">
      <w:pPr>
        <w:rPr>
          <w:rFonts w:eastAsia="Batang" w:cs="Times New Roman"/>
          <w:bCs/>
        </w:rPr>
      </w:pPr>
      <w:r w:rsidRPr="00AA3F66">
        <w:t xml:space="preserve">Този процес е свързан с актуализиране на финансирането и не засяга предоговарянето на реформи и други инвестиции поради наличието на обективни обстоятелства (чл. 21) или официалното подаване на пакет реформи и инвестиции по REPowerEU. </w:t>
      </w:r>
      <w:r w:rsidRPr="00AA3F66">
        <w:rPr>
          <w:rFonts w:eastAsia="Batang" w:cs="Times New Roman"/>
          <w:bCs/>
        </w:rPr>
        <w:t xml:space="preserve">Проект на промяна на Националния план за възстановяване и устойчивост в съответствие с чл. 21 от Регламент (ЕС) 2021/241 и добавяне на глава REPowerEU в отговор на затрудненията и смущенията на световния енергиен пазар, причинени от войната в Украйна се очаква да бъде изпратен на ЕК до края на 2023 г. Заделените за България средства по глава REPowerEU са в размер на 480,0 млн. евро. </w:t>
      </w:r>
    </w:p>
    <w:p w:rsidR="006E6FFB" w:rsidRPr="00AA3F66" w:rsidRDefault="006E6FFB" w:rsidP="006E6FFB">
      <w:pPr>
        <w:rPr>
          <w:rFonts w:eastAsia="Batang" w:cs="Times New Roman"/>
        </w:rPr>
      </w:pPr>
      <w:r w:rsidRPr="00AA3F66">
        <w:rPr>
          <w:rFonts w:eastAsia="Batang" w:cs="Times New Roman"/>
          <w:b/>
          <w:bCs/>
          <w:color w:val="852010" w:themeColor="accent3" w:themeShade="BF"/>
        </w:rPr>
        <w:t>Двустранните програми за трансгранично сътрудничество (ТГС) по Инструмента за предприсъединителна помощ (ИПП II)</w:t>
      </w:r>
      <w:r w:rsidRPr="00AA3F66">
        <w:rPr>
          <w:rFonts w:eastAsia="Batang" w:cs="Times New Roman"/>
        </w:rPr>
        <w:t xml:space="preserve"> на Европейския съюз имат за цел преодоляването на общи предизвикателства, установени съвместно в граничните региони, като същевременно се засилва процесът на сътрудничество за целите на разширяването и цялостното хармонично развитие на Европейския съюз. Програмите са в заключителен етап на изпълнение и се очаква да разходват 100% от бюджета си. </w:t>
      </w:r>
    </w:p>
    <w:p w:rsidR="006E6FFB" w:rsidRPr="00AA3F66" w:rsidRDefault="006E6FFB" w:rsidP="006E6FFB">
      <w:pPr>
        <w:rPr>
          <w:rFonts w:eastAsia="Batang" w:cs="Times New Roman"/>
        </w:rPr>
      </w:pPr>
      <w:r w:rsidRPr="00AA3F66">
        <w:rPr>
          <w:rFonts w:eastAsia="Batang" w:cs="Times New Roman"/>
        </w:rPr>
        <w:t xml:space="preserve">По отношение на приходната част са взети предвид спецификите в подхода за предоставяне на средства от страна на ЕК, а именно начина и сроковете на предоставяне на предварителното финансиране по отделни програми, мерки и механизми, както и въведеното годишно уравняване на сметки, което оказва влияние на стойността на приходите през всички години от прогнозния период. </w:t>
      </w:r>
    </w:p>
    <w:p w:rsidR="006E6FFB" w:rsidRPr="00AA3F66" w:rsidRDefault="006E6FFB" w:rsidP="006E6FFB">
      <w:pPr>
        <w:rPr>
          <w:rFonts w:eastAsia="Batang" w:cs="Times New Roman"/>
        </w:rPr>
      </w:pPr>
      <w:r w:rsidRPr="00AA3F66">
        <w:rPr>
          <w:rFonts w:eastAsia="Batang" w:cs="Times New Roman"/>
        </w:rPr>
        <w:t>Също така са отчетени спецификите и сроковете за годишното уравняване на сметките с ЕК на база представените от държавите членки годишни счетоводни отчети. В тези отчети се включва информация за изминалата счетоводна година, която обхваща периода от 1 юли на година „n-1” до 30 юни на година „n“. Съгласно това правило ЕК възстановява текущо 90% за ПП</w:t>
      </w:r>
      <w:r w:rsidR="00D57303" w:rsidRPr="00AA3F66">
        <w:rPr>
          <w:rStyle w:val="FootnoteReference"/>
          <w:rFonts w:eastAsia="Batang"/>
        </w:rPr>
        <w:footnoteReference w:id="39"/>
      </w:r>
      <w:r w:rsidRPr="00AA3F66">
        <w:rPr>
          <w:rFonts w:eastAsia="Batang" w:cs="Times New Roman"/>
        </w:rPr>
        <w:t xml:space="preserve"> 2014-2020 г. и 95% за ПП 2021-2027 г. от допустимите разходи, включени в изпратените от държавите членки заявления за плащания, а останалата за възстановяване част ще се изчислява след приспадане на полученото годишно предварително финансиране и вече получените 90% за ПП 2014-2020 г. и 95% за ПП 2021-2027 г. При годишното уравняване на сметките се взимат под внимание следните компоненти: общият размер на допустимите разходи, включени в исканията за плащане, изпратени до ЕК; отписаните и възстановените суми; сумите, подлежащи на възстановяване към края на счетоводната година; неподлежащите на събиране суми, както и полученото годишно предварително финансиране. На база на изчисленията Комисията уравнява съответното годишно предварително финансиране и изплаща всяка допълнителна дължима сума в срок от 30 дни от приемането на годишните счетоводни отчети.</w:t>
      </w:r>
    </w:p>
    <w:p w:rsidR="006E6FFB" w:rsidRPr="00AA3F66" w:rsidRDefault="006E6FFB" w:rsidP="006E6FFB">
      <w:pPr>
        <w:rPr>
          <w:rFonts w:eastAsia="Batang" w:cs="Times New Roman"/>
        </w:rPr>
      </w:pPr>
      <w:r w:rsidRPr="00AA3F66">
        <w:rPr>
          <w:rFonts w:eastAsia="Batang" w:cs="Times New Roman"/>
        </w:rPr>
        <w:t>Важно е да се отбележи, че всяко забавяне на темповете на извършване на разходи по програмите, съфинансирани със средства от ЕС, спрямо разчетените данни, би довело до намаляване размера на разходите, които се сертифицират към ЕК, което от своя страна ще се отрази в намаление на постъпленията към Република България през съответните години.</w:t>
      </w:r>
    </w:p>
    <w:p w:rsidR="006E6FFB" w:rsidRPr="00AA3F66" w:rsidRDefault="006E6FFB" w:rsidP="006E6FFB">
      <w:pPr>
        <w:rPr>
          <w:rFonts w:eastAsia="Batang" w:cs="Times New Roman"/>
          <w:b/>
          <w:bCs/>
          <w:color w:val="852010" w:themeColor="accent3" w:themeShade="BF"/>
        </w:rPr>
      </w:pPr>
      <w:r w:rsidRPr="00AA3F66">
        <w:rPr>
          <w:rFonts w:eastAsia="Batang" w:cs="Times New Roman"/>
          <w:b/>
          <w:bCs/>
          <w:color w:val="852010" w:themeColor="accent3" w:themeShade="BF"/>
        </w:rPr>
        <w:t>Програми от програмен период 2021-2027 г.</w:t>
      </w:r>
    </w:p>
    <w:p w:rsidR="006E6FFB" w:rsidRPr="00AA3F66" w:rsidRDefault="006E6FFB" w:rsidP="006E6FFB">
      <w:pPr>
        <w:rPr>
          <w:rFonts w:eastAsia="Batang" w:cs="Times New Roman"/>
        </w:rPr>
      </w:pPr>
      <w:r w:rsidRPr="00AA3F66">
        <w:rPr>
          <w:rFonts w:eastAsia="Batang" w:cs="Times New Roman"/>
        </w:rPr>
        <w:t xml:space="preserve">На 06.07.2022 г. от страна на ЕК е одобрено Споразумението за партньорство с България </w:t>
      </w:r>
      <w:r w:rsidRPr="00AA3F66">
        <w:rPr>
          <w:rFonts w:eastAsia="Batang" w:cs="Times New Roman"/>
          <w:b/>
        </w:rPr>
        <w:t>на стойност 10,8 млрд. евро,</w:t>
      </w:r>
      <w:r w:rsidRPr="00AA3F66">
        <w:rPr>
          <w:rFonts w:eastAsia="Batang" w:cs="Times New Roman"/>
        </w:rPr>
        <w:t xml:space="preserve"> в което се определя инвестиционната стратегия на страната в областта на политиката на сближаване за периода 2021-2027 г. </w:t>
      </w:r>
    </w:p>
    <w:p w:rsidR="006E6FFB" w:rsidRPr="00AA3F66" w:rsidRDefault="006E6FFB" w:rsidP="006E6FFB">
      <w:pPr>
        <w:rPr>
          <w:rFonts w:cs="Times New Roman"/>
        </w:rPr>
      </w:pPr>
      <w:r w:rsidRPr="00AA3F66">
        <w:rPr>
          <w:rFonts w:cs="Times New Roman"/>
          <w:b/>
        </w:rPr>
        <w:t>Програма „Развитие на човешките ресурси“</w:t>
      </w:r>
      <w:r w:rsidRPr="00AA3F66">
        <w:rPr>
          <w:rFonts w:cs="Times New Roman"/>
        </w:rPr>
        <w:t xml:space="preserve"> е с бюджет за периода 2021-2027 г. около 3,850 млрд. лв., като в сравнение с предходния програмен период 2014-2020 г. е договорено почти двойно увеличение на бюджета на програмата. Средствата са насочени към преодоляване на предизвикателствата, свързани с пазара на труда, заетостта, качеството на работните места, адаптиране на предприятията към променящите се изисквания и условия за работа, развитие на уменията на работната сила, насърчаване на социалното включване и равните възможности на възрастните, лицата с увреждания и специални потребности, както и други уязвими групи, вкл. и децата.</w:t>
      </w:r>
    </w:p>
    <w:p w:rsidR="006E6FFB" w:rsidRPr="00AA3F66" w:rsidRDefault="006E6FFB" w:rsidP="006E6FFB">
      <w:pPr>
        <w:rPr>
          <w:rFonts w:cs="Times New Roman"/>
        </w:rPr>
      </w:pPr>
      <w:r w:rsidRPr="00AA3F66">
        <w:rPr>
          <w:rFonts w:cs="Times New Roman"/>
          <w:b/>
        </w:rPr>
        <w:t xml:space="preserve">Програма „Околна среда“ 2021-2027 г. </w:t>
      </w:r>
      <w:r w:rsidRPr="00AA3F66">
        <w:rPr>
          <w:rFonts w:cs="Times New Roman"/>
        </w:rPr>
        <w:t>(ПОС 2021-2027)</w:t>
      </w:r>
      <w:r w:rsidRPr="00AA3F66">
        <w:t xml:space="preserve"> </w:t>
      </w:r>
      <w:r w:rsidRPr="00AA3F66">
        <w:rPr>
          <w:rFonts w:cs="Times New Roman"/>
        </w:rPr>
        <w:t>е с бюджет 3,5 млрд. лв. Целите на ПОС 2021-2027 г. са свързани с подобряване на ВиК инфраструктурата и качеството на атмосферния въздух, екологосъобразно управление на отпадъците и опазване на богатото ни биоразнообразие. Мерките за превенция и управление на риска от наводнения, свлачища и горски пожари са в Приоритет „Риск и изменение на климата“.</w:t>
      </w:r>
    </w:p>
    <w:p w:rsidR="006E6FFB" w:rsidRPr="00AA3F66" w:rsidRDefault="006E6FFB" w:rsidP="006E6FFB">
      <w:pPr>
        <w:rPr>
          <w:rFonts w:eastAsia="Batang" w:cs="Times New Roman"/>
        </w:rPr>
      </w:pPr>
      <w:r w:rsidRPr="00AA3F66">
        <w:rPr>
          <w:rFonts w:eastAsia="Batang" w:cs="Times New Roman"/>
          <w:b/>
        </w:rPr>
        <w:t xml:space="preserve">Програмата за конкурентоспособност и иновации за периода 2021-2027 г. </w:t>
      </w:r>
      <w:r w:rsidRPr="00AA3F66">
        <w:rPr>
          <w:rFonts w:eastAsia="Batang" w:cs="Times New Roman"/>
        </w:rPr>
        <w:t>(ПКИП 2021-2027) е пряко насочена към постигането на интелигентен и устойчив растеж на българската икономика, както и осъществяването на индустриална и иновационна трансформация. За изпълнението на ПКИП 2021-2027 е определен индикативен финансов ресурс в размер на 2,402 млрд. лв. от Европейския фонд за регионално развитие.</w:t>
      </w:r>
    </w:p>
    <w:p w:rsidR="006E6FFB" w:rsidRPr="00AA3F66" w:rsidRDefault="006E6FFB" w:rsidP="006E6FFB">
      <w:pPr>
        <w:rPr>
          <w:rFonts w:eastAsia="Batang" w:cs="Times New Roman"/>
        </w:rPr>
      </w:pPr>
      <w:r w:rsidRPr="00AA3F66">
        <w:rPr>
          <w:rFonts w:eastAsia="Batang" w:cs="Times New Roman"/>
          <w:b/>
        </w:rPr>
        <w:t>Програма „Образование” 2021-2027 г</w:t>
      </w:r>
      <w:r w:rsidRPr="00AA3F66">
        <w:rPr>
          <w:rFonts w:eastAsia="Batang" w:cs="Times New Roman"/>
        </w:rPr>
        <w:t xml:space="preserve">. е с бюджет от 1 887,0 млн. лв., финансирана от ЕСФ+. Със средствата ще се насърчава равният достъп на всички деца и ученици до качествено и приобщаващо образование с акцент върху уязвимите групи. </w:t>
      </w:r>
      <w:r w:rsidR="00D65AE9" w:rsidRPr="00AA3F66">
        <w:rPr>
          <w:rFonts w:eastAsia="Batang" w:cs="Times New Roman"/>
        </w:rPr>
        <w:t>Също така щ</w:t>
      </w:r>
      <w:r w:rsidRPr="00AA3F66">
        <w:rPr>
          <w:rFonts w:eastAsia="Batang" w:cs="Times New Roman"/>
        </w:rPr>
        <w:t>е се разшири дигиталното образователно съдържание, ще се повишат дигиталната компетентност и умения на педагогическите специ</w:t>
      </w:r>
      <w:r w:rsidR="00D65AE9" w:rsidRPr="00AA3F66">
        <w:rPr>
          <w:rFonts w:eastAsia="Batang" w:cs="Times New Roman"/>
        </w:rPr>
        <w:t>алисти, учениците и родителите, щ</w:t>
      </w:r>
      <w:r w:rsidRPr="00AA3F66">
        <w:rPr>
          <w:rFonts w:eastAsia="Batang" w:cs="Times New Roman"/>
        </w:rPr>
        <w:t>е се насърчава въвеждането на иновативни учебни програми и съдържание и ще се подкрепи изявата на талантите на учениците, особено в по-отдалечените райони на страната.</w:t>
      </w:r>
    </w:p>
    <w:p w:rsidR="006E6FFB" w:rsidRPr="00AA3F66" w:rsidRDefault="006E6FFB" w:rsidP="006A2D3A">
      <w:pPr>
        <w:rPr>
          <w:rFonts w:eastAsia="Batang" w:cs="Times New Roman"/>
        </w:rPr>
      </w:pPr>
      <w:r w:rsidRPr="00AA3F66">
        <w:rPr>
          <w:rFonts w:eastAsia="Batang" w:cs="Times New Roman"/>
          <w:b/>
        </w:rPr>
        <w:t>Програма „Научни изследвания, иновации и дигитализация за интелигентна трансформация“ 2021-2027 г.</w:t>
      </w:r>
      <w:r w:rsidRPr="00AA3F66">
        <w:rPr>
          <w:rFonts w:eastAsia="Batang" w:cs="Times New Roman"/>
        </w:rPr>
        <w:t xml:space="preserve"> (ПНИИДИТ 2021-2027) отговаря на стратегическите потребности и приоритети на България за прилагане на обща политика за развитието на научните изследвания и иновациите и за цифровизация на публичния сектор с оглед създаване на условия за управление, базирано на данни в полза на ускореното икономическо развитие на страната. За изпълнението на ПНИИДИТ 2021-2027 е определен финансов ресурс в размер на 1,731 млрд. лв. от Европейския фонд за регионално развитие. </w:t>
      </w:r>
    </w:p>
    <w:p w:rsidR="006E6FFB" w:rsidRPr="00AA3F66" w:rsidRDefault="006E6FFB" w:rsidP="006A2D3A">
      <w:pPr>
        <w:rPr>
          <w:rFonts w:eastAsia="Batang" w:cs="Times New Roman"/>
        </w:rPr>
      </w:pPr>
      <w:r w:rsidRPr="00AA3F66">
        <w:rPr>
          <w:rFonts w:eastAsia="Batang" w:cs="Times New Roman"/>
          <w:b/>
        </w:rPr>
        <w:t xml:space="preserve">Програма за храни и/или основно материално подпомагане 2021-2027 г. </w:t>
      </w:r>
      <w:r w:rsidRPr="00AA3F66">
        <w:rPr>
          <w:rFonts w:eastAsia="Batang" w:cs="Times New Roman"/>
        </w:rPr>
        <w:t>с общ одобрен ресурс в размер на 411,7 млн. лв. ще допринесе за изпълнението на специфичната цел на Съюза, насочена към справяне с проблема с материалните лишения чрез подпомагане с хра</w:t>
      </w:r>
      <w:r w:rsidR="006A2D3A" w:rsidRPr="00AA3F66">
        <w:rPr>
          <w:rFonts w:eastAsia="Batang" w:cs="Times New Roman"/>
        </w:rPr>
        <w:t xml:space="preserve">ни и основна материална помощ. </w:t>
      </w:r>
      <w:r w:rsidRPr="00AA3F66">
        <w:rPr>
          <w:rFonts w:eastAsia="Batang" w:cs="Times New Roman"/>
        </w:rPr>
        <w:t>Програмата е свързващ елемент с всички останали инструменти, фокусирани върху подкрепа за социално включване на уязвими групи.</w:t>
      </w:r>
    </w:p>
    <w:p w:rsidR="006E6FFB" w:rsidRPr="00AA3F66" w:rsidRDefault="006E6FFB" w:rsidP="006E6FFB">
      <w:pPr>
        <w:rPr>
          <w:rFonts w:eastAsia="Batang" w:cs="Times New Roman"/>
        </w:rPr>
      </w:pPr>
      <w:r w:rsidRPr="00AA3F66">
        <w:rPr>
          <w:rFonts w:eastAsia="Batang" w:cs="Times New Roman"/>
          <w:b/>
        </w:rPr>
        <w:t>Програма „Развитие на регионите” 2021-2027 г.</w:t>
      </w:r>
      <w:r w:rsidRPr="00AA3F66">
        <w:t xml:space="preserve"> (ПРР 2021-2027)</w:t>
      </w:r>
      <w:r w:rsidR="00D65AE9" w:rsidRPr="00AA3F66">
        <w:t>. О</w:t>
      </w:r>
      <w:r w:rsidRPr="00AA3F66">
        <w:rPr>
          <w:rFonts w:eastAsia="Batang" w:cs="Times New Roman"/>
        </w:rPr>
        <w:t>сновната цел на политиката за регионално развитие в България и съответно, стратегическа цел на новата ПРР 2021-2027 г.</w:t>
      </w:r>
      <w:r w:rsidR="00D65AE9" w:rsidRPr="00AA3F66">
        <w:rPr>
          <w:rFonts w:eastAsia="Batang" w:cs="Times New Roman"/>
        </w:rPr>
        <w:t>,</w:t>
      </w:r>
      <w:r w:rsidRPr="00AA3F66">
        <w:rPr>
          <w:rFonts w:eastAsia="Batang" w:cs="Times New Roman"/>
        </w:rPr>
        <w:t xml:space="preserve"> е да създаде жизнени, силни и устойчиви региони като отговор на неблагоприятните демографски тенденции и задълбочаване на между-регионалните и вътрешно-регионалните различия. Целите на програмата ще бъдат адресирани чрез прилагането на интегриран териториален подход: средствата ще се отпускат за финансиране на концепции за интегрирани териториални инвестиции (пакети с интегрирани проекти) в изпълнение на приоритетите на интегрирани териториални стратегии, като в подбора на проектите ще участват съответните териториални органи.</w:t>
      </w:r>
      <w:r w:rsidRPr="00AA3F66">
        <w:t xml:space="preserve"> Индикативния</w:t>
      </w:r>
      <w:r w:rsidR="00D65AE9" w:rsidRPr="00AA3F66">
        <w:t>т</w:t>
      </w:r>
      <w:r w:rsidRPr="00AA3F66">
        <w:t xml:space="preserve"> финансов ресурс по програмата, който  ще бъде осигурен от Европейския фонд за регионално развитие</w:t>
      </w:r>
      <w:r w:rsidR="00D65AE9" w:rsidRPr="00AA3F66">
        <w:t>,</w:t>
      </w:r>
      <w:r w:rsidRPr="00AA3F66">
        <w:t xml:space="preserve"> е в размер на 5,32 млрд. лв. </w:t>
      </w:r>
    </w:p>
    <w:p w:rsidR="006E6FFB" w:rsidRPr="00AA3F66" w:rsidRDefault="006E6FFB" w:rsidP="006E6FFB">
      <w:pPr>
        <w:rPr>
          <w:rFonts w:eastAsia="Batang" w:cs="Times New Roman"/>
        </w:rPr>
      </w:pPr>
      <w:r w:rsidRPr="00AA3F66">
        <w:rPr>
          <w:rFonts w:eastAsia="Batang" w:cs="Times New Roman"/>
          <w:b/>
        </w:rPr>
        <w:t>Програма „Транспортна свързаност“</w:t>
      </w:r>
      <w:r w:rsidRPr="00AA3F66">
        <w:t xml:space="preserve"> </w:t>
      </w:r>
      <w:r w:rsidRPr="00AA3F66">
        <w:rPr>
          <w:rFonts w:eastAsia="Batang" w:cs="Times New Roman"/>
          <w:b/>
        </w:rPr>
        <w:t xml:space="preserve">(ПТС 2021-2027) - </w:t>
      </w:r>
      <w:r w:rsidRPr="00AA3F66">
        <w:rPr>
          <w:rFonts w:eastAsia="Batang" w:cs="Times New Roman"/>
        </w:rPr>
        <w:t>приоритетите допринасят за реализацията на Зелената сделка. Предвижда се транспортния</w:t>
      </w:r>
      <w:r w:rsidR="00D65AE9" w:rsidRPr="00AA3F66">
        <w:rPr>
          <w:rFonts w:eastAsia="Batang" w:cs="Times New Roman"/>
        </w:rPr>
        <w:t>т</w:t>
      </w:r>
      <w:r w:rsidRPr="00AA3F66">
        <w:rPr>
          <w:rFonts w:eastAsia="Batang" w:cs="Times New Roman"/>
        </w:rPr>
        <w:t xml:space="preserve"> сектор да намали значително своите емисии и да стане по-устойчив, както и екологичната мобилност да бъде новия метод за растеж на транспортния сектор. Предвидените инвестиции насърчават употребата на екологосъобразни видове транспорт и алтернативни горива, подобряват качеството на пътната инфраструктура и допринасят за намаляване на вредното въздействие върху околната среда на транспорта. Средствата ще бъдат инвестирани в едни от най-големите пътни и железопътни проекти у нас, в закупуването на специализирано оборудване във водния транспорт, както и инвестиции за намаляване на вредните емисии от транспорта. Одобрените средства по програмата са в размер на 3,72 млрд. лв.</w:t>
      </w:r>
    </w:p>
    <w:p w:rsidR="006E6FFB" w:rsidRPr="00AA3F66" w:rsidRDefault="006E6FFB" w:rsidP="006E6FFB">
      <w:pPr>
        <w:rPr>
          <w:rFonts w:eastAsia="Batang" w:cs="Times New Roman"/>
        </w:rPr>
      </w:pPr>
      <w:r w:rsidRPr="00AA3F66">
        <w:rPr>
          <w:rFonts w:eastAsia="Batang" w:cs="Times New Roman"/>
          <w:b/>
          <w:bCs/>
          <w:color w:val="852010" w:themeColor="accent3" w:themeShade="BF"/>
        </w:rPr>
        <w:t>Програми за териториално сътрудничество ИНТЕРРЕГ VI-A ИПП 2021-2027</w:t>
      </w:r>
      <w:r w:rsidRPr="00AA3F66">
        <w:rPr>
          <w:rFonts w:eastAsia="Batang" w:cs="Times New Roman"/>
          <w:b/>
        </w:rPr>
        <w:t xml:space="preserve"> </w:t>
      </w:r>
      <w:r w:rsidRPr="00AA3F66">
        <w:rPr>
          <w:rFonts w:eastAsia="Batang" w:cs="Times New Roman"/>
        </w:rPr>
        <w:t>- основните приоритети по тези програми са в областта на опазването на природата, устойчивото развитие на туризма и засилване на икономическото сътрудничество между хората и институциите в граничните региони.</w:t>
      </w:r>
    </w:p>
    <w:p w:rsidR="00D4311E" w:rsidRPr="00AA3F66" w:rsidRDefault="00D4311E" w:rsidP="00EA6646">
      <w:pPr>
        <w:spacing w:after="120"/>
        <w:rPr>
          <w:rFonts w:eastAsia="Batang"/>
        </w:rPr>
      </w:pPr>
    </w:p>
    <w:p w:rsidR="00D4311E" w:rsidRPr="00AA3F66" w:rsidRDefault="00D4311E" w:rsidP="00BF4987">
      <w:pPr>
        <w:pStyle w:val="Heading3"/>
        <w:spacing w:before="120" w:after="200"/>
        <w:ind w:left="0"/>
      </w:pPr>
      <w:bookmarkStart w:id="364" w:name="_Toc465070509"/>
      <w:bookmarkStart w:id="365" w:name="_Toc465205559"/>
      <w:r w:rsidRPr="00AA3F66">
        <w:t>П</w:t>
      </w:r>
      <w:bookmarkEnd w:id="364"/>
      <w:bookmarkEnd w:id="365"/>
      <w:r w:rsidR="00E42934" w:rsidRPr="00AA3F66">
        <w:t>риходна част</w:t>
      </w:r>
    </w:p>
    <w:p w:rsidR="00603E09" w:rsidRPr="00AA3F66" w:rsidRDefault="00603E09" w:rsidP="00603E09">
      <w:pPr>
        <w:rPr>
          <w:rFonts w:eastAsia="Times New Roman" w:cs="Times New Roman"/>
          <w:lang w:eastAsia="zh-CN"/>
        </w:rPr>
      </w:pPr>
      <w:r w:rsidRPr="00AA3F66">
        <w:rPr>
          <w:rFonts w:eastAsia="Times New Roman" w:cs="Times New Roman"/>
          <w:lang w:eastAsia="zh-CN"/>
        </w:rPr>
        <w:t xml:space="preserve">При разработване на разчетите за приходите и постъпленията за периода 2024-2026 г. по програмите, финансирани от ЕС и други донори, е взет под внимание определеният индикативен размер на разходите, който се очаква да бъде възстановен от ЕК през този период. Очакваните приходи и постъпления по години са, както следва: 5 861 623,0 хил. лв. през 2024 г., в размер до 5 390 355,5 хил. лв. през 2025 г. и в размер до 4 832 455,8 хил. лв. за 2026 г. </w:t>
      </w:r>
    </w:p>
    <w:p w:rsidR="00603E09" w:rsidRPr="00AA3F66" w:rsidRDefault="00603E09" w:rsidP="00603E09">
      <w:pPr>
        <w:rPr>
          <w:rFonts w:cs="Times New Roman"/>
        </w:rPr>
      </w:pPr>
      <w:r w:rsidRPr="00AA3F66">
        <w:rPr>
          <w:rFonts w:cs="Times New Roman"/>
        </w:rPr>
        <w:t xml:space="preserve">Планираните приходи за </w:t>
      </w:r>
      <w:r w:rsidR="002557D5" w:rsidRPr="00AA3F66">
        <w:rPr>
          <w:rFonts w:cs="Times New Roman"/>
        </w:rPr>
        <w:t xml:space="preserve">периода </w:t>
      </w:r>
      <w:r w:rsidRPr="00AA3F66">
        <w:rPr>
          <w:rFonts w:cs="Times New Roman"/>
        </w:rPr>
        <w:t xml:space="preserve">2024-2026 г. по оперативните програми/програми, съфинансирани от Европейския социален фонд, Европейския социален фонд +, Европейския фонд за регионално развитие, Кохезионния фонд, Фонда за европейско подпомагане на най-нуждаещите се лица и двустранните програми за трансгранично сътрудничество по външни граници на Европейския съюз, включват определения индикативен размер на разходите, които се очаква да бъдат възстановени от ЕК през този период. </w:t>
      </w:r>
    </w:p>
    <w:p w:rsidR="00603E09" w:rsidRPr="00AA3F66" w:rsidRDefault="00603E09" w:rsidP="00603E09">
      <w:pPr>
        <w:rPr>
          <w:rFonts w:cs="Times New Roman"/>
        </w:rPr>
      </w:pPr>
      <w:r w:rsidRPr="00AA3F66">
        <w:rPr>
          <w:rFonts w:cs="Times New Roman"/>
        </w:rPr>
        <w:t xml:space="preserve">Прогнозните приходи са изчислени, като са взети под внимание следните особености: </w:t>
      </w:r>
    </w:p>
    <w:p w:rsidR="00603E09" w:rsidRPr="00AA3F66" w:rsidRDefault="00603E09" w:rsidP="00603E09">
      <w:pPr>
        <w:pStyle w:val="ListParagraph"/>
        <w:numPr>
          <w:ilvl w:val="0"/>
          <w:numId w:val="4"/>
        </w:numPr>
        <w:spacing w:after="200"/>
        <w:ind w:left="851" w:hanging="284"/>
        <w:rPr>
          <w:rFonts w:eastAsia="Times New Roman"/>
        </w:rPr>
      </w:pPr>
      <w:r w:rsidRPr="00AA3F66">
        <w:rPr>
          <w:rFonts w:eastAsia="Times New Roman"/>
        </w:rPr>
        <w:t xml:space="preserve">90% (за програмен период 2014-2020) и 95% (за програмен период 2021-2027) от размера на разходите по оперативни програми, съответстващи на европейското съфинансиране, извършени през последните два месеца на предходната година. Съгласно правилата на ЕК само заявленията за плащане, които страната-членка изпраща до 31 октомври гарантирано ще бъдат възстановени в рамките на годината, в която са изпратени. Поради тази причина всички заявления за плащане, които се очаква да бъдат изпратени след тази дата, са планирани за получаване през следващата година; </w:t>
      </w:r>
    </w:p>
    <w:p w:rsidR="00603E09" w:rsidRPr="00AA3F66" w:rsidRDefault="00603E09" w:rsidP="00603E09">
      <w:pPr>
        <w:pStyle w:val="ListParagraph"/>
        <w:numPr>
          <w:ilvl w:val="0"/>
          <w:numId w:val="4"/>
        </w:numPr>
        <w:spacing w:after="200"/>
        <w:ind w:left="851" w:hanging="284"/>
        <w:rPr>
          <w:rFonts w:eastAsia="Times New Roman"/>
        </w:rPr>
      </w:pPr>
      <w:r w:rsidRPr="00AA3F66">
        <w:rPr>
          <w:rFonts w:eastAsia="Times New Roman"/>
        </w:rPr>
        <w:t xml:space="preserve">90% (за програмен период 2014-2020) и 95% (за програмен период 2021-2027) от размера на разходите по оперативни програми, съответстващи на европейското съфинансиране, извършени през първите десет месеца на настоящата година; </w:t>
      </w:r>
    </w:p>
    <w:p w:rsidR="00603E09" w:rsidRPr="00AA3F66" w:rsidRDefault="00603E09" w:rsidP="00603E09">
      <w:pPr>
        <w:pStyle w:val="ListParagraph"/>
        <w:numPr>
          <w:ilvl w:val="0"/>
          <w:numId w:val="4"/>
        </w:numPr>
        <w:spacing w:after="200"/>
        <w:ind w:left="851" w:hanging="284"/>
        <w:rPr>
          <w:rFonts w:eastAsia="Times New Roman"/>
        </w:rPr>
      </w:pPr>
      <w:r w:rsidRPr="00AA3F66">
        <w:rPr>
          <w:rFonts w:eastAsia="Times New Roman"/>
        </w:rPr>
        <w:t xml:space="preserve">до 10% (за програмен период 2014-2020) и до 5% (за програмен период 2021-2027) от размера на сертифицираните разходи през предходната счетоводна година, които се очаква да бъдат възстановени от ЕК при годишното уравняване на сметките; </w:t>
      </w:r>
    </w:p>
    <w:p w:rsidR="00603E09" w:rsidRPr="00AA3F66" w:rsidRDefault="00603E09" w:rsidP="00603E09">
      <w:pPr>
        <w:pStyle w:val="ListParagraph"/>
        <w:numPr>
          <w:ilvl w:val="0"/>
          <w:numId w:val="4"/>
        </w:numPr>
        <w:spacing w:after="200"/>
        <w:ind w:left="851" w:hanging="284"/>
        <w:rPr>
          <w:rFonts w:eastAsia="Times New Roman"/>
        </w:rPr>
      </w:pPr>
      <w:r w:rsidRPr="00AA3F66">
        <w:t xml:space="preserve">предварителното годишно финансиране по програмите за програмен период </w:t>
      </w:r>
      <w:r w:rsidRPr="00AA3F66">
        <w:rPr>
          <w:rFonts w:eastAsia="Times New Roman"/>
        </w:rPr>
        <w:t>2021-2027 г.</w:t>
      </w:r>
    </w:p>
    <w:p w:rsidR="00603E09" w:rsidRPr="00AA3F66" w:rsidRDefault="00603E09" w:rsidP="00603E09">
      <w:pPr>
        <w:rPr>
          <w:rFonts w:cs="Times New Roman"/>
        </w:rPr>
      </w:pPr>
      <w:r w:rsidRPr="00AA3F66">
        <w:rPr>
          <w:rFonts w:cs="Times New Roman"/>
        </w:rPr>
        <w:t xml:space="preserve">През 2023 г. се очаква ревизиране на НПВУ, включително и във връзка с включване в него на глава REPowerEU. При предоговарянето е възможно да бъдат променени стойностите на отделните траншове от профила за плащане в зависимост от начина на преразпределяне на етапите и целите, включени в тях. </w:t>
      </w:r>
    </w:p>
    <w:p w:rsidR="008D2D0E" w:rsidRPr="00AA3F66" w:rsidRDefault="00603E09" w:rsidP="000B6A66">
      <w:pPr>
        <w:rPr>
          <w:rFonts w:cs="Times New Roman"/>
        </w:rPr>
      </w:pPr>
      <w:r w:rsidRPr="00AA3F66">
        <w:rPr>
          <w:rFonts w:cs="Times New Roman"/>
        </w:rPr>
        <w:t xml:space="preserve">По отношение на приходите от Финансовия механизъм на Европейското икономическо пространство и Норвежкия финансов механизъм за периода 2014-2021 г., Офисът на ЕИП и НФМ превежда средства два пъти в годината на база прогнози, изготвени от Програмните оператори за индикативния размер на разходите по програмите за съответната година. </w:t>
      </w:r>
    </w:p>
    <w:p w:rsidR="007E70A3" w:rsidRPr="00AA3F66" w:rsidRDefault="00D4311E" w:rsidP="008D2D0E">
      <w:pPr>
        <w:pStyle w:val="Caption"/>
        <w:jc w:val="both"/>
      </w:pPr>
      <w:r w:rsidRPr="00AA3F66">
        <w:t xml:space="preserve">Граф. </w:t>
      </w:r>
      <w:fldSimple w:instr=" STYLEREF 1 \s ">
        <w:r w:rsidR="005A69ED">
          <w:rPr>
            <w:noProof/>
          </w:rPr>
          <w:t>V</w:t>
        </w:r>
      </w:fldSimple>
      <w:r w:rsidRPr="00AA3F66">
        <w:noBreakHyphen/>
      </w:r>
      <w:fldSimple w:instr=" SEQ Граф. \* ARABIC \s 1 ">
        <w:r w:rsidR="005A69ED">
          <w:rPr>
            <w:noProof/>
          </w:rPr>
          <w:t>2</w:t>
        </w:r>
      </w:fldSimple>
      <w:r w:rsidRPr="00AA3F66">
        <w:t>:</w:t>
      </w:r>
      <w:r w:rsidRPr="00AA3F66">
        <w:tab/>
        <w:t xml:space="preserve">Приходи на Национален фонд – сметка за средства от ЕС за периода </w:t>
      </w:r>
      <w:r w:rsidR="00545946" w:rsidRPr="00AA3F66">
        <w:t>2024</w:t>
      </w:r>
      <w:r w:rsidRPr="00AA3F66">
        <w:t>-202</w:t>
      </w:r>
      <w:r w:rsidR="00545946" w:rsidRPr="00AA3F66">
        <w:t>6</w:t>
      </w:r>
      <w:r w:rsidRPr="00AA3F66">
        <w:t xml:space="preserve"> г. </w:t>
      </w:r>
    </w:p>
    <w:p w:rsidR="008D2D0E" w:rsidRPr="00AA3F66" w:rsidRDefault="008D2D0E" w:rsidP="007E70A3">
      <w:pPr>
        <w:rPr>
          <w:noProof/>
        </w:rPr>
      </w:pPr>
      <w:r w:rsidRPr="00AA3F66">
        <w:rPr>
          <w:noProof/>
        </w:rPr>
        <w:drawing>
          <wp:inline distT="0" distB="0" distL="0" distR="0" wp14:anchorId="2E6C986A" wp14:editId="171FEE0E">
            <wp:extent cx="5759450" cy="2829971"/>
            <wp:effectExtent l="0" t="0" r="12700" b="8890"/>
            <wp:docPr id="23" name="Chart 4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D5513C" w:rsidRPr="00AA3F66" w:rsidRDefault="00D5513C" w:rsidP="00C429D8">
      <w:pPr>
        <w:spacing w:after="0"/>
        <w:jc w:val="right"/>
        <w:rPr>
          <w:rFonts w:eastAsia="Batang" w:cs="Times New Roman"/>
          <w:sz w:val="18"/>
          <w:szCs w:val="18"/>
        </w:rPr>
      </w:pPr>
      <w:r w:rsidRPr="00AA3F66">
        <w:rPr>
          <w:rFonts w:eastAsia="Batang" w:cs="Times New Roman"/>
          <w:sz w:val="18"/>
          <w:szCs w:val="18"/>
        </w:rPr>
        <w:t>Източник: МФ</w:t>
      </w:r>
    </w:p>
    <w:p w:rsidR="00216D28" w:rsidRPr="00AA3F66" w:rsidRDefault="00853713" w:rsidP="00DE2BDB">
      <w:pPr>
        <w:pStyle w:val="Heading2"/>
      </w:pPr>
      <w:bookmarkStart w:id="366" w:name="_Toc464224805"/>
      <w:bookmarkStart w:id="367" w:name="_Toc464225455"/>
      <w:bookmarkStart w:id="368" w:name="_Toc464459002"/>
      <w:bookmarkStart w:id="369" w:name="_Toc464459750"/>
      <w:bookmarkStart w:id="370" w:name="_Toc464460703"/>
      <w:bookmarkStart w:id="371" w:name="_Toc464463102"/>
      <w:bookmarkStart w:id="372" w:name="_Toc464464931"/>
      <w:bookmarkStart w:id="373" w:name="_Toc464465435"/>
      <w:bookmarkStart w:id="374" w:name="_Toc464465623"/>
      <w:bookmarkStart w:id="375" w:name="_Toc464466448"/>
      <w:bookmarkStart w:id="376" w:name="_Toc464466692"/>
      <w:bookmarkStart w:id="377" w:name="_Toc464645008"/>
      <w:bookmarkStart w:id="378" w:name="_Toc465205560"/>
      <w:bookmarkStart w:id="379" w:name="_Toc151557305"/>
      <w:r w:rsidRPr="00AA3F66">
        <w:t>Д</w:t>
      </w:r>
      <w:r w:rsidR="008252A2" w:rsidRPr="00AA3F66">
        <w:t xml:space="preserve">ържавен </w:t>
      </w:r>
      <w:r w:rsidRPr="00AA3F66">
        <w:t>Ф</w:t>
      </w:r>
      <w:r w:rsidR="008252A2" w:rsidRPr="00AA3F66">
        <w:t>онд</w:t>
      </w:r>
      <w:r w:rsidR="00E42934" w:rsidRPr="00AA3F66">
        <w:t xml:space="preserve"> „Земеделие</w:t>
      </w:r>
      <w:r w:rsidRPr="00AA3F66">
        <w:t>“</w:t>
      </w:r>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p>
    <w:p w:rsidR="008F23AF" w:rsidRPr="00AA3F66" w:rsidRDefault="008F23AF" w:rsidP="007D0124">
      <w:pPr>
        <w:pStyle w:val="Heading3"/>
        <w:ind w:left="284" w:hanging="142"/>
        <w:rPr>
          <w:rFonts w:eastAsia="Times New Roman"/>
        </w:rPr>
      </w:pPr>
      <w:bookmarkStart w:id="380" w:name="_Toc465070511"/>
      <w:bookmarkStart w:id="381" w:name="_Toc465205561"/>
      <w:r w:rsidRPr="00AA3F66">
        <w:rPr>
          <w:rFonts w:eastAsia="Times New Roman"/>
        </w:rPr>
        <w:t>П</w:t>
      </w:r>
      <w:bookmarkEnd w:id="380"/>
      <w:bookmarkEnd w:id="381"/>
      <w:r w:rsidR="00E42934" w:rsidRPr="00AA3F66">
        <w:rPr>
          <w:rFonts w:eastAsia="Times New Roman"/>
        </w:rPr>
        <w:t>риходи и постъпления</w:t>
      </w:r>
    </w:p>
    <w:p w:rsidR="00DA37CC" w:rsidRPr="00AA3F66" w:rsidRDefault="00DA37CC" w:rsidP="003C6401">
      <w:pPr>
        <w:rPr>
          <w:rFonts w:eastAsia="Times New Roman" w:cs="Times New Roman"/>
          <w:lang w:eastAsia="zh-CN"/>
        </w:rPr>
      </w:pPr>
      <w:r w:rsidRPr="00AA3F66">
        <w:rPr>
          <w:rFonts w:eastAsia="Times New Roman" w:cs="Times New Roman"/>
          <w:lang w:eastAsia="zh-CN"/>
        </w:rPr>
        <w:t>При разработване на разчетите за приходите и постъпленията за периода 2024-2026 г. по програмите, финансирани от ЕС, е взет под внимание определеният индикативен размер на разходите, който се очаква да бъде възстановен от ЕК през този период. Очакваните приходи и постъпления по години са, както следва: 2 746,9 млн. лв. през 2024 г., в размер до 2 758,1 млн. лв. за 2025 г. и в размер до 2 260,4 млн. лв. за 2026 г.</w:t>
      </w:r>
    </w:p>
    <w:p w:rsidR="00B25843" w:rsidRPr="00AA3F66" w:rsidRDefault="00B25843" w:rsidP="003C6401">
      <w:pPr>
        <w:rPr>
          <w:rFonts w:eastAsia="Times New Roman" w:cs="Times New Roman"/>
          <w:lang w:eastAsia="zh-CN"/>
        </w:rPr>
      </w:pPr>
    </w:p>
    <w:p w:rsidR="00B25843" w:rsidRPr="00AA3F66" w:rsidRDefault="00B25843" w:rsidP="003C6401">
      <w:pPr>
        <w:rPr>
          <w:rFonts w:eastAsia="Times New Roman" w:cs="Times New Roman"/>
          <w:highlight w:val="yellow"/>
          <w:lang w:eastAsia="zh-CN"/>
        </w:rPr>
      </w:pPr>
    </w:p>
    <w:p w:rsidR="00882A3B" w:rsidRPr="00AA3F66" w:rsidRDefault="00D4311E" w:rsidP="00882A3B">
      <w:pPr>
        <w:pStyle w:val="Caption"/>
        <w:jc w:val="both"/>
      </w:pPr>
      <w:r w:rsidRPr="00AA3F66">
        <w:t xml:space="preserve">Граф. </w:t>
      </w:r>
      <w:fldSimple w:instr=" STYLEREF 1 \s ">
        <w:r w:rsidR="005A69ED">
          <w:rPr>
            <w:noProof/>
          </w:rPr>
          <w:t>V</w:t>
        </w:r>
      </w:fldSimple>
      <w:r w:rsidRPr="00AA3F66">
        <w:noBreakHyphen/>
      </w:r>
      <w:fldSimple w:instr=" SEQ Граф. \* ARABIC \s 1 ">
        <w:r w:rsidR="005A69ED">
          <w:rPr>
            <w:noProof/>
          </w:rPr>
          <w:t>3</w:t>
        </w:r>
      </w:fldSimple>
      <w:r w:rsidRPr="00AA3F66">
        <w:t>:</w:t>
      </w:r>
      <w:r w:rsidRPr="00AA3F66">
        <w:tab/>
        <w:t xml:space="preserve">Приходи (без постъпленията) на ДФ „Земеделие“ – сметка за средства от ЕС за периода </w:t>
      </w:r>
      <w:r w:rsidR="00E91E4E" w:rsidRPr="00AA3F66">
        <w:t>2</w:t>
      </w:r>
      <w:r w:rsidR="00545946" w:rsidRPr="00AA3F66">
        <w:t>024</w:t>
      </w:r>
      <w:r w:rsidRPr="00AA3F66">
        <w:t>-202</w:t>
      </w:r>
      <w:r w:rsidR="00545946" w:rsidRPr="00AA3F66">
        <w:t>6</w:t>
      </w:r>
      <w:r w:rsidRPr="00AA3F66">
        <w:t> г.</w:t>
      </w:r>
      <w:r w:rsidR="00E26A8D" w:rsidRPr="00AA3F66">
        <w:t xml:space="preserve"> </w:t>
      </w:r>
    </w:p>
    <w:p w:rsidR="004C34D4" w:rsidRPr="00AA3F66" w:rsidRDefault="004C34D4" w:rsidP="004C34D4"/>
    <w:p w:rsidR="008D2D0E" w:rsidRPr="00AA3F66" w:rsidRDefault="008D2D0E" w:rsidP="004C34D4">
      <w:r w:rsidRPr="00AA3F66">
        <w:rPr>
          <w:noProof/>
        </w:rPr>
        <w:drawing>
          <wp:inline distT="0" distB="0" distL="0" distR="0" wp14:anchorId="3EFC56DE" wp14:editId="719D5CEF">
            <wp:extent cx="5648325" cy="3035030"/>
            <wp:effectExtent l="0" t="0" r="9525" b="13335"/>
            <wp:docPr id="31" name="Chart 4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D5513C" w:rsidRPr="00AA3F66" w:rsidRDefault="00D5513C" w:rsidP="0064198A">
      <w:pPr>
        <w:spacing w:after="0"/>
        <w:jc w:val="right"/>
        <w:rPr>
          <w:rFonts w:eastAsia="Batang" w:cs="Times New Roman"/>
          <w:sz w:val="18"/>
          <w:szCs w:val="18"/>
        </w:rPr>
      </w:pPr>
      <w:r w:rsidRPr="00AA3F66">
        <w:rPr>
          <w:rFonts w:eastAsia="Batang" w:cs="Times New Roman"/>
          <w:sz w:val="18"/>
          <w:szCs w:val="18"/>
        </w:rPr>
        <w:t>Източник: МФ</w:t>
      </w:r>
    </w:p>
    <w:p w:rsidR="00B25843" w:rsidRPr="00AA3F66" w:rsidRDefault="00B25843" w:rsidP="0064198A">
      <w:pPr>
        <w:spacing w:after="0"/>
        <w:jc w:val="right"/>
        <w:rPr>
          <w:rFonts w:eastAsia="Batang" w:cs="Times New Roman"/>
          <w:sz w:val="18"/>
          <w:szCs w:val="18"/>
        </w:rPr>
      </w:pPr>
    </w:p>
    <w:p w:rsidR="00D4311E" w:rsidRPr="00AA3F66" w:rsidRDefault="00E42934" w:rsidP="00D4311E">
      <w:pPr>
        <w:pStyle w:val="Heading3"/>
        <w:ind w:left="284" w:hanging="142"/>
        <w:rPr>
          <w:rFonts w:eastAsia="Times New Roman"/>
        </w:rPr>
      </w:pPr>
      <w:r w:rsidRPr="00AA3F66">
        <w:rPr>
          <w:rFonts w:eastAsia="Times New Roman"/>
        </w:rPr>
        <w:t>Разходи и плащания</w:t>
      </w:r>
    </w:p>
    <w:p w:rsidR="001C1274" w:rsidRPr="00AA3F66" w:rsidRDefault="00DA37CC" w:rsidP="00900948">
      <w:pPr>
        <w:rPr>
          <w:rFonts w:eastAsia="Times New Roman" w:cs="Times New Roman"/>
          <w:highlight w:val="yellow"/>
          <w:lang w:eastAsia="zh-CN"/>
        </w:rPr>
      </w:pPr>
      <w:r w:rsidRPr="00AA3F66">
        <w:rPr>
          <w:rFonts w:eastAsia="Times New Roman" w:cs="Times New Roman"/>
          <w:lang w:eastAsia="zh-CN"/>
        </w:rPr>
        <w:t xml:space="preserve">Очакваните разходи и плащания за периода 2024-2026 г. са, както следва: 3 </w:t>
      </w:r>
      <w:r w:rsidR="001E19D4" w:rsidRPr="00AA3F66">
        <w:rPr>
          <w:rFonts w:eastAsia="Times New Roman" w:cs="Times New Roman"/>
          <w:lang w:eastAsia="zh-CN"/>
        </w:rPr>
        <w:t>209</w:t>
      </w:r>
      <w:r w:rsidRPr="00AA3F66">
        <w:rPr>
          <w:rFonts w:eastAsia="Times New Roman" w:cs="Times New Roman"/>
          <w:lang w:eastAsia="zh-CN"/>
        </w:rPr>
        <w:t>,3 млн. лв. за 2024 г., 3 894,8 млн. лв. за 2025 г. и 3 190,3 млн. лв. за 2026 г.</w:t>
      </w:r>
    </w:p>
    <w:p w:rsidR="00D4311E" w:rsidRPr="00AA3F66" w:rsidRDefault="00D4311E" w:rsidP="008C4994">
      <w:pPr>
        <w:pStyle w:val="Caption"/>
        <w:jc w:val="both"/>
      </w:pPr>
      <w:r w:rsidRPr="00AA3F66">
        <w:t xml:space="preserve">Граф. </w:t>
      </w:r>
      <w:fldSimple w:instr=" STYLEREF 1 \s ">
        <w:r w:rsidR="005A69ED">
          <w:rPr>
            <w:noProof/>
          </w:rPr>
          <w:t>V</w:t>
        </w:r>
      </w:fldSimple>
      <w:r w:rsidRPr="00AA3F66">
        <w:noBreakHyphen/>
      </w:r>
      <w:fldSimple w:instr=" SEQ Граф. \* ARABIC \s 1 ">
        <w:r w:rsidR="005A69ED">
          <w:rPr>
            <w:noProof/>
          </w:rPr>
          <w:t>4</w:t>
        </w:r>
      </w:fldSimple>
      <w:r w:rsidRPr="00AA3F66">
        <w:t xml:space="preserve">: </w:t>
      </w:r>
      <w:r w:rsidRPr="00AA3F66">
        <w:tab/>
        <w:t>Разходи (без плащанията) на ДФ „Земеделие“ – сметка за средства от ЕС за периода 2</w:t>
      </w:r>
      <w:r w:rsidR="00545946" w:rsidRPr="00AA3F66">
        <w:t>024</w:t>
      </w:r>
      <w:r w:rsidRPr="00AA3F66">
        <w:t>-202</w:t>
      </w:r>
      <w:r w:rsidR="00545946" w:rsidRPr="00AA3F66">
        <w:t>6</w:t>
      </w:r>
      <w:r w:rsidRPr="00AA3F66">
        <w:t> г.</w:t>
      </w:r>
      <w:r w:rsidR="00127713" w:rsidRPr="00AA3F66">
        <w:t xml:space="preserve"> </w:t>
      </w:r>
    </w:p>
    <w:p w:rsidR="001C1274" w:rsidRPr="00AA3F66" w:rsidRDefault="008D2D0E" w:rsidP="006D0A5D">
      <w:pPr>
        <w:rPr>
          <w:noProof/>
        </w:rPr>
      </w:pPr>
      <w:r w:rsidRPr="00AA3F66">
        <w:rPr>
          <w:noProof/>
          <w:highlight w:val="yellow"/>
        </w:rPr>
        <w:drawing>
          <wp:inline distT="0" distB="0" distL="0" distR="0" wp14:anchorId="3D03384E" wp14:editId="3F93EF5D">
            <wp:extent cx="5715000" cy="2914650"/>
            <wp:effectExtent l="0" t="0" r="0" b="0"/>
            <wp:docPr id="672" name="Chart 4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D5513C" w:rsidRPr="00AA3F66" w:rsidRDefault="00D5513C" w:rsidP="002E7D8C">
      <w:pPr>
        <w:spacing w:before="120"/>
        <w:jc w:val="right"/>
        <w:rPr>
          <w:sz w:val="18"/>
          <w:szCs w:val="18"/>
        </w:rPr>
      </w:pPr>
      <w:r w:rsidRPr="00AA3F66">
        <w:rPr>
          <w:rFonts w:eastAsia="Batang" w:cs="Times New Roman"/>
          <w:sz w:val="18"/>
          <w:szCs w:val="18"/>
        </w:rPr>
        <w:t>Източник: МФ</w:t>
      </w:r>
    </w:p>
    <w:p w:rsidR="008254F9" w:rsidRPr="00AA3F66" w:rsidRDefault="008254F9" w:rsidP="00D4311E">
      <w:pPr>
        <w:pStyle w:val="Heading3"/>
        <w:numPr>
          <w:ilvl w:val="0"/>
          <w:numId w:val="0"/>
        </w:numPr>
        <w:rPr>
          <w:rFonts w:eastAsia="Batang"/>
        </w:rPr>
      </w:pPr>
    </w:p>
    <w:p w:rsidR="00D4311E" w:rsidRPr="00AA3F66" w:rsidRDefault="00D4311E" w:rsidP="00D4311E">
      <w:pPr>
        <w:pStyle w:val="Heading3"/>
        <w:numPr>
          <w:ilvl w:val="0"/>
          <w:numId w:val="0"/>
        </w:numPr>
        <w:rPr>
          <w:rFonts w:eastAsia="Batang"/>
        </w:rPr>
      </w:pPr>
      <w:r w:rsidRPr="00AA3F66">
        <w:rPr>
          <w:rFonts w:eastAsia="Batang"/>
        </w:rPr>
        <w:t>ОБЩА СЕЛСКОСТ</w:t>
      </w:r>
      <w:r w:rsidR="0019728D" w:rsidRPr="00AA3F66">
        <w:rPr>
          <w:rFonts w:eastAsia="Batang"/>
        </w:rPr>
        <w:t>ОПАНСКА ПОЛИТИКА ЗА ПЕРИОДА 2024-2026</w:t>
      </w:r>
      <w:r w:rsidRPr="00AA3F66">
        <w:rPr>
          <w:rFonts w:eastAsia="Batang"/>
        </w:rPr>
        <w:t> г.</w:t>
      </w:r>
    </w:p>
    <w:p w:rsidR="00DA37CC" w:rsidRPr="00AA3F66" w:rsidRDefault="00DA37CC" w:rsidP="00DA37CC">
      <w:pPr>
        <w:rPr>
          <w:rFonts w:eastAsia="Batang" w:cs="Times New Roman"/>
        </w:rPr>
      </w:pPr>
      <w:r w:rsidRPr="00AA3F66">
        <w:rPr>
          <w:rFonts w:eastAsia="Batang" w:cs="Times New Roman"/>
        </w:rPr>
        <w:t>Приоритетите в областта на селскостопанската политика са насочени към осигуряване на стабилна пазарна среда, подкрепа на доходите на земеделските стопани и развитие на селските райони.</w:t>
      </w:r>
    </w:p>
    <w:p w:rsidR="00DA37CC" w:rsidRPr="00AA3F66" w:rsidRDefault="00DA37CC" w:rsidP="00DA37CC">
      <w:pPr>
        <w:rPr>
          <w:rFonts w:eastAsia="Batang" w:cs="Times New Roman"/>
        </w:rPr>
      </w:pPr>
      <w:r w:rsidRPr="00AA3F66">
        <w:rPr>
          <w:rFonts w:eastAsia="Batang" w:cs="Times New Roman"/>
        </w:rPr>
        <w:t>Основните инструменти за провеждането на общата селскостопанска политика са директните плащания и пазарната подкрепа на земеделските стопани (1-ви стълб на ОСП) и политиката за развитие на селските райони (2-ри стълб на ОСП).</w:t>
      </w:r>
    </w:p>
    <w:p w:rsidR="00DA37CC" w:rsidRPr="00AA3F66" w:rsidRDefault="00DA37CC" w:rsidP="00DA37CC">
      <w:pPr>
        <w:rPr>
          <w:rFonts w:eastAsia="Batang" w:cs="Times New Roman"/>
        </w:rPr>
      </w:pPr>
      <w:r w:rsidRPr="00AA3F66">
        <w:rPr>
          <w:rFonts w:eastAsia="Batang" w:cs="Times New Roman"/>
          <w:i/>
        </w:rPr>
        <w:t>По линия на първия стълб на ОСП</w:t>
      </w:r>
      <w:r w:rsidRPr="00AA3F66">
        <w:rPr>
          <w:rFonts w:eastAsia="Batang" w:cs="Times New Roman"/>
        </w:rPr>
        <w:t xml:space="preserve"> ще се изплащат средства за подпомагане на земеделските стопани по обвързани и необвързани с производството схеми за директни плащания и за пазарна подкрепа.</w:t>
      </w:r>
    </w:p>
    <w:p w:rsidR="00DA37CC" w:rsidRPr="00AA3F66" w:rsidRDefault="00DA37CC" w:rsidP="00DA37CC">
      <w:pPr>
        <w:rPr>
          <w:rFonts w:eastAsia="Batang" w:cs="Times New Roman"/>
        </w:rPr>
      </w:pPr>
      <w:r w:rsidRPr="00AA3F66">
        <w:rPr>
          <w:rFonts w:eastAsia="Batang" w:cs="Times New Roman"/>
        </w:rPr>
        <w:t xml:space="preserve">По схемите за директни плащания на земеделски стопани за сметка на ЕС през периода 2024-2026 г. се предвижда да бъдат усвоявани за 2024 г. – 1 620,3 млн. лв., за 2025 г. – </w:t>
      </w:r>
      <w:r w:rsidR="00AA3F66" w:rsidRPr="00AA3F66">
        <w:rPr>
          <w:rFonts w:eastAsia="Batang" w:cs="Times New Roman"/>
        </w:rPr>
        <w:t xml:space="preserve">              </w:t>
      </w:r>
      <w:r w:rsidRPr="00AA3F66">
        <w:rPr>
          <w:rFonts w:eastAsia="Batang" w:cs="Times New Roman"/>
        </w:rPr>
        <w:t>1 621,2 млн. лв. и за 2026 г. – 1 624,1 млн. лв.</w:t>
      </w:r>
    </w:p>
    <w:p w:rsidR="00DA37CC" w:rsidRPr="00AA3F66" w:rsidRDefault="00DA37CC" w:rsidP="00DA37CC">
      <w:pPr>
        <w:rPr>
          <w:rFonts w:eastAsia="Batang" w:cs="Times New Roman"/>
        </w:rPr>
      </w:pPr>
      <w:r w:rsidRPr="00AA3F66">
        <w:rPr>
          <w:rFonts w:eastAsia="Batang" w:cs="Times New Roman"/>
        </w:rPr>
        <w:t>Мерките за пазарна подкрепа за периода 2024-2026 г. могат да включват различни механизми – интервенции, с цел стабилизиране на пазара в сектори като зърнени култури, ориз, мляко; помощи за повишаване на консумацията на някои продукти; пазарна подкрепа за лозаро-винарския сектор, пчеларство, плодове и зеленчуци и други.</w:t>
      </w:r>
    </w:p>
    <w:p w:rsidR="00DA37CC" w:rsidRPr="00AA3F66" w:rsidRDefault="00DA37CC" w:rsidP="00DA37CC">
      <w:pPr>
        <w:rPr>
          <w:rFonts w:eastAsia="Batang" w:cs="Times New Roman"/>
        </w:rPr>
      </w:pPr>
      <w:r w:rsidRPr="00AA3F66">
        <w:rPr>
          <w:rFonts w:eastAsia="Batang" w:cs="Times New Roman"/>
        </w:rPr>
        <w:t>Общо за финансиране на пазарни мерки през 2024 г. са планирани 137,6 млн. лв., в това число 63,6 млн. лв. национални средства, за 2025 г. прогнозата за плащане е в размер на 139,6 млн. лв., от които 65,6 млн. лв. от националния бюджет, а за 2026 г. средствата са в размер на 141,4 млн. лв., от които 67,3 млн. лв. от националния бюджет.</w:t>
      </w:r>
    </w:p>
    <w:p w:rsidR="00DA37CC" w:rsidRPr="00AA3F66" w:rsidRDefault="00DA37CC" w:rsidP="00DA37CC">
      <w:pPr>
        <w:rPr>
          <w:rFonts w:eastAsia="Batang" w:cs="Times New Roman"/>
        </w:rPr>
      </w:pPr>
      <w:r w:rsidRPr="00AA3F66">
        <w:rPr>
          <w:rFonts w:eastAsia="Batang" w:cs="Times New Roman"/>
        </w:rPr>
        <w:t>Съгласно законодателството на ЕС национално съфинансиране се прилага по следните пазарни мерки: Схема „Училищен плод“, Схема „Училищно мляко“; Подпомагане в сектор Вино – мярка „Информиране в държавите членки“, „Популяризиране в трети държави“; „Публична интервенция на зърно</w:t>
      </w:r>
      <w:r w:rsidRPr="00EB28A6">
        <w:rPr>
          <w:rFonts w:eastAsia="Batang" w:cs="Times New Roman"/>
        </w:rPr>
        <w:t xml:space="preserve">“; </w:t>
      </w:r>
      <w:r w:rsidR="00784DEF" w:rsidRPr="00EB28A6">
        <w:rPr>
          <w:rFonts w:eastAsia="Batang" w:cs="Times New Roman"/>
        </w:rPr>
        <w:t>„Интервенции в сектора на пчеларството“</w:t>
      </w:r>
      <w:r w:rsidRPr="00EB28A6">
        <w:rPr>
          <w:rFonts w:eastAsia="Batang" w:cs="Times New Roman"/>
        </w:rPr>
        <w:t>,</w:t>
      </w:r>
      <w:r w:rsidRPr="00AA3F66">
        <w:rPr>
          <w:rFonts w:eastAsia="Batang" w:cs="Times New Roman"/>
        </w:rPr>
        <w:t xml:space="preserve"> „Промоционални програми за земеделски продукти“ и Схема „Оперативни програми на организации на производители на плодове и зеленчуци“.</w:t>
      </w:r>
    </w:p>
    <w:p w:rsidR="00DA37CC" w:rsidRPr="00AA3F66" w:rsidRDefault="00DA37CC" w:rsidP="00DA37CC">
      <w:pPr>
        <w:rPr>
          <w:rFonts w:eastAsia="Batang" w:cs="Times New Roman"/>
        </w:rPr>
      </w:pPr>
      <w:r w:rsidRPr="00AA3F66">
        <w:rPr>
          <w:rFonts w:eastAsia="Batang" w:cs="Times New Roman"/>
          <w:i/>
        </w:rPr>
        <w:t>По линия на втория стълб на ОСП</w:t>
      </w:r>
      <w:r w:rsidRPr="00AA3F66">
        <w:rPr>
          <w:rFonts w:eastAsia="Batang" w:cs="Times New Roman"/>
        </w:rPr>
        <w:t xml:space="preserve"> ще се изплащат средствата за развитие на селските райони, в това число за директни плащания от Европейския земеделски фонд за развитие на селските райони, както следва:</w:t>
      </w:r>
    </w:p>
    <w:p w:rsidR="00DA37CC" w:rsidRPr="00AA3F66" w:rsidRDefault="00DA37CC" w:rsidP="00DA37CC">
      <w:pPr>
        <w:numPr>
          <w:ilvl w:val="0"/>
          <w:numId w:val="7"/>
        </w:numPr>
        <w:rPr>
          <w:rFonts w:eastAsia="Batang" w:cs="Times New Roman"/>
        </w:rPr>
      </w:pPr>
      <w:r w:rsidRPr="00AA3F66">
        <w:rPr>
          <w:rFonts w:eastAsia="Batang" w:cs="Times New Roman"/>
        </w:rPr>
        <w:t xml:space="preserve">за 2024 г. – 1 </w:t>
      </w:r>
      <w:r w:rsidR="008F410F" w:rsidRPr="00AA3F66">
        <w:rPr>
          <w:rFonts w:eastAsia="Batang" w:cs="Times New Roman"/>
        </w:rPr>
        <w:t>406</w:t>
      </w:r>
      <w:r w:rsidRPr="00AA3F66">
        <w:rPr>
          <w:rFonts w:eastAsia="Batang" w:cs="Times New Roman"/>
        </w:rPr>
        <w:t xml:space="preserve">,4 млн. лв., от които 1 </w:t>
      </w:r>
      <w:r w:rsidR="008F410F" w:rsidRPr="00AA3F66">
        <w:rPr>
          <w:rFonts w:eastAsia="Batang" w:cs="Times New Roman"/>
        </w:rPr>
        <w:t>024</w:t>
      </w:r>
      <w:r w:rsidRPr="00AA3F66">
        <w:rPr>
          <w:rFonts w:eastAsia="Batang" w:cs="Times New Roman"/>
        </w:rPr>
        <w:t xml:space="preserve">,4 млн. лв. са средства от ЕС и </w:t>
      </w:r>
      <w:r w:rsidR="008F410F" w:rsidRPr="00AA3F66">
        <w:rPr>
          <w:rFonts w:eastAsia="Batang" w:cs="Times New Roman"/>
        </w:rPr>
        <w:t>382</w:t>
      </w:r>
      <w:r w:rsidRPr="00AA3F66">
        <w:rPr>
          <w:rFonts w:eastAsia="Batang" w:cs="Times New Roman"/>
        </w:rPr>
        <w:t>,0 млн. лв. национално съфинансиране и авансови плащания;</w:t>
      </w:r>
    </w:p>
    <w:p w:rsidR="00DA37CC" w:rsidRPr="00AA3F66" w:rsidRDefault="00DA37CC" w:rsidP="00DA37CC">
      <w:pPr>
        <w:numPr>
          <w:ilvl w:val="0"/>
          <w:numId w:val="7"/>
        </w:numPr>
        <w:rPr>
          <w:rFonts w:eastAsia="Batang" w:cs="Times New Roman"/>
        </w:rPr>
      </w:pPr>
      <w:r w:rsidRPr="00AA3F66">
        <w:rPr>
          <w:rFonts w:eastAsia="Batang" w:cs="Times New Roman"/>
        </w:rPr>
        <w:t>за 2025 г. – 2 080,8 млн. лв., от които 1 369,7 млн. лв. са средства от ЕС и 711,1 млн. лв. национално съфинансиране и авансови плащания</w:t>
      </w:r>
      <w:r w:rsidR="00D20ECF" w:rsidRPr="00AA3F66">
        <w:rPr>
          <w:rFonts w:eastAsia="Batang" w:cs="Times New Roman"/>
        </w:rPr>
        <w:t>;</w:t>
      </w:r>
    </w:p>
    <w:p w:rsidR="00DA37CC" w:rsidRPr="00AA3F66" w:rsidRDefault="00DA37CC" w:rsidP="00DA37CC">
      <w:pPr>
        <w:numPr>
          <w:ilvl w:val="0"/>
          <w:numId w:val="7"/>
        </w:numPr>
        <w:rPr>
          <w:rFonts w:eastAsia="Batang" w:cs="Times New Roman"/>
        </w:rPr>
      </w:pPr>
      <w:r w:rsidRPr="00AA3F66">
        <w:rPr>
          <w:rFonts w:eastAsia="Batang" w:cs="Times New Roman"/>
        </w:rPr>
        <w:t>за 2026 г. – 1 371,0 млн. лв., от които 548,4 млн. лв. са средства от ЕС и 822,6 млн. лв. национално съфинансиране и авансови плащания.</w:t>
      </w:r>
    </w:p>
    <w:p w:rsidR="00454BD9" w:rsidRPr="00AA3F66" w:rsidRDefault="00DA37CC" w:rsidP="007F67C4">
      <w:pPr>
        <w:rPr>
          <w:rFonts w:eastAsia="Batang" w:cs="Times New Roman"/>
        </w:rPr>
      </w:pPr>
      <w:r w:rsidRPr="00AA3F66">
        <w:rPr>
          <w:rFonts w:eastAsia="Batang" w:cs="Times New Roman"/>
        </w:rPr>
        <w:t>В средносрочен план средствата, които страната ни предвижда да усвоява по програмите на ЕС и да изплаща за селскостопанската политика са, както следва:</w:t>
      </w:r>
    </w:p>
    <w:p w:rsidR="00E66798" w:rsidRPr="00AA3F66" w:rsidRDefault="00D4311E" w:rsidP="00D4311E">
      <w:pPr>
        <w:pStyle w:val="Caption"/>
        <w:rPr>
          <w:rFonts w:eastAsia="Times New Roman" w:cs="Times New Roman"/>
          <w:color w:val="000000"/>
          <w:sz w:val="20"/>
          <w:szCs w:val="20"/>
        </w:rPr>
      </w:pPr>
      <w:bookmarkStart w:id="382" w:name="_Toc150443427"/>
      <w:r w:rsidRPr="00AA3F66">
        <w:t xml:space="preserve">Табл. </w:t>
      </w:r>
      <w:fldSimple w:instr=" STYLEREF 1 \s ">
        <w:r w:rsidR="005A69ED">
          <w:rPr>
            <w:noProof/>
          </w:rPr>
          <w:t>V</w:t>
        </w:r>
      </w:fldSimple>
      <w:r w:rsidRPr="00AA3F66">
        <w:noBreakHyphen/>
      </w:r>
      <w:fldSimple w:instr=" SEQ Табл. \* ARABIC \s 1 ">
        <w:r w:rsidR="005A69ED">
          <w:rPr>
            <w:noProof/>
          </w:rPr>
          <w:t>1</w:t>
        </w:r>
      </w:fldSimple>
      <w:r w:rsidRPr="00AA3F66">
        <w:t>:</w:t>
      </w:r>
      <w:r w:rsidRPr="00AA3F66">
        <w:tab/>
        <w:t>Разходи и плащания за селскостоп</w:t>
      </w:r>
      <w:r w:rsidR="00545946" w:rsidRPr="00AA3F66">
        <w:t>анската политика за периода 2024-2026</w:t>
      </w:r>
      <w:r w:rsidRPr="00AA3F66">
        <w:t> г.</w:t>
      </w:r>
      <w:bookmarkEnd w:id="382"/>
    </w:p>
    <w:p w:rsidR="000635AC" w:rsidRPr="00AA3F66" w:rsidRDefault="00B96C4D" w:rsidP="00A87638">
      <w:pPr>
        <w:spacing w:after="60"/>
        <w:jc w:val="right"/>
        <w:rPr>
          <w:rFonts w:eastAsia="Times New Roman" w:cs="Times New Roman"/>
          <w:color w:val="000000"/>
          <w:sz w:val="20"/>
          <w:szCs w:val="20"/>
        </w:rPr>
      </w:pPr>
      <w:r w:rsidRPr="00AA3F66">
        <w:rPr>
          <w:rFonts w:eastAsia="Times New Roman" w:cs="Times New Roman"/>
          <w:color w:val="000000"/>
          <w:sz w:val="20"/>
          <w:szCs w:val="20"/>
        </w:rPr>
        <w:t>(млн. лв.)</w:t>
      </w:r>
    </w:p>
    <w:tbl>
      <w:tblPr>
        <w:tblW w:w="8974" w:type="dxa"/>
        <w:tblInd w:w="55" w:type="dxa"/>
        <w:tblCellMar>
          <w:left w:w="70" w:type="dxa"/>
          <w:right w:w="70" w:type="dxa"/>
        </w:tblCellMar>
        <w:tblLook w:val="04A0" w:firstRow="1" w:lastRow="0" w:firstColumn="1" w:lastColumn="0" w:noHBand="0" w:noVBand="1"/>
      </w:tblPr>
      <w:tblGrid>
        <w:gridCol w:w="4552"/>
        <w:gridCol w:w="1308"/>
        <w:gridCol w:w="1555"/>
        <w:gridCol w:w="1559"/>
      </w:tblGrid>
      <w:tr w:rsidR="00DC2C2D" w:rsidRPr="00AA3F66" w:rsidTr="00A87638">
        <w:trPr>
          <w:trHeight w:val="361"/>
          <w:tblHeader/>
        </w:trPr>
        <w:tc>
          <w:tcPr>
            <w:tcW w:w="4552" w:type="dxa"/>
            <w:tcBorders>
              <w:top w:val="single" w:sz="4" w:space="0" w:color="auto"/>
              <w:left w:val="nil"/>
              <w:bottom w:val="single" w:sz="4" w:space="0" w:color="auto"/>
              <w:right w:val="nil"/>
            </w:tcBorders>
            <w:shd w:val="clear" w:color="auto" w:fill="auto"/>
            <w:vAlign w:val="center"/>
            <w:hideMark/>
          </w:tcPr>
          <w:p w:rsidR="000635AC" w:rsidRPr="00AA3F66" w:rsidRDefault="000635AC" w:rsidP="0008484C">
            <w:pPr>
              <w:jc w:val="center"/>
              <w:rPr>
                <w:b/>
                <w:bCs/>
                <w:sz w:val="20"/>
                <w:szCs w:val="20"/>
              </w:rPr>
            </w:pPr>
            <w:r w:rsidRPr="00AA3F66">
              <w:rPr>
                <w:b/>
                <w:bCs/>
                <w:sz w:val="20"/>
                <w:szCs w:val="20"/>
              </w:rPr>
              <w:t> </w:t>
            </w:r>
          </w:p>
        </w:tc>
        <w:tc>
          <w:tcPr>
            <w:tcW w:w="1308" w:type="dxa"/>
            <w:tcBorders>
              <w:top w:val="single" w:sz="4" w:space="0" w:color="auto"/>
              <w:left w:val="nil"/>
              <w:bottom w:val="single" w:sz="4" w:space="0" w:color="auto"/>
              <w:right w:val="nil"/>
            </w:tcBorders>
            <w:shd w:val="clear" w:color="auto" w:fill="auto"/>
            <w:vAlign w:val="center"/>
            <w:hideMark/>
          </w:tcPr>
          <w:p w:rsidR="000635AC" w:rsidRPr="00AA3F66" w:rsidRDefault="00DA37CC" w:rsidP="00DA37CC">
            <w:pPr>
              <w:ind w:left="350"/>
              <w:jc w:val="center"/>
              <w:rPr>
                <w:b/>
                <w:bCs/>
                <w:sz w:val="20"/>
                <w:szCs w:val="20"/>
              </w:rPr>
            </w:pPr>
            <w:r w:rsidRPr="00AA3F66">
              <w:rPr>
                <w:b/>
                <w:bCs/>
                <w:sz w:val="20"/>
                <w:szCs w:val="20"/>
              </w:rPr>
              <w:t>2024</w:t>
            </w:r>
            <w:r w:rsidR="000635AC" w:rsidRPr="00AA3F66">
              <w:rPr>
                <w:b/>
                <w:bCs/>
                <w:sz w:val="20"/>
                <w:szCs w:val="20"/>
              </w:rPr>
              <w:t xml:space="preserve"> г.</w:t>
            </w:r>
          </w:p>
        </w:tc>
        <w:tc>
          <w:tcPr>
            <w:tcW w:w="1555" w:type="dxa"/>
            <w:tcBorders>
              <w:top w:val="single" w:sz="4" w:space="0" w:color="auto"/>
              <w:left w:val="nil"/>
              <w:bottom w:val="single" w:sz="4" w:space="0" w:color="auto"/>
              <w:right w:val="nil"/>
            </w:tcBorders>
            <w:shd w:val="clear" w:color="auto" w:fill="auto"/>
            <w:vAlign w:val="center"/>
            <w:hideMark/>
          </w:tcPr>
          <w:p w:rsidR="000635AC" w:rsidRPr="00AA3F66" w:rsidRDefault="00DA37CC" w:rsidP="00DA37CC">
            <w:pPr>
              <w:ind w:left="495"/>
              <w:jc w:val="center"/>
              <w:rPr>
                <w:b/>
                <w:bCs/>
                <w:sz w:val="20"/>
                <w:szCs w:val="20"/>
              </w:rPr>
            </w:pPr>
            <w:r w:rsidRPr="00AA3F66">
              <w:rPr>
                <w:b/>
                <w:bCs/>
                <w:sz w:val="20"/>
                <w:szCs w:val="20"/>
              </w:rPr>
              <w:t xml:space="preserve">     2025</w:t>
            </w:r>
            <w:r w:rsidR="000635AC" w:rsidRPr="00AA3F66">
              <w:rPr>
                <w:b/>
                <w:bCs/>
                <w:sz w:val="20"/>
                <w:szCs w:val="20"/>
              </w:rPr>
              <w:t xml:space="preserve"> г.</w:t>
            </w:r>
          </w:p>
        </w:tc>
        <w:tc>
          <w:tcPr>
            <w:tcW w:w="1559" w:type="dxa"/>
            <w:tcBorders>
              <w:top w:val="single" w:sz="4" w:space="0" w:color="auto"/>
              <w:left w:val="nil"/>
              <w:bottom w:val="single" w:sz="4" w:space="0" w:color="auto"/>
              <w:right w:val="nil"/>
            </w:tcBorders>
            <w:shd w:val="clear" w:color="auto" w:fill="auto"/>
            <w:vAlign w:val="center"/>
            <w:hideMark/>
          </w:tcPr>
          <w:p w:rsidR="000635AC" w:rsidRPr="00AA3F66" w:rsidRDefault="00DA37CC" w:rsidP="0008484C">
            <w:pPr>
              <w:ind w:left="282"/>
              <w:jc w:val="center"/>
              <w:rPr>
                <w:b/>
                <w:bCs/>
                <w:sz w:val="20"/>
                <w:szCs w:val="20"/>
              </w:rPr>
            </w:pPr>
            <w:r w:rsidRPr="00AA3F66">
              <w:rPr>
                <w:b/>
                <w:bCs/>
                <w:sz w:val="20"/>
                <w:szCs w:val="20"/>
              </w:rPr>
              <w:t xml:space="preserve">      2026</w:t>
            </w:r>
            <w:r w:rsidR="000635AC" w:rsidRPr="00AA3F66">
              <w:rPr>
                <w:b/>
                <w:bCs/>
                <w:sz w:val="20"/>
                <w:szCs w:val="20"/>
              </w:rPr>
              <w:t xml:space="preserve"> г.</w:t>
            </w:r>
          </w:p>
        </w:tc>
      </w:tr>
      <w:tr w:rsidR="00DC2C2D" w:rsidRPr="00AA3F66" w:rsidTr="00DA37CC">
        <w:trPr>
          <w:trHeight w:val="118"/>
        </w:trPr>
        <w:tc>
          <w:tcPr>
            <w:tcW w:w="4552" w:type="dxa"/>
            <w:tcBorders>
              <w:top w:val="single" w:sz="4" w:space="0" w:color="auto"/>
              <w:left w:val="nil"/>
              <w:bottom w:val="nil"/>
              <w:right w:val="nil"/>
            </w:tcBorders>
            <w:shd w:val="clear" w:color="auto" w:fill="auto"/>
            <w:vAlign w:val="center"/>
            <w:hideMark/>
          </w:tcPr>
          <w:p w:rsidR="00DA37CC" w:rsidRPr="00AA3F66" w:rsidRDefault="00DA37CC" w:rsidP="00DA37CC">
            <w:pPr>
              <w:jc w:val="left"/>
              <w:rPr>
                <w:sz w:val="20"/>
                <w:szCs w:val="20"/>
              </w:rPr>
            </w:pPr>
            <w:r w:rsidRPr="00AA3F66">
              <w:rPr>
                <w:sz w:val="20"/>
                <w:szCs w:val="20"/>
              </w:rPr>
              <w:t>Средства от ЕС</w:t>
            </w:r>
          </w:p>
        </w:tc>
        <w:tc>
          <w:tcPr>
            <w:tcW w:w="1308" w:type="dxa"/>
          </w:tcPr>
          <w:p w:rsidR="00DA37CC" w:rsidRPr="00AA3F66" w:rsidRDefault="00DA37CC" w:rsidP="008F410F">
            <w:pPr>
              <w:ind w:firstLineChars="100" w:firstLine="200"/>
              <w:jc w:val="right"/>
              <w:rPr>
                <w:sz w:val="20"/>
                <w:szCs w:val="20"/>
              </w:rPr>
            </w:pPr>
            <w:r w:rsidRPr="00AA3F66">
              <w:rPr>
                <w:sz w:val="20"/>
                <w:szCs w:val="20"/>
              </w:rPr>
              <w:t xml:space="preserve">2 </w:t>
            </w:r>
            <w:r w:rsidR="008F410F" w:rsidRPr="00AA3F66">
              <w:rPr>
                <w:sz w:val="20"/>
                <w:szCs w:val="20"/>
              </w:rPr>
              <w:t>718</w:t>
            </w:r>
            <w:r w:rsidRPr="00AA3F66">
              <w:rPr>
                <w:sz w:val="20"/>
                <w:szCs w:val="20"/>
              </w:rPr>
              <w:t>,7</w:t>
            </w:r>
          </w:p>
        </w:tc>
        <w:tc>
          <w:tcPr>
            <w:tcW w:w="1555" w:type="dxa"/>
          </w:tcPr>
          <w:p w:rsidR="00DA37CC" w:rsidRPr="00AA3F66" w:rsidRDefault="00DA37CC" w:rsidP="00DA37CC">
            <w:pPr>
              <w:ind w:firstLineChars="100" w:firstLine="200"/>
              <w:jc w:val="right"/>
              <w:rPr>
                <w:sz w:val="20"/>
                <w:szCs w:val="20"/>
              </w:rPr>
            </w:pPr>
            <w:r w:rsidRPr="00AA3F66">
              <w:rPr>
                <w:sz w:val="20"/>
                <w:szCs w:val="20"/>
              </w:rPr>
              <w:t>3 065,0</w:t>
            </w:r>
          </w:p>
        </w:tc>
        <w:tc>
          <w:tcPr>
            <w:tcW w:w="1559" w:type="dxa"/>
          </w:tcPr>
          <w:p w:rsidR="00DA37CC" w:rsidRPr="00AA3F66" w:rsidRDefault="00DA37CC" w:rsidP="00DA37CC">
            <w:pPr>
              <w:ind w:firstLineChars="100" w:firstLine="200"/>
              <w:jc w:val="right"/>
              <w:rPr>
                <w:sz w:val="20"/>
                <w:szCs w:val="20"/>
              </w:rPr>
            </w:pPr>
            <w:r w:rsidRPr="00AA3F66">
              <w:rPr>
                <w:sz w:val="20"/>
                <w:szCs w:val="20"/>
              </w:rPr>
              <w:t>2 246,5</w:t>
            </w:r>
          </w:p>
        </w:tc>
      </w:tr>
      <w:tr w:rsidR="00DC2C2D" w:rsidRPr="00AA3F66" w:rsidTr="00DA37CC">
        <w:trPr>
          <w:trHeight w:val="265"/>
        </w:trPr>
        <w:tc>
          <w:tcPr>
            <w:tcW w:w="4552" w:type="dxa"/>
            <w:tcBorders>
              <w:top w:val="nil"/>
              <w:left w:val="nil"/>
              <w:bottom w:val="nil"/>
              <w:right w:val="nil"/>
            </w:tcBorders>
            <w:shd w:val="clear" w:color="auto" w:fill="auto"/>
            <w:vAlign w:val="center"/>
            <w:hideMark/>
          </w:tcPr>
          <w:p w:rsidR="00DA37CC" w:rsidRPr="00AA3F66" w:rsidRDefault="00DA37CC" w:rsidP="00DA37CC">
            <w:pPr>
              <w:jc w:val="left"/>
              <w:rPr>
                <w:sz w:val="20"/>
                <w:szCs w:val="20"/>
              </w:rPr>
            </w:pPr>
            <w:r w:rsidRPr="00AA3F66">
              <w:rPr>
                <w:sz w:val="20"/>
                <w:szCs w:val="20"/>
              </w:rPr>
              <w:t>Национално съфинансиране и авансови плащания</w:t>
            </w:r>
          </w:p>
        </w:tc>
        <w:tc>
          <w:tcPr>
            <w:tcW w:w="1308" w:type="dxa"/>
          </w:tcPr>
          <w:p w:rsidR="00DA37CC" w:rsidRPr="00AA3F66" w:rsidRDefault="008F410F" w:rsidP="00DA37CC">
            <w:pPr>
              <w:ind w:firstLineChars="100" w:firstLine="200"/>
              <w:jc w:val="right"/>
              <w:rPr>
                <w:sz w:val="20"/>
                <w:szCs w:val="20"/>
              </w:rPr>
            </w:pPr>
            <w:r w:rsidRPr="00AA3F66">
              <w:rPr>
                <w:sz w:val="20"/>
                <w:szCs w:val="20"/>
              </w:rPr>
              <w:t>445</w:t>
            </w:r>
            <w:r w:rsidR="00DA37CC" w:rsidRPr="00AA3F66">
              <w:rPr>
                <w:sz w:val="20"/>
                <w:szCs w:val="20"/>
              </w:rPr>
              <w:t>,6</w:t>
            </w:r>
          </w:p>
        </w:tc>
        <w:tc>
          <w:tcPr>
            <w:tcW w:w="1555" w:type="dxa"/>
          </w:tcPr>
          <w:p w:rsidR="00DA37CC" w:rsidRPr="00AA3F66" w:rsidRDefault="00DA37CC" w:rsidP="00DA37CC">
            <w:pPr>
              <w:ind w:firstLineChars="100" w:firstLine="200"/>
              <w:jc w:val="right"/>
              <w:rPr>
                <w:sz w:val="20"/>
                <w:szCs w:val="20"/>
              </w:rPr>
            </w:pPr>
            <w:r w:rsidRPr="00AA3F66">
              <w:rPr>
                <w:sz w:val="20"/>
                <w:szCs w:val="20"/>
              </w:rPr>
              <w:t>776,7</w:t>
            </w:r>
          </w:p>
        </w:tc>
        <w:tc>
          <w:tcPr>
            <w:tcW w:w="1559" w:type="dxa"/>
          </w:tcPr>
          <w:p w:rsidR="00DA37CC" w:rsidRPr="00AA3F66" w:rsidRDefault="00DA37CC" w:rsidP="00DA37CC">
            <w:pPr>
              <w:ind w:firstLineChars="100" w:firstLine="200"/>
              <w:jc w:val="right"/>
              <w:rPr>
                <w:sz w:val="20"/>
                <w:szCs w:val="20"/>
              </w:rPr>
            </w:pPr>
            <w:r w:rsidRPr="00AA3F66">
              <w:rPr>
                <w:sz w:val="20"/>
                <w:szCs w:val="20"/>
              </w:rPr>
              <w:t>890,0</w:t>
            </w:r>
          </w:p>
        </w:tc>
      </w:tr>
      <w:tr w:rsidR="00DC2C2D" w:rsidRPr="00AA3F66" w:rsidTr="00DA37CC">
        <w:trPr>
          <w:trHeight w:val="255"/>
        </w:trPr>
        <w:tc>
          <w:tcPr>
            <w:tcW w:w="4552" w:type="dxa"/>
            <w:tcBorders>
              <w:top w:val="nil"/>
              <w:left w:val="nil"/>
              <w:bottom w:val="single" w:sz="4" w:space="0" w:color="auto"/>
              <w:right w:val="nil"/>
            </w:tcBorders>
            <w:shd w:val="clear" w:color="auto" w:fill="auto"/>
            <w:vAlign w:val="center"/>
            <w:hideMark/>
          </w:tcPr>
          <w:p w:rsidR="00DA37CC" w:rsidRPr="00AA3F66" w:rsidRDefault="00DA37CC" w:rsidP="00DA37CC">
            <w:pPr>
              <w:jc w:val="left"/>
              <w:rPr>
                <w:b/>
                <w:bCs/>
                <w:sz w:val="20"/>
                <w:szCs w:val="20"/>
              </w:rPr>
            </w:pPr>
            <w:r w:rsidRPr="00AA3F66">
              <w:rPr>
                <w:b/>
                <w:bCs/>
                <w:sz w:val="20"/>
                <w:szCs w:val="20"/>
              </w:rPr>
              <w:t>Общо</w:t>
            </w:r>
          </w:p>
        </w:tc>
        <w:tc>
          <w:tcPr>
            <w:tcW w:w="1308" w:type="dxa"/>
            <w:tcBorders>
              <w:top w:val="nil"/>
              <w:left w:val="nil"/>
              <w:bottom w:val="single" w:sz="4" w:space="0" w:color="auto"/>
              <w:right w:val="nil"/>
            </w:tcBorders>
          </w:tcPr>
          <w:p w:rsidR="00DA37CC" w:rsidRPr="00AA3F66" w:rsidRDefault="00DA37CC" w:rsidP="008F410F">
            <w:pPr>
              <w:ind w:firstLineChars="100" w:firstLine="200"/>
              <w:jc w:val="right"/>
              <w:rPr>
                <w:b/>
                <w:sz w:val="20"/>
                <w:szCs w:val="20"/>
              </w:rPr>
            </w:pPr>
            <w:r w:rsidRPr="00AA3F66">
              <w:rPr>
                <w:b/>
                <w:sz w:val="20"/>
                <w:szCs w:val="20"/>
              </w:rPr>
              <w:t xml:space="preserve">3 </w:t>
            </w:r>
            <w:r w:rsidR="008F410F" w:rsidRPr="00AA3F66">
              <w:rPr>
                <w:b/>
                <w:sz w:val="20"/>
                <w:szCs w:val="20"/>
              </w:rPr>
              <w:t>164</w:t>
            </w:r>
            <w:r w:rsidRPr="00AA3F66">
              <w:rPr>
                <w:b/>
                <w:sz w:val="20"/>
                <w:szCs w:val="20"/>
              </w:rPr>
              <w:t>,3</w:t>
            </w:r>
          </w:p>
        </w:tc>
        <w:tc>
          <w:tcPr>
            <w:tcW w:w="1555" w:type="dxa"/>
            <w:tcBorders>
              <w:top w:val="nil"/>
              <w:left w:val="nil"/>
              <w:bottom w:val="single" w:sz="4" w:space="0" w:color="auto"/>
              <w:right w:val="nil"/>
            </w:tcBorders>
          </w:tcPr>
          <w:p w:rsidR="00DA37CC" w:rsidRPr="00AA3F66" w:rsidRDefault="00DA37CC" w:rsidP="00DA37CC">
            <w:pPr>
              <w:ind w:firstLineChars="100" w:firstLine="200"/>
              <w:jc w:val="right"/>
              <w:rPr>
                <w:b/>
                <w:spacing w:val="5"/>
                <w:kern w:val="28"/>
                <w:sz w:val="20"/>
                <w:szCs w:val="20"/>
              </w:rPr>
            </w:pPr>
            <w:r w:rsidRPr="00AA3F66">
              <w:rPr>
                <w:b/>
                <w:sz w:val="20"/>
                <w:szCs w:val="20"/>
              </w:rPr>
              <w:t>3 841,7</w:t>
            </w:r>
          </w:p>
        </w:tc>
        <w:tc>
          <w:tcPr>
            <w:tcW w:w="1559" w:type="dxa"/>
            <w:tcBorders>
              <w:top w:val="nil"/>
              <w:left w:val="nil"/>
              <w:bottom w:val="single" w:sz="4" w:space="0" w:color="auto"/>
              <w:right w:val="nil"/>
            </w:tcBorders>
          </w:tcPr>
          <w:p w:rsidR="00DA37CC" w:rsidRPr="00AA3F66" w:rsidRDefault="00DA37CC" w:rsidP="00DA37CC">
            <w:pPr>
              <w:ind w:firstLineChars="100" w:firstLine="200"/>
              <w:jc w:val="right"/>
              <w:rPr>
                <w:b/>
                <w:spacing w:val="5"/>
                <w:kern w:val="28"/>
                <w:sz w:val="20"/>
                <w:szCs w:val="20"/>
              </w:rPr>
            </w:pPr>
            <w:r w:rsidRPr="00AA3F66">
              <w:rPr>
                <w:b/>
                <w:sz w:val="20"/>
                <w:szCs w:val="20"/>
              </w:rPr>
              <w:t>3 136,5</w:t>
            </w:r>
          </w:p>
        </w:tc>
      </w:tr>
    </w:tbl>
    <w:p w:rsidR="00247061" w:rsidRPr="00AA3F66" w:rsidRDefault="00D5513C" w:rsidP="00A87638">
      <w:pPr>
        <w:spacing w:before="120" w:after="0"/>
        <w:jc w:val="right"/>
        <w:rPr>
          <w:rFonts w:eastAsia="Batang" w:cs="Times New Roman"/>
          <w:sz w:val="18"/>
          <w:szCs w:val="18"/>
        </w:rPr>
      </w:pPr>
      <w:r w:rsidRPr="00AA3F66">
        <w:rPr>
          <w:rFonts w:eastAsia="Batang" w:cs="Times New Roman"/>
          <w:sz w:val="18"/>
          <w:szCs w:val="18"/>
        </w:rPr>
        <w:t>Източник: МФ</w:t>
      </w:r>
    </w:p>
    <w:p w:rsidR="00D4311E" w:rsidRPr="00AA3F66" w:rsidRDefault="00D4311E" w:rsidP="00D4311E">
      <w:pPr>
        <w:pStyle w:val="Heading3"/>
        <w:numPr>
          <w:ilvl w:val="0"/>
          <w:numId w:val="0"/>
        </w:numPr>
        <w:rPr>
          <w:rFonts w:eastAsia="Batang"/>
        </w:rPr>
      </w:pPr>
      <w:r w:rsidRPr="00AA3F66">
        <w:rPr>
          <w:rFonts w:eastAsia="Batang"/>
        </w:rPr>
        <w:t>ОБЩА Р</w:t>
      </w:r>
      <w:r w:rsidR="0019728D" w:rsidRPr="00AA3F66">
        <w:rPr>
          <w:rFonts w:eastAsia="Batang"/>
        </w:rPr>
        <w:t>ИБАРСКА ПОЛИТИКА ЗА ПЕРИОДА 2024-2026</w:t>
      </w:r>
      <w:r w:rsidRPr="00AA3F66">
        <w:rPr>
          <w:rFonts w:eastAsia="Batang"/>
        </w:rPr>
        <w:t> г.</w:t>
      </w:r>
    </w:p>
    <w:p w:rsidR="00DA37CC" w:rsidRPr="00AA3F66" w:rsidRDefault="00DA37CC" w:rsidP="00DA37CC">
      <w:pPr>
        <w:rPr>
          <w:rFonts w:eastAsia="Batang" w:cs="Times New Roman"/>
        </w:rPr>
      </w:pPr>
      <w:r w:rsidRPr="00AA3F66">
        <w:rPr>
          <w:rFonts w:eastAsia="Batang" w:cs="Times New Roman"/>
        </w:rPr>
        <w:t>Преобладаващата част от мерките по Програмите за морско дело, рибарство и аквакултури за периода са насочени към:</w:t>
      </w:r>
    </w:p>
    <w:p w:rsidR="00DA37CC" w:rsidRPr="00AA3F66" w:rsidRDefault="00DA37CC" w:rsidP="00DA37CC">
      <w:pPr>
        <w:numPr>
          <w:ilvl w:val="0"/>
          <w:numId w:val="8"/>
        </w:numPr>
        <w:rPr>
          <w:rFonts w:eastAsia="Batang" w:cs="Times New Roman"/>
        </w:rPr>
      </w:pPr>
      <w:r w:rsidRPr="00AA3F66">
        <w:rPr>
          <w:rFonts w:eastAsia="Batang" w:cs="Times New Roman"/>
        </w:rPr>
        <w:t>повишаване на конкурентоспособността и жизнеспособността на предприятията в сектор рибарство;</w:t>
      </w:r>
    </w:p>
    <w:p w:rsidR="00DA37CC" w:rsidRPr="00AA3F66" w:rsidRDefault="00DA37CC" w:rsidP="00DA37CC">
      <w:pPr>
        <w:numPr>
          <w:ilvl w:val="0"/>
          <w:numId w:val="8"/>
        </w:numPr>
        <w:rPr>
          <w:rFonts w:eastAsia="Batang" w:cs="Times New Roman"/>
        </w:rPr>
      </w:pPr>
      <w:r w:rsidRPr="00AA3F66">
        <w:rPr>
          <w:rFonts w:eastAsia="Batang" w:cs="Times New Roman"/>
        </w:rPr>
        <w:t>насърчаване на устойчиво, отличаващо се с ефективно използване на ресурсите рибарство;</w:t>
      </w:r>
    </w:p>
    <w:p w:rsidR="00DA37CC" w:rsidRPr="00AA3F66" w:rsidRDefault="00DA37CC" w:rsidP="00DA37CC">
      <w:pPr>
        <w:numPr>
          <w:ilvl w:val="0"/>
          <w:numId w:val="8"/>
        </w:numPr>
        <w:rPr>
          <w:rFonts w:eastAsia="Batang" w:cs="Times New Roman"/>
        </w:rPr>
      </w:pPr>
      <w:r w:rsidRPr="00AA3F66">
        <w:rPr>
          <w:rFonts w:eastAsia="Batang" w:cs="Times New Roman"/>
        </w:rPr>
        <w:t>диверсификация на дейностите в рамките на сектор рибарство, както и в други сектори на морската икономика;</w:t>
      </w:r>
    </w:p>
    <w:p w:rsidR="00DA37CC" w:rsidRPr="00AA3F66" w:rsidRDefault="00DA37CC" w:rsidP="00DA37CC">
      <w:pPr>
        <w:numPr>
          <w:ilvl w:val="0"/>
          <w:numId w:val="8"/>
        </w:numPr>
        <w:rPr>
          <w:rFonts w:eastAsia="Batang" w:cs="Times New Roman"/>
        </w:rPr>
      </w:pPr>
      <w:r w:rsidRPr="00AA3F66">
        <w:rPr>
          <w:rFonts w:eastAsia="Batang" w:cs="Times New Roman"/>
        </w:rPr>
        <w:t>подобряване на пазарната организация за продуктите на риболов и аквакултурите;</w:t>
      </w:r>
    </w:p>
    <w:p w:rsidR="00DA37CC" w:rsidRPr="00AA3F66" w:rsidRDefault="00DA37CC" w:rsidP="00DA37CC">
      <w:pPr>
        <w:numPr>
          <w:ilvl w:val="0"/>
          <w:numId w:val="8"/>
        </w:numPr>
        <w:rPr>
          <w:rFonts w:eastAsia="Batang" w:cs="Times New Roman"/>
        </w:rPr>
      </w:pPr>
      <w:r w:rsidRPr="00AA3F66">
        <w:rPr>
          <w:rFonts w:eastAsia="Batang" w:cs="Times New Roman"/>
        </w:rPr>
        <w:t>рибарски пристанища, кейове за разтоварване и покрити лодкостоянки.</w:t>
      </w:r>
    </w:p>
    <w:p w:rsidR="003158CD" w:rsidRPr="00AA3F66" w:rsidRDefault="00DA37CC" w:rsidP="00B221A3">
      <w:pPr>
        <w:rPr>
          <w:rFonts w:eastAsia="Batang" w:cs="Times New Roman"/>
        </w:rPr>
      </w:pPr>
      <w:r w:rsidRPr="00AA3F66">
        <w:rPr>
          <w:rFonts w:eastAsia="Batang" w:cs="Times New Roman"/>
        </w:rPr>
        <w:t>В средносрочен план средствата, които страната ни предвижда да усвоява по програмите на ЕС и да изплаща за общата риба</w:t>
      </w:r>
      <w:r w:rsidR="003158CD" w:rsidRPr="00AA3F66">
        <w:rPr>
          <w:rFonts w:eastAsia="Batang" w:cs="Times New Roman"/>
        </w:rPr>
        <w:t>рска политика са, както следва:</w:t>
      </w:r>
    </w:p>
    <w:p w:rsidR="00D4311E" w:rsidRPr="00AA3F66" w:rsidRDefault="00D4311E" w:rsidP="00DA37CC">
      <w:pPr>
        <w:pStyle w:val="Caption"/>
        <w:ind w:left="0" w:firstLine="0"/>
        <w:rPr>
          <w:rFonts w:cs="Calibri"/>
          <w:color w:val="000000"/>
          <w:szCs w:val="24"/>
        </w:rPr>
      </w:pPr>
      <w:bookmarkStart w:id="383" w:name="_Toc150443428"/>
      <w:r w:rsidRPr="00AA3F66">
        <w:t xml:space="preserve">Табл. </w:t>
      </w:r>
      <w:fldSimple w:instr=" STYLEREF 1 \s ">
        <w:r w:rsidR="005A69ED">
          <w:rPr>
            <w:noProof/>
          </w:rPr>
          <w:t>V</w:t>
        </w:r>
      </w:fldSimple>
      <w:r w:rsidRPr="00AA3F66">
        <w:noBreakHyphen/>
      </w:r>
      <w:fldSimple w:instr=" SEQ Табл. \* ARABIC \s 1 ">
        <w:r w:rsidR="005A69ED">
          <w:rPr>
            <w:noProof/>
          </w:rPr>
          <w:t>2</w:t>
        </w:r>
      </w:fldSimple>
      <w:r w:rsidRPr="00AA3F66">
        <w:t>:</w:t>
      </w:r>
      <w:r w:rsidRPr="00AA3F66">
        <w:tab/>
      </w:r>
      <w:r w:rsidRPr="00AA3F66">
        <w:rPr>
          <w:rFonts w:cs="Calibri"/>
          <w:color w:val="000000"/>
          <w:szCs w:val="24"/>
        </w:rPr>
        <w:t xml:space="preserve">Разходи и плащания за рибарската политика за периода </w:t>
      </w:r>
      <w:r w:rsidR="0019728D" w:rsidRPr="00AA3F66">
        <w:rPr>
          <w:rFonts w:cs="Calibri"/>
          <w:color w:val="000000"/>
          <w:szCs w:val="24"/>
        </w:rPr>
        <w:t>2024-2026</w:t>
      </w:r>
      <w:r w:rsidRPr="00AA3F66">
        <w:rPr>
          <w:rFonts w:cs="Calibri"/>
          <w:color w:val="000000"/>
          <w:szCs w:val="24"/>
        </w:rPr>
        <w:t> г.</w:t>
      </w:r>
      <w:bookmarkEnd w:id="383"/>
      <w:r w:rsidRPr="00AA3F66">
        <w:rPr>
          <w:rFonts w:cs="Calibri"/>
          <w:color w:val="000000"/>
          <w:szCs w:val="24"/>
        </w:rPr>
        <w:t xml:space="preserve"> </w:t>
      </w:r>
    </w:p>
    <w:p w:rsidR="00B221A3" w:rsidRPr="00AA3F66" w:rsidRDefault="00EA1422" w:rsidP="00A87638">
      <w:pPr>
        <w:tabs>
          <w:tab w:val="left" w:pos="4188"/>
          <w:tab w:val="left" w:pos="6027"/>
          <w:tab w:val="left" w:pos="7533"/>
        </w:tabs>
        <w:spacing w:after="60"/>
        <w:ind w:left="72"/>
        <w:jc w:val="right"/>
        <w:rPr>
          <w:rFonts w:eastAsia="Times New Roman" w:cs="Times New Roman"/>
          <w:color w:val="000000"/>
          <w:sz w:val="20"/>
          <w:szCs w:val="20"/>
        </w:rPr>
      </w:pPr>
      <w:bookmarkStart w:id="384" w:name="_Toc464224806"/>
      <w:bookmarkStart w:id="385" w:name="_Toc464225456"/>
      <w:bookmarkStart w:id="386" w:name="_Toc464459003"/>
      <w:bookmarkStart w:id="387" w:name="_Toc464459751"/>
      <w:bookmarkStart w:id="388" w:name="_Toc464460704"/>
      <w:bookmarkStart w:id="389" w:name="_Toc464463103"/>
      <w:bookmarkStart w:id="390" w:name="_Toc464464932"/>
      <w:bookmarkStart w:id="391" w:name="_Toc464465436"/>
      <w:bookmarkStart w:id="392" w:name="_Toc464465624"/>
      <w:bookmarkStart w:id="393" w:name="_Toc464466449"/>
      <w:bookmarkStart w:id="394" w:name="_Toc464466693"/>
      <w:bookmarkStart w:id="395" w:name="_Toc464645012"/>
      <w:bookmarkStart w:id="396" w:name="_Toc465205565"/>
      <w:r w:rsidRPr="00AA3F66">
        <w:rPr>
          <w:rFonts w:eastAsia="Times New Roman" w:cs="Times New Roman"/>
          <w:color w:val="000000"/>
          <w:sz w:val="20"/>
          <w:szCs w:val="20"/>
        </w:rPr>
        <w:t xml:space="preserve"> </w:t>
      </w:r>
      <w:r w:rsidR="00B860B3" w:rsidRPr="00AA3F66">
        <w:rPr>
          <w:rFonts w:eastAsia="Times New Roman" w:cs="Times New Roman"/>
          <w:color w:val="000000"/>
          <w:sz w:val="20"/>
          <w:szCs w:val="20"/>
        </w:rPr>
        <w:t>(млн. лв.)</w:t>
      </w:r>
    </w:p>
    <w:tbl>
      <w:tblPr>
        <w:tblW w:w="9023" w:type="dxa"/>
        <w:tblInd w:w="55" w:type="dxa"/>
        <w:tblCellMar>
          <w:left w:w="70" w:type="dxa"/>
          <w:right w:w="70" w:type="dxa"/>
        </w:tblCellMar>
        <w:tblLook w:val="04A0" w:firstRow="1" w:lastRow="0" w:firstColumn="1" w:lastColumn="0" w:noHBand="0" w:noVBand="1"/>
      </w:tblPr>
      <w:tblGrid>
        <w:gridCol w:w="4552"/>
        <w:gridCol w:w="1243"/>
        <w:gridCol w:w="1669"/>
        <w:gridCol w:w="1559"/>
      </w:tblGrid>
      <w:tr w:rsidR="00DC2C2D" w:rsidRPr="00AA3F66" w:rsidTr="00A87638">
        <w:trPr>
          <w:trHeight w:val="361"/>
          <w:tblHeader/>
        </w:trPr>
        <w:tc>
          <w:tcPr>
            <w:tcW w:w="4552" w:type="dxa"/>
            <w:tcBorders>
              <w:top w:val="single" w:sz="4" w:space="0" w:color="auto"/>
              <w:left w:val="nil"/>
              <w:bottom w:val="single" w:sz="4" w:space="0" w:color="auto"/>
              <w:right w:val="nil"/>
            </w:tcBorders>
            <w:shd w:val="clear" w:color="auto" w:fill="auto"/>
            <w:vAlign w:val="center"/>
            <w:hideMark/>
          </w:tcPr>
          <w:p w:rsidR="00B221A3" w:rsidRPr="00AA3F66" w:rsidRDefault="00B221A3" w:rsidP="00E23475">
            <w:pPr>
              <w:jc w:val="center"/>
              <w:rPr>
                <w:b/>
                <w:bCs/>
                <w:sz w:val="20"/>
                <w:szCs w:val="20"/>
              </w:rPr>
            </w:pPr>
          </w:p>
        </w:tc>
        <w:tc>
          <w:tcPr>
            <w:tcW w:w="1243" w:type="dxa"/>
            <w:tcBorders>
              <w:top w:val="single" w:sz="4" w:space="0" w:color="auto"/>
              <w:left w:val="nil"/>
              <w:bottom w:val="single" w:sz="4" w:space="0" w:color="auto"/>
              <w:right w:val="nil"/>
            </w:tcBorders>
            <w:shd w:val="clear" w:color="auto" w:fill="auto"/>
            <w:vAlign w:val="center"/>
            <w:hideMark/>
          </w:tcPr>
          <w:p w:rsidR="00B221A3" w:rsidRPr="00AA3F66" w:rsidRDefault="00B221A3" w:rsidP="00E23475">
            <w:pPr>
              <w:ind w:hanging="2"/>
              <w:jc w:val="center"/>
              <w:rPr>
                <w:b/>
                <w:bCs/>
                <w:sz w:val="20"/>
                <w:szCs w:val="20"/>
              </w:rPr>
            </w:pPr>
            <w:r w:rsidRPr="00AA3F66">
              <w:rPr>
                <w:b/>
                <w:bCs/>
                <w:sz w:val="20"/>
                <w:szCs w:val="20"/>
              </w:rPr>
              <w:t xml:space="preserve">      </w:t>
            </w:r>
            <w:r w:rsidR="00DA37CC" w:rsidRPr="00AA3F66">
              <w:rPr>
                <w:b/>
                <w:bCs/>
                <w:sz w:val="20"/>
                <w:szCs w:val="20"/>
              </w:rPr>
              <w:t xml:space="preserve">    2024</w:t>
            </w:r>
            <w:r w:rsidRPr="00AA3F66">
              <w:rPr>
                <w:b/>
                <w:bCs/>
                <w:sz w:val="20"/>
                <w:szCs w:val="20"/>
              </w:rPr>
              <w:t xml:space="preserve"> г.</w:t>
            </w:r>
          </w:p>
        </w:tc>
        <w:tc>
          <w:tcPr>
            <w:tcW w:w="1669" w:type="dxa"/>
            <w:tcBorders>
              <w:top w:val="single" w:sz="4" w:space="0" w:color="auto"/>
              <w:left w:val="nil"/>
              <w:bottom w:val="single" w:sz="4" w:space="0" w:color="auto"/>
              <w:right w:val="nil"/>
            </w:tcBorders>
            <w:shd w:val="clear" w:color="auto" w:fill="auto"/>
            <w:vAlign w:val="center"/>
            <w:hideMark/>
          </w:tcPr>
          <w:p w:rsidR="00B221A3" w:rsidRPr="00AA3F66" w:rsidRDefault="00B221A3" w:rsidP="00E23475">
            <w:pPr>
              <w:ind w:hanging="2"/>
              <w:jc w:val="center"/>
              <w:rPr>
                <w:b/>
                <w:bCs/>
                <w:sz w:val="20"/>
                <w:szCs w:val="20"/>
              </w:rPr>
            </w:pPr>
            <w:r w:rsidRPr="00AA3F66">
              <w:rPr>
                <w:b/>
                <w:bCs/>
                <w:sz w:val="20"/>
                <w:szCs w:val="20"/>
              </w:rPr>
              <w:t xml:space="preserve">    </w:t>
            </w:r>
            <w:r w:rsidR="00DA37CC" w:rsidRPr="00AA3F66">
              <w:rPr>
                <w:b/>
                <w:bCs/>
                <w:sz w:val="20"/>
                <w:szCs w:val="20"/>
              </w:rPr>
              <w:t xml:space="preserve">           2025</w:t>
            </w:r>
            <w:r w:rsidRPr="00AA3F66">
              <w:rPr>
                <w:b/>
                <w:bCs/>
                <w:sz w:val="20"/>
                <w:szCs w:val="20"/>
              </w:rPr>
              <w:t xml:space="preserve"> г.</w:t>
            </w:r>
          </w:p>
        </w:tc>
        <w:tc>
          <w:tcPr>
            <w:tcW w:w="1559" w:type="dxa"/>
            <w:tcBorders>
              <w:top w:val="single" w:sz="4" w:space="0" w:color="auto"/>
              <w:left w:val="nil"/>
              <w:bottom w:val="single" w:sz="4" w:space="0" w:color="auto"/>
              <w:right w:val="nil"/>
            </w:tcBorders>
            <w:shd w:val="clear" w:color="auto" w:fill="auto"/>
            <w:vAlign w:val="center"/>
            <w:hideMark/>
          </w:tcPr>
          <w:p w:rsidR="00B221A3" w:rsidRPr="00AA3F66" w:rsidRDefault="00DA37CC" w:rsidP="00E23475">
            <w:pPr>
              <w:ind w:hanging="2"/>
              <w:jc w:val="center"/>
              <w:rPr>
                <w:b/>
                <w:bCs/>
                <w:sz w:val="20"/>
                <w:szCs w:val="20"/>
              </w:rPr>
            </w:pPr>
            <w:r w:rsidRPr="00AA3F66">
              <w:rPr>
                <w:b/>
                <w:bCs/>
                <w:sz w:val="20"/>
                <w:szCs w:val="20"/>
              </w:rPr>
              <w:t xml:space="preserve">    2026</w:t>
            </w:r>
            <w:r w:rsidR="00B221A3" w:rsidRPr="00AA3F66">
              <w:rPr>
                <w:b/>
                <w:bCs/>
                <w:sz w:val="20"/>
                <w:szCs w:val="20"/>
              </w:rPr>
              <w:t xml:space="preserve"> г.</w:t>
            </w:r>
          </w:p>
        </w:tc>
      </w:tr>
      <w:tr w:rsidR="00DC2C2D" w:rsidRPr="00AA3F66" w:rsidTr="00DA37CC">
        <w:trPr>
          <w:trHeight w:val="410"/>
        </w:trPr>
        <w:tc>
          <w:tcPr>
            <w:tcW w:w="4552" w:type="dxa"/>
            <w:tcBorders>
              <w:top w:val="single" w:sz="4" w:space="0" w:color="auto"/>
              <w:left w:val="nil"/>
              <w:bottom w:val="nil"/>
              <w:right w:val="nil"/>
            </w:tcBorders>
            <w:shd w:val="clear" w:color="auto" w:fill="auto"/>
            <w:vAlign w:val="center"/>
            <w:hideMark/>
          </w:tcPr>
          <w:p w:rsidR="00DA37CC" w:rsidRPr="00AA3F66" w:rsidRDefault="00DA37CC" w:rsidP="00DA37CC">
            <w:pPr>
              <w:jc w:val="left"/>
              <w:rPr>
                <w:sz w:val="20"/>
                <w:szCs w:val="20"/>
              </w:rPr>
            </w:pPr>
            <w:r w:rsidRPr="00AA3F66">
              <w:rPr>
                <w:sz w:val="20"/>
                <w:szCs w:val="20"/>
              </w:rPr>
              <w:t>Средства от ЕС</w:t>
            </w:r>
          </w:p>
        </w:tc>
        <w:tc>
          <w:tcPr>
            <w:tcW w:w="1243" w:type="dxa"/>
            <w:tcBorders>
              <w:top w:val="single" w:sz="4" w:space="0" w:color="auto"/>
              <w:left w:val="nil"/>
              <w:bottom w:val="nil"/>
              <w:right w:val="nil"/>
            </w:tcBorders>
          </w:tcPr>
          <w:p w:rsidR="00DA37CC" w:rsidRPr="00AA3F66" w:rsidRDefault="00DA37CC" w:rsidP="00DA37CC">
            <w:pPr>
              <w:ind w:firstLineChars="100" w:firstLine="200"/>
              <w:jc w:val="right"/>
              <w:rPr>
                <w:sz w:val="20"/>
                <w:szCs w:val="20"/>
              </w:rPr>
            </w:pPr>
            <w:r w:rsidRPr="00AA3F66">
              <w:rPr>
                <w:sz w:val="20"/>
                <w:szCs w:val="20"/>
              </w:rPr>
              <w:t>34,3</w:t>
            </w:r>
          </w:p>
        </w:tc>
        <w:tc>
          <w:tcPr>
            <w:tcW w:w="1669" w:type="dxa"/>
            <w:tcBorders>
              <w:top w:val="single" w:sz="4" w:space="0" w:color="auto"/>
              <w:left w:val="nil"/>
              <w:bottom w:val="nil"/>
              <w:right w:val="nil"/>
            </w:tcBorders>
          </w:tcPr>
          <w:p w:rsidR="00DA37CC" w:rsidRPr="00AA3F66" w:rsidRDefault="00DA37CC" w:rsidP="00DA37CC">
            <w:pPr>
              <w:ind w:firstLineChars="100" w:firstLine="200"/>
              <w:jc w:val="right"/>
              <w:rPr>
                <w:sz w:val="20"/>
                <w:szCs w:val="20"/>
              </w:rPr>
            </w:pPr>
            <w:r w:rsidRPr="00AA3F66">
              <w:rPr>
                <w:sz w:val="20"/>
                <w:szCs w:val="20"/>
              </w:rPr>
              <w:t>37,4</w:t>
            </w:r>
          </w:p>
        </w:tc>
        <w:tc>
          <w:tcPr>
            <w:tcW w:w="1559" w:type="dxa"/>
            <w:tcBorders>
              <w:top w:val="single" w:sz="4" w:space="0" w:color="auto"/>
              <w:left w:val="nil"/>
              <w:bottom w:val="nil"/>
              <w:right w:val="nil"/>
            </w:tcBorders>
          </w:tcPr>
          <w:p w:rsidR="00DA37CC" w:rsidRPr="00AA3F66" w:rsidRDefault="00DA37CC" w:rsidP="00DA37CC">
            <w:pPr>
              <w:ind w:firstLineChars="100" w:firstLine="200"/>
              <w:jc w:val="right"/>
              <w:rPr>
                <w:sz w:val="20"/>
                <w:szCs w:val="20"/>
              </w:rPr>
            </w:pPr>
            <w:r w:rsidRPr="00AA3F66">
              <w:rPr>
                <w:sz w:val="20"/>
                <w:szCs w:val="20"/>
              </w:rPr>
              <w:t>37,8</w:t>
            </w:r>
          </w:p>
        </w:tc>
      </w:tr>
      <w:tr w:rsidR="00DC2C2D" w:rsidRPr="00AA3F66" w:rsidTr="00DA37CC">
        <w:trPr>
          <w:trHeight w:val="409"/>
        </w:trPr>
        <w:tc>
          <w:tcPr>
            <w:tcW w:w="4552" w:type="dxa"/>
            <w:tcBorders>
              <w:top w:val="nil"/>
              <w:left w:val="nil"/>
              <w:bottom w:val="nil"/>
              <w:right w:val="nil"/>
            </w:tcBorders>
            <w:shd w:val="clear" w:color="auto" w:fill="auto"/>
            <w:vAlign w:val="center"/>
            <w:hideMark/>
          </w:tcPr>
          <w:p w:rsidR="00DA37CC" w:rsidRPr="00AA3F66" w:rsidRDefault="00DA37CC" w:rsidP="00DA37CC">
            <w:pPr>
              <w:jc w:val="left"/>
              <w:rPr>
                <w:sz w:val="20"/>
                <w:szCs w:val="20"/>
              </w:rPr>
            </w:pPr>
            <w:r w:rsidRPr="00AA3F66">
              <w:rPr>
                <w:sz w:val="20"/>
                <w:szCs w:val="20"/>
              </w:rPr>
              <w:t>Национално съфинансиране и авансови плащания</w:t>
            </w:r>
          </w:p>
        </w:tc>
        <w:tc>
          <w:tcPr>
            <w:tcW w:w="1243" w:type="dxa"/>
          </w:tcPr>
          <w:p w:rsidR="00DA37CC" w:rsidRPr="00AA3F66" w:rsidRDefault="00DA37CC" w:rsidP="00DA37CC">
            <w:pPr>
              <w:ind w:firstLineChars="100" w:firstLine="200"/>
              <w:jc w:val="right"/>
              <w:rPr>
                <w:sz w:val="20"/>
                <w:szCs w:val="20"/>
              </w:rPr>
            </w:pPr>
            <w:r w:rsidRPr="00AA3F66">
              <w:rPr>
                <w:sz w:val="20"/>
                <w:szCs w:val="20"/>
              </w:rPr>
              <w:t>10,7</w:t>
            </w:r>
          </w:p>
        </w:tc>
        <w:tc>
          <w:tcPr>
            <w:tcW w:w="1669" w:type="dxa"/>
          </w:tcPr>
          <w:p w:rsidR="00DA37CC" w:rsidRPr="00AA3F66" w:rsidRDefault="00DA37CC" w:rsidP="00DA37CC">
            <w:pPr>
              <w:ind w:firstLineChars="100" w:firstLine="200"/>
              <w:jc w:val="right"/>
              <w:rPr>
                <w:sz w:val="20"/>
                <w:szCs w:val="20"/>
              </w:rPr>
            </w:pPr>
            <w:r w:rsidRPr="00AA3F66">
              <w:rPr>
                <w:sz w:val="20"/>
                <w:szCs w:val="20"/>
              </w:rPr>
              <w:t>15,8</w:t>
            </w:r>
          </w:p>
        </w:tc>
        <w:tc>
          <w:tcPr>
            <w:tcW w:w="1559" w:type="dxa"/>
          </w:tcPr>
          <w:p w:rsidR="00DA37CC" w:rsidRPr="00AA3F66" w:rsidRDefault="00DA37CC" w:rsidP="00DA37CC">
            <w:pPr>
              <w:ind w:firstLineChars="100" w:firstLine="200"/>
              <w:jc w:val="right"/>
              <w:rPr>
                <w:sz w:val="20"/>
                <w:szCs w:val="20"/>
              </w:rPr>
            </w:pPr>
            <w:r w:rsidRPr="00AA3F66">
              <w:rPr>
                <w:sz w:val="20"/>
                <w:szCs w:val="20"/>
              </w:rPr>
              <w:t>16,0</w:t>
            </w:r>
          </w:p>
        </w:tc>
      </w:tr>
      <w:tr w:rsidR="00DC2C2D" w:rsidRPr="00AA3F66" w:rsidTr="00DA37CC">
        <w:trPr>
          <w:trHeight w:val="255"/>
        </w:trPr>
        <w:tc>
          <w:tcPr>
            <w:tcW w:w="4552" w:type="dxa"/>
            <w:tcBorders>
              <w:top w:val="nil"/>
              <w:left w:val="nil"/>
              <w:bottom w:val="single" w:sz="4" w:space="0" w:color="auto"/>
              <w:right w:val="nil"/>
            </w:tcBorders>
            <w:shd w:val="clear" w:color="auto" w:fill="auto"/>
            <w:vAlign w:val="center"/>
            <w:hideMark/>
          </w:tcPr>
          <w:p w:rsidR="00DA37CC" w:rsidRPr="00AA3F66" w:rsidRDefault="00DA37CC" w:rsidP="00DA37CC">
            <w:pPr>
              <w:jc w:val="left"/>
              <w:rPr>
                <w:b/>
                <w:bCs/>
                <w:sz w:val="20"/>
                <w:szCs w:val="20"/>
              </w:rPr>
            </w:pPr>
            <w:r w:rsidRPr="00AA3F66">
              <w:rPr>
                <w:b/>
                <w:bCs/>
                <w:sz w:val="20"/>
                <w:szCs w:val="20"/>
              </w:rPr>
              <w:t>Общо</w:t>
            </w:r>
          </w:p>
        </w:tc>
        <w:tc>
          <w:tcPr>
            <w:tcW w:w="1243" w:type="dxa"/>
            <w:tcBorders>
              <w:top w:val="nil"/>
              <w:left w:val="nil"/>
              <w:bottom w:val="single" w:sz="4" w:space="0" w:color="auto"/>
              <w:right w:val="nil"/>
            </w:tcBorders>
          </w:tcPr>
          <w:p w:rsidR="00DA37CC" w:rsidRPr="00AA3F66" w:rsidRDefault="00DA37CC" w:rsidP="00DA37CC">
            <w:pPr>
              <w:ind w:firstLineChars="100" w:firstLine="200"/>
              <w:jc w:val="right"/>
              <w:rPr>
                <w:b/>
                <w:spacing w:val="5"/>
                <w:kern w:val="28"/>
                <w:sz w:val="20"/>
                <w:szCs w:val="20"/>
              </w:rPr>
            </w:pPr>
            <w:r w:rsidRPr="00AA3F66">
              <w:rPr>
                <w:sz w:val="20"/>
                <w:szCs w:val="20"/>
              </w:rPr>
              <w:t>45,0</w:t>
            </w:r>
          </w:p>
        </w:tc>
        <w:tc>
          <w:tcPr>
            <w:tcW w:w="1669" w:type="dxa"/>
            <w:tcBorders>
              <w:top w:val="nil"/>
              <w:left w:val="nil"/>
              <w:bottom w:val="single" w:sz="4" w:space="0" w:color="auto"/>
              <w:right w:val="nil"/>
            </w:tcBorders>
          </w:tcPr>
          <w:p w:rsidR="00DA37CC" w:rsidRPr="00AA3F66" w:rsidRDefault="00DA37CC" w:rsidP="00DA37CC">
            <w:pPr>
              <w:ind w:firstLineChars="100" w:firstLine="200"/>
              <w:jc w:val="right"/>
              <w:rPr>
                <w:b/>
                <w:spacing w:val="5"/>
                <w:kern w:val="28"/>
                <w:sz w:val="20"/>
                <w:szCs w:val="20"/>
              </w:rPr>
            </w:pPr>
            <w:r w:rsidRPr="00AA3F66">
              <w:rPr>
                <w:sz w:val="20"/>
                <w:szCs w:val="20"/>
              </w:rPr>
              <w:t>53,2</w:t>
            </w:r>
          </w:p>
        </w:tc>
        <w:tc>
          <w:tcPr>
            <w:tcW w:w="1559" w:type="dxa"/>
            <w:tcBorders>
              <w:top w:val="nil"/>
              <w:left w:val="nil"/>
              <w:bottom w:val="single" w:sz="4" w:space="0" w:color="auto"/>
              <w:right w:val="nil"/>
            </w:tcBorders>
          </w:tcPr>
          <w:p w:rsidR="00DA37CC" w:rsidRPr="00AA3F66" w:rsidRDefault="00DA37CC" w:rsidP="00DA37CC">
            <w:pPr>
              <w:ind w:firstLineChars="100" w:firstLine="200"/>
              <w:jc w:val="right"/>
              <w:rPr>
                <w:b/>
                <w:spacing w:val="5"/>
                <w:kern w:val="28"/>
                <w:sz w:val="20"/>
                <w:szCs w:val="20"/>
              </w:rPr>
            </w:pPr>
            <w:r w:rsidRPr="00AA3F66">
              <w:rPr>
                <w:sz w:val="20"/>
                <w:szCs w:val="20"/>
              </w:rPr>
              <w:t>53,8</w:t>
            </w:r>
          </w:p>
        </w:tc>
      </w:tr>
    </w:tbl>
    <w:p w:rsidR="008875F8" w:rsidRPr="00AA3F66" w:rsidRDefault="00B93854" w:rsidP="00A87638">
      <w:pPr>
        <w:spacing w:before="120" w:after="0"/>
        <w:jc w:val="right"/>
        <w:rPr>
          <w:rFonts w:eastAsia="Batang" w:cs="Times New Roman"/>
          <w:sz w:val="18"/>
          <w:szCs w:val="18"/>
        </w:rPr>
      </w:pPr>
      <w:r w:rsidRPr="00AA3F66">
        <w:rPr>
          <w:rFonts w:eastAsia="Batang" w:cs="Times New Roman"/>
          <w:sz w:val="18"/>
          <w:szCs w:val="18"/>
        </w:rPr>
        <w:t>Източник: МФ</w:t>
      </w:r>
    </w:p>
    <w:p w:rsidR="008872DF" w:rsidRPr="00AA3F66" w:rsidRDefault="000107EE" w:rsidP="00DE2BDB">
      <w:pPr>
        <w:pStyle w:val="Heading2"/>
      </w:pPr>
      <w:bookmarkStart w:id="397" w:name="_Toc151557306"/>
      <w:r w:rsidRPr="00AA3F66">
        <w:t>Други сметки за ср</w:t>
      </w:r>
      <w:r w:rsidR="008F1224" w:rsidRPr="00AA3F66">
        <w:t>едства от ЕС и средства по</w:t>
      </w:r>
      <w:r w:rsidRPr="00AA3F66">
        <w:t xml:space="preserve"> международни програми и догов</w:t>
      </w:r>
      <w:r w:rsidR="008F1224" w:rsidRPr="00AA3F66">
        <w:t>ори, за които се прилага режим</w:t>
      </w:r>
      <w:r w:rsidRPr="00AA3F66">
        <w:t xml:space="preserve"> на сметките з</w:t>
      </w:r>
      <w:r w:rsidR="008F1224" w:rsidRPr="00AA3F66">
        <w:t>а средства от ЕС</w:t>
      </w:r>
      <w:bookmarkEnd w:id="397"/>
      <w:r w:rsidR="008F1224" w:rsidRPr="00AA3F66">
        <w:t xml:space="preserve"> </w:t>
      </w:r>
      <w:bookmarkEnd w:id="384"/>
      <w:bookmarkEnd w:id="385"/>
      <w:bookmarkEnd w:id="386"/>
      <w:bookmarkEnd w:id="387"/>
      <w:bookmarkEnd w:id="388"/>
      <w:bookmarkEnd w:id="389"/>
      <w:bookmarkEnd w:id="390"/>
      <w:bookmarkEnd w:id="391"/>
      <w:bookmarkEnd w:id="392"/>
      <w:bookmarkEnd w:id="393"/>
      <w:bookmarkEnd w:id="394"/>
      <w:bookmarkEnd w:id="395"/>
      <w:bookmarkEnd w:id="396"/>
    </w:p>
    <w:p w:rsidR="00A041B3" w:rsidRPr="00AA3F66" w:rsidRDefault="00A041B3" w:rsidP="00A041B3">
      <w:r w:rsidRPr="00AA3F66">
        <w:t>С актуализираната средносрочна бю</w:t>
      </w:r>
      <w:r w:rsidR="002B6C7A" w:rsidRPr="00AA3F66">
        <w:t>джетна прогноза за периода 2024</w:t>
      </w:r>
      <w:r w:rsidRPr="00AA3F66">
        <w:t>-2026 г. са разчетени приходи, разходи и съответното съфинансиране от държавния бюджет по други сметки за средства от Европейския съюз и средства по международни програми и договори, за които се прилага режимът на сметките за средства от Европейския съюз. Разчетите са изготвени на база предложенията на първостепенните разпоредители с бюджет по държавния бюджет за очакваните приходи и разходи, включително и за съфинансирането им, по различните международни програми, проекти и договори.</w:t>
      </w:r>
    </w:p>
    <w:p w:rsidR="00A041B3" w:rsidRPr="00AA3F66" w:rsidRDefault="00A041B3" w:rsidP="00A041B3">
      <w:r w:rsidRPr="00AA3F66">
        <w:t xml:space="preserve">Финансирането на политиката в областта на вътрешния ред и сигурността се допълва със средства от Европейския съюз и средства по други международни програми и договори, за които се прилага режимът на сметките за средства от ЕС. В прогнозата за периода 2024-2026 г. на МВР са включени средства по Фонд „Убежище, миграция и интеграция“ (ФУМИ), Фонд „Вътрешна сигурност“ (ФВС), Инструмент за финансово подпомагане за управлението на границите и визите за 2021-2027, проекти, програми и грантови споразумения. Прогнозираното национално съфинансиране по тях възлиза на 35,0 млн. лв. за 2024 г., 36,4 млн. лв. за 2025 </w:t>
      </w:r>
      <w:r w:rsidR="002B1C4C" w:rsidRPr="00AA3F66">
        <w:t xml:space="preserve">г. </w:t>
      </w:r>
      <w:r w:rsidRPr="00AA3F66">
        <w:t>и 4,7 млн. лв. за 2026 г.</w:t>
      </w:r>
    </w:p>
    <w:p w:rsidR="00A041B3" w:rsidRPr="00AA3F66" w:rsidRDefault="00A041B3" w:rsidP="00A041B3">
      <w:r w:rsidRPr="00AA3F66">
        <w:t>В рамките на прогнозните средства за периода 2024-2026 г. на другите сметки за средства от Европейския съюз и средства по други международни програми и договори, за които се прилага режимът на сметките за средства от Европейския съюз на Министерството на образованието и н</w:t>
      </w:r>
      <w:r w:rsidR="002B6C7A" w:rsidRPr="00AA3F66">
        <w:t>ауката</w:t>
      </w:r>
      <w:r w:rsidRPr="00AA3F66">
        <w:t xml:space="preserve"> са включени средства по Програма „Еразъм+“ и Програма „Европейски корпус за солидарност“, както и други проекти и грантови споразумения.</w:t>
      </w:r>
    </w:p>
    <w:p w:rsidR="00A041B3" w:rsidRPr="00AA3F66" w:rsidRDefault="00A041B3" w:rsidP="00A041B3">
      <w:r w:rsidRPr="00AA3F66">
        <w:t>В прогнозата за периода 2024-2026 г. в областта на регионалното развитие са разчетени приходите и разходите за дванадесетте програми на Европейския съюз по трите направления на европейското териториално сътрудничество (ИНТЕРРЕГ): трансгранично (V-A), транснационално (V-B) и междурегионално (V-C), съфинансирани от Европейския фонд за регионално развитие (ЕФРР), Инструмента за предприсъединителна помощ II (ИПП II) и Европейския инструмент за съседство (ЕИС) за периода 2014-2020 г. и за периода 2021-2027 г., в които България участва.</w:t>
      </w:r>
    </w:p>
    <w:p w:rsidR="00A041B3" w:rsidRPr="00AA3F66" w:rsidRDefault="00A041B3" w:rsidP="00D73ADE">
      <w:r w:rsidRPr="00AA3F66">
        <w:t>За периода 2024-2026 г. по другите сметки за средства от Европейския съюз са разчетени приходи, разходи и съответното съфинансиране от държавния бюджет по Механизма за свързване на Европа, сектор Транспорт, с основен бенефициент Национална компани</w:t>
      </w:r>
      <w:r w:rsidR="008D2D0E" w:rsidRPr="00AA3F66">
        <w:t>я „Железопътна инфраструктура“.</w:t>
      </w:r>
    </w:p>
    <w:p w:rsidR="00D4311E" w:rsidRPr="00AA3F66" w:rsidRDefault="00D4311E" w:rsidP="00D4311E">
      <w:pPr>
        <w:pStyle w:val="Caption"/>
        <w:jc w:val="both"/>
        <w:rPr>
          <w:color w:val="FF0000"/>
        </w:rPr>
      </w:pPr>
      <w:bookmarkStart w:id="398" w:name="_Toc464737649"/>
      <w:r w:rsidRPr="00AA3F66">
        <w:t xml:space="preserve">Граф. </w:t>
      </w:r>
      <w:fldSimple w:instr=" STYLEREF 1 \s ">
        <w:r w:rsidR="005A69ED">
          <w:rPr>
            <w:noProof/>
          </w:rPr>
          <w:t>V</w:t>
        </w:r>
      </w:fldSimple>
      <w:r w:rsidRPr="00AA3F66">
        <w:noBreakHyphen/>
      </w:r>
      <w:fldSimple w:instr=" SEQ Граф. \* ARABIC \s 1 ">
        <w:r w:rsidR="005A69ED">
          <w:rPr>
            <w:noProof/>
          </w:rPr>
          <w:t>5</w:t>
        </w:r>
      </w:fldSimple>
      <w:r w:rsidRPr="00AA3F66">
        <w:t>:</w:t>
      </w:r>
      <w:r w:rsidRPr="00AA3F66">
        <w:tab/>
        <w:t>Приходи и разходи по другите сметки за средства от ЕС и средства по други международни програми и договори, за които се прилага режимът на сметките з</w:t>
      </w:r>
      <w:r w:rsidR="00E91E4E" w:rsidRPr="00AA3F66">
        <w:t xml:space="preserve">а средства от ЕС за периода </w:t>
      </w:r>
      <w:r w:rsidR="00545946" w:rsidRPr="00AA3F66">
        <w:t>2024</w:t>
      </w:r>
      <w:r w:rsidRPr="00AA3F66">
        <w:t>-202</w:t>
      </w:r>
      <w:r w:rsidR="00545946" w:rsidRPr="00AA3F66">
        <w:t>6</w:t>
      </w:r>
      <w:r w:rsidRPr="00AA3F66">
        <w:t> г.</w:t>
      </w:r>
      <w:bookmarkEnd w:id="398"/>
      <w:r w:rsidRPr="00AA3F66">
        <w:t xml:space="preserve"> </w:t>
      </w:r>
      <w:r w:rsidR="00DB3E46" w:rsidRPr="00AA3F66">
        <w:t xml:space="preserve"> </w:t>
      </w:r>
    </w:p>
    <w:p w:rsidR="0007730C" w:rsidRPr="00AA3F66" w:rsidRDefault="00DC2C2D" w:rsidP="00D4311E">
      <w:pPr>
        <w:pStyle w:val="textgraf"/>
        <w:jc w:val="right"/>
      </w:pPr>
      <w:r w:rsidRPr="00AA3F66">
        <w:t>(в млн. лв.)</w:t>
      </w:r>
    </w:p>
    <w:p w:rsidR="008B7116" w:rsidRPr="00AA3F66" w:rsidRDefault="008B7116" w:rsidP="00AA29FD">
      <w:pPr>
        <w:pStyle w:val="textgraf"/>
      </w:pPr>
      <w:r w:rsidRPr="00AA3F66">
        <w:rPr>
          <w:noProof/>
        </w:rPr>
        <w:drawing>
          <wp:inline distT="0" distB="0" distL="0" distR="0" wp14:anchorId="29529343" wp14:editId="5FE827F6">
            <wp:extent cx="5410200" cy="2527300"/>
            <wp:effectExtent l="0" t="0" r="0" b="6350"/>
            <wp:docPr id="11" name="Chart 4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7D6981" w:rsidRPr="00AA3F66" w:rsidRDefault="00B93854" w:rsidP="00AA29FD">
      <w:pPr>
        <w:ind w:right="-20"/>
        <w:jc w:val="right"/>
        <w:rPr>
          <w:rFonts w:eastAsia="Batang" w:cs="Times New Roman"/>
          <w:sz w:val="18"/>
          <w:szCs w:val="18"/>
        </w:rPr>
      </w:pPr>
      <w:r w:rsidRPr="00AA3F66">
        <w:rPr>
          <w:rFonts w:eastAsia="Batang" w:cs="Times New Roman"/>
          <w:sz w:val="18"/>
          <w:szCs w:val="18"/>
        </w:rPr>
        <w:t>Източник: МФ</w:t>
      </w:r>
    </w:p>
    <w:p w:rsidR="003A04FC" w:rsidRPr="00AA3F66" w:rsidRDefault="00FE71FC" w:rsidP="008A5569">
      <w:pPr>
        <w:pStyle w:val="Heading2"/>
      </w:pPr>
      <w:bookmarkStart w:id="399" w:name="_Toc464224807"/>
      <w:bookmarkStart w:id="400" w:name="_Toc464225457"/>
      <w:bookmarkStart w:id="401" w:name="_Toc464459004"/>
      <w:bookmarkStart w:id="402" w:name="_Toc464459752"/>
      <w:bookmarkStart w:id="403" w:name="_Toc464460705"/>
      <w:bookmarkStart w:id="404" w:name="_Toc464463104"/>
      <w:bookmarkStart w:id="405" w:name="_Toc464464933"/>
      <w:bookmarkStart w:id="406" w:name="_Toc464465437"/>
      <w:bookmarkStart w:id="407" w:name="_Toc464465625"/>
      <w:bookmarkStart w:id="408" w:name="_Toc464466450"/>
      <w:bookmarkStart w:id="409" w:name="_Toc464466694"/>
      <w:bookmarkStart w:id="410" w:name="_Toc464645013"/>
      <w:bookmarkStart w:id="411" w:name="_Toc465205566"/>
      <w:bookmarkStart w:id="412" w:name="_Toc151557307"/>
      <w:r w:rsidRPr="00AA3F66">
        <w:t>Вноск</w:t>
      </w:r>
      <w:r w:rsidR="00064549" w:rsidRPr="00AA3F66">
        <w:t>и</w:t>
      </w:r>
      <w:r w:rsidRPr="00AA3F66">
        <w:t xml:space="preserve"> в о</w:t>
      </w:r>
      <w:r w:rsidR="006C7E1D" w:rsidRPr="00AA3F66">
        <w:t>б</w:t>
      </w:r>
      <w:r w:rsidR="0019728D" w:rsidRPr="00AA3F66">
        <w:t>щия бюджет на ЕС за периода 2024-2026</w:t>
      </w:r>
      <w:r w:rsidR="00AA3035" w:rsidRPr="00AA3F66">
        <w:t> г.</w:t>
      </w:r>
      <w:bookmarkStart w:id="413" w:name="_Toc464224808"/>
      <w:bookmarkStart w:id="414" w:name="_Toc464225458"/>
      <w:bookmarkStart w:id="415" w:name="_Toc464459005"/>
      <w:bookmarkStart w:id="416" w:name="_Toc464459753"/>
      <w:bookmarkStart w:id="417" w:name="_Toc464460706"/>
      <w:bookmarkStart w:id="418" w:name="_Toc464463105"/>
      <w:bookmarkStart w:id="419" w:name="_Toc464464934"/>
      <w:bookmarkStart w:id="420" w:name="_Toc464465438"/>
      <w:bookmarkStart w:id="421" w:name="_Toc464465626"/>
      <w:bookmarkStart w:id="422" w:name="_Toc464466451"/>
      <w:bookmarkStart w:id="423" w:name="_Toc464466695"/>
      <w:bookmarkStart w:id="424" w:name="_Toc464645014"/>
      <w:bookmarkStart w:id="425" w:name="_Toc465205567"/>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p>
    <w:p w:rsidR="003A04FC" w:rsidRPr="00AA3F66" w:rsidRDefault="003A04FC" w:rsidP="003A04FC">
      <w:pPr>
        <w:pStyle w:val="Heading3"/>
        <w:ind w:left="284" w:hanging="142"/>
        <w:rPr>
          <w:rFonts w:eastAsia="Times New Roman"/>
        </w:rPr>
      </w:pPr>
      <w:r w:rsidRPr="00AA3F66">
        <w:rPr>
          <w:rFonts w:eastAsia="Times New Roman"/>
        </w:rPr>
        <w:t xml:space="preserve">Прогноза за вноската на Република България в общия бюджет на </w:t>
      </w:r>
      <w:r w:rsidR="00261054" w:rsidRPr="00AA3F66">
        <w:rPr>
          <w:rFonts w:eastAsia="Times New Roman"/>
        </w:rPr>
        <w:t>ЕС</w:t>
      </w:r>
    </w:p>
    <w:p w:rsidR="00894BE4" w:rsidRPr="00AA3F66" w:rsidRDefault="00894BE4" w:rsidP="00894BE4">
      <w:pPr>
        <w:rPr>
          <w:rFonts w:eastAsia="Times New Roman"/>
          <w:szCs w:val="24"/>
          <w:lang w:eastAsia="zh-CN"/>
        </w:rPr>
      </w:pPr>
      <w:r w:rsidRPr="00AA3F66">
        <w:rPr>
          <w:rFonts w:eastAsia="Times New Roman"/>
          <w:szCs w:val="24"/>
          <w:lang w:eastAsia="zh-CN"/>
        </w:rPr>
        <w:t>Актуализираната прогноза за размера на вноските на Република България в общия бюджет на Европейския съюз по години за период</w:t>
      </w:r>
      <w:r w:rsidR="00754F95" w:rsidRPr="00AA3F66">
        <w:rPr>
          <w:rFonts w:eastAsia="Times New Roman"/>
          <w:szCs w:val="24"/>
          <w:lang w:eastAsia="zh-CN"/>
        </w:rPr>
        <w:t>а 2024-2026 г. е, както следва:</w:t>
      </w:r>
      <w:r w:rsidRPr="00AA3F66">
        <w:rPr>
          <w:rFonts w:eastAsia="Times New Roman"/>
          <w:szCs w:val="24"/>
          <w:lang w:eastAsia="zh-CN"/>
        </w:rPr>
        <w:t> </w:t>
      </w:r>
      <w:r w:rsidR="00754F95" w:rsidRPr="00AA3F66">
        <w:rPr>
          <w:rFonts w:eastAsia="Times New Roman"/>
          <w:szCs w:val="24"/>
          <w:lang w:eastAsia="zh-CN"/>
        </w:rPr>
        <w:t xml:space="preserve">2 271,1 </w:t>
      </w:r>
      <w:r w:rsidRPr="00AA3F66">
        <w:rPr>
          <w:rFonts w:eastAsia="Times New Roman"/>
          <w:szCs w:val="24"/>
          <w:lang w:eastAsia="zh-CN"/>
        </w:rPr>
        <w:t xml:space="preserve">млн. лв. за 2024 г., </w:t>
      </w:r>
      <w:r w:rsidR="00C27B3B" w:rsidRPr="00AA3F66">
        <w:rPr>
          <w:rFonts w:eastAsia="Times New Roman"/>
          <w:szCs w:val="24"/>
          <w:lang w:eastAsia="zh-CN"/>
        </w:rPr>
        <w:t>2 139,6</w:t>
      </w:r>
      <w:r w:rsidRPr="00AA3F66">
        <w:rPr>
          <w:rFonts w:eastAsia="Times New Roman"/>
          <w:szCs w:val="24"/>
          <w:lang w:eastAsia="zh-CN"/>
        </w:rPr>
        <w:t xml:space="preserve"> млн. лв. за 2025 г. и </w:t>
      </w:r>
      <w:r w:rsidR="00C27B3B" w:rsidRPr="00AA3F66">
        <w:rPr>
          <w:rFonts w:eastAsia="Times New Roman"/>
          <w:szCs w:val="24"/>
          <w:lang w:eastAsia="zh-CN"/>
        </w:rPr>
        <w:t>2 254,3</w:t>
      </w:r>
      <w:r w:rsidRPr="00AA3F66">
        <w:rPr>
          <w:rFonts w:eastAsia="Times New Roman"/>
          <w:szCs w:val="24"/>
          <w:lang w:eastAsia="zh-CN"/>
        </w:rPr>
        <w:t xml:space="preserve"> млн. лв. за 2026 г. </w:t>
      </w:r>
    </w:p>
    <w:p w:rsidR="00894BE4" w:rsidRPr="00AA3F66" w:rsidRDefault="00894BE4" w:rsidP="00894BE4">
      <w:pPr>
        <w:rPr>
          <w:rFonts w:eastAsia="Times New Roman"/>
          <w:szCs w:val="24"/>
          <w:lang w:eastAsia="zh-CN"/>
        </w:rPr>
      </w:pPr>
      <w:r w:rsidRPr="00AA3F66">
        <w:rPr>
          <w:rFonts w:eastAsia="Times New Roman"/>
          <w:szCs w:val="24"/>
          <w:lang w:eastAsia="zh-CN"/>
        </w:rPr>
        <w:t xml:space="preserve">Тази прогноза е изготвена въз основа на действащото Решение (ЕС, Евратом) 2020/2053 на Съвета oт 14 декември 2020 година относно системата на собствените ресурси на ЕС и за отмяна на Решение 2014/335/ЕС, Евратом; публикуваното на 20.06.2023 г. от Европейската Комисия предложение за Регламент на Съвета за изменение на Регламент (EC, Евратом) 2020/2093 за определяне на многогодишната финансова рамка за годините 2021-2027 (документ COM(2023) 337, 2023/0201 (APP) final; ST 10272/23) и Съобщение на ЕК до Европейския парламент и Съвета относно извършената техническа корекция на Многогодишната финансова рамка (МФР) за 2024 г. в съответствие с член 4 от Регламент (ЕС, Евратом) 2020/2093 на Съвета за определяне на многогодишната финансова рамка за годините 2021-2027 (документ COM(2023) 320 final; ST 10272/23). </w:t>
      </w:r>
    </w:p>
    <w:p w:rsidR="00894BE4" w:rsidRPr="00AA3F66" w:rsidRDefault="00894BE4" w:rsidP="00894BE4">
      <w:pPr>
        <w:rPr>
          <w:rFonts w:eastAsia="Times New Roman"/>
          <w:szCs w:val="24"/>
          <w:lang w:eastAsia="zh-CN"/>
        </w:rPr>
      </w:pPr>
      <w:r w:rsidRPr="00AA3F66">
        <w:rPr>
          <w:rFonts w:eastAsia="Times New Roman"/>
          <w:szCs w:val="24"/>
          <w:lang w:eastAsia="zh-CN"/>
        </w:rPr>
        <w:t>По-конкретно актуализираната прогноза за вноските на България в бюджета на ЕС за периода 2024-2026 г. е изготвена въз основа на следните параметри и прогнозни данни:</w:t>
      </w:r>
    </w:p>
    <w:p w:rsidR="00894BE4" w:rsidRPr="00AA3F66" w:rsidRDefault="00894BE4" w:rsidP="00B30642">
      <w:pPr>
        <w:numPr>
          <w:ilvl w:val="0"/>
          <w:numId w:val="22"/>
        </w:numPr>
        <w:rPr>
          <w:rFonts w:eastAsia="Times New Roman"/>
          <w:szCs w:val="24"/>
          <w:lang w:eastAsia="zh-CN"/>
        </w:rPr>
      </w:pPr>
      <w:r w:rsidRPr="00AA3F66">
        <w:rPr>
          <w:rFonts w:eastAsia="Times New Roman"/>
          <w:i/>
          <w:szCs w:val="24"/>
          <w:lang w:eastAsia="zh-CN"/>
        </w:rPr>
        <w:t xml:space="preserve">Размерът на бюджетните кредити за поети задължения </w:t>
      </w:r>
      <w:r w:rsidR="00C27B3B" w:rsidRPr="00AA3F66">
        <w:rPr>
          <w:rFonts w:eastAsia="Times New Roman"/>
          <w:i/>
          <w:szCs w:val="24"/>
          <w:lang w:eastAsia="zh-CN"/>
        </w:rPr>
        <w:t>и плащания</w:t>
      </w:r>
      <w:r w:rsidR="00C27B3B" w:rsidRPr="00AA3F66">
        <w:rPr>
          <w:rFonts w:eastAsia="Times New Roman"/>
          <w:szCs w:val="24"/>
          <w:lang w:eastAsia="zh-CN"/>
        </w:rPr>
        <w:t xml:space="preserve"> по години </w:t>
      </w:r>
      <w:r w:rsidRPr="00AA3F66">
        <w:rPr>
          <w:rFonts w:eastAsia="Times New Roman"/>
          <w:szCs w:val="24"/>
          <w:lang w:eastAsia="zh-CN"/>
        </w:rPr>
        <w:t xml:space="preserve">в периода 2024-2026 г. (т.нар. „тавани“) на МФР (преизчислени по текущи цени с прилагане на дефлатор в размер на 2%) </w:t>
      </w:r>
      <w:r w:rsidR="00C27B3B" w:rsidRPr="00AA3F66">
        <w:rPr>
          <w:rFonts w:eastAsia="Times New Roman"/>
          <w:szCs w:val="24"/>
          <w:lang w:eastAsia="zh-CN"/>
        </w:rPr>
        <w:t>и</w:t>
      </w:r>
      <w:r w:rsidRPr="00AA3F66">
        <w:rPr>
          <w:rFonts w:eastAsia="Times New Roman"/>
          <w:szCs w:val="24"/>
          <w:lang w:eastAsia="zh-CN"/>
        </w:rPr>
        <w:t xml:space="preserve">  прогнозни данни за средствата, които е възможно да бъдат мобилизирани по линия на специалните инструменти на ЕС; </w:t>
      </w:r>
    </w:p>
    <w:p w:rsidR="00894BE4" w:rsidRPr="00AA3F66" w:rsidRDefault="00894BE4" w:rsidP="00B30642">
      <w:pPr>
        <w:numPr>
          <w:ilvl w:val="0"/>
          <w:numId w:val="22"/>
        </w:numPr>
        <w:rPr>
          <w:rFonts w:eastAsia="Times New Roman"/>
          <w:szCs w:val="24"/>
          <w:lang w:eastAsia="zh-CN"/>
        </w:rPr>
      </w:pPr>
      <w:r w:rsidRPr="00AA3F66">
        <w:rPr>
          <w:rFonts w:eastAsia="Times New Roman"/>
          <w:i/>
          <w:szCs w:val="24"/>
          <w:lang w:eastAsia="zh-CN"/>
        </w:rPr>
        <w:t>Прогнозни данни за брутния национален доход</w:t>
      </w:r>
      <w:r w:rsidRPr="00AA3F66">
        <w:rPr>
          <w:rFonts w:eastAsia="Times New Roman"/>
          <w:szCs w:val="24"/>
          <w:lang w:eastAsia="zh-CN"/>
        </w:rPr>
        <w:t xml:space="preserve"> </w:t>
      </w:r>
      <w:r w:rsidRPr="00AA3F66">
        <w:rPr>
          <w:rFonts w:eastAsia="Times New Roman"/>
          <w:i/>
          <w:szCs w:val="24"/>
          <w:lang w:eastAsia="zh-CN"/>
        </w:rPr>
        <w:t>(БНД)</w:t>
      </w:r>
      <w:r w:rsidRPr="00AA3F66">
        <w:rPr>
          <w:rFonts w:eastAsia="Times New Roman"/>
          <w:szCs w:val="24"/>
          <w:lang w:eastAsia="zh-CN"/>
        </w:rPr>
        <w:t xml:space="preserve"> на България за периода 2024-2026 г. от актуализираната макроикономическа прогноза за периода 2023-2026 г., изготвена от Института за анализи и прогнози и одобрена на 19.10.2023 г.;</w:t>
      </w:r>
    </w:p>
    <w:p w:rsidR="00894BE4" w:rsidRPr="00AA3F66" w:rsidRDefault="00894BE4" w:rsidP="00B30642">
      <w:pPr>
        <w:numPr>
          <w:ilvl w:val="0"/>
          <w:numId w:val="22"/>
        </w:numPr>
        <w:rPr>
          <w:rFonts w:eastAsia="Times New Roman"/>
          <w:szCs w:val="24"/>
          <w:lang w:eastAsia="zh-CN"/>
        </w:rPr>
      </w:pPr>
      <w:r w:rsidRPr="00AA3F66">
        <w:rPr>
          <w:rFonts w:eastAsia="Times New Roman"/>
          <w:i/>
          <w:szCs w:val="24"/>
          <w:lang w:eastAsia="zh-CN"/>
        </w:rPr>
        <w:t>Прогнозни данни за приходите от мита</w:t>
      </w:r>
      <w:r w:rsidRPr="00AA3F66">
        <w:rPr>
          <w:rFonts w:eastAsia="Times New Roman"/>
          <w:szCs w:val="24"/>
          <w:lang w:eastAsia="zh-CN"/>
        </w:rPr>
        <w:t xml:space="preserve"> за България, предоставени от Агенция „Митници“ и основаващи се на все по-либералната търговска политика на ЕС, вследствие на която има все повече сключени споразумения за свободна търговия и споразумения за икономическо партньорство, на предоставените едностранно от ЕС тарифни преференции за стоки с произход от множество държави бенефициери, включени в схемата на ЕС за общи тарифни преференции, на сключени от ЕС митнически съюзи, на продължаващите преговори за сключване на споразумения за свободна търговия, на данните за вноса на стоки в Република България през периода 2018-2022 г., които показват устойчив ръст по отношение на стойностния обем (без суров нефт и природен газ) на внесените стоки от трети страни, на ограничителните мерки с оглед действията на Русия, дестабилизиращи положението в Украйна, както и временните мерки за либерализиране на търговията и солидарност с Украйна, които ще оказват значително влияние върху динамиката на приходите от мита при внос на стоки от трети страни в периода 2024-2026 г. (при това по данни от информационните системи на Агенция „Митници“ през първите девет месеца от началото на 2023 г. приходите от мита при внос на стоки от трети страни изостават с 28,0% спрямо касовите приходи от този приходоизточник през същия период на 2022 г., а също така се регистрира спад в количествените (22,9%) и стойностните (8,6%) обеми при вноса на стоки спрямо сравнимия период на 2022 година, като за причини за този резултат могат да се посочат ограничителните мерки с оглед на действията на Русия, дестабилизиращи положението в Украйна, както и временните мерки за либерализиране на търговията и солидарност с Украйна</w:t>
      </w:r>
      <w:r w:rsidR="00EC55D3" w:rsidRPr="00AA3F66">
        <w:rPr>
          <w:rFonts w:eastAsia="Times New Roman"/>
          <w:szCs w:val="24"/>
          <w:lang w:eastAsia="zh-CN"/>
        </w:rPr>
        <w:t>)</w:t>
      </w:r>
      <w:r w:rsidRPr="00AA3F66">
        <w:rPr>
          <w:rFonts w:eastAsia="Times New Roman"/>
          <w:szCs w:val="24"/>
          <w:lang w:eastAsia="zh-CN"/>
        </w:rPr>
        <w:t>, както и на актуализираната макроикономическа прогноза, одобрена на 19.10.2023 г.;</w:t>
      </w:r>
    </w:p>
    <w:p w:rsidR="00894BE4" w:rsidRPr="00AA3F66" w:rsidRDefault="00894BE4" w:rsidP="00B30642">
      <w:pPr>
        <w:numPr>
          <w:ilvl w:val="0"/>
          <w:numId w:val="22"/>
        </w:numPr>
        <w:rPr>
          <w:rFonts w:eastAsia="Times New Roman"/>
          <w:szCs w:val="24"/>
          <w:lang w:eastAsia="zh-CN"/>
        </w:rPr>
      </w:pPr>
      <w:r w:rsidRPr="00AA3F66">
        <w:rPr>
          <w:rFonts w:eastAsia="Times New Roman"/>
          <w:i/>
          <w:szCs w:val="24"/>
          <w:lang w:eastAsia="zh-CN"/>
        </w:rPr>
        <w:t>Прогнозни данни за нетните приходи от данъка върху добавената стойност</w:t>
      </w:r>
      <w:r w:rsidRPr="00AA3F66">
        <w:rPr>
          <w:rFonts w:eastAsia="Times New Roman"/>
          <w:szCs w:val="24"/>
          <w:lang w:eastAsia="zh-CN"/>
        </w:rPr>
        <w:t xml:space="preserve"> за България по години за 2024-2026 г. (и прилагане на претеглена средна ставка от 2016 г. за трите години в съответствие с новата подобрена методология за изчисляване на ресурса на база ДДС), изготвени от</w:t>
      </w:r>
      <w:r w:rsidR="00754F95" w:rsidRPr="00AA3F66">
        <w:rPr>
          <w:rFonts w:eastAsia="Times New Roman"/>
          <w:szCs w:val="24"/>
          <w:lang w:eastAsia="zh-CN"/>
        </w:rPr>
        <w:t xml:space="preserve"> Министерството на финансите</w:t>
      </w:r>
      <w:r w:rsidRPr="00AA3F66">
        <w:rPr>
          <w:rFonts w:eastAsia="Times New Roman"/>
          <w:szCs w:val="24"/>
          <w:lang w:eastAsia="zh-CN"/>
        </w:rPr>
        <w:t>, вземайки предвид данните от актуализираната макроикономическа прогноза, одобрена на 19.10.2023 г., и отчитайки тенденциите при потреблението, цената на суровия петрол, цената на неенергийните суровини в щатски долари, валутния курс, изменението във физическите и стойностните обеми при вноса на стоки и услуги, както и рисковете от продължителността на военния конфликт в Украйна, а също така е отчетено влиянието на приетите мерки, свързани с подобряване на събираемостта на данъка от страна на приходните администрации и изтичането на срока на действие на временните данъчни облекчения към 31.12.2023 г.;</w:t>
      </w:r>
    </w:p>
    <w:p w:rsidR="00894BE4" w:rsidRPr="00AA3F66" w:rsidRDefault="00894BE4" w:rsidP="00B30642">
      <w:pPr>
        <w:numPr>
          <w:ilvl w:val="0"/>
          <w:numId w:val="22"/>
        </w:numPr>
        <w:rPr>
          <w:rFonts w:eastAsia="Times New Roman"/>
          <w:szCs w:val="24"/>
          <w:lang w:eastAsia="zh-CN"/>
        </w:rPr>
      </w:pPr>
      <w:r w:rsidRPr="00AA3F66">
        <w:rPr>
          <w:rFonts w:eastAsia="Times New Roman"/>
          <w:i/>
          <w:szCs w:val="24"/>
          <w:lang w:eastAsia="zh-CN"/>
        </w:rPr>
        <w:t>Прогнозни данни за нерециклираните отпадъци от опаковки от пластмаса</w:t>
      </w:r>
      <w:r w:rsidRPr="00AA3F66">
        <w:rPr>
          <w:rFonts w:eastAsia="Times New Roman"/>
          <w:szCs w:val="24"/>
          <w:lang w:eastAsia="zh-CN"/>
        </w:rPr>
        <w:t xml:space="preserve"> по години в България за периода 2024-2026 г., както следва: за 2024 г. – от одобрените прогнози за 2024 г. за нерециклираните отпадъци от опаковки от пластмаса на заседанието на Консултативния комитет по собствените ресурси (ККСР) – Подкомитет „Прогнози“, проведено на 25.05.2023 г., а за 2025 г. и 2026 г. – по данни от инструмента на ЕК за прогнозиране (версия към 22.03.2023 г.) с допълнени реални темпове на растеж на БНД за 2020-2026 г. според пролетната прогноза от 2023 г. на ЕК, като към тях са приложени предвидените в действащото законодателство за системата на собствените ресурси ставка от 0,80 евро на килограм нерециклирани отпадъци от опаковки от пластмаса и годишна корекция за България;</w:t>
      </w:r>
    </w:p>
    <w:p w:rsidR="00894BE4" w:rsidRPr="00AA3F66" w:rsidRDefault="00894BE4" w:rsidP="00B30642">
      <w:pPr>
        <w:numPr>
          <w:ilvl w:val="0"/>
          <w:numId w:val="22"/>
        </w:numPr>
        <w:rPr>
          <w:rFonts w:eastAsia="Times New Roman"/>
          <w:szCs w:val="24"/>
          <w:lang w:eastAsia="zh-CN"/>
        </w:rPr>
      </w:pPr>
      <w:r w:rsidRPr="00AA3F66">
        <w:rPr>
          <w:rFonts w:eastAsia="Times New Roman"/>
          <w:i/>
          <w:szCs w:val="24"/>
          <w:lang w:eastAsia="zh-CN"/>
        </w:rPr>
        <w:t>Прогнози за участието на България във финансирането на брутното намаление за Австрия, Дания, Германия, Нидерландия и Швеция и за вноска за корекция за неучастие на съответни държави членки в някои политики</w:t>
      </w:r>
      <w:r w:rsidRPr="00AA3F66">
        <w:rPr>
          <w:rFonts w:eastAsia="Times New Roman"/>
          <w:szCs w:val="24"/>
          <w:lang w:eastAsia="zh-CN"/>
        </w:rPr>
        <w:t xml:space="preserve"> </w:t>
      </w:r>
      <w:r w:rsidRPr="00AA3F66">
        <w:rPr>
          <w:rFonts w:eastAsia="Times New Roman"/>
          <w:i/>
          <w:szCs w:val="24"/>
          <w:lang w:eastAsia="zh-CN"/>
        </w:rPr>
        <w:t>за свобода, сигурност и правосъдие</w:t>
      </w:r>
      <w:r w:rsidRPr="00AA3F66">
        <w:rPr>
          <w:rFonts w:eastAsia="Times New Roman"/>
          <w:szCs w:val="24"/>
          <w:lang w:eastAsia="zh-CN"/>
        </w:rPr>
        <w:t>, като за целта са приложени съответно разпоредбите на Решението за собствените ресурси при използване на данни и прогнози за дефлатора на БВП с оглед изчисляване на съответните вноски за 2024-2026 г. за участието във финансирането на брутното намаление, а по отношение на корекцията за неучастие – темпът на нарастване на дължимите през последните години вноски;</w:t>
      </w:r>
    </w:p>
    <w:p w:rsidR="00894BE4" w:rsidRPr="00AA3F66" w:rsidRDefault="00894BE4" w:rsidP="00B30642">
      <w:pPr>
        <w:numPr>
          <w:ilvl w:val="0"/>
          <w:numId w:val="22"/>
        </w:numPr>
        <w:rPr>
          <w:rFonts w:eastAsia="Times New Roman"/>
          <w:szCs w:val="24"/>
          <w:lang w:eastAsia="zh-CN"/>
        </w:rPr>
      </w:pPr>
      <w:r w:rsidRPr="00AA3F66">
        <w:rPr>
          <w:rFonts w:eastAsia="Times New Roman"/>
          <w:i/>
          <w:szCs w:val="24"/>
          <w:lang w:eastAsia="zh-CN"/>
        </w:rPr>
        <w:t>Прогнозираният размер на ресурсите на база ДДС и БНД</w:t>
      </w:r>
      <w:r w:rsidRPr="00AA3F66">
        <w:rPr>
          <w:rFonts w:eastAsia="Times New Roman"/>
          <w:szCs w:val="24"/>
          <w:lang w:eastAsia="zh-CN"/>
        </w:rPr>
        <w:t xml:space="preserve"> за България включва съответните суми за т.нар. ДДС- и БНД-баланси, които следва да се платят през 2024 г. съгласно Регламент (ЕС, Евратом) № 609/2014 и съобщени на 27.01.2023 г. от Европейската комисия, възлизащи на обща сума от 41,5 млн. лв.</w:t>
      </w:r>
      <w:r w:rsidR="00C27B3B" w:rsidRPr="00AA3F66">
        <w:rPr>
          <w:rFonts w:eastAsia="Times New Roman" w:cs="Times New Roman"/>
          <w:bCs/>
          <w:szCs w:val="24"/>
          <w:lang w:eastAsia="en-US"/>
        </w:rPr>
        <w:t xml:space="preserve"> </w:t>
      </w:r>
      <w:r w:rsidR="00C27B3B" w:rsidRPr="00AA3F66">
        <w:rPr>
          <w:rFonts w:eastAsia="Times New Roman"/>
          <w:bCs/>
          <w:szCs w:val="24"/>
          <w:lang w:eastAsia="zh-CN"/>
        </w:rPr>
        <w:t xml:space="preserve">Прогнозата за </w:t>
      </w:r>
      <w:r w:rsidR="00C27B3B" w:rsidRPr="00AA3F66">
        <w:rPr>
          <w:rFonts w:eastAsia="Times New Roman"/>
          <w:szCs w:val="24"/>
          <w:lang w:eastAsia="zh-CN"/>
        </w:rPr>
        <w:t>2025 г. е изготвена при допускането за нетен размер на дължимите през годината баланси, равен на нетния размер на дължимите през 2024 г. ДДС- и БНД-баланси</w:t>
      </w:r>
      <w:r w:rsidRPr="00AA3F66">
        <w:rPr>
          <w:rFonts w:eastAsia="Times New Roman"/>
          <w:szCs w:val="24"/>
          <w:lang w:eastAsia="zh-CN"/>
        </w:rPr>
        <w:t>;</w:t>
      </w:r>
    </w:p>
    <w:p w:rsidR="00894BE4" w:rsidRPr="00AA3F66" w:rsidRDefault="00894BE4" w:rsidP="00B30642">
      <w:pPr>
        <w:numPr>
          <w:ilvl w:val="0"/>
          <w:numId w:val="22"/>
        </w:numPr>
        <w:rPr>
          <w:rFonts w:eastAsia="Times New Roman"/>
          <w:szCs w:val="24"/>
          <w:lang w:eastAsia="zh-CN"/>
        </w:rPr>
      </w:pPr>
      <w:r w:rsidRPr="00AA3F66">
        <w:rPr>
          <w:rFonts w:eastAsia="Times New Roman"/>
          <w:szCs w:val="24"/>
          <w:lang w:eastAsia="zh-CN"/>
        </w:rPr>
        <w:t xml:space="preserve">В </w:t>
      </w:r>
      <w:r w:rsidRPr="00AA3F66">
        <w:rPr>
          <w:rFonts w:eastAsia="Times New Roman"/>
          <w:i/>
          <w:szCs w:val="24"/>
          <w:lang w:eastAsia="zh-CN"/>
        </w:rPr>
        <w:t>прогнозирания размер на вноската от Традиционни собствени ресурси (ТСР)</w:t>
      </w:r>
      <w:r w:rsidRPr="00AA3F66">
        <w:rPr>
          <w:rFonts w:eastAsia="Times New Roman"/>
          <w:szCs w:val="24"/>
          <w:lang w:eastAsia="zh-CN"/>
        </w:rPr>
        <w:t xml:space="preserve"> – мита за 2024 г. е включена сумата от 42,1 млн. лв. за евентуално плащане на изчислени от ЕК по предварителни оценки лихви за забавено плащане поради загуба на ТСР-мита от България, първоначално изчислена от ЕК в размер на 109,4 млн. лв., във връзка с вноса на текстилни изделия и обувки със занижена стойност с произход от Китайската народна република. Сумата е платена от България през декември 2021 г. под резерва с оглед избягване натрупване на лихви за забава, като в последствие сумата на главницата бе преизчислена от ЕК и през април 2023 г. българската страна бе упълномощена да приспадне сума от 12,0 млн. лв. от следващо плащане на ТСР към бюджета на ЕС. Сумата на въпросната лихва за забава е включена във вноската на България в бюджета на ЕС, заложена в ЗДБРБ за 2023 г., като се очаква официално уведомление от ЕК за окончателния ѝ размер и за срока за нейното плащане. Имайки предвид обаче, че ЕК все още не е изпратила такова, няма сигурност дали плащането на лихвата за забава ще бъде извършено до края на настоящата година, поради което сумата от 42,1 млн. лв. е включена в прогнозирания размер на вноската от ТСР за 2024 г.;</w:t>
      </w:r>
    </w:p>
    <w:p w:rsidR="00894BE4" w:rsidRPr="00AA3F66" w:rsidRDefault="00894BE4" w:rsidP="00B30642">
      <w:pPr>
        <w:numPr>
          <w:ilvl w:val="0"/>
          <w:numId w:val="22"/>
        </w:numPr>
        <w:rPr>
          <w:rFonts w:eastAsia="Times New Roman"/>
          <w:szCs w:val="24"/>
          <w:lang w:eastAsia="zh-CN"/>
        </w:rPr>
      </w:pPr>
      <w:r w:rsidRPr="00AA3F66">
        <w:rPr>
          <w:rFonts w:eastAsia="Times New Roman"/>
          <w:i/>
          <w:szCs w:val="24"/>
          <w:lang w:eastAsia="zh-CN"/>
        </w:rPr>
        <w:t xml:space="preserve">Прогнозни данни за 2024 г. за приходите от мита, ДДС-базите и БНД на останалите държави членки </w:t>
      </w:r>
      <w:r w:rsidRPr="00AA3F66">
        <w:rPr>
          <w:rFonts w:eastAsia="Times New Roman"/>
          <w:szCs w:val="24"/>
          <w:lang w:eastAsia="zh-CN"/>
        </w:rPr>
        <w:t>от одобрените прогнози на заседанието на ККСР – Подкомитет „Прогнози“, проведено на 25.05.2023 г., преизчислени чрез прилагане на очакваните стойности за номиналните растежи на БВП и БНД по години съгласно пролетната прогноза на ЕК от 2023 г. с оглед изчисляване на съответните вноски за 2025 г. и 2026 г.;</w:t>
      </w:r>
    </w:p>
    <w:p w:rsidR="00894BE4" w:rsidRPr="00AA3F66" w:rsidRDefault="00894BE4" w:rsidP="00B30642">
      <w:pPr>
        <w:numPr>
          <w:ilvl w:val="0"/>
          <w:numId w:val="22"/>
        </w:numPr>
        <w:rPr>
          <w:rFonts w:eastAsia="Times New Roman"/>
          <w:szCs w:val="24"/>
          <w:lang w:eastAsia="zh-CN"/>
        </w:rPr>
      </w:pPr>
      <w:r w:rsidRPr="00AA3F66">
        <w:rPr>
          <w:rFonts w:eastAsia="Times New Roman"/>
          <w:i/>
          <w:szCs w:val="24"/>
          <w:lang w:eastAsia="zh-CN"/>
        </w:rPr>
        <w:t>Прогнозни данни за вноските от ресурса на база нерециклирни отпадъци от опаковки от пластмаса</w:t>
      </w:r>
      <w:r w:rsidRPr="00AA3F66">
        <w:rPr>
          <w:rFonts w:eastAsia="Times New Roman"/>
          <w:szCs w:val="24"/>
          <w:lang w:eastAsia="zh-CN"/>
        </w:rPr>
        <w:t xml:space="preserve"> за 2024-2026 г. на останалите държави членки, както следва: за 2024 г. – от одобрените прогнози за 2024 г. за нерециклираните отпадъци от опаковки от пластмаса на заседанието на ККСР – Подкомитет „Прогнози“, проведено на 25.05.2023 г., а за 2025 г. и 2026 г. – по данни от разработения за целта инструмент на ЕК за прогнозиране (версия към 22.03.2023 г.) с допълнени реални темпове на растеж на БНД за 2020-2026 г. според пролетната прогноза от 2023 г. на ЕК, при което за всяка от годините в периода 2024-2026 г. са приложени предвидените в Решението за собствените ресурси ставка от 0,80 евро на килограм нерециклирани отпадъци от опаковки от пластмаса и годишни корекции за част от държавите членки;</w:t>
      </w:r>
    </w:p>
    <w:p w:rsidR="00894BE4" w:rsidRPr="00AA3F66" w:rsidRDefault="00894BE4" w:rsidP="00B30642">
      <w:pPr>
        <w:numPr>
          <w:ilvl w:val="0"/>
          <w:numId w:val="22"/>
        </w:numPr>
        <w:rPr>
          <w:rFonts w:eastAsia="Times New Roman"/>
          <w:szCs w:val="24"/>
          <w:lang w:eastAsia="zh-CN"/>
        </w:rPr>
      </w:pPr>
      <w:r w:rsidRPr="00AA3F66">
        <w:rPr>
          <w:rFonts w:eastAsia="Times New Roman"/>
          <w:i/>
          <w:szCs w:val="24"/>
          <w:lang w:eastAsia="zh-CN"/>
        </w:rPr>
        <w:t>Данни за т.нар. „други приходи“ в бюджета на ЕС</w:t>
      </w:r>
      <w:r w:rsidRPr="00AA3F66">
        <w:rPr>
          <w:rFonts w:eastAsia="Times New Roman"/>
          <w:szCs w:val="24"/>
          <w:lang w:eastAsia="zh-CN"/>
        </w:rPr>
        <w:t>, в т.ч. от очакваните вноски от Обединеното кралство в съответствие със споразумението за оттеглянето му от ЕС от доклада на Комисията до Европейския парламент и Съвета „Дългосрочна прогноза за бъдещите входящи и изходящи парични потоци на бюджета на ЕС за периода 2023-2027 г.“.</w:t>
      </w:r>
    </w:p>
    <w:p w:rsidR="00107E86" w:rsidRPr="00AA3F66" w:rsidRDefault="00107E86" w:rsidP="00107E86">
      <w:pPr>
        <w:rPr>
          <w:rStyle w:val="Strong"/>
          <w:rFonts w:asciiTheme="majorHAnsi" w:eastAsiaTheme="majorEastAsia" w:hAnsiTheme="majorHAnsi" w:cstheme="majorBidi"/>
          <w:color w:val="852010"/>
        </w:rPr>
      </w:pPr>
      <w:r w:rsidRPr="00AA3F66">
        <w:rPr>
          <w:rStyle w:val="Strong"/>
          <w:rFonts w:asciiTheme="majorHAnsi" w:eastAsiaTheme="majorEastAsia" w:hAnsiTheme="majorHAnsi" w:cstheme="majorBidi"/>
          <w:color w:val="852010"/>
        </w:rPr>
        <w:t xml:space="preserve">Оценка на бюджетните ефекти от промените в допусканията, макроикономическите показатели и/или в нормативната </w:t>
      </w:r>
      <w:r w:rsidR="00987E8C" w:rsidRPr="00AA3F66">
        <w:rPr>
          <w:rStyle w:val="Strong"/>
          <w:rFonts w:asciiTheme="majorHAnsi" w:eastAsiaTheme="majorEastAsia" w:hAnsiTheme="majorHAnsi" w:cstheme="majorBidi"/>
          <w:color w:val="852010"/>
        </w:rPr>
        <w:t xml:space="preserve">уредба по години за периода 2024-2026 </w:t>
      </w:r>
      <w:r w:rsidRPr="00AA3F66">
        <w:rPr>
          <w:rStyle w:val="Strong"/>
          <w:rFonts w:asciiTheme="majorHAnsi" w:eastAsiaTheme="majorEastAsia" w:hAnsiTheme="majorHAnsi" w:cstheme="majorBidi"/>
          <w:color w:val="852010"/>
        </w:rPr>
        <w:t>г.</w:t>
      </w:r>
    </w:p>
    <w:p w:rsidR="002F4FCC" w:rsidRPr="00AA3F66" w:rsidRDefault="002F4FCC" w:rsidP="002F4FCC">
      <w:pPr>
        <w:rPr>
          <w:rFonts w:eastAsia="Times New Roman"/>
          <w:szCs w:val="24"/>
        </w:rPr>
      </w:pPr>
      <w:r w:rsidRPr="00AA3F66">
        <w:rPr>
          <w:rFonts w:eastAsia="Times New Roman"/>
          <w:szCs w:val="24"/>
        </w:rPr>
        <w:t xml:space="preserve">Проведените симулации показват, че промяната в размера на всеки един от компонентите на вноската на България в бюджета на ЕС, както и на лежащите в основата му приходи и/или макроикономически показатели, би довела до правопропорционално изменение в общия размер на вноската. </w:t>
      </w:r>
    </w:p>
    <w:p w:rsidR="002F4FCC" w:rsidRPr="00AA3F66" w:rsidRDefault="002F4FCC" w:rsidP="002F4FCC">
      <w:pPr>
        <w:rPr>
          <w:rFonts w:eastAsia="Times New Roman"/>
          <w:szCs w:val="24"/>
        </w:rPr>
      </w:pPr>
      <w:r w:rsidRPr="00AA3F66">
        <w:rPr>
          <w:rFonts w:eastAsia="Times New Roman"/>
          <w:szCs w:val="24"/>
        </w:rPr>
        <w:t xml:space="preserve">Конкретно по отношение на ресурса на база ДДС, обаче, следва да се има предвид, че ДДС-базата на съответната държава членка, въз основа на която се изчислява и самият ресурс на база ДДС, се ограничава до 50% от брутния ѝ национален доход и в този смисъл ресурсът на база ДДС би могъл да нараства до определени граници. Това ограничение не засяга България по отношение на прогнозираните вноски на ресурса на база ДДС за нито една от годините в периода 2024-2026 г. </w:t>
      </w:r>
    </w:p>
    <w:p w:rsidR="002F4FCC" w:rsidRPr="00AA3F66" w:rsidRDefault="002F4FCC" w:rsidP="002F4FCC">
      <w:pPr>
        <w:rPr>
          <w:rFonts w:eastAsia="Times New Roman"/>
          <w:szCs w:val="24"/>
        </w:rPr>
      </w:pPr>
      <w:r w:rsidRPr="00AA3F66">
        <w:rPr>
          <w:rFonts w:eastAsia="Times New Roman"/>
          <w:szCs w:val="24"/>
        </w:rPr>
        <w:t xml:space="preserve">Намаляването (или увеличаването) на който и да било от останалите собствени ресурси от България ще доведе до съответно увеличаване (или намаляване) на размера на ресурса ѝ на база БНД, т.е. налице е обратнопропорционална зависимост. </w:t>
      </w:r>
    </w:p>
    <w:p w:rsidR="002F4FCC" w:rsidRPr="00AA3F66" w:rsidRDefault="002F4FCC" w:rsidP="002F4FCC">
      <w:pPr>
        <w:rPr>
          <w:rFonts w:eastAsia="Times New Roman"/>
          <w:szCs w:val="24"/>
        </w:rPr>
      </w:pPr>
      <w:r w:rsidRPr="00AA3F66">
        <w:rPr>
          <w:rFonts w:eastAsia="Times New Roman"/>
          <w:szCs w:val="24"/>
        </w:rPr>
        <w:t>Поради структурата на системата на собствените ресурси на ЕС и взаимообвързаността между елементите ѝ, промени в размера на собствените ресурси, предоставяни от останалите държави членки, биха дали отражение върху размера на ресурса на база БНД и от България, като зависимостта в общия случай е обратнопропорционална.</w:t>
      </w:r>
    </w:p>
    <w:p w:rsidR="002F4FCC" w:rsidRPr="00AA3F66" w:rsidRDefault="002F4FCC" w:rsidP="002F4FCC">
      <w:pPr>
        <w:rPr>
          <w:szCs w:val="24"/>
        </w:rPr>
      </w:pPr>
      <w:r w:rsidRPr="00AA3F66">
        <w:rPr>
          <w:szCs w:val="24"/>
        </w:rPr>
        <w:t xml:space="preserve">Независимо от предварителните прогнози за приходите от мита, </w:t>
      </w:r>
      <w:r w:rsidRPr="00AA3F66">
        <w:rPr>
          <w:rFonts w:eastAsia="Times New Roman"/>
          <w:szCs w:val="24"/>
        </w:rPr>
        <w:t>в съответствие с действащото решение за собствените ресурси</w:t>
      </w:r>
      <w:r w:rsidR="00515537" w:rsidRPr="00AA3F66">
        <w:rPr>
          <w:rFonts w:eastAsia="Times New Roman"/>
          <w:szCs w:val="24"/>
        </w:rPr>
        <w:t>,</w:t>
      </w:r>
      <w:r w:rsidRPr="00AA3F66">
        <w:rPr>
          <w:rFonts w:eastAsia="Times New Roman"/>
          <w:szCs w:val="24"/>
        </w:rPr>
        <w:t xml:space="preserve"> </w:t>
      </w:r>
      <w:r w:rsidRPr="00AA3F66">
        <w:rPr>
          <w:szCs w:val="24"/>
        </w:rPr>
        <w:t xml:space="preserve">държавите членки ще превеждат в бюджета на ЕС 75% от реално събраните суми. </w:t>
      </w:r>
    </w:p>
    <w:p w:rsidR="002F4FCC" w:rsidRPr="00AA3F66" w:rsidRDefault="002F4FCC" w:rsidP="002F4FCC">
      <w:pPr>
        <w:rPr>
          <w:rFonts w:eastAsia="Times New Roman"/>
          <w:szCs w:val="24"/>
        </w:rPr>
      </w:pPr>
      <w:r w:rsidRPr="00AA3F66">
        <w:rPr>
          <w:rFonts w:eastAsia="Times New Roman"/>
          <w:szCs w:val="24"/>
        </w:rPr>
        <w:t xml:space="preserve">В процеса на изпълнението на бюджета на ЕС е възможно да се наложи промяна в размера (увеличение или намаление) на вноската на България поради въздействието на следните фактори: възникнали непредвидени допълнителни нужди от средства по бюджета на ЕС при изпълнение на разходните политики; промяна в размера на другите приходи на ЕС (извън собствените ресурси, вкл. установяването на излишък или дефицит от предходната година); промяна в размера на събраните традиционни собствени ресурси от всички държави членки; периодични актуализации на данните за предишни години за ДДС-базите, за БНД на държавите членки и на количествата </w:t>
      </w:r>
      <w:r w:rsidRPr="00AA3F66">
        <w:rPr>
          <w:rFonts w:eastAsia="Times New Roman"/>
          <w:szCs w:val="20"/>
        </w:rPr>
        <w:t>нерециклирани отпадъци от опаковки от пластмаса</w:t>
      </w:r>
      <w:r w:rsidRPr="00AA3F66">
        <w:rPr>
          <w:rFonts w:eastAsia="Times New Roman"/>
          <w:szCs w:val="24"/>
        </w:rPr>
        <w:t xml:space="preserve"> с оглед постигане на по-голяма точност при изчислението на вноските им, промяна в законодателството на ЕС, регулиращо предоставянето на собствените ресурси или други аспекти от системата на собствените ресурси на ЕС и др. </w:t>
      </w:r>
    </w:p>
    <w:p w:rsidR="002F4FCC" w:rsidRPr="00AA3F66" w:rsidRDefault="002F4FCC" w:rsidP="002F4FCC">
      <w:pPr>
        <w:rPr>
          <w:rFonts w:eastAsia="Times New Roman"/>
          <w:szCs w:val="24"/>
        </w:rPr>
      </w:pPr>
      <w:r w:rsidRPr="00AA3F66">
        <w:rPr>
          <w:rFonts w:eastAsia="Times New Roman"/>
          <w:szCs w:val="24"/>
        </w:rPr>
        <w:t xml:space="preserve">При подготовката на настоящата прогноза, заради несигурността за продължителността на преговорния процес и за крайните му резултати, не са взети предвид предложените от Европейската комисия </w:t>
      </w:r>
      <w:r w:rsidRPr="00AA3F66">
        <w:rPr>
          <w:rFonts w:eastAsia="Times New Roman"/>
          <w:szCs w:val="24"/>
          <w:lang w:eastAsia="zh-CN"/>
        </w:rPr>
        <w:t xml:space="preserve">на 22.12.2021 г., и в последствие коригирани и допълнени на 20.06.2023 г., </w:t>
      </w:r>
      <w:r w:rsidRPr="00AA3F66">
        <w:rPr>
          <w:rFonts w:eastAsia="Times New Roman"/>
          <w:szCs w:val="24"/>
        </w:rPr>
        <w:t>нови собствени ресурси на база механизма за въглеродна корекция на границите, европейската схема за търговия с емисии, остатъчните печалби на най-големите многонационални предприятия и статистически собствен ресурс на база печалбите на дружествата, изчислен въз основа на данни за брутния опериращ излишък.</w:t>
      </w:r>
    </w:p>
    <w:p w:rsidR="002F4FCC" w:rsidRPr="00AA3F66" w:rsidRDefault="002F4FCC" w:rsidP="00107E86">
      <w:pPr>
        <w:rPr>
          <w:rFonts w:eastAsia="Times New Roman"/>
          <w:szCs w:val="24"/>
        </w:rPr>
      </w:pPr>
      <w:r w:rsidRPr="00AA3F66">
        <w:rPr>
          <w:rFonts w:eastAsia="Times New Roman"/>
          <w:szCs w:val="24"/>
        </w:rPr>
        <w:t xml:space="preserve">Следва да се има предвид, че в момента тече процес на преговори за ревизиране на МФР за периода 2021-2027 г., предвиждащо </w:t>
      </w:r>
      <w:r w:rsidR="00C27B3B" w:rsidRPr="00AA3F66">
        <w:rPr>
          <w:rFonts w:eastAsia="Times New Roman"/>
          <w:szCs w:val="24"/>
        </w:rPr>
        <w:t xml:space="preserve">значително </w:t>
      </w:r>
      <w:r w:rsidRPr="00AA3F66">
        <w:rPr>
          <w:rFonts w:eastAsia="Times New Roman"/>
          <w:szCs w:val="24"/>
        </w:rPr>
        <w:t xml:space="preserve">увеличение на разходите от бюджета на ЕС до края на програмния период, вкл. нарастване на сумите, които могат да се мобилизират по линия на специални инструменти. При това размерът на т.нар. „тавани“ за </w:t>
      </w:r>
      <w:r w:rsidRPr="00AA3F66">
        <w:rPr>
          <w:rFonts w:eastAsia="Times New Roman"/>
          <w:szCs w:val="20"/>
        </w:rPr>
        <w:t>бюджетните кредити за поети задължения и за плащания, който ще бъде одобрен за всяка от оставащите години на настоящата МФР, ще е от пряко значение за размера и на приходите в бюджета на ЕС и в частност за размера на вноските на България. Тези обстоятелства повишават несигурността на направените прогнози за вноските в периода 2024-2026 г.</w:t>
      </w:r>
    </w:p>
    <w:p w:rsidR="003A04FC" w:rsidRPr="00AA3F66" w:rsidRDefault="00D04279" w:rsidP="003A04FC">
      <w:pPr>
        <w:pStyle w:val="Heading3"/>
        <w:ind w:left="284" w:hanging="142"/>
        <w:rPr>
          <w:rFonts w:eastAsia="Times New Roman"/>
        </w:rPr>
      </w:pPr>
      <w:r w:rsidRPr="00AA3F66">
        <w:rPr>
          <w:rFonts w:eastAsia="Times New Roman"/>
        </w:rPr>
        <w:t>П</w:t>
      </w:r>
      <w:r w:rsidR="003A04FC" w:rsidRPr="00AA3F66">
        <w:rPr>
          <w:rFonts w:eastAsia="Times New Roman"/>
        </w:rPr>
        <w:t>рогноза за в</w:t>
      </w:r>
      <w:r w:rsidR="00AD2895" w:rsidRPr="00AA3F66">
        <w:rPr>
          <w:rFonts w:eastAsia="Times New Roman"/>
        </w:rPr>
        <w:t xml:space="preserve">носките на </w:t>
      </w:r>
      <w:r w:rsidR="00E42934" w:rsidRPr="00AA3F66">
        <w:rPr>
          <w:rFonts w:eastAsia="Times New Roman"/>
        </w:rPr>
        <w:t xml:space="preserve">Република </w:t>
      </w:r>
      <w:r w:rsidR="00AD2895" w:rsidRPr="00AA3F66">
        <w:rPr>
          <w:rFonts w:eastAsia="Times New Roman"/>
        </w:rPr>
        <w:t xml:space="preserve">България съгласно </w:t>
      </w:r>
      <w:r w:rsidR="00064549" w:rsidRPr="00AA3F66">
        <w:rPr>
          <w:rFonts w:eastAsia="Times New Roman"/>
        </w:rPr>
        <w:t>Споразумение</w:t>
      </w:r>
      <w:r w:rsidR="00316FF7" w:rsidRPr="00AA3F66">
        <w:rPr>
          <w:rFonts w:eastAsia="Times New Roman"/>
        </w:rPr>
        <w:t>ТО</w:t>
      </w:r>
      <w:r w:rsidR="00064549" w:rsidRPr="00AA3F66">
        <w:rPr>
          <w:rFonts w:eastAsia="Times New Roman"/>
        </w:rPr>
        <w:t xml:space="preserve"> за финансов принос между Република България и Европейската комисия съгласно член 7 от Регламент (ЕС) 2022/2463 на Европейския парламент и на Съвета</w:t>
      </w:r>
      <w:r w:rsidR="00064549" w:rsidRPr="00AA3F66" w:rsidDel="00AA6F6E">
        <w:rPr>
          <w:rFonts w:eastAsia="Times New Roman"/>
        </w:rPr>
        <w:t xml:space="preserve"> </w:t>
      </w:r>
    </w:p>
    <w:p w:rsidR="00316FF7" w:rsidRPr="00AA3F66" w:rsidRDefault="00316FF7" w:rsidP="00316FF7">
      <w:pPr>
        <w:rPr>
          <w:rFonts w:eastAsia="Times New Roman"/>
          <w:szCs w:val="24"/>
        </w:rPr>
      </w:pPr>
      <w:r w:rsidRPr="00AA3F66">
        <w:rPr>
          <w:rFonts w:eastAsia="Times New Roman"/>
          <w:szCs w:val="24"/>
        </w:rPr>
        <w:t>Изготвена е прогноза за вноските на България за периода 2024-2026 г. съгласно Споразумението за финансов принос между Република България и Европейската комисия съгласно член 7 от Регламент (ЕС) 2022/2463 на Европейския парламент и на Съвета, който се отнася до създаването на инструмент за предоставяне на подкрепа на Украйна през 2023 г. (макрофинансова помощ +). По същество чрез споразуменията за принос, които ще сключат с Европейската комисия, България и останалите държави членки ще се ангажират, при определените в Регламент (ЕС) 2022/2463 и споразумението условия, да покриват т.нар. „лихвена субсидия“ в периода 2024-2027 г., във връзка с евентуалното поемане от страна на ЕС на лихви по отпуснатия на Украйна заем в размер до 18 млрд. евро под формата на инструмента „макрофинансова помощ +“.</w:t>
      </w:r>
    </w:p>
    <w:p w:rsidR="00316FF7" w:rsidRPr="00AA3F66" w:rsidRDefault="00316FF7" w:rsidP="00316FF7">
      <w:pPr>
        <w:rPr>
          <w:rFonts w:eastAsia="Times New Roman"/>
          <w:szCs w:val="24"/>
        </w:rPr>
      </w:pPr>
      <w:r w:rsidRPr="00AA3F66">
        <w:rPr>
          <w:rFonts w:eastAsia="Times New Roman"/>
          <w:szCs w:val="24"/>
        </w:rPr>
        <w:t>В тази връзка се предвиждат вноски от страна на България в размер на не повече от 6,7 млн. лв</w:t>
      </w:r>
      <w:r w:rsidR="00545946" w:rsidRPr="00AA3F66">
        <w:rPr>
          <w:rFonts w:eastAsia="Times New Roman"/>
          <w:szCs w:val="24"/>
        </w:rPr>
        <w:t>.</w:t>
      </w:r>
      <w:r w:rsidRPr="00AA3F66">
        <w:rPr>
          <w:rFonts w:eastAsia="Times New Roman"/>
          <w:szCs w:val="24"/>
        </w:rPr>
        <w:t xml:space="preserve"> на година в периода 2024-2026 г. </w:t>
      </w:r>
    </w:p>
    <w:p w:rsidR="00316FF7" w:rsidRPr="00AA3F66" w:rsidRDefault="00316FF7" w:rsidP="00943C5E">
      <w:pPr>
        <w:rPr>
          <w:rFonts w:eastAsia="Times New Roman"/>
          <w:szCs w:val="24"/>
        </w:rPr>
      </w:pPr>
      <w:r w:rsidRPr="00AA3F66">
        <w:rPr>
          <w:rFonts w:eastAsia="Times New Roman"/>
          <w:szCs w:val="24"/>
        </w:rPr>
        <w:t>Прогнозата е в съответствие с приложеното в споразумението за финансов принос разпределение за максималния размер на вноските по държави членки за периода 2024-2027 г., като взима предвид предоставените при обсъжданията му разяснения от страна на Европейската комисия, че прогнозите ѝ са изготвени при предвиждане на равни годишни вноски.</w:t>
      </w:r>
    </w:p>
    <w:p w:rsidR="00943C5E" w:rsidRPr="00AA3F66" w:rsidRDefault="00943C5E" w:rsidP="00943C5E">
      <w:pPr>
        <w:rPr>
          <w:rStyle w:val="Strong"/>
          <w:rFonts w:asciiTheme="majorHAnsi" w:eastAsiaTheme="majorEastAsia" w:hAnsiTheme="majorHAnsi" w:cstheme="majorBidi"/>
          <w:color w:val="852010"/>
        </w:rPr>
      </w:pPr>
      <w:r w:rsidRPr="00AA3F66">
        <w:rPr>
          <w:rStyle w:val="Strong"/>
          <w:rFonts w:asciiTheme="majorHAnsi" w:eastAsiaTheme="majorEastAsia" w:hAnsiTheme="majorHAnsi" w:cstheme="majorBidi"/>
          <w:color w:val="852010"/>
        </w:rPr>
        <w:t xml:space="preserve">Оценка на бюджетните ефекти от промените в допусканията, макроикономическите показатели и/или в нормативната </w:t>
      </w:r>
      <w:r w:rsidR="00987E8C" w:rsidRPr="00AA3F66">
        <w:rPr>
          <w:rStyle w:val="Strong"/>
          <w:rFonts w:asciiTheme="majorHAnsi" w:eastAsiaTheme="majorEastAsia" w:hAnsiTheme="majorHAnsi" w:cstheme="majorBidi"/>
          <w:color w:val="852010"/>
        </w:rPr>
        <w:t>уредба по години за периода 2024-2026</w:t>
      </w:r>
      <w:r w:rsidRPr="00AA3F66">
        <w:rPr>
          <w:rStyle w:val="Strong"/>
          <w:rFonts w:asciiTheme="majorHAnsi" w:eastAsiaTheme="majorEastAsia" w:hAnsiTheme="majorHAnsi" w:cstheme="majorBidi"/>
          <w:color w:val="852010"/>
        </w:rPr>
        <w:t xml:space="preserve"> г.</w:t>
      </w:r>
    </w:p>
    <w:p w:rsidR="00365E30" w:rsidRPr="007100B2" w:rsidRDefault="00316FF7" w:rsidP="00784A2D">
      <w:pPr>
        <w:rPr>
          <w:rFonts w:eastAsia="Times New Roman"/>
          <w:szCs w:val="24"/>
        </w:rPr>
      </w:pPr>
      <w:r w:rsidRPr="00AA3F66">
        <w:rPr>
          <w:rFonts w:eastAsia="Times New Roman"/>
          <w:szCs w:val="24"/>
        </w:rPr>
        <w:t>Вноските на България не следва да превишават определения в разпределението към споразумението максимален общ размер. Възможни са обаче варирания в отделните години поради включените в споразумението за финансов принос особености. По-конкретно, очаква се част от финансирането за лихвената субсидия при възможност да се поеме от бюджета на ЕС, като държавите членки покриват останалата част. Също така разлики между отделните години ще са възможни поради прилагането на различен размер на т.нар. „БНД-ключ“ (делът на БНД на всяка от държавите членки в общия БНД на ЕС) съобразно размера му в последния одобрен годишен или коригиращ бюджет на ЕС. В началото на 2024 г. Европейската комисия ще съобщи на държавите членки окончателните суми по очакваните максимални вноски, за крайния (фиксирания) размер на лихвата по заемите, тъй като той вече няма да подлежи на последващи промени. Не на последно място, промяна в очаквания размер на максималните вноски е възможен при задействане на включената</w:t>
      </w:r>
      <w:r>
        <w:rPr>
          <w:rFonts w:eastAsia="Times New Roman"/>
          <w:szCs w:val="24"/>
        </w:rPr>
        <w:t xml:space="preserve"> в споразумението клауза за преразглеждане.</w:t>
      </w:r>
    </w:p>
    <w:p w:rsidR="009D0FEB" w:rsidRPr="009D0FEB" w:rsidRDefault="009D0FEB" w:rsidP="009D0FEB">
      <w:pPr>
        <w:sectPr w:rsidR="009D0FEB" w:rsidRPr="009D0FEB" w:rsidSect="002D7CED">
          <w:type w:val="oddPage"/>
          <w:pgSz w:w="11906" w:h="16838" w:code="9"/>
          <w:pgMar w:top="1418" w:right="1418" w:bottom="851" w:left="1418" w:header="708" w:footer="708" w:gutter="0"/>
          <w:cols w:space="708"/>
          <w:titlePg/>
          <w:docGrid w:linePitch="360"/>
        </w:sectPr>
      </w:pPr>
      <w:bookmarkStart w:id="426" w:name="_Toc464465440"/>
      <w:bookmarkStart w:id="427" w:name="_Toc464465628"/>
      <w:bookmarkStart w:id="428" w:name="_Toc464466453"/>
      <w:bookmarkStart w:id="429" w:name="_Toc464466697"/>
      <w:bookmarkStart w:id="430" w:name="_Toc464466735"/>
      <w:bookmarkStart w:id="431" w:name="_Toc464470245"/>
      <w:bookmarkStart w:id="432" w:name="_Toc464645017"/>
      <w:bookmarkStart w:id="433" w:name="_Toc464646379"/>
      <w:bookmarkStart w:id="434" w:name="_Toc464224809"/>
      <w:bookmarkStart w:id="435" w:name="_Toc464225459"/>
      <w:bookmarkStart w:id="436" w:name="_Toc464459006"/>
      <w:bookmarkStart w:id="437" w:name="_Toc464459754"/>
      <w:bookmarkStart w:id="438" w:name="_Toc464460707"/>
      <w:bookmarkStart w:id="439" w:name="_Toc464463106"/>
      <w:bookmarkStart w:id="440" w:name="_Toc464464935"/>
      <w:bookmarkEnd w:id="413"/>
      <w:bookmarkEnd w:id="414"/>
      <w:bookmarkEnd w:id="415"/>
      <w:bookmarkEnd w:id="416"/>
      <w:bookmarkEnd w:id="417"/>
      <w:bookmarkEnd w:id="418"/>
      <w:bookmarkEnd w:id="419"/>
      <w:bookmarkEnd w:id="420"/>
      <w:bookmarkEnd w:id="421"/>
      <w:bookmarkEnd w:id="422"/>
      <w:bookmarkEnd w:id="423"/>
      <w:bookmarkEnd w:id="424"/>
      <w:bookmarkEnd w:id="425"/>
    </w:p>
    <w:bookmarkStart w:id="441" w:name="_Toc151557308"/>
    <w:p w:rsidR="005519CA" w:rsidRPr="00AE3F21" w:rsidRDefault="001E0DF0" w:rsidP="007D0124">
      <w:pPr>
        <w:pStyle w:val="Heading1"/>
      </w:pPr>
      <w:r w:rsidRPr="001E0DF0">
        <w:rPr>
          <w:noProof/>
        </w:rPr>
        <mc:AlternateContent>
          <mc:Choice Requires="wps">
            <w:drawing>
              <wp:anchor distT="0" distB="0" distL="114300" distR="114300" simplePos="0" relativeHeight="251675136" behindDoc="0" locked="0" layoutInCell="1" allowOverlap="1" wp14:anchorId="6851F22A" wp14:editId="2AC42162">
                <wp:simplePos x="0" y="0"/>
                <wp:positionH relativeFrom="column">
                  <wp:posOffset>-898525</wp:posOffset>
                </wp:positionH>
                <wp:positionV relativeFrom="paragraph">
                  <wp:posOffset>1405577</wp:posOffset>
                </wp:positionV>
                <wp:extent cx="7560310" cy="0"/>
                <wp:effectExtent l="0" t="0" r="21590" b="19050"/>
                <wp:wrapNone/>
                <wp:docPr id="695" name="Straight Connector 695"/>
                <wp:cNvGraphicFramePr/>
                <a:graphic xmlns:a="http://schemas.openxmlformats.org/drawingml/2006/main">
                  <a:graphicData uri="http://schemas.microsoft.com/office/word/2010/wordprocessingShape">
                    <wps:wsp>
                      <wps:cNvCnPr/>
                      <wps:spPr>
                        <a:xfrm>
                          <a:off x="0" y="0"/>
                          <a:ext cx="7560310" cy="0"/>
                        </a:xfrm>
                        <a:prstGeom prst="line">
                          <a:avLst/>
                        </a:prstGeom>
                        <a:ln>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8FA0268" id="Straight Connector 695" o:spid="_x0000_s1026" style="position:absolute;z-index:251675136;visibility:visible;mso-wrap-style:square;mso-wrap-distance-left:9pt;mso-wrap-distance-top:0;mso-wrap-distance-right:9pt;mso-wrap-distance-bottom:0;mso-position-horizontal:absolute;mso-position-horizontal-relative:text;mso-position-vertical:absolute;mso-position-vertical-relative:text" from="-70.75pt,110.7pt" to="524.55pt,11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Mio0wEAAAsEAAAOAAAAZHJzL2Uyb0RvYy54bWysU8Fu1DAQvSPxD5bvbJJWXSDabA9blQuC&#10;FS0f4Dr2xpLtscZmk/17xs5uWhUkBOIyydjznt88jze3k7PsqDAa8B1vVjVnykvojT90/Pvj/bsP&#10;nMUkfC8seNXxk4r8dvv2zWYMrbqCAWyvkBGJj+0YOj6kFNqqinJQTsQVBOVpUwM6kSjFQ9WjGInd&#10;2eqqrtfVCNgHBKlipNW7eZNvC7/WSqavWkeVmO04aUslYolPOVbbjWgPKMJg5FmG+AcVThhPhy5U&#10;dyIJ9gPNL1TOSIQIOq0kuAq0NlKVHqibpn7VzcMggiq9kDkxLDbF/0crvxz3yEzf8fXHG868cHRJ&#10;DwmFOQyJ7cB7shCQ5V3yagyxJcjO7/GcxbDH3Pik0eUvtcSm4u9p8VdNiUlafH+zrq8bugZ52aue&#10;gQFj+qTAsfzTcWt8bl204vg5JjqMSi8ledn6HCNY098ba0uSh0btLLKjoOsWUiqfrrNswr6opCyj&#10;q9zMLL/8pZNVM/M3pckSEtwUBWUYX/M2Z17rqTrDNKlYgPWfgef6DFVlUP8GvCDKyeDTAnbGA/7u&#10;9DRdJOu5/uLA3He24An6U7nYYg1NXHHu/DrySL/MC/z5DW9/AgAA//8DAFBLAwQUAAYACAAAACEA&#10;PSb7ieEAAAANAQAADwAAAGRycy9kb3ducmV2LnhtbEyPwU7DMAyG70i8Q2QkbluaUtAoTSeE2IUL&#10;YkNsx6wxTbfGqZp0LTw9mYQER9uffn9/sZxsy07Y+8aRBDFPgCFVTjdUS3jfrGYLYD4o0qp1hBK+&#10;0MOyvLwoVK7dSG94WoeaxRDyuZJgQuhyzn1l0Co/dx1SvH263qoQx77muldjDLctT5PkjlvVUPxg&#10;VIdPBqvjerAS2u3r8+L4vTvcvHSDWY0+nQ4fVsrrq+nxAVjAKfzBcNaP6lBGp70bSHvWSpiJTNxG&#10;VkKaigzYGUmyewFs/7viZcH/tyh/AAAA//8DAFBLAQItABQABgAIAAAAIQC2gziS/gAAAOEBAAAT&#10;AAAAAAAAAAAAAAAAAAAAAABbQ29udGVudF9UeXBlc10ueG1sUEsBAi0AFAAGAAgAAAAhADj9If/W&#10;AAAAlAEAAAsAAAAAAAAAAAAAAAAALwEAAF9yZWxzLy5yZWxzUEsBAi0AFAAGAAgAAAAhANtsyKjT&#10;AQAACwQAAA4AAAAAAAAAAAAAAAAALgIAAGRycy9lMm9Eb2MueG1sUEsBAi0AFAAGAAgAAAAhAD0m&#10;+4nhAAAADQEAAA8AAAAAAAAAAAAAAAAALQQAAGRycy9kb3ducmV2LnhtbFBLBQYAAAAABAAEAPMA&#10;AAA7BQAAAAA=&#10;" strokecolor="#b32c16 [3206]"/>
            </w:pict>
          </mc:Fallback>
        </mc:AlternateContent>
      </w:r>
      <w:r w:rsidRPr="001E0DF0">
        <w:rPr>
          <w:noProof/>
        </w:rPr>
        <mc:AlternateContent>
          <mc:Choice Requires="wps">
            <w:drawing>
              <wp:anchor distT="0" distB="0" distL="114300" distR="114300" simplePos="0" relativeHeight="251672064" behindDoc="1" locked="0" layoutInCell="1" allowOverlap="1" wp14:anchorId="41416433" wp14:editId="04ADC9D4">
                <wp:simplePos x="0" y="0"/>
                <wp:positionH relativeFrom="page">
                  <wp:posOffset>0</wp:posOffset>
                </wp:positionH>
                <wp:positionV relativeFrom="page">
                  <wp:posOffset>0</wp:posOffset>
                </wp:positionV>
                <wp:extent cx="7560000" cy="2304000"/>
                <wp:effectExtent l="0" t="0" r="3175" b="1270"/>
                <wp:wrapNone/>
                <wp:docPr id="694" name="Rectangle 694"/>
                <wp:cNvGraphicFramePr/>
                <a:graphic xmlns:a="http://schemas.openxmlformats.org/drawingml/2006/main">
                  <a:graphicData uri="http://schemas.microsoft.com/office/word/2010/wordprocessingShape">
                    <wps:wsp>
                      <wps:cNvSpPr/>
                      <wps:spPr>
                        <a:xfrm>
                          <a:off x="0" y="0"/>
                          <a:ext cx="7560000" cy="2304000"/>
                        </a:xfrm>
                        <a:prstGeom prst="rect">
                          <a:avLst/>
                        </a:prstGeom>
                        <a:solidFill>
                          <a:schemeClr val="accent3">
                            <a:lumMod val="20000"/>
                            <a:lumOff val="8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877131" id="Rectangle 694" o:spid="_x0000_s1026" style="position:absolute;margin-left:0;margin-top:0;width:595.3pt;height:181.4pt;z-index:-25164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YmHqwIAANIFAAAOAAAAZHJzL2Uyb0RvYy54bWysVN1P2zAQf5+0/8Hy+0hbyldEiioQ0yQG&#10;CJh4dh27iWT7PNtt2v31O9tp6Fh5mZYHx/d99/PdXV5ttCJr4XwLpqLjoxElwnCoW7Os6I+X2y/n&#10;lPjATM0UGFHRrfD0avb502VnSzGBBlQtHEEnxpedrWgTgi2LwvNGaOaPwAqDQglOs4CkWxa1Yx16&#10;16qYjEanRQeutg648B65N1lIZ8m/lIKHBym9CERVFHML6XTpXMSzmF2ycumYbVrep8H+IQvNWoNB&#10;B1c3LDCycu1frnTLHXiQ4YiDLkDKlotUA1YzHr2r5rlhVqRaEBxvB5j8/3PL79ePjrR1RU8vppQY&#10;pvGRnhA2ZpZKkMhEiDrrS9R8to+upzxeY70b6XT8YyVkk2DdDrCKTSAcmWcnpyP8KOEomxyPppFA&#10;P8WbuXU+fBWgSbxU1GECCU62vvMhq+5UYjQPqq1vW6USEXtFXCtH1gxfmXEuTDhO5mqlv0Od+dgt&#10;OSwrkY1dkdnnOzZmk7ouekq5/RFEGdJhf0/O0EcMaiCGz5kpg/oRogxKuoWtElFPmSchEV+EYZIM&#10;hxj72Y6zqGG1yOyTD7NKDqNnifEH372DQ0iMe6h7/Wgq0mAMxrmiDxLLJQ4WKTKYMBjr1oA7VJkK&#10;Q+SsvwMpQxNRWkC9xe5zkMfSW37b4vvfMR8emcM5xJ7B3RIe8JAK8AGgv1HSgPt1iB/1cTxQSkmH&#10;c11R/3PFnKBEfTM4OBfj6TQugkRMT84mSLh9yWJfYlb6GrCpxrjFLE/XqB/U7iod6FdcQfMYFUXM&#10;cIxdUR7cjrgOed/gEuNiPk9qOPyWhTvzbHl0HlGN/f2yeWXO9kMQcH7uYbcDWPluFrJutDQwXwWQ&#10;bRqUN1x7vHFxpHbul1zcTPt00npbxbPfAAAA//8DAFBLAwQUAAYACAAAACEAasxsd94AAAAGAQAA&#10;DwAAAGRycy9kb3ducmV2LnhtbEyPQWvCQBCF70L/wzJCb7rRlmhjNmIFb1KobSHe1uyYBHdnQ3aN&#10;SX99117ay8DjPd77Jl33RrMOW1dbEjCbRsCQCqtqKgV8fuwmS2DOS1JSW0IBAzpYZw+jVCbK3ugd&#10;u4MvWSghl0gBlfdNwrkrKjTSTW2DFLyzbY30QbYlV628hXKj+TyKYm5kTWGhkg1uKywuh6sRsF1s&#10;hnzxvM+/uuK4z1/fdsPxWwvxOO43K2Aee/8Xhjt+QIcsMJ3slZRjWkB4xP/euzd7iWJgJwFP8XwJ&#10;PEv5f/zsBwAA//8DAFBLAQItABQABgAIAAAAIQC2gziS/gAAAOEBAAATAAAAAAAAAAAAAAAAAAAA&#10;AABbQ29udGVudF9UeXBlc10ueG1sUEsBAi0AFAAGAAgAAAAhADj9If/WAAAAlAEAAAsAAAAAAAAA&#10;AAAAAAAALwEAAF9yZWxzLy5yZWxzUEsBAi0AFAAGAAgAAAAhACZFiYerAgAA0gUAAA4AAAAAAAAA&#10;AAAAAAAALgIAAGRycy9lMm9Eb2MueG1sUEsBAi0AFAAGAAgAAAAhAGrMbHfeAAAABgEAAA8AAAAA&#10;AAAAAAAAAAAABQUAAGRycy9kb3ducmV2LnhtbFBLBQYAAAAABAAEAPMAAAAQBgAAAAA=&#10;" fillcolor="#f8cec7 [662]" stroked="f" strokeweight="1pt">
                <w10:wrap anchorx="page" anchory="page"/>
              </v:rect>
            </w:pict>
          </mc:Fallback>
        </mc:AlternateContent>
      </w:r>
      <w:r w:rsidR="00AA3035">
        <w:br/>
      </w:r>
      <w:bookmarkStart w:id="442" w:name="_Toc465205568"/>
      <w:r w:rsidR="005519CA" w:rsidRPr="001E0DF0">
        <w:rPr>
          <w:color w:val="auto"/>
        </w:rPr>
        <w:t xml:space="preserve">Политика по дълга и </w:t>
      </w:r>
      <w:r w:rsidR="00AA3035" w:rsidRPr="001E0DF0">
        <w:rPr>
          <w:color w:val="auto"/>
        </w:rPr>
        <w:t>ф</w:t>
      </w:r>
      <w:r w:rsidR="005519CA" w:rsidRPr="001E0DF0">
        <w:rPr>
          <w:color w:val="auto"/>
        </w:rPr>
        <w:t xml:space="preserve">инансирането </w:t>
      </w:r>
      <w:r w:rsidR="00B51C67" w:rsidRPr="001E0DF0">
        <w:rPr>
          <w:color w:val="auto"/>
        </w:rPr>
        <w:br/>
      </w:r>
      <w:r w:rsidR="00BC40BD">
        <w:rPr>
          <w:color w:val="auto"/>
        </w:rPr>
        <w:t>за п</w:t>
      </w:r>
      <w:r w:rsidR="00E91E4E">
        <w:rPr>
          <w:color w:val="auto"/>
        </w:rPr>
        <w:t>ериод</w:t>
      </w:r>
      <w:r w:rsidR="006D0ECC">
        <w:rPr>
          <w:color w:val="auto"/>
        </w:rPr>
        <w:t>а 2024</w:t>
      </w:r>
      <w:r w:rsidR="005519CA" w:rsidRPr="001E0DF0">
        <w:rPr>
          <w:color w:val="auto"/>
        </w:rPr>
        <w:t>-20</w:t>
      </w:r>
      <w:r w:rsidR="00D16620">
        <w:rPr>
          <w:color w:val="auto"/>
        </w:rPr>
        <w:t>2</w:t>
      </w:r>
      <w:r w:rsidR="006D0ECC">
        <w:rPr>
          <w:color w:val="auto"/>
        </w:rPr>
        <w:t>6</w:t>
      </w:r>
      <w:r w:rsidR="00AA3035" w:rsidRPr="001E0DF0">
        <w:rPr>
          <w:color w:val="auto"/>
        </w:rPr>
        <w:t> г.</w:t>
      </w:r>
      <w:bookmarkEnd w:id="426"/>
      <w:bookmarkEnd w:id="427"/>
      <w:bookmarkEnd w:id="428"/>
      <w:bookmarkEnd w:id="429"/>
      <w:bookmarkEnd w:id="430"/>
      <w:bookmarkEnd w:id="431"/>
      <w:bookmarkEnd w:id="432"/>
      <w:bookmarkEnd w:id="433"/>
      <w:bookmarkEnd w:id="441"/>
      <w:bookmarkEnd w:id="442"/>
    </w:p>
    <w:bookmarkEnd w:id="434"/>
    <w:bookmarkEnd w:id="435"/>
    <w:bookmarkEnd w:id="436"/>
    <w:bookmarkEnd w:id="437"/>
    <w:bookmarkEnd w:id="438"/>
    <w:bookmarkEnd w:id="439"/>
    <w:bookmarkEnd w:id="440"/>
    <w:p w:rsidR="00AF7572" w:rsidRDefault="00AF7572" w:rsidP="00F01ABA">
      <w:pPr>
        <w:rPr>
          <w:rFonts w:eastAsia="Batang" w:cs="Times New Roman"/>
          <w:szCs w:val="24"/>
          <w:highlight w:val="yellow"/>
        </w:rPr>
      </w:pPr>
    </w:p>
    <w:p w:rsidR="00A65D6E" w:rsidRPr="00AA3F66" w:rsidRDefault="00A65D6E" w:rsidP="00F01ABA">
      <w:pPr>
        <w:rPr>
          <w:rFonts w:eastAsia="Batang" w:cs="Times New Roman"/>
          <w:szCs w:val="24"/>
        </w:rPr>
      </w:pPr>
      <w:r w:rsidRPr="00AA3F66">
        <w:rPr>
          <w:rFonts w:eastAsia="Batang" w:cs="Times New Roman"/>
          <w:szCs w:val="24"/>
        </w:rPr>
        <w:t>Политиката на правителството за управление на държавния дълг</w:t>
      </w:r>
      <w:r w:rsidRPr="00AA3F66">
        <w:rPr>
          <w:rFonts w:eastAsia="Batang" w:cs="Times New Roman"/>
          <w:szCs w:val="24"/>
          <w:vertAlign w:val="superscript"/>
        </w:rPr>
        <w:footnoteReference w:id="40"/>
      </w:r>
      <w:r w:rsidRPr="00AA3F66">
        <w:rPr>
          <w:rFonts w:eastAsia="Batang" w:cs="Times New Roman"/>
          <w:szCs w:val="24"/>
        </w:rPr>
        <w:t xml:space="preserve"> за периода 2024-2026 г. ще бъде насочена към осигуряване на необходимите ресурси за рефинансиране на дълга в обращение, финансиране на планираните дефицити по държавния бюджет и обезпечаване на ликвидната позиция на фискалния резерв. Предприетите мерки от централните банки на водещите икономики за ускоряване на процеса за затягане на паричната политика и покачване на основните лихвени проценти с оглед овладяване на високата инфлация, опасенията за спад в икономическата активност и низходящите очаквания за нейното развитие, както и в най-широк смисъл глобалната политическа и икономическа несигурност ще са ключовите фактори, определящи от една страна цената на дълговото финансиране и от друга - рисковете, съпътстващи неговото осигуряване. Отчитайки тези условия, основните предизвикателства и цели ще бъдат съсредоточени в посока обезпечаване на възможности за пазарно-ориентирано финансиране както на местния, така и на международните капиталови пазари и на договаряне на държавни заеми по линия на инструменти на Европейския съюз и от международни финансови институции, включително за финансиране на проекти и програми, при спазване на нормативно регламентираните годишни дългови ограничения.</w:t>
      </w:r>
    </w:p>
    <w:p w:rsidR="00D427A3" w:rsidRPr="00AA3F66" w:rsidRDefault="00853713" w:rsidP="00DE2BDB">
      <w:pPr>
        <w:pStyle w:val="Heading2"/>
      </w:pPr>
      <w:bookmarkStart w:id="443" w:name="_Toc151557309"/>
      <w:bookmarkStart w:id="444" w:name="_Toc464224811"/>
      <w:bookmarkStart w:id="445" w:name="_Toc464225461"/>
      <w:bookmarkStart w:id="446" w:name="_Toc464459008"/>
      <w:bookmarkStart w:id="447" w:name="_Toc464459756"/>
      <w:bookmarkStart w:id="448" w:name="_Toc464460709"/>
      <w:bookmarkStart w:id="449" w:name="_Toc464463108"/>
      <w:bookmarkStart w:id="450" w:name="_Toc464464937"/>
      <w:bookmarkStart w:id="451" w:name="_Toc464465444"/>
      <w:bookmarkStart w:id="452" w:name="_Toc464465630"/>
      <w:bookmarkStart w:id="453" w:name="_Toc464466455"/>
      <w:bookmarkStart w:id="454" w:name="_Toc464466699"/>
      <w:bookmarkStart w:id="455" w:name="_Toc464645019"/>
      <w:bookmarkStart w:id="456" w:name="_Toc465205569"/>
      <w:r w:rsidRPr="00AA3F66">
        <w:t>Д</w:t>
      </w:r>
      <w:r w:rsidR="00D427A3" w:rsidRPr="00AA3F66">
        <w:t>ържавен дълг. Обслужване и финансиране</w:t>
      </w:r>
      <w:bookmarkEnd w:id="443"/>
    </w:p>
    <w:bookmarkEnd w:id="444"/>
    <w:bookmarkEnd w:id="445"/>
    <w:bookmarkEnd w:id="446"/>
    <w:bookmarkEnd w:id="447"/>
    <w:bookmarkEnd w:id="448"/>
    <w:bookmarkEnd w:id="449"/>
    <w:bookmarkEnd w:id="450"/>
    <w:bookmarkEnd w:id="451"/>
    <w:bookmarkEnd w:id="452"/>
    <w:bookmarkEnd w:id="453"/>
    <w:bookmarkEnd w:id="454"/>
    <w:bookmarkEnd w:id="455"/>
    <w:bookmarkEnd w:id="456"/>
    <w:p w:rsidR="00A65D6E" w:rsidRPr="00AA3F66" w:rsidRDefault="00A65D6E" w:rsidP="00A65D6E">
      <w:pPr>
        <w:rPr>
          <w:rFonts w:eastAsia="Batang" w:cs="Times New Roman"/>
          <w:szCs w:val="24"/>
        </w:rPr>
      </w:pPr>
      <w:r w:rsidRPr="00AA3F66">
        <w:rPr>
          <w:rFonts w:eastAsia="Batang" w:cs="Times New Roman"/>
          <w:szCs w:val="24"/>
        </w:rPr>
        <w:t xml:space="preserve">Към края на 2022 г. нивото на държавния дълг възлиза на 36,1 млрд. лв. (21,5% от БВП), при максимално допустим размер </w:t>
      </w:r>
      <w:r w:rsidRPr="00AA3F66">
        <w:rPr>
          <w:rFonts w:eastAsia="Batang"/>
          <w:szCs w:val="24"/>
        </w:rPr>
        <w:t>(съгласно ЗДБРБ за 2022 г.)</w:t>
      </w:r>
      <w:r w:rsidRPr="00AA3F66">
        <w:rPr>
          <w:rFonts w:eastAsia="Batang" w:cs="Times New Roman"/>
          <w:szCs w:val="24"/>
        </w:rPr>
        <w:t xml:space="preserve"> от 38,5 млрд. лв. </w:t>
      </w:r>
    </w:p>
    <w:p w:rsidR="00A65D6E" w:rsidRPr="00AA3F66" w:rsidRDefault="00A65D6E" w:rsidP="00A65D6E">
      <w:pPr>
        <w:rPr>
          <w:rFonts w:eastAsia="Batang"/>
          <w:szCs w:val="24"/>
        </w:rPr>
      </w:pPr>
      <w:r w:rsidRPr="00AA3F66">
        <w:rPr>
          <w:rFonts w:eastAsia="Batang"/>
          <w:szCs w:val="24"/>
        </w:rPr>
        <w:t>При ограничение от 10,3 млрд. лв. за новопоет дълг през 2022 г., новото дългово финансиране e в общ размер на 7,9 млрд. лв. На вътрешния пазар са емитирани ДЦК с обща номинална стойност от 2 633,3 млн. лв. В обращение е пусната една нова емисия с оригинален матуритет от 5,5-години, чийто обем в края на годината възлиза на 330,5 млн. лв. През годината са преотворени и три емисии от предходни години: 3,5-годишни ДЦК от 2021 г. с падеж през 2025 г. и новоемитиран обем от 1 300,0 млн. лв., 7,5-годишни ДЦК от 2021 г. с падеж през 2029 г. и новоемитиран обем от 500,0 млн. лв. и 10,5-годишни ДЦК от 2016 г. с падеж през 2026 г. и новоемитиран обем от 502,75 млн. лв. Постигнатата среднопретеглена доходност за целия емитиран през годината обем възлиза на 2,02%, при среден коефициент на покритие от 1,38%. По линия на глобалната средносрочна програма за емитиране на дълг на международните капиталови пазари през септември 2022 г. Министерството на финансите пласира успешно два транша еврооблигации с общ номинален обем от 2,25 млрд. евро (4,4 млрд. лв.). Първият транш е със срочност 7 години, обем от 1,5 млрд. евро и лихвен купон 4,125%, а вторият - със срочност 12 години, обем от 750 млн. евро и лихвен купон 4,625%. През декември 2022 г. са усвоени средства в размер на 899,7 млн. лв. (460,0 млн. евро) по държавния заем по линия на Европейския инструмент за временна подкрепа с цел смекчаване на рисковете от безработица при извънредни обстоятелства (SURE</w:t>
      </w:r>
      <w:r w:rsidRPr="00AA3F66">
        <w:rPr>
          <w:rFonts w:eastAsia="Batang"/>
          <w:szCs w:val="24"/>
          <w:vertAlign w:val="superscript"/>
        </w:rPr>
        <w:footnoteReference w:id="41"/>
      </w:r>
      <w:r w:rsidRPr="00AA3F66">
        <w:rPr>
          <w:rFonts w:eastAsia="Batang"/>
          <w:szCs w:val="24"/>
        </w:rPr>
        <w:t xml:space="preserve">) вследствие на COVID-19 (15-годишен транш). </w:t>
      </w:r>
    </w:p>
    <w:p w:rsidR="00A65D6E" w:rsidRPr="00AA3F66" w:rsidRDefault="00A65D6E" w:rsidP="00A65D6E">
      <w:pPr>
        <w:rPr>
          <w:rFonts w:eastAsia="Times New Roman"/>
        </w:rPr>
      </w:pPr>
      <w:r w:rsidRPr="00AA3F66">
        <w:rPr>
          <w:rFonts w:eastAsia="Batang"/>
          <w:szCs w:val="24"/>
        </w:rPr>
        <w:t>До приемането на ЗДБРБ за 2023 г., съгласно Закона за прилагане на разпоредби на Закона за държавния бюджет на Република България за 2022 г., Закона за бюджета на държавното обществено осигуряване за 2022 г. и Закона за бюджета на Националната здравноосигурителна каса за 2022 г.</w:t>
      </w:r>
      <w:r w:rsidR="00D93D39" w:rsidRPr="00AA3F66">
        <w:rPr>
          <w:rFonts w:eastAsia="Batang"/>
          <w:szCs w:val="24"/>
        </w:rPr>
        <w:t>,</w:t>
      </w:r>
      <w:r w:rsidRPr="00AA3F66">
        <w:rPr>
          <w:rFonts w:eastAsia="Batang"/>
          <w:szCs w:val="24"/>
        </w:rPr>
        <w:t xml:space="preserve"> и съобразно чл. 87, ал. 2 от ЗПФ, Министерският съвет можеше да поема държавен дълг единствено за рефинансиране на дълга в обращение до размера на годишните погашения по държавния дълг, поет до началото на 2023 г. (3,0 млрд. лв.). На основание на посочените разпоредби на 17.01.2023 г. Република България в рамките на Средносрочната програма за емитиране на дълг на международните капиталови пазари (GMTN Programme) емитира на международните капиталови пазари нова емисия 10-годишни еврооблигации с номинален обем от 1,5 млрд. евро (2,9 млрд. лв.) и годишен лихвен купон от 4,5%.</w:t>
      </w:r>
      <w:r w:rsidRPr="00AA3F66">
        <w:t xml:space="preserve"> </w:t>
      </w:r>
    </w:p>
    <w:p w:rsidR="00A65D6E" w:rsidRPr="00AA3F66" w:rsidRDefault="00A65D6E" w:rsidP="00A65D6E">
      <w:r w:rsidRPr="00AA3F66">
        <w:rPr>
          <w:szCs w:val="24"/>
        </w:rPr>
        <w:t>Постъпленията от емисията бяха използвани за изплащане на погашения по държавния дълг към външни и вътрешни кредитори. Най-съществени са операциите през м.</w:t>
      </w:r>
      <w:r w:rsidR="00F4157D" w:rsidRPr="00AA3F66">
        <w:rPr>
          <w:szCs w:val="24"/>
        </w:rPr>
        <w:t xml:space="preserve"> </w:t>
      </w:r>
      <w:r w:rsidRPr="00AA3F66">
        <w:rPr>
          <w:szCs w:val="24"/>
        </w:rPr>
        <w:t>март 2023 г., когато бяха погасени 1,144 млрд. евро номинална стойност (2,237 млрд. лв.) в полза на държателите на седемгодишни еврооблигации на Република България, които са част от емитираните през март 2016 г. на МКП два транша (седем и дванадесет годишни облигации) по средносрочната програма за емитиране на дълг на външните пазари и през м. юли, когато бяха извършени погашения по вътрешния дълг на емисия 10,5-годишни ДЦК от 2013 г. в обем от 350</w:t>
      </w:r>
      <w:r w:rsidR="001D0736" w:rsidRPr="00AA3F66">
        <w:rPr>
          <w:szCs w:val="24"/>
        </w:rPr>
        <w:t>,0</w:t>
      </w:r>
      <w:r w:rsidRPr="00AA3F66">
        <w:rPr>
          <w:szCs w:val="24"/>
        </w:rPr>
        <w:t xml:space="preserve"> млн. лв. номинална стойност. </w:t>
      </w:r>
    </w:p>
    <w:p w:rsidR="00DB7FB8" w:rsidRDefault="00A65D6E" w:rsidP="00A65D6E">
      <w:pPr>
        <w:rPr>
          <w:rFonts w:eastAsia="Batang"/>
          <w:szCs w:val="24"/>
        </w:rPr>
      </w:pPr>
      <w:r w:rsidRPr="00AA3F66">
        <w:rPr>
          <w:rFonts w:eastAsia="Batang"/>
          <w:szCs w:val="24"/>
        </w:rPr>
        <w:t xml:space="preserve">Съгласно чл. 69, ал. 1 от ЗДБРБ за 2023 г. (обн., ДВ, бр. 66 от </w:t>
      </w:r>
      <w:r w:rsidR="00BB2DE2">
        <w:rPr>
          <w:rFonts w:eastAsia="Batang"/>
          <w:szCs w:val="24"/>
        </w:rPr>
        <w:t>0</w:t>
      </w:r>
      <w:r w:rsidRPr="00AA3F66">
        <w:rPr>
          <w:rFonts w:eastAsia="Batang"/>
          <w:szCs w:val="24"/>
        </w:rPr>
        <w:t>1.08.2023 г.) максималният размер на новия държавен дълг, който може да бъде поет през годината</w:t>
      </w:r>
      <w:r w:rsidR="00F4157D" w:rsidRPr="00AA3F66">
        <w:rPr>
          <w:rFonts w:eastAsia="Batang"/>
          <w:szCs w:val="24"/>
        </w:rPr>
        <w:t>,</w:t>
      </w:r>
      <w:r w:rsidRPr="00AA3F66">
        <w:rPr>
          <w:rFonts w:eastAsia="Batang"/>
          <w:szCs w:val="24"/>
        </w:rPr>
        <w:t xml:space="preserve"> е до 7,5 млрд. лв. Отчитайки емитираните вече еврооблигации, за остатъка от законово приетото дългово ограничение в размер на 4,6 млрд. лв. (2,3 млрд. евро) Република България в рамките на Средносрочната програма за емитиране на дълг на международните капиталови пазари (GMTN Programme) на 06.11.2023 г. </w:t>
      </w:r>
      <w:r w:rsidR="00FB452F" w:rsidRPr="00AA3F66">
        <w:rPr>
          <w:rFonts w:eastAsia="Batang"/>
          <w:szCs w:val="24"/>
        </w:rPr>
        <w:t>успешно пласира двоен транш облигации със съвкупен обем от 2,3 млрд. евро, включващи 7,5-годишни еврооблигации с номинален обем от 1,3 млрд. евро (2,5 млрд. лв.) и годишен лихвен купон от 4,375% и 12,5-годишни еврооблигации с номинален обем от 1,0 млрд. евро (2,0 млрд. лв.) и годишен лихвен купон от 4,875%.</w:t>
      </w:r>
      <w:r w:rsidR="001D0736" w:rsidRPr="00AA3F66">
        <w:rPr>
          <w:rFonts w:eastAsia="Batang"/>
          <w:szCs w:val="24"/>
        </w:rPr>
        <w:t xml:space="preserve"> </w:t>
      </w:r>
    </w:p>
    <w:p w:rsidR="00A65D6E" w:rsidRPr="00AA3F66" w:rsidRDefault="00A65D6E" w:rsidP="00A65D6E">
      <w:pPr>
        <w:rPr>
          <w:rFonts w:eastAsia="Batang"/>
          <w:szCs w:val="24"/>
        </w:rPr>
      </w:pPr>
      <w:r w:rsidRPr="00AA3F66">
        <w:rPr>
          <w:szCs w:val="24"/>
        </w:rPr>
        <w:t>В резултат на извършените и планираните до края на годината дългови операции</w:t>
      </w:r>
      <w:r w:rsidRPr="00AA3F66">
        <w:rPr>
          <w:rFonts w:eastAsia="Batang"/>
          <w:szCs w:val="24"/>
        </w:rPr>
        <w:t xml:space="preserve"> в края на 2023 г. се очаква държавният дълг да достигне до 40,5 млрд. лв. (21,2% от прогнозното ниво на БВП)</w:t>
      </w:r>
      <w:r w:rsidR="00DB7FB8">
        <w:rPr>
          <w:rFonts w:eastAsia="Batang"/>
          <w:szCs w:val="24"/>
        </w:rPr>
        <w:t>,</w:t>
      </w:r>
      <w:r w:rsidRPr="00AA3F66">
        <w:rPr>
          <w:rFonts w:eastAsia="Batang"/>
          <w:szCs w:val="24"/>
        </w:rPr>
        <w:t xml:space="preserve"> </w:t>
      </w:r>
      <w:r w:rsidR="00DB7FB8" w:rsidRPr="00DB7FB8">
        <w:rPr>
          <w:rFonts w:eastAsia="Batang"/>
          <w:szCs w:val="24"/>
        </w:rPr>
        <w:t xml:space="preserve">при максимално допустим размер от 40,6 млрд. лв. </w:t>
      </w:r>
      <w:r w:rsidR="00325D87">
        <w:rPr>
          <w:rFonts w:eastAsia="Batang"/>
          <w:szCs w:val="24"/>
        </w:rPr>
        <w:t>съгласно ЗДБРБ за 2023 г., като</w:t>
      </w:r>
      <w:r w:rsidRPr="00AA3F66">
        <w:rPr>
          <w:rFonts w:eastAsia="Batang"/>
          <w:szCs w:val="24"/>
        </w:rPr>
        <w:t xml:space="preserve"> отбележи увеличение с около 4,4 млрд. лв. в сравнение с края на предходната година, при намаление с около 0,3 пр.п. на съотношението държавен дълг/БВП. </w:t>
      </w:r>
    </w:p>
    <w:p w:rsidR="00FB452F" w:rsidRPr="00AA3F66" w:rsidRDefault="00FB452F" w:rsidP="00FB452F">
      <w:pPr>
        <w:rPr>
          <w:rFonts w:eastAsia="Batang"/>
          <w:szCs w:val="24"/>
        </w:rPr>
      </w:pPr>
      <w:r w:rsidRPr="00AA3F66">
        <w:rPr>
          <w:rFonts w:eastAsia="Batang"/>
          <w:szCs w:val="24"/>
        </w:rPr>
        <w:t>Максималният размер на новия държавен дълг, който може да бъде поет през 2024 г.</w:t>
      </w:r>
      <w:r w:rsidR="00F4157D" w:rsidRPr="00AA3F66">
        <w:rPr>
          <w:rFonts w:eastAsia="Batang"/>
          <w:szCs w:val="24"/>
        </w:rPr>
        <w:t>,</w:t>
      </w:r>
      <w:r w:rsidRPr="00AA3F66">
        <w:rPr>
          <w:rFonts w:eastAsia="Batang"/>
          <w:szCs w:val="24"/>
        </w:rPr>
        <w:t xml:space="preserve"> е до 1</w:t>
      </w:r>
      <w:r w:rsidR="00F94D09">
        <w:rPr>
          <w:rFonts w:eastAsia="Batang"/>
          <w:szCs w:val="24"/>
        </w:rPr>
        <w:t>1</w:t>
      </w:r>
      <w:r w:rsidRPr="00AA3F66">
        <w:rPr>
          <w:rFonts w:eastAsia="Batang"/>
          <w:szCs w:val="24"/>
        </w:rPr>
        <w:t>,7 млрд. лв., с което се осигурява възможност за емитиране на ДЦК на вътрешния и международните капиталови пазари, както и за сключване на структурни програмни заеми в размер до 500</w:t>
      </w:r>
      <w:r w:rsidR="001D0736" w:rsidRPr="00AA3F66">
        <w:rPr>
          <w:rFonts w:eastAsia="Batang"/>
          <w:szCs w:val="24"/>
        </w:rPr>
        <w:t>,0</w:t>
      </w:r>
      <w:r w:rsidRPr="00AA3F66">
        <w:rPr>
          <w:rFonts w:eastAsia="Batang"/>
          <w:szCs w:val="24"/>
        </w:rPr>
        <w:t xml:space="preserve"> млн. евро (0,98 млрд.</w:t>
      </w:r>
      <w:r w:rsidR="00ED0B09">
        <w:rPr>
          <w:rFonts w:eastAsia="Batang"/>
          <w:szCs w:val="24"/>
        </w:rPr>
        <w:t xml:space="preserve"> </w:t>
      </w:r>
      <w:r w:rsidRPr="00AA3F66">
        <w:rPr>
          <w:rFonts w:eastAsia="Batang"/>
          <w:szCs w:val="24"/>
        </w:rPr>
        <w:t>лв.) с ЕИБ и БРСЕ за съфинансиране на проекти, изпълнявани със средства от Европейските фондове при споделено управление, през програмния период 2021-2027 г.</w:t>
      </w:r>
      <w:r w:rsidR="00232D53">
        <w:rPr>
          <w:rFonts w:eastAsia="Batang"/>
          <w:szCs w:val="24"/>
        </w:rPr>
        <w:t>, като прогнозните усвоявания по заемите индикативно са разчетени за периода 2024-2026 г.</w:t>
      </w:r>
      <w:r w:rsidRPr="00AA3F66">
        <w:rPr>
          <w:rFonts w:eastAsia="Batang"/>
          <w:szCs w:val="24"/>
        </w:rPr>
        <w:t xml:space="preserve"> </w:t>
      </w:r>
    </w:p>
    <w:p w:rsidR="00C62543" w:rsidRDefault="00FB452F" w:rsidP="00A65D6E">
      <w:pPr>
        <w:rPr>
          <w:rFonts w:eastAsia="Batang"/>
          <w:szCs w:val="24"/>
        </w:rPr>
      </w:pPr>
      <w:r w:rsidRPr="00AA3F66">
        <w:rPr>
          <w:rFonts w:eastAsia="Batang"/>
          <w:szCs w:val="24"/>
        </w:rPr>
        <w:t xml:space="preserve"> </w:t>
      </w:r>
      <w:r w:rsidR="00232D53">
        <w:rPr>
          <w:rFonts w:eastAsia="Batang"/>
          <w:szCs w:val="24"/>
        </w:rPr>
        <w:t xml:space="preserve">През 2024 г. за </w:t>
      </w:r>
      <w:r w:rsidRPr="00AA3F66">
        <w:rPr>
          <w:rFonts w:eastAsia="Batang"/>
          <w:szCs w:val="24"/>
        </w:rPr>
        <w:t>рефинансиране на дълга в обращение са предназначени 3,5 млрд. лв., от които 2,9 млрд. лв. (1,5 млрд. евро) за падежа на еврооблигации, емитирани през 2014 г. и 0,4 млрд. лв. за падежа на ДЦК, емитирани на вътрешния пазар през 2014 г., както и 0,2 млрд. лв. за погашения по държавни заеми. Останалата част от дълговото финансиране е предназначена за финансиране на планирания дефицит по държавния бюджет и обезпечаване на ликвидната позиция на фискалния резерв. На базата на планираните дългови операции се очаква максималният размер на държавния дълг към края на 2024 г. да не надвишава 4</w:t>
      </w:r>
      <w:r w:rsidR="00F94D09">
        <w:rPr>
          <w:rFonts w:eastAsia="Batang"/>
          <w:szCs w:val="24"/>
        </w:rPr>
        <w:t>8</w:t>
      </w:r>
      <w:r w:rsidRPr="00AA3F66">
        <w:rPr>
          <w:rFonts w:eastAsia="Batang"/>
          <w:szCs w:val="24"/>
        </w:rPr>
        <w:t>,0 млрд. лв.</w:t>
      </w:r>
      <w:r w:rsidR="00F4157D" w:rsidRPr="00AA3F66">
        <w:rPr>
          <w:rFonts w:eastAsia="Batang"/>
          <w:szCs w:val="24"/>
        </w:rPr>
        <w:t xml:space="preserve"> </w:t>
      </w:r>
    </w:p>
    <w:p w:rsidR="00A65D6E" w:rsidRPr="00AA3F66" w:rsidRDefault="00A65D6E" w:rsidP="00A65D6E">
      <w:pPr>
        <w:rPr>
          <w:rFonts w:eastAsia="Batang"/>
          <w:szCs w:val="24"/>
        </w:rPr>
      </w:pPr>
      <w:r w:rsidRPr="00AA3F66">
        <w:rPr>
          <w:rFonts w:eastAsia="Batang"/>
          <w:szCs w:val="24"/>
        </w:rPr>
        <w:t xml:space="preserve">През 2025 г. и 2026 г. </w:t>
      </w:r>
      <w:r w:rsidR="00C62543">
        <w:rPr>
          <w:rFonts w:eastAsia="Batang"/>
          <w:szCs w:val="24"/>
        </w:rPr>
        <w:t xml:space="preserve">се планира поемането на нов държавен дълг в размер </w:t>
      </w:r>
      <w:r w:rsidRPr="00AA3F66">
        <w:rPr>
          <w:rFonts w:eastAsia="Batang"/>
          <w:szCs w:val="24"/>
        </w:rPr>
        <w:t>на 11,6 млрд. лв. и 11,7 млрд. лв., като дългът в обращение, който ще бъде рефинансиран</w:t>
      </w:r>
      <w:r w:rsidR="00F4157D" w:rsidRPr="00AA3F66">
        <w:rPr>
          <w:rFonts w:eastAsia="Batang"/>
          <w:szCs w:val="24"/>
        </w:rPr>
        <w:t>,</w:t>
      </w:r>
      <w:r w:rsidRPr="00AA3F66">
        <w:rPr>
          <w:rFonts w:eastAsia="Batang"/>
          <w:szCs w:val="24"/>
        </w:rPr>
        <w:t xml:space="preserve"> е в размер съответно на 3,6 млрд. лв. за 2025 г. (в т.ч. 3,3 млрд. лв. падеж на емисии на ДЦК на вътрешния пазар) и 2,8</w:t>
      </w:r>
      <w:r w:rsidRPr="00AA3F66">
        <w:t xml:space="preserve"> </w:t>
      </w:r>
      <w:r w:rsidRPr="00AA3F66">
        <w:rPr>
          <w:rFonts w:eastAsia="Batang"/>
          <w:szCs w:val="24"/>
        </w:rPr>
        <w:t>млрд. лв. за 2026 г. (в т.ч. 2,5 млрд. лв. падеж на емисии на ДЦК на вътрешния пазар). В резултат, в края на 2025 г. и 2026 г. се п</w:t>
      </w:r>
      <w:r w:rsidR="00F94D09">
        <w:rPr>
          <w:rFonts w:eastAsia="Batang"/>
          <w:szCs w:val="24"/>
        </w:rPr>
        <w:t>р</w:t>
      </w:r>
      <w:r w:rsidRPr="00AA3F66">
        <w:rPr>
          <w:rFonts w:eastAsia="Batang"/>
          <w:szCs w:val="24"/>
        </w:rPr>
        <w:t>едвижда държавният дълг да достигне съответно до 5</w:t>
      </w:r>
      <w:r w:rsidR="00F94D09">
        <w:rPr>
          <w:rFonts w:eastAsia="Batang"/>
          <w:szCs w:val="24"/>
        </w:rPr>
        <w:t>6</w:t>
      </w:r>
      <w:r w:rsidRPr="00AA3F66">
        <w:rPr>
          <w:rFonts w:eastAsia="Batang"/>
          <w:szCs w:val="24"/>
        </w:rPr>
        <w:t>,2 млрд. лв. (</w:t>
      </w:r>
      <w:r w:rsidR="00F94D09">
        <w:rPr>
          <w:rFonts w:eastAsia="Batang"/>
          <w:szCs w:val="24"/>
        </w:rPr>
        <w:t>25,8</w:t>
      </w:r>
      <w:r w:rsidRPr="00AA3F66">
        <w:rPr>
          <w:rFonts w:eastAsia="Batang"/>
          <w:szCs w:val="24"/>
        </w:rPr>
        <w:t>% от БВП) и 6</w:t>
      </w:r>
      <w:r w:rsidR="00F94D09">
        <w:rPr>
          <w:rFonts w:eastAsia="Batang"/>
          <w:szCs w:val="24"/>
        </w:rPr>
        <w:t>5</w:t>
      </w:r>
      <w:r w:rsidRPr="00AA3F66">
        <w:rPr>
          <w:rFonts w:eastAsia="Batang"/>
          <w:szCs w:val="24"/>
        </w:rPr>
        <w:t>,</w:t>
      </w:r>
      <w:r w:rsidR="00206BD2">
        <w:rPr>
          <w:rFonts w:eastAsia="Batang"/>
          <w:szCs w:val="24"/>
        </w:rPr>
        <w:t>6</w:t>
      </w:r>
      <w:r w:rsidRPr="00AA3F66">
        <w:rPr>
          <w:rFonts w:eastAsia="Batang"/>
          <w:szCs w:val="24"/>
        </w:rPr>
        <w:t xml:space="preserve"> млрд. лв. (28,</w:t>
      </w:r>
      <w:r w:rsidR="00F94D09">
        <w:rPr>
          <w:rFonts w:eastAsia="Batang"/>
          <w:szCs w:val="24"/>
        </w:rPr>
        <w:t>3</w:t>
      </w:r>
      <w:r w:rsidRPr="00AA3F66">
        <w:rPr>
          <w:rFonts w:eastAsia="Batang"/>
          <w:szCs w:val="24"/>
        </w:rPr>
        <w:t>% от БВП).</w:t>
      </w:r>
    </w:p>
    <w:p w:rsidR="00C01FCE" w:rsidRPr="00AA3F66" w:rsidRDefault="00C01FCE" w:rsidP="00B93854">
      <w:pPr>
        <w:spacing w:after="0"/>
        <w:rPr>
          <w:rFonts w:eastAsia="Times New Roman" w:cs="Times New Roman"/>
          <w:b/>
          <w:i/>
          <w:iCs/>
          <w:color w:val="000000"/>
          <w:sz w:val="20"/>
          <w:szCs w:val="20"/>
          <w:u w:val="single"/>
        </w:rPr>
      </w:pPr>
    </w:p>
    <w:p w:rsidR="00F94D09" w:rsidRDefault="009139BD" w:rsidP="00F94D09">
      <w:pPr>
        <w:pStyle w:val="Caption"/>
        <w:spacing w:after="240"/>
        <w:ind w:left="0" w:firstLine="0"/>
      </w:pPr>
      <w:r w:rsidRPr="00AA3F66">
        <w:t xml:space="preserve">Граф. </w:t>
      </w:r>
      <w:fldSimple w:instr=" STYLEREF 1 \s ">
        <w:r w:rsidR="005A69ED">
          <w:rPr>
            <w:noProof/>
          </w:rPr>
          <w:t>VI</w:t>
        </w:r>
      </w:fldSimple>
      <w:r w:rsidRPr="00AA3F66">
        <w:noBreakHyphen/>
      </w:r>
      <w:fldSimple w:instr=" SEQ Граф. \* ARABIC \s 1 ">
        <w:r w:rsidR="005A69ED">
          <w:rPr>
            <w:noProof/>
          </w:rPr>
          <w:t>1</w:t>
        </w:r>
      </w:fldSimple>
      <w:r w:rsidRPr="00AA3F66">
        <w:t xml:space="preserve">: </w:t>
      </w:r>
      <w:r w:rsidRPr="00AA3F66">
        <w:tab/>
        <w:t xml:space="preserve"> Държавен дълг и съотношение на държавния дълг към БВП</w:t>
      </w:r>
    </w:p>
    <w:p w:rsidR="009139BD" w:rsidRPr="00AA3F66" w:rsidRDefault="00F94D09" w:rsidP="00F94D09">
      <w:r>
        <w:rPr>
          <w:noProof/>
        </w:rPr>
        <w:drawing>
          <wp:inline distT="0" distB="0" distL="0" distR="0" wp14:anchorId="1A248091" wp14:editId="0564F726">
            <wp:extent cx="5759450" cy="2668905"/>
            <wp:effectExtent l="0" t="0" r="12700" b="17145"/>
            <wp:docPr id="1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9139BD" w:rsidRPr="00AA3F66" w:rsidRDefault="009139BD" w:rsidP="009139BD">
      <w:pPr>
        <w:jc w:val="right"/>
        <w:rPr>
          <w:rFonts w:eastAsia="Times New Roman" w:cs="Times New Roman"/>
          <w:sz w:val="18"/>
          <w:szCs w:val="18"/>
        </w:rPr>
      </w:pPr>
      <w:r w:rsidRPr="00AA3F66">
        <w:rPr>
          <w:rFonts w:eastAsia="Times New Roman" w:cs="Times New Roman"/>
          <w:sz w:val="18"/>
          <w:szCs w:val="18"/>
        </w:rPr>
        <w:t>Източник: МФ</w:t>
      </w:r>
    </w:p>
    <w:p w:rsidR="00A65D6E" w:rsidRPr="00AA3F66" w:rsidRDefault="00A65D6E" w:rsidP="00A65D6E">
      <w:pPr>
        <w:rPr>
          <w:rFonts w:eastAsia="Batang"/>
          <w:szCs w:val="24"/>
        </w:rPr>
      </w:pPr>
      <w:r w:rsidRPr="00AA3F66">
        <w:rPr>
          <w:rFonts w:eastAsia="Batang"/>
          <w:szCs w:val="24"/>
        </w:rPr>
        <w:t>Предвид допусканията за основните показатели на бюджетната рамка, през следващия тригодишен период се очертава необходимостта от осигуряване на значителни обеми ново дългово финансиране</w:t>
      </w:r>
      <w:r w:rsidR="00F94D09">
        <w:rPr>
          <w:rFonts w:eastAsia="Batang"/>
          <w:szCs w:val="24"/>
        </w:rPr>
        <w:t>,</w:t>
      </w:r>
      <w:r w:rsidRPr="00AA3F66">
        <w:rPr>
          <w:rFonts w:eastAsia="Batang"/>
          <w:szCs w:val="24"/>
        </w:rPr>
        <w:t xml:space="preserve"> </w:t>
      </w:r>
      <w:r w:rsidR="00F94D09" w:rsidRPr="00F94D09">
        <w:rPr>
          <w:rFonts w:eastAsia="Batang"/>
          <w:szCs w:val="24"/>
        </w:rPr>
        <w:t>като се наблюдава тенденция за нарастване на държавния дълг в абсолютна стойност и като съотношение към БВП</w:t>
      </w:r>
      <w:r w:rsidRPr="00AA3F66">
        <w:rPr>
          <w:rFonts w:eastAsia="Batang"/>
          <w:szCs w:val="24"/>
        </w:rPr>
        <w:t>. Пред реализирането на дълговото финансиране както през 2024 г., така и през целия тригодишен период</w:t>
      </w:r>
      <w:r w:rsidR="00F4157D" w:rsidRPr="00AA3F66">
        <w:rPr>
          <w:rFonts w:eastAsia="Batang"/>
          <w:szCs w:val="24"/>
        </w:rPr>
        <w:t>,</w:t>
      </w:r>
      <w:r w:rsidRPr="00AA3F66">
        <w:rPr>
          <w:rFonts w:eastAsia="Batang"/>
          <w:szCs w:val="24"/>
        </w:rPr>
        <w:t xml:space="preserve"> са налице редица рискове, породени от външни фактори, които емитентът не би могъл да управлява, като волатилност на финансовите пазари, геополитическа несигурност, висока инфлация, затягане на паричната политика от страна на централните банки на водещите икономики и др. Те се отразяват и на вътрешния дългов пазар, който е със сравнително ограничен капацитет, ликвидност и пазарни участници. Не на последно място по важност следва да се има предвид, че преобладаващият дял на пазарните източници за дългово финансиране предполага привнасяне на всички външни рискове при изпълнението на държавния бюджет в частта за финансиране на планирания дефицит за целия тригодишен период, визиран в АСБП. </w:t>
      </w:r>
    </w:p>
    <w:p w:rsidR="00A65D6E" w:rsidRPr="00AA3F66" w:rsidRDefault="00A65D6E" w:rsidP="00A65D6E">
      <w:pPr>
        <w:rPr>
          <w:rFonts w:eastAsia="Batang"/>
          <w:szCs w:val="24"/>
        </w:rPr>
      </w:pPr>
      <w:r w:rsidRPr="00AA3F66">
        <w:rPr>
          <w:rFonts w:eastAsia="Batang"/>
          <w:szCs w:val="24"/>
        </w:rPr>
        <w:t xml:space="preserve">Измененията в структурата на държавния дълг през разглеждания период от 2022 г. до 2026 г. </w:t>
      </w:r>
      <w:r w:rsidR="00F94D09">
        <w:rPr>
          <w:rFonts w:eastAsia="Batang"/>
          <w:szCs w:val="24"/>
        </w:rPr>
        <w:t>се базират</w:t>
      </w:r>
      <w:r w:rsidRPr="00AA3F66">
        <w:rPr>
          <w:rFonts w:eastAsia="Batang"/>
          <w:szCs w:val="24"/>
        </w:rPr>
        <w:t xml:space="preserve"> на извършените дългови операции и планираните такива, при които е направено индикативно разпределение както между външните и вътрешни източници на финансиране, така и по отношение на валутата, матуритета и лихвените условия на планирания нов дълг. </w:t>
      </w:r>
    </w:p>
    <w:p w:rsidR="00A65D6E" w:rsidRDefault="00A65D6E" w:rsidP="00A65D6E">
      <w:pPr>
        <w:pStyle w:val="Caption"/>
        <w:rPr>
          <w:rFonts w:cs="Calibri"/>
          <w:color w:val="000000"/>
          <w:szCs w:val="24"/>
        </w:rPr>
      </w:pPr>
      <w:bookmarkStart w:id="457" w:name="_Toc150443429"/>
      <w:r w:rsidRPr="00AA3F66">
        <w:t xml:space="preserve">Табл. </w:t>
      </w:r>
      <w:fldSimple w:instr=" STYLEREF 1 \s ">
        <w:r w:rsidR="005A69ED">
          <w:rPr>
            <w:noProof/>
          </w:rPr>
          <w:t>VI</w:t>
        </w:r>
      </w:fldSimple>
      <w:r w:rsidRPr="00AA3F66">
        <w:noBreakHyphen/>
      </w:r>
      <w:fldSimple w:instr=" SEQ Табл. \* ARABIC \s 1 ">
        <w:r w:rsidR="005A69ED">
          <w:rPr>
            <w:noProof/>
          </w:rPr>
          <w:t>1</w:t>
        </w:r>
      </w:fldSimple>
      <w:r w:rsidRPr="00AA3F66">
        <w:t>:</w:t>
      </w:r>
      <w:r w:rsidRPr="00AA3F66">
        <w:tab/>
      </w:r>
      <w:r w:rsidRPr="00AA3F66">
        <w:rPr>
          <w:rFonts w:cs="Calibri"/>
          <w:color w:val="000000"/>
          <w:szCs w:val="24"/>
        </w:rPr>
        <w:t>Държавен дълг – показатели за вътрешен и външен дълг</w:t>
      </w:r>
      <w:bookmarkEnd w:id="457"/>
    </w:p>
    <w:tbl>
      <w:tblPr>
        <w:tblW w:w="8931" w:type="dxa"/>
        <w:tblCellMar>
          <w:left w:w="70" w:type="dxa"/>
          <w:right w:w="70" w:type="dxa"/>
        </w:tblCellMar>
        <w:tblLook w:val="04A0" w:firstRow="1" w:lastRow="0" w:firstColumn="1" w:lastColumn="0" w:noHBand="0" w:noVBand="1"/>
      </w:tblPr>
      <w:tblGrid>
        <w:gridCol w:w="2552"/>
        <w:gridCol w:w="1259"/>
        <w:gridCol w:w="1210"/>
        <w:gridCol w:w="1290"/>
        <w:gridCol w:w="1640"/>
        <w:gridCol w:w="994"/>
      </w:tblGrid>
      <w:tr w:rsidR="00F94D09" w:rsidRPr="00A65D6E" w:rsidTr="008A16A3">
        <w:trPr>
          <w:trHeight w:val="315"/>
          <w:tblHeader/>
        </w:trPr>
        <w:tc>
          <w:tcPr>
            <w:tcW w:w="2552" w:type="dxa"/>
            <w:vMerge w:val="restart"/>
            <w:tcBorders>
              <w:top w:val="single" w:sz="4" w:space="0" w:color="auto"/>
            </w:tcBorders>
            <w:shd w:val="clear" w:color="auto" w:fill="FEE6D6" w:themeFill="accent1" w:themeFillTint="33"/>
            <w:vAlign w:val="center"/>
            <w:hideMark/>
          </w:tcPr>
          <w:p w:rsidR="00F94D09" w:rsidRPr="00A65D6E" w:rsidRDefault="00F94D09" w:rsidP="008A16A3">
            <w:pPr>
              <w:spacing w:after="0"/>
              <w:jc w:val="center"/>
              <w:rPr>
                <w:rFonts w:eastAsia="Times New Roman" w:cs="Times New Roman"/>
                <w:b/>
                <w:bCs/>
                <w:color w:val="000000"/>
                <w:sz w:val="20"/>
                <w:szCs w:val="20"/>
              </w:rPr>
            </w:pPr>
            <w:r w:rsidRPr="00A65D6E">
              <w:rPr>
                <w:rFonts w:eastAsia="Times New Roman" w:cs="Times New Roman"/>
                <w:b/>
                <w:bCs/>
                <w:color w:val="000000"/>
                <w:sz w:val="20"/>
                <w:szCs w:val="20"/>
              </w:rPr>
              <w:t>Показатели</w:t>
            </w:r>
          </w:p>
        </w:tc>
        <w:tc>
          <w:tcPr>
            <w:tcW w:w="1259" w:type="dxa"/>
            <w:tcBorders>
              <w:top w:val="single" w:sz="4" w:space="0" w:color="auto"/>
            </w:tcBorders>
            <w:shd w:val="clear" w:color="auto" w:fill="FEE6D6" w:themeFill="accent1" w:themeFillTint="33"/>
            <w:noWrap/>
            <w:vAlign w:val="center"/>
            <w:hideMark/>
          </w:tcPr>
          <w:p w:rsidR="00F94D09" w:rsidRPr="00A65D6E" w:rsidRDefault="00F94D09" w:rsidP="008A16A3">
            <w:pPr>
              <w:spacing w:after="0"/>
              <w:jc w:val="center"/>
              <w:rPr>
                <w:rFonts w:eastAsia="Times New Roman" w:cs="Times New Roman"/>
                <w:b/>
                <w:bCs/>
                <w:color w:val="000000"/>
                <w:sz w:val="20"/>
                <w:szCs w:val="20"/>
              </w:rPr>
            </w:pPr>
            <w:r w:rsidRPr="00A65D6E">
              <w:rPr>
                <w:rFonts w:eastAsia="Times New Roman" w:cs="Times New Roman"/>
                <w:b/>
                <w:bCs/>
                <w:color w:val="000000"/>
                <w:sz w:val="20"/>
                <w:szCs w:val="20"/>
              </w:rPr>
              <w:t>2022</w:t>
            </w:r>
          </w:p>
        </w:tc>
        <w:tc>
          <w:tcPr>
            <w:tcW w:w="1210" w:type="dxa"/>
            <w:tcBorders>
              <w:top w:val="single" w:sz="4" w:space="0" w:color="auto"/>
            </w:tcBorders>
            <w:shd w:val="clear" w:color="auto" w:fill="FEE6D6" w:themeFill="accent1" w:themeFillTint="33"/>
            <w:noWrap/>
            <w:vAlign w:val="center"/>
            <w:hideMark/>
          </w:tcPr>
          <w:p w:rsidR="00F94D09" w:rsidRPr="00A65D6E" w:rsidRDefault="00F94D09" w:rsidP="008A16A3">
            <w:pPr>
              <w:spacing w:after="0"/>
              <w:jc w:val="center"/>
              <w:rPr>
                <w:rFonts w:eastAsia="Times New Roman" w:cs="Times New Roman"/>
                <w:b/>
                <w:bCs/>
                <w:color w:val="000000"/>
                <w:sz w:val="20"/>
                <w:szCs w:val="20"/>
              </w:rPr>
            </w:pPr>
            <w:r w:rsidRPr="00A65D6E">
              <w:rPr>
                <w:rFonts w:eastAsia="Times New Roman" w:cs="Times New Roman"/>
                <w:b/>
                <w:bCs/>
                <w:color w:val="000000"/>
                <w:sz w:val="20"/>
                <w:szCs w:val="20"/>
              </w:rPr>
              <w:t>2023</w:t>
            </w:r>
          </w:p>
        </w:tc>
        <w:tc>
          <w:tcPr>
            <w:tcW w:w="1290" w:type="dxa"/>
            <w:tcBorders>
              <w:top w:val="single" w:sz="4" w:space="0" w:color="auto"/>
            </w:tcBorders>
            <w:shd w:val="clear" w:color="auto" w:fill="FEE6D6" w:themeFill="accent1" w:themeFillTint="33"/>
            <w:noWrap/>
            <w:vAlign w:val="center"/>
            <w:hideMark/>
          </w:tcPr>
          <w:p w:rsidR="00F94D09" w:rsidRPr="00A65D6E" w:rsidRDefault="00F94D09" w:rsidP="008A16A3">
            <w:pPr>
              <w:spacing w:after="0"/>
              <w:jc w:val="center"/>
              <w:rPr>
                <w:rFonts w:eastAsia="Times New Roman" w:cs="Times New Roman"/>
                <w:b/>
                <w:bCs/>
                <w:color w:val="000000"/>
                <w:sz w:val="20"/>
                <w:szCs w:val="20"/>
              </w:rPr>
            </w:pPr>
            <w:r w:rsidRPr="00A65D6E">
              <w:rPr>
                <w:rFonts w:eastAsia="Times New Roman" w:cs="Times New Roman"/>
                <w:b/>
                <w:bCs/>
                <w:color w:val="000000"/>
                <w:sz w:val="20"/>
                <w:szCs w:val="20"/>
              </w:rPr>
              <w:t>2024</w:t>
            </w:r>
          </w:p>
        </w:tc>
        <w:tc>
          <w:tcPr>
            <w:tcW w:w="1640" w:type="dxa"/>
            <w:tcBorders>
              <w:top w:val="single" w:sz="4" w:space="0" w:color="auto"/>
            </w:tcBorders>
            <w:shd w:val="clear" w:color="auto" w:fill="FEE6D6" w:themeFill="accent1" w:themeFillTint="33"/>
            <w:noWrap/>
            <w:vAlign w:val="center"/>
            <w:hideMark/>
          </w:tcPr>
          <w:p w:rsidR="00F94D09" w:rsidRPr="00A65D6E" w:rsidRDefault="00F94D09" w:rsidP="008A16A3">
            <w:pPr>
              <w:spacing w:after="0"/>
              <w:jc w:val="center"/>
              <w:rPr>
                <w:rFonts w:eastAsia="Times New Roman" w:cs="Times New Roman"/>
                <w:b/>
                <w:bCs/>
                <w:color w:val="000000"/>
                <w:sz w:val="20"/>
                <w:szCs w:val="20"/>
              </w:rPr>
            </w:pPr>
            <w:r w:rsidRPr="00A65D6E">
              <w:rPr>
                <w:rFonts w:eastAsia="Times New Roman" w:cs="Times New Roman"/>
                <w:b/>
                <w:bCs/>
                <w:color w:val="000000"/>
                <w:sz w:val="20"/>
                <w:szCs w:val="20"/>
              </w:rPr>
              <w:t>2025</w:t>
            </w:r>
          </w:p>
        </w:tc>
        <w:tc>
          <w:tcPr>
            <w:tcW w:w="980" w:type="dxa"/>
            <w:tcBorders>
              <w:top w:val="single" w:sz="4" w:space="0" w:color="auto"/>
            </w:tcBorders>
            <w:shd w:val="clear" w:color="auto" w:fill="FEE6D6" w:themeFill="accent1" w:themeFillTint="33"/>
            <w:noWrap/>
            <w:vAlign w:val="center"/>
            <w:hideMark/>
          </w:tcPr>
          <w:p w:rsidR="00F94D09" w:rsidRPr="00A65D6E" w:rsidRDefault="00F94D09" w:rsidP="008A16A3">
            <w:pPr>
              <w:spacing w:after="0"/>
              <w:jc w:val="center"/>
              <w:rPr>
                <w:rFonts w:eastAsia="Times New Roman" w:cs="Times New Roman"/>
                <w:b/>
                <w:bCs/>
                <w:color w:val="000000"/>
                <w:sz w:val="20"/>
                <w:szCs w:val="20"/>
              </w:rPr>
            </w:pPr>
            <w:r w:rsidRPr="00A65D6E">
              <w:rPr>
                <w:rFonts w:eastAsia="Times New Roman" w:cs="Times New Roman"/>
                <w:b/>
                <w:bCs/>
                <w:color w:val="000000"/>
                <w:sz w:val="20"/>
                <w:szCs w:val="20"/>
              </w:rPr>
              <w:t>2026</w:t>
            </w:r>
          </w:p>
        </w:tc>
      </w:tr>
      <w:tr w:rsidR="00F94D09" w:rsidRPr="00A65D6E" w:rsidTr="008A16A3">
        <w:trPr>
          <w:trHeight w:val="585"/>
          <w:tblHeader/>
        </w:trPr>
        <w:tc>
          <w:tcPr>
            <w:tcW w:w="2552" w:type="dxa"/>
            <w:vMerge/>
            <w:tcBorders>
              <w:bottom w:val="single" w:sz="4" w:space="0" w:color="auto"/>
            </w:tcBorders>
            <w:shd w:val="clear" w:color="auto" w:fill="FEE6D6" w:themeFill="accent1" w:themeFillTint="33"/>
            <w:vAlign w:val="center"/>
            <w:hideMark/>
          </w:tcPr>
          <w:p w:rsidR="00F94D09" w:rsidRPr="00A65D6E" w:rsidRDefault="00F94D09" w:rsidP="008A16A3">
            <w:pPr>
              <w:spacing w:after="0"/>
              <w:jc w:val="left"/>
              <w:rPr>
                <w:rFonts w:eastAsia="Times New Roman" w:cs="Times New Roman"/>
                <w:b/>
                <w:bCs/>
                <w:color w:val="000000"/>
                <w:sz w:val="20"/>
                <w:szCs w:val="20"/>
              </w:rPr>
            </w:pPr>
          </w:p>
        </w:tc>
        <w:tc>
          <w:tcPr>
            <w:tcW w:w="1259" w:type="dxa"/>
            <w:tcBorders>
              <w:bottom w:val="single" w:sz="4" w:space="0" w:color="auto"/>
            </w:tcBorders>
            <w:shd w:val="clear" w:color="auto" w:fill="FEE6D6" w:themeFill="accent1" w:themeFillTint="33"/>
            <w:vAlign w:val="center"/>
            <w:hideMark/>
          </w:tcPr>
          <w:p w:rsidR="00F94D09" w:rsidRPr="00A65D6E" w:rsidRDefault="00F94D09" w:rsidP="008A16A3">
            <w:pPr>
              <w:spacing w:after="0"/>
              <w:jc w:val="center"/>
              <w:rPr>
                <w:rFonts w:eastAsia="Times New Roman" w:cs="Times New Roman"/>
                <w:b/>
                <w:bCs/>
                <w:color w:val="000000"/>
                <w:sz w:val="20"/>
                <w:szCs w:val="20"/>
              </w:rPr>
            </w:pPr>
            <w:r w:rsidRPr="00A65D6E">
              <w:rPr>
                <w:rFonts w:eastAsia="Times New Roman" w:cs="Times New Roman"/>
                <w:b/>
                <w:bCs/>
                <w:color w:val="000000"/>
                <w:sz w:val="20"/>
                <w:szCs w:val="20"/>
              </w:rPr>
              <w:t>Отчет</w:t>
            </w:r>
          </w:p>
        </w:tc>
        <w:tc>
          <w:tcPr>
            <w:tcW w:w="1210" w:type="dxa"/>
            <w:tcBorders>
              <w:bottom w:val="single" w:sz="4" w:space="0" w:color="auto"/>
            </w:tcBorders>
            <w:shd w:val="clear" w:color="auto" w:fill="FEE6D6" w:themeFill="accent1" w:themeFillTint="33"/>
            <w:vAlign w:val="center"/>
            <w:hideMark/>
          </w:tcPr>
          <w:p w:rsidR="00F94D09" w:rsidRPr="00A65D6E" w:rsidRDefault="00F94D09" w:rsidP="008A16A3">
            <w:pPr>
              <w:spacing w:after="0"/>
              <w:jc w:val="center"/>
              <w:rPr>
                <w:rFonts w:eastAsia="Times New Roman" w:cs="Times New Roman"/>
                <w:b/>
                <w:bCs/>
                <w:color w:val="000000"/>
                <w:sz w:val="20"/>
                <w:szCs w:val="20"/>
              </w:rPr>
            </w:pPr>
            <w:r w:rsidRPr="00A65D6E">
              <w:rPr>
                <w:rFonts w:eastAsia="Times New Roman" w:cs="Times New Roman"/>
                <w:b/>
                <w:bCs/>
                <w:color w:val="000000"/>
                <w:sz w:val="20"/>
                <w:szCs w:val="20"/>
              </w:rPr>
              <w:t>Очаквано</w:t>
            </w:r>
          </w:p>
        </w:tc>
        <w:tc>
          <w:tcPr>
            <w:tcW w:w="1290" w:type="dxa"/>
            <w:tcBorders>
              <w:bottom w:val="single" w:sz="4" w:space="0" w:color="auto"/>
            </w:tcBorders>
            <w:shd w:val="clear" w:color="auto" w:fill="FEE6D6" w:themeFill="accent1" w:themeFillTint="33"/>
            <w:vAlign w:val="center"/>
            <w:hideMark/>
          </w:tcPr>
          <w:p w:rsidR="00F94D09" w:rsidRPr="00A65D6E" w:rsidRDefault="00F94D09" w:rsidP="008A16A3">
            <w:pPr>
              <w:spacing w:after="0"/>
              <w:jc w:val="center"/>
              <w:rPr>
                <w:rFonts w:eastAsia="Times New Roman" w:cs="Times New Roman"/>
                <w:b/>
                <w:bCs/>
                <w:color w:val="000000"/>
                <w:sz w:val="20"/>
                <w:szCs w:val="20"/>
              </w:rPr>
            </w:pPr>
            <w:r w:rsidRPr="00A65D6E">
              <w:rPr>
                <w:rFonts w:eastAsia="Times New Roman" w:cs="Times New Roman"/>
                <w:b/>
                <w:bCs/>
                <w:color w:val="000000"/>
                <w:sz w:val="20"/>
                <w:szCs w:val="20"/>
              </w:rPr>
              <w:t>Прогноза</w:t>
            </w:r>
          </w:p>
        </w:tc>
        <w:tc>
          <w:tcPr>
            <w:tcW w:w="1640" w:type="dxa"/>
            <w:tcBorders>
              <w:bottom w:val="single" w:sz="4" w:space="0" w:color="auto"/>
            </w:tcBorders>
            <w:shd w:val="clear" w:color="auto" w:fill="FEE6D6" w:themeFill="accent1" w:themeFillTint="33"/>
            <w:vAlign w:val="center"/>
            <w:hideMark/>
          </w:tcPr>
          <w:p w:rsidR="00F94D09" w:rsidRPr="00A65D6E" w:rsidRDefault="00F94D09" w:rsidP="008A16A3">
            <w:pPr>
              <w:spacing w:after="0"/>
              <w:jc w:val="center"/>
              <w:rPr>
                <w:rFonts w:eastAsia="Times New Roman" w:cs="Times New Roman"/>
                <w:b/>
                <w:bCs/>
                <w:color w:val="000000"/>
                <w:sz w:val="20"/>
                <w:szCs w:val="20"/>
              </w:rPr>
            </w:pPr>
            <w:r w:rsidRPr="00A65D6E">
              <w:rPr>
                <w:rFonts w:eastAsia="Times New Roman" w:cs="Times New Roman"/>
                <w:b/>
                <w:bCs/>
                <w:color w:val="000000"/>
                <w:sz w:val="20"/>
                <w:szCs w:val="20"/>
              </w:rPr>
              <w:t>Прогноза</w:t>
            </w:r>
          </w:p>
        </w:tc>
        <w:tc>
          <w:tcPr>
            <w:tcW w:w="980" w:type="dxa"/>
            <w:tcBorders>
              <w:bottom w:val="single" w:sz="4" w:space="0" w:color="auto"/>
            </w:tcBorders>
            <w:shd w:val="clear" w:color="auto" w:fill="FEE6D6" w:themeFill="accent1" w:themeFillTint="33"/>
            <w:vAlign w:val="center"/>
            <w:hideMark/>
          </w:tcPr>
          <w:p w:rsidR="00F94D09" w:rsidRPr="00A65D6E" w:rsidRDefault="00F94D09" w:rsidP="008A16A3">
            <w:pPr>
              <w:spacing w:after="0"/>
              <w:jc w:val="center"/>
              <w:rPr>
                <w:rFonts w:eastAsia="Times New Roman" w:cs="Times New Roman"/>
                <w:b/>
                <w:bCs/>
                <w:color w:val="000000"/>
                <w:sz w:val="20"/>
                <w:szCs w:val="20"/>
              </w:rPr>
            </w:pPr>
            <w:r w:rsidRPr="00A65D6E">
              <w:rPr>
                <w:rFonts w:eastAsia="Times New Roman" w:cs="Times New Roman"/>
                <w:b/>
                <w:bCs/>
                <w:color w:val="000000"/>
                <w:sz w:val="20"/>
                <w:szCs w:val="20"/>
              </w:rPr>
              <w:t>Прогноза</w:t>
            </w:r>
          </w:p>
        </w:tc>
      </w:tr>
      <w:tr w:rsidR="00F94D09" w:rsidRPr="00A65D6E" w:rsidTr="008A16A3">
        <w:trPr>
          <w:trHeight w:val="390"/>
        </w:trPr>
        <w:tc>
          <w:tcPr>
            <w:tcW w:w="2552" w:type="dxa"/>
            <w:tcBorders>
              <w:top w:val="single" w:sz="4" w:space="0" w:color="auto"/>
            </w:tcBorders>
            <w:shd w:val="clear" w:color="000000" w:fill="FFFFFF"/>
            <w:noWrap/>
            <w:vAlign w:val="center"/>
            <w:hideMark/>
          </w:tcPr>
          <w:p w:rsidR="00F94D09" w:rsidRPr="00A65D6E" w:rsidRDefault="00F94D09" w:rsidP="008A16A3">
            <w:pPr>
              <w:spacing w:after="0"/>
              <w:jc w:val="left"/>
              <w:rPr>
                <w:rFonts w:eastAsia="Times New Roman" w:cs="Times New Roman"/>
                <w:b/>
                <w:bCs/>
                <w:color w:val="000000"/>
                <w:sz w:val="20"/>
                <w:szCs w:val="20"/>
              </w:rPr>
            </w:pPr>
            <w:r w:rsidRPr="00A65D6E">
              <w:rPr>
                <w:rFonts w:eastAsia="Times New Roman" w:cs="Times New Roman"/>
                <w:b/>
                <w:bCs/>
                <w:color w:val="000000"/>
                <w:sz w:val="20"/>
                <w:szCs w:val="20"/>
              </w:rPr>
              <w:t>Държавен дълг, млн. лв.</w:t>
            </w:r>
          </w:p>
        </w:tc>
        <w:tc>
          <w:tcPr>
            <w:tcW w:w="1259" w:type="dxa"/>
            <w:tcBorders>
              <w:top w:val="single" w:sz="4" w:space="0" w:color="auto"/>
            </w:tcBorders>
            <w:shd w:val="clear" w:color="auto" w:fill="auto"/>
            <w:noWrap/>
            <w:vAlign w:val="center"/>
            <w:hideMark/>
          </w:tcPr>
          <w:p w:rsidR="00F94D09" w:rsidRPr="00A65D6E" w:rsidRDefault="00F94D09" w:rsidP="008A16A3">
            <w:pPr>
              <w:spacing w:after="0"/>
              <w:jc w:val="center"/>
              <w:rPr>
                <w:rFonts w:eastAsia="Times New Roman" w:cs="Times New Roman"/>
                <w:b/>
                <w:bCs/>
                <w:color w:val="000000"/>
                <w:sz w:val="20"/>
                <w:szCs w:val="20"/>
              </w:rPr>
            </w:pPr>
            <w:r w:rsidRPr="00A65D6E">
              <w:rPr>
                <w:rFonts w:eastAsia="Times New Roman" w:cs="Times New Roman"/>
                <w:b/>
                <w:bCs/>
                <w:color w:val="000000"/>
                <w:sz w:val="20"/>
                <w:szCs w:val="20"/>
              </w:rPr>
              <w:t>36 125,7</w:t>
            </w:r>
          </w:p>
        </w:tc>
        <w:tc>
          <w:tcPr>
            <w:tcW w:w="1210" w:type="dxa"/>
            <w:tcBorders>
              <w:top w:val="single" w:sz="4" w:space="0" w:color="auto"/>
            </w:tcBorders>
            <w:shd w:val="clear" w:color="auto" w:fill="auto"/>
            <w:noWrap/>
            <w:vAlign w:val="center"/>
            <w:hideMark/>
          </w:tcPr>
          <w:p w:rsidR="00F94D09" w:rsidRPr="00A65D6E" w:rsidRDefault="00F94D09" w:rsidP="008A16A3">
            <w:pPr>
              <w:spacing w:after="0"/>
              <w:jc w:val="center"/>
              <w:rPr>
                <w:rFonts w:eastAsia="Times New Roman" w:cs="Times New Roman"/>
                <w:b/>
                <w:bCs/>
                <w:color w:val="000000"/>
                <w:sz w:val="20"/>
                <w:szCs w:val="20"/>
              </w:rPr>
            </w:pPr>
            <w:r w:rsidRPr="00A65D6E">
              <w:rPr>
                <w:rFonts w:eastAsia="Times New Roman" w:cs="Times New Roman"/>
                <w:b/>
                <w:bCs/>
                <w:color w:val="000000"/>
                <w:sz w:val="20"/>
                <w:szCs w:val="20"/>
              </w:rPr>
              <w:t xml:space="preserve">40 533,1 </w:t>
            </w:r>
          </w:p>
        </w:tc>
        <w:tc>
          <w:tcPr>
            <w:tcW w:w="1290" w:type="dxa"/>
            <w:tcBorders>
              <w:top w:val="single" w:sz="4" w:space="0" w:color="auto"/>
            </w:tcBorders>
            <w:shd w:val="clear" w:color="auto" w:fill="auto"/>
            <w:noWrap/>
            <w:vAlign w:val="center"/>
            <w:hideMark/>
          </w:tcPr>
          <w:p w:rsidR="00F94D09" w:rsidRPr="00A65D6E" w:rsidRDefault="00F94D09" w:rsidP="008A16A3">
            <w:pPr>
              <w:spacing w:after="0"/>
              <w:jc w:val="center"/>
              <w:rPr>
                <w:rFonts w:eastAsia="Times New Roman" w:cs="Times New Roman"/>
                <w:b/>
                <w:bCs/>
                <w:color w:val="000000"/>
                <w:sz w:val="20"/>
                <w:szCs w:val="20"/>
              </w:rPr>
            </w:pPr>
            <w:r>
              <w:rPr>
                <w:rFonts w:eastAsia="Times New Roman" w:cs="Times New Roman"/>
                <w:b/>
                <w:bCs/>
                <w:color w:val="000000"/>
                <w:sz w:val="20"/>
                <w:szCs w:val="20"/>
              </w:rPr>
              <w:t>47 952,3</w:t>
            </w:r>
            <w:r w:rsidRPr="00A65D6E">
              <w:rPr>
                <w:rFonts w:eastAsia="Times New Roman" w:cs="Times New Roman"/>
                <w:b/>
                <w:bCs/>
                <w:color w:val="000000"/>
                <w:sz w:val="20"/>
                <w:szCs w:val="20"/>
              </w:rPr>
              <w:t xml:space="preserve"> </w:t>
            </w:r>
          </w:p>
        </w:tc>
        <w:tc>
          <w:tcPr>
            <w:tcW w:w="1640" w:type="dxa"/>
            <w:tcBorders>
              <w:top w:val="single" w:sz="4" w:space="0" w:color="auto"/>
            </w:tcBorders>
            <w:shd w:val="clear" w:color="auto" w:fill="auto"/>
            <w:noWrap/>
            <w:vAlign w:val="center"/>
            <w:hideMark/>
          </w:tcPr>
          <w:p w:rsidR="00F94D09" w:rsidRPr="00A65D6E" w:rsidRDefault="00F94D09" w:rsidP="008A16A3">
            <w:pPr>
              <w:spacing w:after="0"/>
              <w:jc w:val="center"/>
              <w:rPr>
                <w:rFonts w:eastAsia="Times New Roman" w:cs="Times New Roman"/>
                <w:b/>
                <w:bCs/>
                <w:color w:val="000000"/>
                <w:sz w:val="20"/>
                <w:szCs w:val="20"/>
              </w:rPr>
            </w:pPr>
            <w:r>
              <w:rPr>
                <w:rFonts w:eastAsia="Times New Roman" w:cs="Times New Roman"/>
                <w:b/>
                <w:bCs/>
                <w:color w:val="000000"/>
                <w:sz w:val="20"/>
                <w:szCs w:val="20"/>
              </w:rPr>
              <w:t>56 211,1</w:t>
            </w:r>
            <w:r w:rsidRPr="00A65D6E">
              <w:rPr>
                <w:rFonts w:eastAsia="Times New Roman" w:cs="Times New Roman"/>
                <w:b/>
                <w:bCs/>
                <w:color w:val="000000"/>
                <w:sz w:val="20"/>
                <w:szCs w:val="20"/>
              </w:rPr>
              <w:t xml:space="preserve"> </w:t>
            </w:r>
          </w:p>
        </w:tc>
        <w:tc>
          <w:tcPr>
            <w:tcW w:w="980" w:type="dxa"/>
            <w:tcBorders>
              <w:top w:val="single" w:sz="4" w:space="0" w:color="auto"/>
            </w:tcBorders>
            <w:shd w:val="clear" w:color="auto" w:fill="auto"/>
            <w:noWrap/>
            <w:vAlign w:val="center"/>
            <w:hideMark/>
          </w:tcPr>
          <w:p w:rsidR="00F94D09" w:rsidRPr="00A65D6E" w:rsidRDefault="00F94D09" w:rsidP="008A16A3">
            <w:pPr>
              <w:spacing w:after="0"/>
              <w:jc w:val="center"/>
              <w:rPr>
                <w:rFonts w:eastAsia="Times New Roman" w:cs="Times New Roman"/>
                <w:b/>
                <w:bCs/>
                <w:color w:val="000000"/>
                <w:sz w:val="20"/>
                <w:szCs w:val="20"/>
              </w:rPr>
            </w:pPr>
            <w:r>
              <w:rPr>
                <w:rFonts w:eastAsia="Times New Roman" w:cs="Times New Roman"/>
                <w:b/>
                <w:bCs/>
                <w:color w:val="000000"/>
                <w:sz w:val="20"/>
                <w:szCs w:val="20"/>
              </w:rPr>
              <w:t>65 566,8*</w:t>
            </w:r>
            <w:r w:rsidRPr="00A65D6E">
              <w:rPr>
                <w:rFonts w:eastAsia="Times New Roman" w:cs="Times New Roman"/>
                <w:b/>
                <w:bCs/>
                <w:color w:val="000000"/>
                <w:sz w:val="20"/>
                <w:szCs w:val="20"/>
              </w:rPr>
              <w:t xml:space="preserve"> </w:t>
            </w:r>
          </w:p>
        </w:tc>
      </w:tr>
      <w:tr w:rsidR="00F94D09" w:rsidRPr="00A65D6E" w:rsidTr="008A16A3">
        <w:trPr>
          <w:trHeight w:val="330"/>
        </w:trPr>
        <w:tc>
          <w:tcPr>
            <w:tcW w:w="2552" w:type="dxa"/>
            <w:shd w:val="clear" w:color="000000" w:fill="FFFFFF"/>
            <w:noWrap/>
            <w:vAlign w:val="center"/>
            <w:hideMark/>
          </w:tcPr>
          <w:p w:rsidR="00F94D09" w:rsidRPr="00A65D6E" w:rsidRDefault="00F94D09" w:rsidP="008A16A3">
            <w:pPr>
              <w:spacing w:after="0"/>
              <w:jc w:val="left"/>
              <w:rPr>
                <w:rFonts w:eastAsia="Times New Roman" w:cs="Times New Roman"/>
                <w:color w:val="000000"/>
                <w:sz w:val="20"/>
                <w:szCs w:val="20"/>
              </w:rPr>
            </w:pPr>
            <w:r w:rsidRPr="00A65D6E">
              <w:rPr>
                <w:rFonts w:eastAsia="Times New Roman" w:cs="Times New Roman"/>
                <w:color w:val="000000"/>
                <w:sz w:val="20"/>
                <w:szCs w:val="20"/>
              </w:rPr>
              <w:t>Държавен дълг/БВП (%)</w:t>
            </w:r>
          </w:p>
        </w:tc>
        <w:tc>
          <w:tcPr>
            <w:tcW w:w="1259" w:type="dxa"/>
            <w:shd w:val="clear" w:color="000000" w:fill="FFFFFF"/>
            <w:noWrap/>
            <w:vAlign w:val="center"/>
            <w:hideMark/>
          </w:tcPr>
          <w:p w:rsidR="00F94D09" w:rsidRPr="00A65D6E" w:rsidRDefault="00F94D09" w:rsidP="008A16A3">
            <w:pPr>
              <w:spacing w:after="0"/>
              <w:jc w:val="center"/>
              <w:rPr>
                <w:rFonts w:eastAsia="Times New Roman" w:cs="Times New Roman"/>
                <w:sz w:val="20"/>
                <w:szCs w:val="20"/>
              </w:rPr>
            </w:pPr>
            <w:r w:rsidRPr="00A65D6E">
              <w:rPr>
                <w:rFonts w:eastAsia="Times New Roman" w:cs="Times New Roman"/>
                <w:sz w:val="20"/>
                <w:szCs w:val="20"/>
              </w:rPr>
              <w:t>21,5%</w:t>
            </w:r>
          </w:p>
        </w:tc>
        <w:tc>
          <w:tcPr>
            <w:tcW w:w="1210" w:type="dxa"/>
            <w:shd w:val="clear" w:color="000000" w:fill="FFFFFF"/>
            <w:noWrap/>
            <w:vAlign w:val="center"/>
            <w:hideMark/>
          </w:tcPr>
          <w:p w:rsidR="00F94D09" w:rsidRPr="00A65D6E" w:rsidRDefault="00F94D09" w:rsidP="008A16A3">
            <w:pPr>
              <w:spacing w:after="0"/>
              <w:jc w:val="center"/>
              <w:rPr>
                <w:rFonts w:eastAsia="Times New Roman" w:cs="Times New Roman"/>
                <w:sz w:val="20"/>
                <w:szCs w:val="20"/>
              </w:rPr>
            </w:pPr>
            <w:r w:rsidRPr="00A65D6E">
              <w:rPr>
                <w:rFonts w:eastAsia="Times New Roman" w:cs="Times New Roman"/>
                <w:sz w:val="20"/>
                <w:szCs w:val="20"/>
              </w:rPr>
              <w:t>21,2%</w:t>
            </w:r>
          </w:p>
        </w:tc>
        <w:tc>
          <w:tcPr>
            <w:tcW w:w="1290" w:type="dxa"/>
            <w:shd w:val="clear" w:color="000000" w:fill="FFFFFF"/>
            <w:noWrap/>
            <w:vAlign w:val="center"/>
            <w:hideMark/>
          </w:tcPr>
          <w:p w:rsidR="00F94D09" w:rsidRPr="00A65D6E" w:rsidRDefault="00F94D09" w:rsidP="008A16A3">
            <w:pPr>
              <w:spacing w:after="0"/>
              <w:jc w:val="center"/>
              <w:rPr>
                <w:rFonts w:eastAsia="Times New Roman" w:cs="Times New Roman"/>
                <w:sz w:val="20"/>
                <w:szCs w:val="20"/>
              </w:rPr>
            </w:pPr>
            <w:r>
              <w:rPr>
                <w:rFonts w:eastAsia="Times New Roman" w:cs="Times New Roman"/>
                <w:sz w:val="20"/>
                <w:szCs w:val="20"/>
              </w:rPr>
              <w:t>23,3</w:t>
            </w:r>
            <w:r w:rsidRPr="00A65D6E">
              <w:rPr>
                <w:rFonts w:eastAsia="Times New Roman" w:cs="Times New Roman"/>
                <w:sz w:val="20"/>
                <w:szCs w:val="20"/>
              </w:rPr>
              <w:t>%</w:t>
            </w:r>
          </w:p>
        </w:tc>
        <w:tc>
          <w:tcPr>
            <w:tcW w:w="1640" w:type="dxa"/>
            <w:shd w:val="clear" w:color="000000" w:fill="FFFFFF"/>
            <w:noWrap/>
            <w:vAlign w:val="center"/>
            <w:hideMark/>
          </w:tcPr>
          <w:p w:rsidR="00F94D09" w:rsidRPr="00A65D6E" w:rsidRDefault="00F94D09" w:rsidP="008A16A3">
            <w:pPr>
              <w:spacing w:after="0"/>
              <w:jc w:val="center"/>
              <w:rPr>
                <w:rFonts w:eastAsia="Times New Roman" w:cs="Times New Roman"/>
                <w:sz w:val="20"/>
                <w:szCs w:val="20"/>
              </w:rPr>
            </w:pPr>
            <w:r>
              <w:rPr>
                <w:rFonts w:eastAsia="Times New Roman" w:cs="Times New Roman"/>
                <w:sz w:val="20"/>
                <w:szCs w:val="20"/>
              </w:rPr>
              <w:t>25,8</w:t>
            </w:r>
            <w:r w:rsidRPr="00A65D6E">
              <w:rPr>
                <w:rFonts w:eastAsia="Times New Roman" w:cs="Times New Roman"/>
                <w:sz w:val="20"/>
                <w:szCs w:val="20"/>
              </w:rPr>
              <w:t>%</w:t>
            </w:r>
          </w:p>
        </w:tc>
        <w:tc>
          <w:tcPr>
            <w:tcW w:w="980" w:type="dxa"/>
            <w:shd w:val="clear" w:color="000000" w:fill="FFFFFF"/>
            <w:noWrap/>
            <w:vAlign w:val="center"/>
            <w:hideMark/>
          </w:tcPr>
          <w:p w:rsidR="00F94D09" w:rsidRPr="00A65D6E" w:rsidRDefault="00F94D09" w:rsidP="008A16A3">
            <w:pPr>
              <w:spacing w:after="0"/>
              <w:jc w:val="center"/>
              <w:rPr>
                <w:rFonts w:eastAsia="Times New Roman" w:cs="Times New Roman"/>
                <w:sz w:val="20"/>
                <w:szCs w:val="20"/>
              </w:rPr>
            </w:pPr>
            <w:r>
              <w:rPr>
                <w:rFonts w:eastAsia="Times New Roman" w:cs="Times New Roman"/>
                <w:sz w:val="20"/>
                <w:szCs w:val="20"/>
              </w:rPr>
              <w:t>28,3</w:t>
            </w:r>
            <w:r w:rsidRPr="00A65D6E">
              <w:rPr>
                <w:rFonts w:eastAsia="Times New Roman" w:cs="Times New Roman"/>
                <w:sz w:val="20"/>
                <w:szCs w:val="20"/>
              </w:rPr>
              <w:t>%</w:t>
            </w:r>
            <w:r>
              <w:rPr>
                <w:rFonts w:eastAsia="Times New Roman" w:cs="Times New Roman"/>
                <w:sz w:val="20"/>
                <w:szCs w:val="20"/>
              </w:rPr>
              <w:t>*</w:t>
            </w:r>
          </w:p>
        </w:tc>
      </w:tr>
      <w:tr w:rsidR="00F94D09" w:rsidRPr="00A65D6E" w:rsidTr="008A16A3">
        <w:trPr>
          <w:trHeight w:val="300"/>
        </w:trPr>
        <w:tc>
          <w:tcPr>
            <w:tcW w:w="2552" w:type="dxa"/>
            <w:shd w:val="clear" w:color="000000" w:fill="FFFFFF"/>
            <w:noWrap/>
            <w:vAlign w:val="center"/>
            <w:hideMark/>
          </w:tcPr>
          <w:p w:rsidR="00F94D09" w:rsidRPr="00A65D6E" w:rsidRDefault="00F94D09" w:rsidP="008A16A3">
            <w:pPr>
              <w:spacing w:after="0"/>
              <w:jc w:val="left"/>
              <w:rPr>
                <w:rFonts w:eastAsia="Times New Roman" w:cs="Times New Roman"/>
                <w:b/>
                <w:bCs/>
                <w:color w:val="000000"/>
                <w:sz w:val="20"/>
                <w:szCs w:val="20"/>
              </w:rPr>
            </w:pPr>
            <w:r w:rsidRPr="00A65D6E">
              <w:rPr>
                <w:rFonts w:eastAsia="Times New Roman" w:cs="Times New Roman"/>
                <w:b/>
                <w:bCs/>
                <w:color w:val="000000"/>
                <w:sz w:val="20"/>
                <w:szCs w:val="20"/>
              </w:rPr>
              <w:t xml:space="preserve"> Външен дълг, млн. лв.</w:t>
            </w:r>
          </w:p>
        </w:tc>
        <w:tc>
          <w:tcPr>
            <w:tcW w:w="1259" w:type="dxa"/>
            <w:shd w:val="clear" w:color="auto" w:fill="auto"/>
            <w:noWrap/>
            <w:vAlign w:val="center"/>
            <w:hideMark/>
          </w:tcPr>
          <w:p w:rsidR="00F94D09" w:rsidRPr="00A65D6E" w:rsidRDefault="00F94D09" w:rsidP="008A16A3">
            <w:pPr>
              <w:spacing w:after="0"/>
              <w:jc w:val="center"/>
              <w:rPr>
                <w:rFonts w:eastAsia="Times New Roman" w:cs="Times New Roman"/>
                <w:b/>
                <w:bCs/>
                <w:color w:val="000000"/>
                <w:sz w:val="20"/>
                <w:szCs w:val="20"/>
              </w:rPr>
            </w:pPr>
            <w:r w:rsidRPr="00A65D6E">
              <w:rPr>
                <w:rFonts w:eastAsia="Times New Roman" w:cs="Times New Roman"/>
                <w:b/>
                <w:bCs/>
                <w:color w:val="000000"/>
                <w:sz w:val="20"/>
                <w:szCs w:val="20"/>
              </w:rPr>
              <w:t>25 160,3</w:t>
            </w:r>
          </w:p>
        </w:tc>
        <w:tc>
          <w:tcPr>
            <w:tcW w:w="1210" w:type="dxa"/>
            <w:shd w:val="clear" w:color="auto" w:fill="auto"/>
            <w:noWrap/>
            <w:vAlign w:val="center"/>
            <w:hideMark/>
          </w:tcPr>
          <w:p w:rsidR="00F94D09" w:rsidRPr="00A65D6E" w:rsidRDefault="00F94D09" w:rsidP="008A16A3">
            <w:pPr>
              <w:spacing w:after="0"/>
              <w:jc w:val="center"/>
              <w:rPr>
                <w:rFonts w:eastAsia="Times New Roman" w:cs="Times New Roman"/>
                <w:b/>
                <w:bCs/>
                <w:color w:val="000000"/>
                <w:sz w:val="20"/>
                <w:szCs w:val="20"/>
              </w:rPr>
            </w:pPr>
            <w:r w:rsidRPr="00A65D6E">
              <w:rPr>
                <w:rFonts w:eastAsia="Times New Roman" w:cs="Times New Roman"/>
                <w:b/>
                <w:bCs/>
                <w:color w:val="000000"/>
                <w:sz w:val="20"/>
                <w:szCs w:val="20"/>
              </w:rPr>
              <w:t xml:space="preserve">29 917,7 </w:t>
            </w:r>
          </w:p>
        </w:tc>
        <w:tc>
          <w:tcPr>
            <w:tcW w:w="1290" w:type="dxa"/>
            <w:shd w:val="clear" w:color="auto" w:fill="auto"/>
            <w:noWrap/>
            <w:vAlign w:val="center"/>
            <w:hideMark/>
          </w:tcPr>
          <w:p w:rsidR="00F94D09" w:rsidRPr="00A65D6E" w:rsidRDefault="00F94D09" w:rsidP="008A16A3">
            <w:pPr>
              <w:spacing w:after="0"/>
              <w:jc w:val="center"/>
              <w:rPr>
                <w:rFonts w:eastAsia="Times New Roman" w:cs="Times New Roman"/>
                <w:b/>
                <w:bCs/>
                <w:color w:val="000000"/>
                <w:sz w:val="20"/>
                <w:szCs w:val="20"/>
              </w:rPr>
            </w:pPr>
            <w:r>
              <w:rPr>
                <w:rFonts w:eastAsia="Times New Roman" w:cs="Times New Roman"/>
                <w:b/>
                <w:bCs/>
                <w:color w:val="000000"/>
                <w:sz w:val="20"/>
                <w:szCs w:val="20"/>
              </w:rPr>
              <w:t>34 616,9</w:t>
            </w:r>
            <w:r w:rsidRPr="00A65D6E">
              <w:rPr>
                <w:rFonts w:eastAsia="Times New Roman" w:cs="Times New Roman"/>
                <w:b/>
                <w:bCs/>
                <w:color w:val="000000"/>
                <w:sz w:val="20"/>
                <w:szCs w:val="20"/>
              </w:rPr>
              <w:t xml:space="preserve"> </w:t>
            </w:r>
          </w:p>
        </w:tc>
        <w:tc>
          <w:tcPr>
            <w:tcW w:w="1640" w:type="dxa"/>
            <w:shd w:val="clear" w:color="auto" w:fill="auto"/>
            <w:noWrap/>
            <w:vAlign w:val="center"/>
            <w:hideMark/>
          </w:tcPr>
          <w:p w:rsidR="00F94D09" w:rsidRPr="00A65D6E" w:rsidRDefault="00F94D09" w:rsidP="008A16A3">
            <w:pPr>
              <w:spacing w:after="0"/>
              <w:jc w:val="center"/>
              <w:rPr>
                <w:rFonts w:eastAsia="Times New Roman" w:cs="Times New Roman"/>
                <w:b/>
                <w:bCs/>
                <w:color w:val="000000"/>
                <w:sz w:val="20"/>
                <w:szCs w:val="20"/>
              </w:rPr>
            </w:pPr>
            <w:r>
              <w:rPr>
                <w:rFonts w:eastAsia="Times New Roman" w:cs="Times New Roman"/>
                <w:b/>
                <w:bCs/>
                <w:color w:val="000000"/>
                <w:sz w:val="20"/>
                <w:szCs w:val="20"/>
              </w:rPr>
              <w:t>42 668,6</w:t>
            </w:r>
            <w:r w:rsidRPr="00A65D6E">
              <w:rPr>
                <w:rFonts w:eastAsia="Times New Roman" w:cs="Times New Roman"/>
                <w:b/>
                <w:bCs/>
                <w:color w:val="000000"/>
                <w:sz w:val="20"/>
                <w:szCs w:val="20"/>
              </w:rPr>
              <w:t xml:space="preserve"> </w:t>
            </w:r>
          </w:p>
        </w:tc>
        <w:tc>
          <w:tcPr>
            <w:tcW w:w="980" w:type="dxa"/>
            <w:shd w:val="clear" w:color="auto" w:fill="auto"/>
            <w:noWrap/>
            <w:vAlign w:val="center"/>
            <w:hideMark/>
          </w:tcPr>
          <w:p w:rsidR="00F94D09" w:rsidRPr="00A65D6E" w:rsidRDefault="00F94D09" w:rsidP="008A16A3">
            <w:pPr>
              <w:spacing w:after="0"/>
              <w:jc w:val="center"/>
              <w:rPr>
                <w:rFonts w:eastAsia="Times New Roman" w:cs="Times New Roman"/>
                <w:b/>
                <w:bCs/>
                <w:color w:val="000000"/>
                <w:sz w:val="20"/>
                <w:szCs w:val="20"/>
              </w:rPr>
            </w:pPr>
            <w:r>
              <w:rPr>
                <w:rFonts w:eastAsia="Times New Roman" w:cs="Times New Roman"/>
                <w:b/>
                <w:bCs/>
                <w:color w:val="000000"/>
                <w:sz w:val="20"/>
                <w:szCs w:val="20"/>
              </w:rPr>
              <w:t>51 527,1</w:t>
            </w:r>
            <w:r w:rsidRPr="00A65D6E">
              <w:rPr>
                <w:rFonts w:eastAsia="Times New Roman" w:cs="Times New Roman"/>
                <w:b/>
                <w:bCs/>
                <w:color w:val="000000"/>
                <w:sz w:val="20"/>
                <w:szCs w:val="20"/>
              </w:rPr>
              <w:t xml:space="preserve"> </w:t>
            </w:r>
          </w:p>
        </w:tc>
      </w:tr>
      <w:tr w:rsidR="00F94D09" w:rsidRPr="00A65D6E" w:rsidTr="008A16A3">
        <w:trPr>
          <w:trHeight w:val="315"/>
        </w:trPr>
        <w:tc>
          <w:tcPr>
            <w:tcW w:w="2552" w:type="dxa"/>
            <w:shd w:val="clear" w:color="000000" w:fill="FFFFFF"/>
            <w:noWrap/>
            <w:vAlign w:val="center"/>
            <w:hideMark/>
          </w:tcPr>
          <w:p w:rsidR="00F94D09" w:rsidRPr="00A65D6E" w:rsidRDefault="00F94D09" w:rsidP="008A16A3">
            <w:pPr>
              <w:spacing w:after="0"/>
              <w:jc w:val="left"/>
              <w:rPr>
                <w:rFonts w:eastAsia="Times New Roman" w:cs="Times New Roman"/>
                <w:color w:val="000000"/>
                <w:sz w:val="20"/>
                <w:szCs w:val="20"/>
              </w:rPr>
            </w:pPr>
            <w:r w:rsidRPr="00A65D6E">
              <w:rPr>
                <w:rFonts w:eastAsia="Times New Roman" w:cs="Times New Roman"/>
                <w:color w:val="000000"/>
                <w:sz w:val="20"/>
                <w:szCs w:val="20"/>
              </w:rPr>
              <w:t xml:space="preserve"> Външен дълг/БВП (%)</w:t>
            </w:r>
          </w:p>
        </w:tc>
        <w:tc>
          <w:tcPr>
            <w:tcW w:w="1259" w:type="dxa"/>
            <w:shd w:val="clear" w:color="000000" w:fill="FFFFFF"/>
            <w:noWrap/>
            <w:vAlign w:val="center"/>
            <w:hideMark/>
          </w:tcPr>
          <w:p w:rsidR="00F94D09" w:rsidRPr="00A65D6E" w:rsidRDefault="00F94D09" w:rsidP="008A16A3">
            <w:pPr>
              <w:spacing w:after="0"/>
              <w:jc w:val="center"/>
              <w:rPr>
                <w:rFonts w:eastAsia="Times New Roman" w:cs="Times New Roman"/>
                <w:sz w:val="20"/>
                <w:szCs w:val="20"/>
              </w:rPr>
            </w:pPr>
            <w:r w:rsidRPr="00A65D6E">
              <w:rPr>
                <w:rFonts w:eastAsia="Times New Roman" w:cs="Times New Roman"/>
                <w:sz w:val="20"/>
                <w:szCs w:val="20"/>
              </w:rPr>
              <w:t>15,0%</w:t>
            </w:r>
          </w:p>
        </w:tc>
        <w:tc>
          <w:tcPr>
            <w:tcW w:w="1210" w:type="dxa"/>
            <w:shd w:val="clear" w:color="000000" w:fill="FFFFFF"/>
            <w:noWrap/>
            <w:vAlign w:val="center"/>
            <w:hideMark/>
          </w:tcPr>
          <w:p w:rsidR="00F94D09" w:rsidRPr="00A65D6E" w:rsidRDefault="00F94D09" w:rsidP="008A16A3">
            <w:pPr>
              <w:spacing w:after="0"/>
              <w:jc w:val="center"/>
              <w:rPr>
                <w:rFonts w:eastAsia="Times New Roman" w:cs="Times New Roman"/>
                <w:sz w:val="20"/>
                <w:szCs w:val="20"/>
              </w:rPr>
            </w:pPr>
            <w:r w:rsidRPr="00A65D6E">
              <w:rPr>
                <w:rFonts w:eastAsia="Times New Roman" w:cs="Times New Roman"/>
                <w:bCs/>
                <w:color w:val="000000"/>
                <w:sz w:val="20"/>
                <w:szCs w:val="20"/>
              </w:rPr>
              <w:t>15,6%</w:t>
            </w:r>
          </w:p>
        </w:tc>
        <w:tc>
          <w:tcPr>
            <w:tcW w:w="1290" w:type="dxa"/>
            <w:shd w:val="clear" w:color="000000" w:fill="FFFFFF"/>
            <w:noWrap/>
            <w:vAlign w:val="center"/>
            <w:hideMark/>
          </w:tcPr>
          <w:p w:rsidR="00F94D09" w:rsidRPr="00A65D6E" w:rsidRDefault="00F94D09" w:rsidP="008A16A3">
            <w:pPr>
              <w:spacing w:after="0"/>
              <w:jc w:val="center"/>
              <w:rPr>
                <w:rFonts w:eastAsia="Times New Roman" w:cs="Times New Roman"/>
                <w:bCs/>
                <w:color w:val="000000"/>
                <w:sz w:val="20"/>
                <w:szCs w:val="20"/>
              </w:rPr>
            </w:pPr>
            <w:r>
              <w:rPr>
                <w:rFonts w:eastAsia="Times New Roman" w:cs="Times New Roman"/>
                <w:bCs/>
                <w:color w:val="000000"/>
                <w:sz w:val="20"/>
                <w:szCs w:val="20"/>
              </w:rPr>
              <w:t>16,8</w:t>
            </w:r>
            <w:r w:rsidRPr="00A65D6E">
              <w:rPr>
                <w:rFonts w:eastAsia="Times New Roman" w:cs="Times New Roman"/>
                <w:bCs/>
                <w:color w:val="000000"/>
                <w:sz w:val="20"/>
                <w:szCs w:val="20"/>
              </w:rPr>
              <w:t>%</w:t>
            </w:r>
          </w:p>
        </w:tc>
        <w:tc>
          <w:tcPr>
            <w:tcW w:w="1640" w:type="dxa"/>
            <w:shd w:val="clear" w:color="000000" w:fill="FFFFFF"/>
            <w:noWrap/>
            <w:vAlign w:val="center"/>
            <w:hideMark/>
          </w:tcPr>
          <w:p w:rsidR="00F94D09" w:rsidRPr="00A65D6E" w:rsidRDefault="00F94D09" w:rsidP="008A16A3">
            <w:pPr>
              <w:spacing w:after="0"/>
              <w:jc w:val="center"/>
              <w:rPr>
                <w:rFonts w:eastAsia="Times New Roman" w:cs="Times New Roman"/>
                <w:bCs/>
                <w:color w:val="000000"/>
                <w:sz w:val="20"/>
                <w:szCs w:val="20"/>
              </w:rPr>
            </w:pPr>
            <w:r>
              <w:rPr>
                <w:rFonts w:eastAsia="Times New Roman" w:cs="Times New Roman"/>
                <w:bCs/>
                <w:color w:val="000000"/>
                <w:sz w:val="20"/>
                <w:szCs w:val="20"/>
              </w:rPr>
              <w:t>19,6</w:t>
            </w:r>
            <w:r w:rsidRPr="00A65D6E">
              <w:rPr>
                <w:rFonts w:eastAsia="Times New Roman" w:cs="Times New Roman"/>
                <w:bCs/>
                <w:color w:val="000000"/>
                <w:sz w:val="20"/>
                <w:szCs w:val="20"/>
              </w:rPr>
              <w:t>%</w:t>
            </w:r>
          </w:p>
        </w:tc>
        <w:tc>
          <w:tcPr>
            <w:tcW w:w="980" w:type="dxa"/>
            <w:shd w:val="clear" w:color="000000" w:fill="FFFFFF"/>
            <w:noWrap/>
            <w:vAlign w:val="center"/>
            <w:hideMark/>
          </w:tcPr>
          <w:p w:rsidR="00F94D09" w:rsidRPr="00A65D6E" w:rsidRDefault="00F94D09" w:rsidP="008A16A3">
            <w:pPr>
              <w:spacing w:after="0"/>
              <w:jc w:val="center"/>
              <w:rPr>
                <w:rFonts w:eastAsia="Times New Roman" w:cs="Times New Roman"/>
                <w:bCs/>
                <w:color w:val="000000"/>
                <w:sz w:val="20"/>
                <w:szCs w:val="20"/>
              </w:rPr>
            </w:pPr>
            <w:r>
              <w:rPr>
                <w:rFonts w:eastAsia="Times New Roman" w:cs="Times New Roman"/>
                <w:bCs/>
                <w:color w:val="000000"/>
                <w:sz w:val="20"/>
                <w:szCs w:val="20"/>
              </w:rPr>
              <w:t>22,3</w:t>
            </w:r>
            <w:r w:rsidRPr="00A65D6E">
              <w:rPr>
                <w:rFonts w:eastAsia="Times New Roman" w:cs="Times New Roman"/>
                <w:bCs/>
                <w:color w:val="000000"/>
                <w:sz w:val="20"/>
                <w:szCs w:val="20"/>
              </w:rPr>
              <w:t>%</w:t>
            </w:r>
          </w:p>
        </w:tc>
      </w:tr>
      <w:tr w:rsidR="00F94D09" w:rsidRPr="00A65D6E" w:rsidTr="008A16A3">
        <w:trPr>
          <w:trHeight w:val="315"/>
        </w:trPr>
        <w:tc>
          <w:tcPr>
            <w:tcW w:w="2552" w:type="dxa"/>
            <w:shd w:val="clear" w:color="000000" w:fill="FFFFFF"/>
            <w:noWrap/>
            <w:vAlign w:val="center"/>
            <w:hideMark/>
          </w:tcPr>
          <w:p w:rsidR="00F94D09" w:rsidRPr="00A65D6E" w:rsidRDefault="00F94D09" w:rsidP="008A16A3">
            <w:pPr>
              <w:spacing w:after="0"/>
              <w:jc w:val="left"/>
              <w:rPr>
                <w:rFonts w:eastAsia="Times New Roman" w:cs="Times New Roman"/>
                <w:b/>
                <w:bCs/>
                <w:color w:val="000000"/>
                <w:sz w:val="20"/>
                <w:szCs w:val="20"/>
              </w:rPr>
            </w:pPr>
            <w:r w:rsidRPr="00A65D6E">
              <w:rPr>
                <w:rFonts w:eastAsia="Times New Roman" w:cs="Times New Roman"/>
                <w:b/>
                <w:bCs/>
                <w:color w:val="000000"/>
                <w:sz w:val="20"/>
                <w:szCs w:val="20"/>
              </w:rPr>
              <w:t xml:space="preserve"> Вътрешен дълг, млн. лв.</w:t>
            </w:r>
          </w:p>
        </w:tc>
        <w:tc>
          <w:tcPr>
            <w:tcW w:w="1259" w:type="dxa"/>
            <w:shd w:val="clear" w:color="auto" w:fill="auto"/>
            <w:noWrap/>
            <w:vAlign w:val="center"/>
            <w:hideMark/>
          </w:tcPr>
          <w:p w:rsidR="00F94D09" w:rsidRPr="00A65D6E" w:rsidRDefault="00F94D09" w:rsidP="008A16A3">
            <w:pPr>
              <w:spacing w:after="0"/>
              <w:jc w:val="center"/>
              <w:rPr>
                <w:rFonts w:eastAsia="Times New Roman" w:cs="Times New Roman"/>
                <w:b/>
                <w:bCs/>
                <w:color w:val="000000"/>
                <w:sz w:val="20"/>
                <w:szCs w:val="20"/>
              </w:rPr>
            </w:pPr>
            <w:r w:rsidRPr="00A65D6E">
              <w:rPr>
                <w:rFonts w:eastAsia="Times New Roman" w:cs="Times New Roman"/>
                <w:b/>
                <w:bCs/>
                <w:color w:val="000000"/>
                <w:sz w:val="20"/>
                <w:szCs w:val="20"/>
              </w:rPr>
              <w:t>10 965,4</w:t>
            </w:r>
          </w:p>
        </w:tc>
        <w:tc>
          <w:tcPr>
            <w:tcW w:w="1210" w:type="dxa"/>
            <w:shd w:val="clear" w:color="auto" w:fill="auto"/>
            <w:noWrap/>
            <w:vAlign w:val="center"/>
            <w:hideMark/>
          </w:tcPr>
          <w:p w:rsidR="00F94D09" w:rsidRPr="00A65D6E" w:rsidRDefault="00F94D09" w:rsidP="008A16A3">
            <w:pPr>
              <w:spacing w:after="0"/>
              <w:jc w:val="center"/>
              <w:rPr>
                <w:rFonts w:eastAsia="Times New Roman" w:cs="Times New Roman"/>
                <w:b/>
                <w:bCs/>
                <w:color w:val="000000"/>
                <w:sz w:val="20"/>
                <w:szCs w:val="20"/>
              </w:rPr>
            </w:pPr>
            <w:r w:rsidRPr="00A65D6E">
              <w:rPr>
                <w:rFonts w:eastAsia="Times New Roman" w:cs="Times New Roman"/>
                <w:b/>
                <w:bCs/>
                <w:color w:val="000000"/>
                <w:sz w:val="20"/>
                <w:szCs w:val="20"/>
              </w:rPr>
              <w:t>10 615,4</w:t>
            </w:r>
          </w:p>
        </w:tc>
        <w:tc>
          <w:tcPr>
            <w:tcW w:w="1290" w:type="dxa"/>
            <w:shd w:val="clear" w:color="auto" w:fill="auto"/>
            <w:noWrap/>
            <w:vAlign w:val="center"/>
            <w:hideMark/>
          </w:tcPr>
          <w:p w:rsidR="00F94D09" w:rsidRPr="00A65D6E" w:rsidRDefault="00F94D09" w:rsidP="008A16A3">
            <w:pPr>
              <w:spacing w:after="0"/>
              <w:jc w:val="center"/>
              <w:rPr>
                <w:rFonts w:eastAsia="Times New Roman" w:cs="Times New Roman"/>
                <w:b/>
                <w:bCs/>
                <w:color w:val="000000"/>
                <w:sz w:val="20"/>
                <w:szCs w:val="20"/>
              </w:rPr>
            </w:pPr>
            <w:r w:rsidRPr="00A65D6E">
              <w:rPr>
                <w:rFonts w:eastAsia="Times New Roman" w:cs="Times New Roman"/>
                <w:b/>
                <w:bCs/>
                <w:color w:val="000000"/>
                <w:sz w:val="20"/>
                <w:szCs w:val="20"/>
              </w:rPr>
              <w:t>13 335,4</w:t>
            </w:r>
          </w:p>
        </w:tc>
        <w:tc>
          <w:tcPr>
            <w:tcW w:w="1640" w:type="dxa"/>
            <w:shd w:val="clear" w:color="auto" w:fill="auto"/>
            <w:noWrap/>
            <w:vAlign w:val="center"/>
            <w:hideMark/>
          </w:tcPr>
          <w:p w:rsidR="00F94D09" w:rsidRPr="00A65D6E" w:rsidRDefault="00F94D09" w:rsidP="008A16A3">
            <w:pPr>
              <w:spacing w:after="0"/>
              <w:jc w:val="center"/>
              <w:rPr>
                <w:rFonts w:eastAsia="Times New Roman" w:cs="Times New Roman"/>
                <w:b/>
                <w:bCs/>
                <w:color w:val="000000"/>
                <w:sz w:val="20"/>
                <w:szCs w:val="20"/>
              </w:rPr>
            </w:pPr>
            <w:r w:rsidRPr="00A65D6E">
              <w:rPr>
                <w:rFonts w:eastAsia="Times New Roman" w:cs="Times New Roman"/>
                <w:b/>
                <w:bCs/>
                <w:color w:val="000000"/>
                <w:sz w:val="20"/>
                <w:szCs w:val="20"/>
              </w:rPr>
              <w:t>13 542,5</w:t>
            </w:r>
          </w:p>
        </w:tc>
        <w:tc>
          <w:tcPr>
            <w:tcW w:w="980" w:type="dxa"/>
            <w:shd w:val="clear" w:color="auto" w:fill="auto"/>
            <w:noWrap/>
            <w:vAlign w:val="center"/>
            <w:hideMark/>
          </w:tcPr>
          <w:p w:rsidR="00F94D09" w:rsidRPr="00A65D6E" w:rsidRDefault="00F94D09" w:rsidP="008A16A3">
            <w:pPr>
              <w:spacing w:after="0"/>
              <w:jc w:val="center"/>
              <w:rPr>
                <w:rFonts w:eastAsia="Times New Roman" w:cs="Times New Roman"/>
                <w:b/>
                <w:bCs/>
                <w:color w:val="000000"/>
                <w:sz w:val="20"/>
                <w:szCs w:val="20"/>
              </w:rPr>
            </w:pPr>
            <w:r w:rsidRPr="00A65D6E">
              <w:rPr>
                <w:rFonts w:eastAsia="Times New Roman" w:cs="Times New Roman"/>
                <w:b/>
                <w:bCs/>
                <w:color w:val="000000"/>
                <w:sz w:val="20"/>
                <w:szCs w:val="20"/>
              </w:rPr>
              <w:t>14 039,8</w:t>
            </w:r>
          </w:p>
        </w:tc>
      </w:tr>
      <w:tr w:rsidR="00F94D09" w:rsidRPr="00A65D6E" w:rsidTr="008A16A3">
        <w:trPr>
          <w:trHeight w:val="330"/>
        </w:trPr>
        <w:tc>
          <w:tcPr>
            <w:tcW w:w="2552" w:type="dxa"/>
            <w:shd w:val="clear" w:color="000000" w:fill="FFFFFF"/>
            <w:noWrap/>
            <w:vAlign w:val="center"/>
            <w:hideMark/>
          </w:tcPr>
          <w:p w:rsidR="00F94D09" w:rsidRPr="00A65D6E" w:rsidRDefault="00F94D09" w:rsidP="008A16A3">
            <w:pPr>
              <w:spacing w:after="0"/>
              <w:jc w:val="left"/>
              <w:rPr>
                <w:rFonts w:eastAsia="Times New Roman" w:cs="Times New Roman"/>
                <w:color w:val="000000"/>
                <w:sz w:val="20"/>
                <w:szCs w:val="20"/>
              </w:rPr>
            </w:pPr>
            <w:r w:rsidRPr="00A65D6E">
              <w:rPr>
                <w:rFonts w:eastAsia="Times New Roman" w:cs="Times New Roman"/>
                <w:color w:val="000000"/>
                <w:sz w:val="20"/>
                <w:szCs w:val="20"/>
              </w:rPr>
              <w:t xml:space="preserve"> Вътрешен дълг/БВП (%)</w:t>
            </w:r>
          </w:p>
        </w:tc>
        <w:tc>
          <w:tcPr>
            <w:tcW w:w="1259" w:type="dxa"/>
            <w:shd w:val="clear" w:color="000000" w:fill="FFFFFF"/>
            <w:noWrap/>
            <w:vAlign w:val="center"/>
            <w:hideMark/>
          </w:tcPr>
          <w:p w:rsidR="00F94D09" w:rsidRPr="00A65D6E" w:rsidRDefault="00F94D09" w:rsidP="008A16A3">
            <w:pPr>
              <w:spacing w:after="0"/>
              <w:jc w:val="center"/>
              <w:rPr>
                <w:rFonts w:eastAsia="Times New Roman" w:cs="Times New Roman"/>
                <w:sz w:val="20"/>
                <w:szCs w:val="20"/>
              </w:rPr>
            </w:pPr>
            <w:r w:rsidRPr="00A65D6E">
              <w:rPr>
                <w:rFonts w:eastAsia="Times New Roman" w:cs="Times New Roman"/>
                <w:sz w:val="20"/>
                <w:szCs w:val="20"/>
              </w:rPr>
              <w:t>6,5%</w:t>
            </w:r>
          </w:p>
        </w:tc>
        <w:tc>
          <w:tcPr>
            <w:tcW w:w="1210" w:type="dxa"/>
            <w:shd w:val="clear" w:color="000000" w:fill="FFFFFF"/>
            <w:noWrap/>
            <w:vAlign w:val="center"/>
            <w:hideMark/>
          </w:tcPr>
          <w:p w:rsidR="00F94D09" w:rsidRPr="00A65D6E" w:rsidRDefault="00F94D09" w:rsidP="008A16A3">
            <w:pPr>
              <w:spacing w:after="0"/>
              <w:jc w:val="center"/>
              <w:rPr>
                <w:rFonts w:eastAsia="Times New Roman" w:cs="Times New Roman"/>
                <w:sz w:val="20"/>
                <w:szCs w:val="20"/>
              </w:rPr>
            </w:pPr>
            <w:r w:rsidRPr="00A65D6E">
              <w:rPr>
                <w:rFonts w:eastAsia="Times New Roman" w:cs="Times New Roman"/>
                <w:sz w:val="20"/>
                <w:szCs w:val="20"/>
              </w:rPr>
              <w:t>5,6%</w:t>
            </w:r>
          </w:p>
        </w:tc>
        <w:tc>
          <w:tcPr>
            <w:tcW w:w="1290" w:type="dxa"/>
            <w:shd w:val="clear" w:color="000000" w:fill="FFFFFF"/>
            <w:noWrap/>
            <w:vAlign w:val="center"/>
            <w:hideMark/>
          </w:tcPr>
          <w:p w:rsidR="00F94D09" w:rsidRPr="00A65D6E" w:rsidRDefault="00F94D09" w:rsidP="008A16A3">
            <w:pPr>
              <w:spacing w:after="0"/>
              <w:jc w:val="center"/>
              <w:rPr>
                <w:rFonts w:eastAsia="Times New Roman" w:cs="Times New Roman"/>
                <w:sz w:val="20"/>
                <w:szCs w:val="20"/>
              </w:rPr>
            </w:pPr>
            <w:r w:rsidRPr="00A65D6E">
              <w:rPr>
                <w:rFonts w:eastAsia="Times New Roman" w:cs="Times New Roman"/>
                <w:sz w:val="20"/>
                <w:szCs w:val="20"/>
              </w:rPr>
              <w:t>6,5%</w:t>
            </w:r>
          </w:p>
        </w:tc>
        <w:tc>
          <w:tcPr>
            <w:tcW w:w="1640" w:type="dxa"/>
            <w:shd w:val="clear" w:color="000000" w:fill="FFFFFF"/>
            <w:noWrap/>
            <w:vAlign w:val="center"/>
            <w:hideMark/>
          </w:tcPr>
          <w:p w:rsidR="00F94D09" w:rsidRPr="00A65D6E" w:rsidRDefault="00F94D09" w:rsidP="008A16A3">
            <w:pPr>
              <w:spacing w:after="0"/>
              <w:jc w:val="center"/>
              <w:rPr>
                <w:rFonts w:eastAsia="Times New Roman" w:cs="Times New Roman"/>
                <w:sz w:val="20"/>
                <w:szCs w:val="20"/>
              </w:rPr>
            </w:pPr>
            <w:r w:rsidRPr="00A65D6E">
              <w:rPr>
                <w:rFonts w:eastAsia="Times New Roman" w:cs="Times New Roman"/>
                <w:sz w:val="20"/>
                <w:szCs w:val="20"/>
              </w:rPr>
              <w:t>6,2%</w:t>
            </w:r>
          </w:p>
        </w:tc>
        <w:tc>
          <w:tcPr>
            <w:tcW w:w="980" w:type="dxa"/>
            <w:shd w:val="clear" w:color="000000" w:fill="FFFFFF"/>
            <w:noWrap/>
            <w:vAlign w:val="center"/>
            <w:hideMark/>
          </w:tcPr>
          <w:p w:rsidR="00F94D09" w:rsidRPr="00A65D6E" w:rsidRDefault="00F94D09" w:rsidP="008A16A3">
            <w:pPr>
              <w:spacing w:after="0"/>
              <w:jc w:val="center"/>
              <w:rPr>
                <w:rFonts w:eastAsia="Times New Roman" w:cs="Times New Roman"/>
                <w:sz w:val="20"/>
                <w:szCs w:val="20"/>
              </w:rPr>
            </w:pPr>
            <w:r w:rsidRPr="00A65D6E">
              <w:rPr>
                <w:rFonts w:eastAsia="Times New Roman" w:cs="Times New Roman"/>
                <w:sz w:val="20"/>
                <w:szCs w:val="20"/>
              </w:rPr>
              <w:t>6,1%</w:t>
            </w:r>
          </w:p>
        </w:tc>
      </w:tr>
      <w:tr w:rsidR="00F94D09" w:rsidRPr="00226CAE" w:rsidTr="008A16A3">
        <w:trPr>
          <w:trHeight w:val="315"/>
        </w:trPr>
        <w:tc>
          <w:tcPr>
            <w:tcW w:w="2552" w:type="dxa"/>
            <w:tcBorders>
              <w:bottom w:val="single" w:sz="4" w:space="0" w:color="auto"/>
            </w:tcBorders>
            <w:shd w:val="clear" w:color="auto" w:fill="EEF1F6" w:themeFill="accent5" w:themeFillTint="33"/>
            <w:noWrap/>
            <w:vAlign w:val="center"/>
            <w:hideMark/>
          </w:tcPr>
          <w:p w:rsidR="00F94D09" w:rsidRPr="00A65D6E" w:rsidRDefault="00F94D09" w:rsidP="008A16A3">
            <w:pPr>
              <w:spacing w:after="0"/>
              <w:jc w:val="left"/>
              <w:rPr>
                <w:rFonts w:asciiTheme="majorHAnsi" w:eastAsia="Times New Roman" w:hAnsiTheme="majorHAnsi" w:cstheme="majorHAnsi"/>
                <w:b/>
                <w:bCs/>
                <w:i/>
                <w:iCs/>
                <w:color w:val="000000"/>
                <w:sz w:val="20"/>
                <w:szCs w:val="20"/>
              </w:rPr>
            </w:pPr>
            <w:r w:rsidRPr="00A65D6E">
              <w:rPr>
                <w:rFonts w:asciiTheme="majorHAnsi" w:eastAsia="Times New Roman" w:hAnsiTheme="majorHAnsi" w:cstheme="majorHAnsi"/>
                <w:b/>
                <w:bCs/>
                <w:i/>
                <w:iCs/>
                <w:color w:val="000000"/>
                <w:sz w:val="20"/>
                <w:szCs w:val="20"/>
              </w:rPr>
              <w:t xml:space="preserve">   БВП, млн. лв.  </w:t>
            </w:r>
          </w:p>
        </w:tc>
        <w:tc>
          <w:tcPr>
            <w:tcW w:w="1259" w:type="dxa"/>
            <w:tcBorders>
              <w:bottom w:val="single" w:sz="4" w:space="0" w:color="auto"/>
            </w:tcBorders>
            <w:shd w:val="clear" w:color="auto" w:fill="EEF1F6" w:themeFill="accent5" w:themeFillTint="33"/>
            <w:noWrap/>
            <w:vAlign w:val="center"/>
            <w:hideMark/>
          </w:tcPr>
          <w:p w:rsidR="00F94D09" w:rsidRPr="00A65D6E" w:rsidRDefault="00F94D09" w:rsidP="008A16A3">
            <w:pPr>
              <w:spacing w:after="0"/>
              <w:jc w:val="left"/>
              <w:rPr>
                <w:rFonts w:asciiTheme="majorHAnsi" w:eastAsia="Times New Roman" w:hAnsiTheme="majorHAnsi" w:cstheme="majorHAnsi"/>
                <w:b/>
                <w:bCs/>
                <w:i/>
                <w:iCs/>
                <w:color w:val="000000"/>
                <w:sz w:val="14"/>
                <w:szCs w:val="14"/>
              </w:rPr>
            </w:pPr>
            <w:r w:rsidRPr="00A65D6E">
              <w:rPr>
                <w:rFonts w:asciiTheme="majorHAnsi" w:eastAsia="Times New Roman" w:hAnsiTheme="majorHAnsi" w:cstheme="majorHAnsi"/>
                <w:b/>
                <w:bCs/>
                <w:i/>
                <w:iCs/>
                <w:color w:val="000000"/>
                <w:sz w:val="14"/>
                <w:szCs w:val="14"/>
              </w:rPr>
              <w:t xml:space="preserve">           167 809,0 </w:t>
            </w:r>
          </w:p>
        </w:tc>
        <w:tc>
          <w:tcPr>
            <w:tcW w:w="1210" w:type="dxa"/>
            <w:tcBorders>
              <w:bottom w:val="single" w:sz="4" w:space="0" w:color="auto"/>
            </w:tcBorders>
            <w:shd w:val="clear" w:color="auto" w:fill="EEF1F6" w:themeFill="accent5" w:themeFillTint="33"/>
            <w:noWrap/>
            <w:vAlign w:val="center"/>
            <w:hideMark/>
          </w:tcPr>
          <w:p w:rsidR="00F94D09" w:rsidRPr="00A65D6E" w:rsidRDefault="00F94D09" w:rsidP="008A16A3">
            <w:pPr>
              <w:spacing w:after="0"/>
              <w:jc w:val="left"/>
              <w:rPr>
                <w:rFonts w:asciiTheme="majorHAnsi" w:eastAsia="Times New Roman" w:hAnsiTheme="majorHAnsi" w:cstheme="majorHAnsi"/>
                <w:b/>
                <w:bCs/>
                <w:i/>
                <w:iCs/>
                <w:color w:val="000000"/>
                <w:sz w:val="14"/>
                <w:szCs w:val="14"/>
              </w:rPr>
            </w:pPr>
            <w:r w:rsidRPr="00A65D6E">
              <w:rPr>
                <w:rFonts w:asciiTheme="majorHAnsi" w:eastAsia="Times New Roman" w:hAnsiTheme="majorHAnsi" w:cstheme="majorHAnsi"/>
                <w:b/>
                <w:bCs/>
                <w:i/>
                <w:iCs/>
                <w:color w:val="000000"/>
                <w:sz w:val="14"/>
                <w:szCs w:val="14"/>
              </w:rPr>
              <w:t xml:space="preserve">       191 181,7 </w:t>
            </w:r>
          </w:p>
        </w:tc>
        <w:tc>
          <w:tcPr>
            <w:tcW w:w="1290" w:type="dxa"/>
            <w:tcBorders>
              <w:bottom w:val="single" w:sz="4" w:space="0" w:color="auto"/>
            </w:tcBorders>
            <w:shd w:val="clear" w:color="auto" w:fill="EEF1F6" w:themeFill="accent5" w:themeFillTint="33"/>
            <w:noWrap/>
            <w:vAlign w:val="center"/>
            <w:hideMark/>
          </w:tcPr>
          <w:p w:rsidR="00F94D09" w:rsidRPr="00A65D6E" w:rsidRDefault="00F94D09" w:rsidP="008A16A3">
            <w:pPr>
              <w:spacing w:after="0"/>
              <w:jc w:val="left"/>
              <w:rPr>
                <w:rFonts w:asciiTheme="majorHAnsi" w:eastAsia="Times New Roman" w:hAnsiTheme="majorHAnsi" w:cstheme="majorHAnsi"/>
                <w:b/>
                <w:bCs/>
                <w:i/>
                <w:iCs/>
                <w:color w:val="000000"/>
                <w:sz w:val="14"/>
                <w:szCs w:val="14"/>
              </w:rPr>
            </w:pPr>
            <w:r w:rsidRPr="00A65D6E">
              <w:rPr>
                <w:rFonts w:asciiTheme="majorHAnsi" w:eastAsia="Times New Roman" w:hAnsiTheme="majorHAnsi" w:cstheme="majorHAnsi"/>
                <w:b/>
                <w:bCs/>
                <w:i/>
                <w:iCs/>
                <w:color w:val="000000"/>
                <w:sz w:val="14"/>
                <w:szCs w:val="14"/>
              </w:rPr>
              <w:t xml:space="preserve">           205 848,7 </w:t>
            </w:r>
          </w:p>
        </w:tc>
        <w:tc>
          <w:tcPr>
            <w:tcW w:w="1640" w:type="dxa"/>
            <w:tcBorders>
              <w:bottom w:val="single" w:sz="4" w:space="0" w:color="auto"/>
            </w:tcBorders>
            <w:shd w:val="clear" w:color="auto" w:fill="EEF1F6" w:themeFill="accent5" w:themeFillTint="33"/>
            <w:noWrap/>
            <w:vAlign w:val="center"/>
            <w:hideMark/>
          </w:tcPr>
          <w:p w:rsidR="00F94D09" w:rsidRPr="00A65D6E" w:rsidRDefault="00F94D09" w:rsidP="008A16A3">
            <w:pPr>
              <w:spacing w:after="0"/>
              <w:jc w:val="left"/>
              <w:rPr>
                <w:rFonts w:asciiTheme="majorHAnsi" w:eastAsia="Times New Roman" w:hAnsiTheme="majorHAnsi" w:cstheme="majorHAnsi"/>
                <w:b/>
                <w:bCs/>
                <w:i/>
                <w:iCs/>
                <w:color w:val="000000"/>
                <w:sz w:val="14"/>
                <w:szCs w:val="14"/>
              </w:rPr>
            </w:pPr>
            <w:r w:rsidRPr="00A65D6E">
              <w:rPr>
                <w:rFonts w:asciiTheme="majorHAnsi" w:eastAsia="Times New Roman" w:hAnsiTheme="majorHAnsi" w:cstheme="majorHAnsi"/>
                <w:b/>
                <w:bCs/>
                <w:i/>
                <w:iCs/>
                <w:color w:val="000000"/>
                <w:sz w:val="14"/>
                <w:szCs w:val="14"/>
              </w:rPr>
              <w:t xml:space="preserve">              217 811,3</w:t>
            </w:r>
          </w:p>
        </w:tc>
        <w:tc>
          <w:tcPr>
            <w:tcW w:w="980" w:type="dxa"/>
            <w:tcBorders>
              <w:bottom w:val="single" w:sz="4" w:space="0" w:color="auto"/>
            </w:tcBorders>
            <w:shd w:val="clear" w:color="auto" w:fill="EEF1F6" w:themeFill="accent5" w:themeFillTint="33"/>
            <w:noWrap/>
            <w:vAlign w:val="center"/>
            <w:hideMark/>
          </w:tcPr>
          <w:p w:rsidR="00F94D09" w:rsidRPr="009A7404" w:rsidRDefault="00F94D09" w:rsidP="008A16A3">
            <w:pPr>
              <w:spacing w:after="0"/>
              <w:jc w:val="left"/>
              <w:rPr>
                <w:rFonts w:asciiTheme="majorHAnsi" w:eastAsia="Times New Roman" w:hAnsiTheme="majorHAnsi" w:cstheme="majorHAnsi"/>
                <w:b/>
                <w:bCs/>
                <w:i/>
                <w:iCs/>
                <w:color w:val="000000"/>
                <w:sz w:val="14"/>
                <w:szCs w:val="14"/>
              </w:rPr>
            </w:pPr>
            <w:r w:rsidRPr="00A65D6E">
              <w:rPr>
                <w:rFonts w:asciiTheme="majorHAnsi" w:eastAsia="Times New Roman" w:hAnsiTheme="majorHAnsi" w:cstheme="majorHAnsi"/>
                <w:b/>
                <w:bCs/>
                <w:i/>
                <w:iCs/>
                <w:color w:val="000000"/>
                <w:sz w:val="14"/>
                <w:szCs w:val="14"/>
              </w:rPr>
              <w:t xml:space="preserve">          231 356,8</w:t>
            </w:r>
            <w:r w:rsidRPr="009A7404">
              <w:rPr>
                <w:rFonts w:asciiTheme="majorHAnsi" w:eastAsia="Times New Roman" w:hAnsiTheme="majorHAnsi" w:cstheme="majorHAnsi"/>
                <w:b/>
                <w:bCs/>
                <w:i/>
                <w:iCs/>
                <w:color w:val="000000"/>
                <w:sz w:val="14"/>
                <w:szCs w:val="14"/>
              </w:rPr>
              <w:t xml:space="preserve"> </w:t>
            </w:r>
          </w:p>
        </w:tc>
      </w:tr>
    </w:tbl>
    <w:p w:rsidR="00A65D6E" w:rsidRPr="00AA3F66" w:rsidRDefault="00A65D6E" w:rsidP="00A65D6E">
      <w:pPr>
        <w:spacing w:before="120"/>
      </w:pPr>
      <w:r w:rsidRPr="00AA3F66">
        <w:rPr>
          <w:rFonts w:eastAsia="Times New Roman" w:cs="Times New Roman"/>
          <w:i/>
          <w:iCs/>
          <w:color w:val="000000"/>
          <w:sz w:val="18"/>
          <w:szCs w:val="20"/>
        </w:rPr>
        <w:t>* Поради закръгления сумарната позиция не се изчерпва от съставните ѝ числа.</w:t>
      </w:r>
    </w:p>
    <w:p w:rsidR="00A65D6E" w:rsidRPr="00AA3F66" w:rsidRDefault="00A65D6E" w:rsidP="00A65D6E">
      <w:pPr>
        <w:spacing w:before="120" w:after="0"/>
        <w:jc w:val="right"/>
        <w:rPr>
          <w:rFonts w:eastAsia="Batang" w:cs="Times New Roman"/>
          <w:sz w:val="18"/>
          <w:szCs w:val="18"/>
        </w:rPr>
      </w:pPr>
      <w:r w:rsidRPr="00AA3F66">
        <w:rPr>
          <w:rFonts w:eastAsia="Batang" w:cs="Times New Roman"/>
          <w:sz w:val="18"/>
          <w:szCs w:val="18"/>
        </w:rPr>
        <w:t>Източник: МФ</w:t>
      </w:r>
    </w:p>
    <w:p w:rsidR="00F94D09" w:rsidRDefault="00F94D09" w:rsidP="003E2F5D">
      <w:pPr>
        <w:rPr>
          <w:rFonts w:eastAsia="Batang" w:cs="Times New Roman"/>
          <w:i/>
          <w:szCs w:val="24"/>
        </w:rPr>
      </w:pPr>
    </w:p>
    <w:p w:rsidR="00A65D6E" w:rsidRPr="00AA3F66" w:rsidRDefault="00A65D6E" w:rsidP="003E2F5D">
      <w:pPr>
        <w:rPr>
          <w:rFonts w:eastAsia="Batang" w:cs="Times New Roman"/>
          <w:szCs w:val="24"/>
        </w:rPr>
      </w:pPr>
      <w:r w:rsidRPr="00AA3F66">
        <w:rPr>
          <w:rFonts w:eastAsia="Batang" w:cs="Times New Roman"/>
          <w:i/>
          <w:szCs w:val="24"/>
        </w:rPr>
        <w:t>В структурата на държавния дълг,</w:t>
      </w:r>
      <w:r w:rsidRPr="00AA3F66">
        <w:rPr>
          <w:rFonts w:eastAsia="Batang" w:cs="Times New Roman"/>
          <w:szCs w:val="24"/>
        </w:rPr>
        <w:t xml:space="preserve"> през 2022 г. </w:t>
      </w:r>
      <w:r w:rsidRPr="00AA3F66">
        <w:rPr>
          <w:rFonts w:eastAsia="Batang" w:cs="Times New Roman"/>
          <w:i/>
          <w:szCs w:val="24"/>
        </w:rPr>
        <w:t>външният държавен дълг</w:t>
      </w:r>
      <w:r w:rsidRPr="00AA3F66">
        <w:rPr>
          <w:rFonts w:eastAsia="Batang" w:cs="Times New Roman"/>
          <w:szCs w:val="24"/>
        </w:rPr>
        <w:t xml:space="preserve"> възлиза на 25,2 млрд. лв., през 2023 г. </w:t>
      </w:r>
      <w:r w:rsidRPr="00AA3F66">
        <w:rPr>
          <w:rFonts w:eastAsia="Batang"/>
          <w:szCs w:val="24"/>
        </w:rPr>
        <w:t xml:space="preserve">се очаква да </w:t>
      </w:r>
      <w:r w:rsidRPr="00AA3F66">
        <w:rPr>
          <w:rFonts w:eastAsia="Batang" w:cs="Times New Roman"/>
          <w:szCs w:val="24"/>
        </w:rPr>
        <w:t>достигне до 29,9 млрд. лв. и се прогнозира да продължи да нараства в средносрочен план</w:t>
      </w:r>
      <w:r w:rsidRPr="00AA3F66">
        <w:rPr>
          <w:rFonts w:eastAsia="Batang"/>
          <w:szCs w:val="24"/>
        </w:rPr>
        <w:t xml:space="preserve"> достигайки до 5</w:t>
      </w:r>
      <w:r w:rsidR="00F94D09">
        <w:rPr>
          <w:rFonts w:eastAsia="Batang"/>
          <w:szCs w:val="24"/>
        </w:rPr>
        <w:t>1</w:t>
      </w:r>
      <w:r w:rsidRPr="00AA3F66">
        <w:rPr>
          <w:rFonts w:eastAsia="Batang"/>
          <w:szCs w:val="24"/>
        </w:rPr>
        <w:t>,5 млрд. лв. през 2026 г.</w:t>
      </w:r>
      <w:r w:rsidRPr="00AA3F66">
        <w:rPr>
          <w:rFonts w:eastAsia="Batang" w:cs="Times New Roman"/>
          <w:szCs w:val="24"/>
        </w:rPr>
        <w:t xml:space="preserve"> По отношение на </w:t>
      </w:r>
      <w:r w:rsidRPr="00C20F3B">
        <w:rPr>
          <w:rFonts w:eastAsia="Batang" w:cs="Times New Roman"/>
          <w:i/>
          <w:szCs w:val="24"/>
        </w:rPr>
        <w:t>вътрешния дълг</w:t>
      </w:r>
      <w:r w:rsidRPr="00AA3F66">
        <w:rPr>
          <w:rFonts w:eastAsia="Batang" w:cs="Times New Roman"/>
          <w:szCs w:val="24"/>
        </w:rPr>
        <w:t xml:space="preserve"> се наблюдава намаление от 11,0 млрд. лв. към края на 2022 г. до 10,6 млрд. лв. към края на 2023 г., като очакванията са за нарастваща тенденция и достигане до 14,0 млрд. лв. през 2026 г.</w:t>
      </w:r>
    </w:p>
    <w:p w:rsidR="00F94D09" w:rsidRDefault="009139BD" w:rsidP="00F94D09">
      <w:pPr>
        <w:pStyle w:val="Caption"/>
        <w:ind w:left="0" w:firstLine="0"/>
      </w:pPr>
      <w:bookmarkStart w:id="458" w:name="_Toc150443430"/>
      <w:r w:rsidRPr="00AA3F66">
        <w:t xml:space="preserve">Табл. </w:t>
      </w:r>
      <w:fldSimple w:instr=" STYLEREF 1 \s ">
        <w:r w:rsidR="005A69ED">
          <w:rPr>
            <w:noProof/>
          </w:rPr>
          <w:t>VI</w:t>
        </w:r>
      </w:fldSimple>
      <w:r w:rsidRPr="00AA3F66">
        <w:noBreakHyphen/>
      </w:r>
      <w:fldSimple w:instr=" SEQ Табл. \* ARABIC \s 1 ">
        <w:r w:rsidR="005A69ED">
          <w:rPr>
            <w:noProof/>
          </w:rPr>
          <w:t>2</w:t>
        </w:r>
      </w:fldSimple>
      <w:r w:rsidRPr="00AA3F66">
        <w:t>:</w:t>
      </w:r>
      <w:r w:rsidRPr="00AA3F66">
        <w:tab/>
        <w:t xml:space="preserve">Структура на държавния дълг за периода </w:t>
      </w:r>
      <w:r w:rsidR="00203C51" w:rsidRPr="00AA3F66">
        <w:t>2022-2026</w:t>
      </w:r>
      <w:r w:rsidRPr="00AA3F66">
        <w:t xml:space="preserve"> г.</w:t>
      </w:r>
      <w:bookmarkEnd w:id="458"/>
    </w:p>
    <w:tbl>
      <w:tblPr>
        <w:tblW w:w="8931" w:type="dxa"/>
        <w:tblCellMar>
          <w:left w:w="70" w:type="dxa"/>
          <w:right w:w="70" w:type="dxa"/>
        </w:tblCellMar>
        <w:tblLook w:val="04A0" w:firstRow="1" w:lastRow="0" w:firstColumn="1" w:lastColumn="0" w:noHBand="0" w:noVBand="1"/>
      </w:tblPr>
      <w:tblGrid>
        <w:gridCol w:w="3969"/>
        <w:gridCol w:w="993"/>
        <w:gridCol w:w="1047"/>
        <w:gridCol w:w="937"/>
        <w:gridCol w:w="994"/>
        <w:gridCol w:w="994"/>
      </w:tblGrid>
      <w:tr w:rsidR="00F94D09" w:rsidRPr="0066555D" w:rsidTr="008A16A3">
        <w:trPr>
          <w:trHeight w:val="315"/>
          <w:tblHeader/>
        </w:trPr>
        <w:tc>
          <w:tcPr>
            <w:tcW w:w="3969" w:type="dxa"/>
            <w:vMerge w:val="restart"/>
            <w:tcBorders>
              <w:top w:val="single" w:sz="4" w:space="0" w:color="auto"/>
            </w:tcBorders>
            <w:shd w:val="clear" w:color="auto" w:fill="FEE6D6" w:themeFill="accent1" w:themeFillTint="33"/>
            <w:vAlign w:val="center"/>
            <w:hideMark/>
          </w:tcPr>
          <w:p w:rsidR="00F94D09" w:rsidRPr="0066555D" w:rsidRDefault="00F94D09" w:rsidP="008A16A3">
            <w:pPr>
              <w:spacing w:after="0"/>
              <w:jc w:val="center"/>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Показател</w:t>
            </w:r>
          </w:p>
        </w:tc>
        <w:tc>
          <w:tcPr>
            <w:tcW w:w="993" w:type="dxa"/>
            <w:tcBorders>
              <w:top w:val="single" w:sz="4" w:space="0" w:color="auto"/>
            </w:tcBorders>
            <w:shd w:val="clear" w:color="auto" w:fill="FEE6D6" w:themeFill="accent1" w:themeFillTint="33"/>
            <w:noWrap/>
            <w:vAlign w:val="center"/>
            <w:hideMark/>
          </w:tcPr>
          <w:p w:rsidR="00F94D09" w:rsidRPr="0066555D" w:rsidRDefault="00F94D09" w:rsidP="008A16A3">
            <w:pPr>
              <w:spacing w:after="0"/>
              <w:jc w:val="center"/>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2022</w:t>
            </w:r>
          </w:p>
        </w:tc>
        <w:tc>
          <w:tcPr>
            <w:tcW w:w="1047" w:type="dxa"/>
            <w:tcBorders>
              <w:top w:val="single" w:sz="4" w:space="0" w:color="auto"/>
            </w:tcBorders>
            <w:shd w:val="clear" w:color="auto" w:fill="FEE6D6" w:themeFill="accent1" w:themeFillTint="33"/>
            <w:noWrap/>
            <w:vAlign w:val="center"/>
            <w:hideMark/>
          </w:tcPr>
          <w:p w:rsidR="00F94D09" w:rsidRPr="0066555D" w:rsidRDefault="00F94D09" w:rsidP="008A16A3">
            <w:pPr>
              <w:spacing w:after="0"/>
              <w:jc w:val="center"/>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2023</w:t>
            </w:r>
          </w:p>
        </w:tc>
        <w:tc>
          <w:tcPr>
            <w:tcW w:w="937" w:type="dxa"/>
            <w:tcBorders>
              <w:top w:val="single" w:sz="4" w:space="0" w:color="auto"/>
            </w:tcBorders>
            <w:shd w:val="clear" w:color="auto" w:fill="FEE6D6" w:themeFill="accent1" w:themeFillTint="33"/>
            <w:noWrap/>
            <w:vAlign w:val="center"/>
            <w:hideMark/>
          </w:tcPr>
          <w:p w:rsidR="00F94D09" w:rsidRPr="0066555D" w:rsidRDefault="00F94D09" w:rsidP="008A16A3">
            <w:pPr>
              <w:spacing w:after="0"/>
              <w:jc w:val="center"/>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2024</w:t>
            </w:r>
          </w:p>
        </w:tc>
        <w:tc>
          <w:tcPr>
            <w:tcW w:w="994" w:type="dxa"/>
            <w:tcBorders>
              <w:top w:val="single" w:sz="4" w:space="0" w:color="auto"/>
            </w:tcBorders>
            <w:shd w:val="clear" w:color="auto" w:fill="FEE6D6" w:themeFill="accent1" w:themeFillTint="33"/>
            <w:noWrap/>
            <w:vAlign w:val="center"/>
            <w:hideMark/>
          </w:tcPr>
          <w:p w:rsidR="00F94D09" w:rsidRPr="0066555D" w:rsidRDefault="00F94D09" w:rsidP="008A16A3">
            <w:pPr>
              <w:spacing w:after="0"/>
              <w:jc w:val="center"/>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2025</w:t>
            </w:r>
          </w:p>
        </w:tc>
        <w:tc>
          <w:tcPr>
            <w:tcW w:w="991" w:type="dxa"/>
            <w:tcBorders>
              <w:top w:val="single" w:sz="4" w:space="0" w:color="auto"/>
            </w:tcBorders>
            <w:shd w:val="clear" w:color="auto" w:fill="FEE6D6" w:themeFill="accent1" w:themeFillTint="33"/>
            <w:noWrap/>
            <w:vAlign w:val="center"/>
            <w:hideMark/>
          </w:tcPr>
          <w:p w:rsidR="00F94D09" w:rsidRPr="0066555D" w:rsidRDefault="00F94D09" w:rsidP="008A16A3">
            <w:pPr>
              <w:spacing w:after="0"/>
              <w:jc w:val="center"/>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2026</w:t>
            </w:r>
          </w:p>
        </w:tc>
      </w:tr>
      <w:tr w:rsidR="00F94D09" w:rsidRPr="0066555D" w:rsidTr="008A16A3">
        <w:trPr>
          <w:trHeight w:val="310"/>
          <w:tblHeader/>
        </w:trPr>
        <w:tc>
          <w:tcPr>
            <w:tcW w:w="3969" w:type="dxa"/>
            <w:vMerge/>
            <w:tcBorders>
              <w:bottom w:val="single" w:sz="4" w:space="0" w:color="auto"/>
            </w:tcBorders>
            <w:shd w:val="clear" w:color="auto" w:fill="FEE6D6" w:themeFill="accent1" w:themeFillTint="33"/>
            <w:vAlign w:val="center"/>
            <w:hideMark/>
          </w:tcPr>
          <w:p w:rsidR="00F94D09" w:rsidRPr="0066555D" w:rsidRDefault="00F94D09" w:rsidP="008A16A3">
            <w:pPr>
              <w:spacing w:after="0"/>
              <w:jc w:val="left"/>
              <w:rPr>
                <w:rFonts w:asciiTheme="minorHAnsi" w:eastAsia="Times New Roman" w:hAnsiTheme="minorHAnsi" w:cstheme="minorHAnsi"/>
                <w:b/>
                <w:bCs/>
                <w:color w:val="000000"/>
                <w:sz w:val="20"/>
                <w:szCs w:val="20"/>
              </w:rPr>
            </w:pPr>
          </w:p>
        </w:tc>
        <w:tc>
          <w:tcPr>
            <w:tcW w:w="993" w:type="dxa"/>
            <w:tcBorders>
              <w:bottom w:val="single" w:sz="4" w:space="0" w:color="auto"/>
            </w:tcBorders>
            <w:shd w:val="clear" w:color="auto" w:fill="FEE6D6" w:themeFill="accent1" w:themeFillTint="33"/>
            <w:vAlign w:val="center"/>
            <w:hideMark/>
          </w:tcPr>
          <w:p w:rsidR="00F94D09" w:rsidRPr="0066555D" w:rsidRDefault="00F94D09" w:rsidP="008A16A3">
            <w:pPr>
              <w:spacing w:after="0"/>
              <w:ind w:left="41"/>
              <w:jc w:val="center"/>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Отчет</w:t>
            </w:r>
          </w:p>
        </w:tc>
        <w:tc>
          <w:tcPr>
            <w:tcW w:w="1047" w:type="dxa"/>
            <w:tcBorders>
              <w:bottom w:val="single" w:sz="4" w:space="0" w:color="auto"/>
            </w:tcBorders>
            <w:shd w:val="clear" w:color="auto" w:fill="FEE6D6" w:themeFill="accent1" w:themeFillTint="33"/>
            <w:vAlign w:val="center"/>
            <w:hideMark/>
          </w:tcPr>
          <w:p w:rsidR="00F94D09" w:rsidRPr="0066555D" w:rsidRDefault="00F94D09" w:rsidP="008A16A3">
            <w:pPr>
              <w:spacing w:after="0"/>
              <w:jc w:val="center"/>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Очаквано</w:t>
            </w:r>
          </w:p>
        </w:tc>
        <w:tc>
          <w:tcPr>
            <w:tcW w:w="937" w:type="dxa"/>
            <w:tcBorders>
              <w:bottom w:val="single" w:sz="4" w:space="0" w:color="auto"/>
            </w:tcBorders>
            <w:shd w:val="clear" w:color="auto" w:fill="FEE6D6" w:themeFill="accent1" w:themeFillTint="33"/>
            <w:vAlign w:val="center"/>
            <w:hideMark/>
          </w:tcPr>
          <w:p w:rsidR="00F94D09" w:rsidRPr="0066555D" w:rsidRDefault="00F94D09" w:rsidP="008A16A3">
            <w:pPr>
              <w:spacing w:after="0"/>
              <w:jc w:val="center"/>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Проект</w:t>
            </w:r>
          </w:p>
        </w:tc>
        <w:tc>
          <w:tcPr>
            <w:tcW w:w="994" w:type="dxa"/>
            <w:tcBorders>
              <w:bottom w:val="single" w:sz="4" w:space="0" w:color="auto"/>
            </w:tcBorders>
            <w:shd w:val="clear" w:color="auto" w:fill="FEE6D6" w:themeFill="accent1" w:themeFillTint="33"/>
            <w:vAlign w:val="center"/>
            <w:hideMark/>
          </w:tcPr>
          <w:p w:rsidR="00F94D09" w:rsidRPr="0066555D" w:rsidRDefault="00F94D09" w:rsidP="008A16A3">
            <w:pPr>
              <w:spacing w:after="0"/>
              <w:jc w:val="center"/>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Прогноза</w:t>
            </w:r>
          </w:p>
        </w:tc>
        <w:tc>
          <w:tcPr>
            <w:tcW w:w="991" w:type="dxa"/>
            <w:tcBorders>
              <w:bottom w:val="single" w:sz="4" w:space="0" w:color="auto"/>
            </w:tcBorders>
            <w:shd w:val="clear" w:color="auto" w:fill="FEE6D6" w:themeFill="accent1" w:themeFillTint="33"/>
            <w:vAlign w:val="center"/>
            <w:hideMark/>
          </w:tcPr>
          <w:p w:rsidR="00F94D09" w:rsidRPr="0066555D" w:rsidRDefault="00F94D09" w:rsidP="008A16A3">
            <w:pPr>
              <w:spacing w:after="0"/>
              <w:jc w:val="center"/>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Прогноза</w:t>
            </w:r>
          </w:p>
        </w:tc>
      </w:tr>
      <w:tr w:rsidR="00F94D09" w:rsidRPr="0066555D" w:rsidTr="008A16A3">
        <w:trPr>
          <w:trHeight w:val="72"/>
        </w:trPr>
        <w:tc>
          <w:tcPr>
            <w:tcW w:w="3969" w:type="dxa"/>
            <w:tcBorders>
              <w:top w:val="single" w:sz="4" w:space="0" w:color="auto"/>
            </w:tcBorders>
            <w:shd w:val="clear" w:color="000000" w:fill="FFFFFF"/>
            <w:noWrap/>
            <w:vAlign w:val="bottom"/>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 </w:t>
            </w:r>
          </w:p>
        </w:tc>
        <w:tc>
          <w:tcPr>
            <w:tcW w:w="993" w:type="dxa"/>
            <w:tcBorders>
              <w:top w:val="single" w:sz="4" w:space="0" w:color="auto"/>
            </w:tcBorders>
            <w:shd w:val="clear" w:color="000000" w:fill="FFFFFF"/>
            <w:noWrap/>
            <w:vAlign w:val="bottom"/>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 </w:t>
            </w:r>
          </w:p>
        </w:tc>
        <w:tc>
          <w:tcPr>
            <w:tcW w:w="1047" w:type="dxa"/>
            <w:tcBorders>
              <w:top w:val="single" w:sz="4" w:space="0" w:color="auto"/>
            </w:tcBorders>
            <w:shd w:val="clear" w:color="000000" w:fill="FFFFFF"/>
            <w:noWrap/>
            <w:vAlign w:val="bottom"/>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 </w:t>
            </w:r>
          </w:p>
        </w:tc>
        <w:tc>
          <w:tcPr>
            <w:tcW w:w="937" w:type="dxa"/>
            <w:tcBorders>
              <w:top w:val="single" w:sz="4" w:space="0" w:color="auto"/>
            </w:tcBorders>
            <w:shd w:val="clear" w:color="000000" w:fill="FFFFFF"/>
            <w:noWrap/>
            <w:vAlign w:val="bottom"/>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 </w:t>
            </w:r>
          </w:p>
        </w:tc>
        <w:tc>
          <w:tcPr>
            <w:tcW w:w="994" w:type="dxa"/>
            <w:tcBorders>
              <w:top w:val="single" w:sz="4" w:space="0" w:color="auto"/>
            </w:tcBorders>
            <w:shd w:val="clear" w:color="000000" w:fill="FFFFFF"/>
            <w:noWrap/>
            <w:vAlign w:val="bottom"/>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 </w:t>
            </w:r>
          </w:p>
        </w:tc>
        <w:tc>
          <w:tcPr>
            <w:tcW w:w="991" w:type="dxa"/>
            <w:tcBorders>
              <w:top w:val="single" w:sz="4" w:space="0" w:color="auto"/>
            </w:tcBorders>
            <w:shd w:val="clear" w:color="000000" w:fill="FFFFFF"/>
            <w:noWrap/>
            <w:vAlign w:val="bottom"/>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 </w:t>
            </w:r>
          </w:p>
        </w:tc>
      </w:tr>
      <w:tr w:rsidR="00F94D09" w:rsidRPr="0066555D" w:rsidTr="008A16A3">
        <w:trPr>
          <w:trHeight w:val="330"/>
        </w:trPr>
        <w:tc>
          <w:tcPr>
            <w:tcW w:w="4962" w:type="dxa"/>
            <w:gridSpan w:val="2"/>
            <w:shd w:val="clear" w:color="auto" w:fill="EEF1F6" w:themeFill="accent5" w:themeFillTint="33"/>
            <w:noWrap/>
            <w:vAlign w:val="center"/>
            <w:hideMark/>
          </w:tcPr>
          <w:p w:rsidR="00F94D09" w:rsidRPr="0066555D" w:rsidRDefault="00F94D09" w:rsidP="008A16A3">
            <w:pPr>
              <w:spacing w:after="0"/>
              <w:jc w:val="left"/>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Структура на дълга по остатъчен матуритет</w:t>
            </w:r>
          </w:p>
        </w:tc>
        <w:tc>
          <w:tcPr>
            <w:tcW w:w="1047" w:type="dxa"/>
            <w:shd w:val="clear" w:color="auto" w:fill="EEF1F6" w:themeFill="accent5" w:themeFillTint="33"/>
            <w:noWrap/>
            <w:vAlign w:val="center"/>
            <w:hideMark/>
          </w:tcPr>
          <w:p w:rsidR="00F94D09" w:rsidRPr="0066555D" w:rsidRDefault="00F94D09" w:rsidP="008A16A3">
            <w:pPr>
              <w:spacing w:after="0"/>
              <w:jc w:val="left"/>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 </w:t>
            </w:r>
          </w:p>
        </w:tc>
        <w:tc>
          <w:tcPr>
            <w:tcW w:w="937" w:type="dxa"/>
            <w:shd w:val="clear" w:color="auto" w:fill="EEF1F6" w:themeFill="accent5" w:themeFillTint="33"/>
            <w:noWrap/>
            <w:vAlign w:val="center"/>
            <w:hideMark/>
          </w:tcPr>
          <w:p w:rsidR="00F94D09" w:rsidRPr="0066555D" w:rsidRDefault="00F94D09" w:rsidP="008A16A3">
            <w:pPr>
              <w:spacing w:after="0"/>
              <w:jc w:val="left"/>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 </w:t>
            </w:r>
          </w:p>
        </w:tc>
        <w:tc>
          <w:tcPr>
            <w:tcW w:w="994" w:type="dxa"/>
            <w:shd w:val="clear" w:color="auto" w:fill="EEF1F6" w:themeFill="accent5" w:themeFillTint="33"/>
            <w:noWrap/>
            <w:vAlign w:val="center"/>
            <w:hideMark/>
          </w:tcPr>
          <w:p w:rsidR="00F94D09" w:rsidRPr="0066555D" w:rsidRDefault="00F94D09" w:rsidP="008A16A3">
            <w:pPr>
              <w:spacing w:after="0"/>
              <w:jc w:val="left"/>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 </w:t>
            </w:r>
          </w:p>
        </w:tc>
        <w:tc>
          <w:tcPr>
            <w:tcW w:w="991" w:type="dxa"/>
            <w:shd w:val="clear" w:color="auto" w:fill="EEF1F6" w:themeFill="accent5" w:themeFillTint="33"/>
            <w:noWrap/>
            <w:vAlign w:val="center"/>
            <w:hideMark/>
          </w:tcPr>
          <w:p w:rsidR="00F94D09" w:rsidRPr="0066555D" w:rsidRDefault="00F94D09" w:rsidP="008A16A3">
            <w:pPr>
              <w:spacing w:after="0"/>
              <w:jc w:val="left"/>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 </w:t>
            </w:r>
          </w:p>
        </w:tc>
      </w:tr>
      <w:tr w:rsidR="00F94D09" w:rsidRPr="0066555D" w:rsidTr="008A16A3">
        <w:trPr>
          <w:trHeight w:val="390"/>
        </w:trPr>
        <w:tc>
          <w:tcPr>
            <w:tcW w:w="3969" w:type="dxa"/>
            <w:shd w:val="clear" w:color="auto" w:fill="auto"/>
            <w:noWrap/>
            <w:vAlign w:val="center"/>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Дълг с матуритет до 1 г.</w:t>
            </w:r>
          </w:p>
        </w:tc>
        <w:tc>
          <w:tcPr>
            <w:tcW w:w="993"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7,7%</w:t>
            </w:r>
          </w:p>
        </w:tc>
        <w:tc>
          <w:tcPr>
            <w:tcW w:w="104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8,2%</w:t>
            </w:r>
          </w:p>
        </w:tc>
        <w:tc>
          <w:tcPr>
            <w:tcW w:w="93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7,1</w:t>
            </w:r>
            <w:r w:rsidRPr="0066555D">
              <w:rPr>
                <w:rFonts w:asciiTheme="minorHAnsi" w:eastAsia="Times New Roman" w:hAnsiTheme="minorHAnsi" w:cstheme="minorHAnsi"/>
                <w:color w:val="000000"/>
                <w:sz w:val="20"/>
                <w:szCs w:val="20"/>
              </w:rPr>
              <w:t>%</w:t>
            </w:r>
          </w:p>
        </w:tc>
        <w:tc>
          <w:tcPr>
            <w:tcW w:w="994"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4,5</w:t>
            </w:r>
            <w:r w:rsidRPr="0066555D">
              <w:rPr>
                <w:rFonts w:asciiTheme="minorHAnsi" w:eastAsia="Times New Roman" w:hAnsiTheme="minorHAnsi" w:cstheme="minorHAnsi"/>
                <w:color w:val="000000"/>
                <w:sz w:val="20"/>
                <w:szCs w:val="20"/>
              </w:rPr>
              <w:t>%</w:t>
            </w:r>
          </w:p>
        </w:tc>
        <w:tc>
          <w:tcPr>
            <w:tcW w:w="991"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5,1</w:t>
            </w:r>
            <w:r w:rsidRPr="0066555D">
              <w:rPr>
                <w:rFonts w:asciiTheme="minorHAnsi" w:eastAsia="Times New Roman" w:hAnsiTheme="minorHAnsi" w:cstheme="minorHAnsi"/>
                <w:color w:val="000000"/>
                <w:sz w:val="20"/>
                <w:szCs w:val="20"/>
              </w:rPr>
              <w:t>%</w:t>
            </w:r>
          </w:p>
        </w:tc>
      </w:tr>
      <w:tr w:rsidR="00F94D09" w:rsidRPr="0066555D" w:rsidTr="008A16A3">
        <w:trPr>
          <w:trHeight w:val="300"/>
        </w:trPr>
        <w:tc>
          <w:tcPr>
            <w:tcW w:w="3969" w:type="dxa"/>
            <w:shd w:val="clear" w:color="auto" w:fill="auto"/>
            <w:noWrap/>
            <w:vAlign w:val="center"/>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Дълг с матуритет от 1 до 5 г.</w:t>
            </w:r>
          </w:p>
        </w:tc>
        <w:tc>
          <w:tcPr>
            <w:tcW w:w="993"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32,7%</w:t>
            </w:r>
          </w:p>
        </w:tc>
        <w:tc>
          <w:tcPr>
            <w:tcW w:w="104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26,7%</w:t>
            </w:r>
          </w:p>
        </w:tc>
        <w:tc>
          <w:tcPr>
            <w:tcW w:w="93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29,0</w:t>
            </w:r>
            <w:r w:rsidRPr="0066555D">
              <w:rPr>
                <w:rFonts w:asciiTheme="minorHAnsi" w:eastAsia="Times New Roman" w:hAnsiTheme="minorHAnsi" w:cstheme="minorHAnsi"/>
                <w:color w:val="000000"/>
                <w:sz w:val="20"/>
                <w:szCs w:val="20"/>
              </w:rPr>
              <w:t>%</w:t>
            </w:r>
          </w:p>
        </w:tc>
        <w:tc>
          <w:tcPr>
            <w:tcW w:w="994"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26,6</w:t>
            </w:r>
            <w:r w:rsidRPr="0066555D">
              <w:rPr>
                <w:rFonts w:asciiTheme="minorHAnsi" w:eastAsia="Times New Roman" w:hAnsiTheme="minorHAnsi" w:cstheme="minorHAnsi"/>
                <w:color w:val="000000"/>
                <w:sz w:val="20"/>
                <w:szCs w:val="20"/>
              </w:rPr>
              <w:t>%</w:t>
            </w:r>
          </w:p>
        </w:tc>
        <w:tc>
          <w:tcPr>
            <w:tcW w:w="991"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30,7</w:t>
            </w:r>
            <w:r w:rsidRPr="0066555D">
              <w:rPr>
                <w:rFonts w:asciiTheme="minorHAnsi" w:eastAsia="Times New Roman" w:hAnsiTheme="minorHAnsi" w:cstheme="minorHAnsi"/>
                <w:color w:val="000000"/>
                <w:sz w:val="20"/>
                <w:szCs w:val="20"/>
              </w:rPr>
              <w:t>%</w:t>
            </w:r>
          </w:p>
        </w:tc>
      </w:tr>
      <w:tr w:rsidR="00F94D09" w:rsidRPr="0066555D" w:rsidTr="008A16A3">
        <w:trPr>
          <w:trHeight w:val="315"/>
        </w:trPr>
        <w:tc>
          <w:tcPr>
            <w:tcW w:w="3969" w:type="dxa"/>
            <w:shd w:val="clear" w:color="auto" w:fill="auto"/>
            <w:noWrap/>
            <w:vAlign w:val="center"/>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Дълг с матуритет от 5 до 10 г.</w:t>
            </w:r>
          </w:p>
        </w:tc>
        <w:tc>
          <w:tcPr>
            <w:tcW w:w="993"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32,1%</w:t>
            </w:r>
          </w:p>
        </w:tc>
        <w:tc>
          <w:tcPr>
            <w:tcW w:w="104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36,1</w:t>
            </w:r>
            <w:r w:rsidRPr="0066555D">
              <w:rPr>
                <w:rFonts w:asciiTheme="minorHAnsi" w:eastAsia="Times New Roman" w:hAnsiTheme="minorHAnsi" w:cstheme="minorHAnsi"/>
                <w:color w:val="000000"/>
                <w:sz w:val="20"/>
                <w:szCs w:val="20"/>
              </w:rPr>
              <w:t>%</w:t>
            </w:r>
          </w:p>
        </w:tc>
        <w:tc>
          <w:tcPr>
            <w:tcW w:w="93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26,6</w:t>
            </w:r>
            <w:r w:rsidRPr="0066555D">
              <w:rPr>
                <w:rFonts w:asciiTheme="minorHAnsi" w:eastAsia="Times New Roman" w:hAnsiTheme="minorHAnsi" w:cstheme="minorHAnsi"/>
                <w:color w:val="000000"/>
                <w:sz w:val="20"/>
                <w:szCs w:val="20"/>
              </w:rPr>
              <w:t>%</w:t>
            </w:r>
          </w:p>
        </w:tc>
        <w:tc>
          <w:tcPr>
            <w:tcW w:w="994"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31,4</w:t>
            </w:r>
            <w:r w:rsidRPr="0066555D">
              <w:rPr>
                <w:rFonts w:asciiTheme="minorHAnsi" w:eastAsia="Times New Roman" w:hAnsiTheme="minorHAnsi" w:cstheme="minorHAnsi"/>
                <w:color w:val="000000"/>
                <w:sz w:val="20"/>
                <w:szCs w:val="20"/>
              </w:rPr>
              <w:t>%</w:t>
            </w:r>
          </w:p>
        </w:tc>
        <w:tc>
          <w:tcPr>
            <w:tcW w:w="991"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28,1%</w:t>
            </w:r>
          </w:p>
        </w:tc>
      </w:tr>
      <w:tr w:rsidR="00F94D09" w:rsidRPr="0066555D" w:rsidTr="008A16A3">
        <w:trPr>
          <w:trHeight w:val="375"/>
        </w:trPr>
        <w:tc>
          <w:tcPr>
            <w:tcW w:w="3969" w:type="dxa"/>
            <w:shd w:val="clear" w:color="auto" w:fill="auto"/>
            <w:noWrap/>
            <w:vAlign w:val="center"/>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Дълг с матуритет над 10 г.</w:t>
            </w:r>
          </w:p>
        </w:tc>
        <w:tc>
          <w:tcPr>
            <w:tcW w:w="993"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27,5%</w:t>
            </w:r>
          </w:p>
        </w:tc>
        <w:tc>
          <w:tcPr>
            <w:tcW w:w="104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29,0</w:t>
            </w:r>
            <w:r w:rsidRPr="0066555D">
              <w:rPr>
                <w:rFonts w:asciiTheme="minorHAnsi" w:eastAsia="Times New Roman" w:hAnsiTheme="minorHAnsi" w:cstheme="minorHAnsi"/>
                <w:color w:val="000000"/>
                <w:sz w:val="20"/>
                <w:szCs w:val="20"/>
              </w:rPr>
              <w:t>%</w:t>
            </w:r>
          </w:p>
        </w:tc>
        <w:tc>
          <w:tcPr>
            <w:tcW w:w="93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37,4</w:t>
            </w:r>
            <w:r w:rsidRPr="0066555D">
              <w:rPr>
                <w:rFonts w:asciiTheme="minorHAnsi" w:eastAsia="Times New Roman" w:hAnsiTheme="minorHAnsi" w:cstheme="minorHAnsi"/>
                <w:color w:val="000000"/>
                <w:sz w:val="20"/>
                <w:szCs w:val="20"/>
              </w:rPr>
              <w:t>%</w:t>
            </w:r>
          </w:p>
        </w:tc>
        <w:tc>
          <w:tcPr>
            <w:tcW w:w="994"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37,6</w:t>
            </w:r>
            <w:r w:rsidRPr="0066555D">
              <w:rPr>
                <w:rFonts w:asciiTheme="minorHAnsi" w:eastAsia="Times New Roman" w:hAnsiTheme="minorHAnsi" w:cstheme="minorHAnsi"/>
                <w:color w:val="000000"/>
                <w:sz w:val="20"/>
                <w:szCs w:val="20"/>
              </w:rPr>
              <w:t>%</w:t>
            </w:r>
          </w:p>
        </w:tc>
        <w:tc>
          <w:tcPr>
            <w:tcW w:w="991"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36,1</w:t>
            </w:r>
            <w:r w:rsidRPr="0066555D">
              <w:rPr>
                <w:rFonts w:asciiTheme="minorHAnsi" w:eastAsia="Times New Roman" w:hAnsiTheme="minorHAnsi" w:cstheme="minorHAnsi"/>
                <w:color w:val="000000"/>
                <w:sz w:val="20"/>
                <w:szCs w:val="20"/>
              </w:rPr>
              <w:t>%</w:t>
            </w:r>
          </w:p>
        </w:tc>
      </w:tr>
      <w:tr w:rsidR="00F94D09" w:rsidRPr="0066555D" w:rsidTr="008A16A3">
        <w:trPr>
          <w:trHeight w:val="330"/>
        </w:trPr>
        <w:tc>
          <w:tcPr>
            <w:tcW w:w="4962" w:type="dxa"/>
            <w:gridSpan w:val="2"/>
            <w:shd w:val="clear" w:color="auto" w:fill="EEF1F6" w:themeFill="accent5" w:themeFillTint="33"/>
            <w:noWrap/>
            <w:vAlign w:val="center"/>
            <w:hideMark/>
          </w:tcPr>
          <w:p w:rsidR="00F94D09" w:rsidRPr="0066555D" w:rsidRDefault="00F94D09" w:rsidP="008A16A3">
            <w:pPr>
              <w:spacing w:after="0"/>
              <w:jc w:val="left"/>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 xml:space="preserve">Структура на дълга по видове инструменти </w:t>
            </w:r>
          </w:p>
        </w:tc>
        <w:tc>
          <w:tcPr>
            <w:tcW w:w="1047" w:type="dxa"/>
            <w:shd w:val="clear" w:color="auto" w:fill="EEF1F6" w:themeFill="accent5" w:themeFillTint="33"/>
            <w:noWrap/>
            <w:vAlign w:val="center"/>
            <w:hideMark/>
          </w:tcPr>
          <w:p w:rsidR="00F94D09" w:rsidRPr="0066555D" w:rsidRDefault="00F94D09" w:rsidP="008A16A3">
            <w:pPr>
              <w:spacing w:after="0"/>
              <w:jc w:val="left"/>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 </w:t>
            </w:r>
          </w:p>
        </w:tc>
        <w:tc>
          <w:tcPr>
            <w:tcW w:w="937" w:type="dxa"/>
            <w:shd w:val="clear" w:color="auto" w:fill="EEF1F6" w:themeFill="accent5" w:themeFillTint="33"/>
            <w:noWrap/>
            <w:vAlign w:val="center"/>
            <w:hideMark/>
          </w:tcPr>
          <w:p w:rsidR="00F94D09" w:rsidRPr="0066555D" w:rsidRDefault="00F94D09" w:rsidP="008A16A3">
            <w:pPr>
              <w:spacing w:after="0"/>
              <w:jc w:val="left"/>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 </w:t>
            </w:r>
          </w:p>
        </w:tc>
        <w:tc>
          <w:tcPr>
            <w:tcW w:w="994" w:type="dxa"/>
            <w:shd w:val="clear" w:color="auto" w:fill="EEF1F6" w:themeFill="accent5" w:themeFillTint="33"/>
            <w:noWrap/>
            <w:vAlign w:val="center"/>
            <w:hideMark/>
          </w:tcPr>
          <w:p w:rsidR="00F94D09" w:rsidRPr="0066555D" w:rsidRDefault="00F94D09" w:rsidP="008A16A3">
            <w:pPr>
              <w:spacing w:after="0"/>
              <w:jc w:val="left"/>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 </w:t>
            </w:r>
          </w:p>
        </w:tc>
        <w:tc>
          <w:tcPr>
            <w:tcW w:w="991" w:type="dxa"/>
            <w:shd w:val="clear" w:color="auto" w:fill="EEF1F6" w:themeFill="accent5" w:themeFillTint="33"/>
            <w:noWrap/>
            <w:vAlign w:val="center"/>
            <w:hideMark/>
          </w:tcPr>
          <w:p w:rsidR="00F94D09" w:rsidRPr="0066555D" w:rsidRDefault="00F94D09" w:rsidP="008A16A3">
            <w:pPr>
              <w:spacing w:after="0"/>
              <w:jc w:val="left"/>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 </w:t>
            </w:r>
          </w:p>
        </w:tc>
      </w:tr>
      <w:tr w:rsidR="00F94D09" w:rsidRPr="0066555D" w:rsidTr="008A16A3">
        <w:trPr>
          <w:trHeight w:val="330"/>
        </w:trPr>
        <w:tc>
          <w:tcPr>
            <w:tcW w:w="3969" w:type="dxa"/>
            <w:shd w:val="clear" w:color="auto" w:fill="auto"/>
            <w:noWrap/>
            <w:vAlign w:val="center"/>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Облигации, емитирани на МКП</w:t>
            </w:r>
          </w:p>
        </w:tc>
        <w:tc>
          <w:tcPr>
            <w:tcW w:w="993"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54,9%</w:t>
            </w:r>
          </w:p>
        </w:tc>
        <w:tc>
          <w:tcPr>
            <w:tcW w:w="104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61,7%</w:t>
            </w:r>
          </w:p>
        </w:tc>
        <w:tc>
          <w:tcPr>
            <w:tcW w:w="93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61,8</w:t>
            </w:r>
            <w:r w:rsidRPr="0066555D">
              <w:rPr>
                <w:rFonts w:asciiTheme="minorHAnsi" w:eastAsia="Times New Roman" w:hAnsiTheme="minorHAnsi" w:cstheme="minorHAnsi"/>
                <w:color w:val="000000"/>
                <w:sz w:val="20"/>
                <w:szCs w:val="20"/>
              </w:rPr>
              <w:t>%</w:t>
            </w:r>
          </w:p>
        </w:tc>
        <w:tc>
          <w:tcPr>
            <w:tcW w:w="994"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67,0</w:t>
            </w:r>
            <w:r w:rsidRPr="0066555D">
              <w:rPr>
                <w:rFonts w:asciiTheme="minorHAnsi" w:eastAsia="Times New Roman" w:hAnsiTheme="minorHAnsi" w:cstheme="minorHAnsi"/>
                <w:color w:val="000000"/>
                <w:sz w:val="20"/>
                <w:szCs w:val="20"/>
              </w:rPr>
              <w:t>%</w:t>
            </w:r>
          </w:p>
        </w:tc>
        <w:tc>
          <w:tcPr>
            <w:tcW w:w="991"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70,8</w:t>
            </w:r>
            <w:r w:rsidRPr="0066555D">
              <w:rPr>
                <w:rFonts w:asciiTheme="minorHAnsi" w:eastAsia="Times New Roman" w:hAnsiTheme="minorHAnsi" w:cstheme="minorHAnsi"/>
                <w:color w:val="000000"/>
                <w:sz w:val="20"/>
                <w:szCs w:val="20"/>
              </w:rPr>
              <w:t>%</w:t>
            </w:r>
          </w:p>
        </w:tc>
      </w:tr>
      <w:tr w:rsidR="00F94D09" w:rsidRPr="0066555D" w:rsidTr="008A16A3">
        <w:trPr>
          <w:trHeight w:val="315"/>
        </w:trPr>
        <w:tc>
          <w:tcPr>
            <w:tcW w:w="3969" w:type="dxa"/>
            <w:shd w:val="clear" w:color="auto" w:fill="auto"/>
            <w:noWrap/>
            <w:vAlign w:val="center"/>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ДЦК, емитирани на вътрешния пазар</w:t>
            </w:r>
          </w:p>
        </w:tc>
        <w:tc>
          <w:tcPr>
            <w:tcW w:w="993"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30,4%</w:t>
            </w:r>
          </w:p>
        </w:tc>
        <w:tc>
          <w:tcPr>
            <w:tcW w:w="104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26,2%</w:t>
            </w:r>
          </w:p>
        </w:tc>
        <w:tc>
          <w:tcPr>
            <w:tcW w:w="93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27,8</w:t>
            </w:r>
            <w:r w:rsidRPr="0066555D">
              <w:rPr>
                <w:rFonts w:asciiTheme="minorHAnsi" w:eastAsia="Times New Roman" w:hAnsiTheme="minorHAnsi" w:cstheme="minorHAnsi"/>
                <w:color w:val="000000"/>
                <w:sz w:val="20"/>
                <w:szCs w:val="20"/>
              </w:rPr>
              <w:t>%</w:t>
            </w:r>
          </w:p>
        </w:tc>
        <w:tc>
          <w:tcPr>
            <w:tcW w:w="994"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24,1</w:t>
            </w:r>
            <w:r w:rsidRPr="0066555D">
              <w:rPr>
                <w:rFonts w:asciiTheme="minorHAnsi" w:eastAsia="Times New Roman" w:hAnsiTheme="minorHAnsi" w:cstheme="minorHAnsi"/>
                <w:color w:val="000000"/>
                <w:sz w:val="20"/>
                <w:szCs w:val="20"/>
              </w:rPr>
              <w:t>%</w:t>
            </w:r>
          </w:p>
        </w:tc>
        <w:tc>
          <w:tcPr>
            <w:tcW w:w="991"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21,4</w:t>
            </w:r>
            <w:r w:rsidRPr="0066555D">
              <w:rPr>
                <w:rFonts w:asciiTheme="minorHAnsi" w:eastAsia="Times New Roman" w:hAnsiTheme="minorHAnsi" w:cstheme="minorHAnsi"/>
                <w:color w:val="000000"/>
                <w:sz w:val="20"/>
                <w:szCs w:val="20"/>
              </w:rPr>
              <w:t>%</w:t>
            </w:r>
          </w:p>
        </w:tc>
      </w:tr>
      <w:tr w:rsidR="00F94D09" w:rsidRPr="0066555D" w:rsidTr="008A16A3">
        <w:trPr>
          <w:trHeight w:val="420"/>
        </w:trPr>
        <w:tc>
          <w:tcPr>
            <w:tcW w:w="3969" w:type="dxa"/>
            <w:shd w:val="clear" w:color="auto" w:fill="auto"/>
            <w:noWrap/>
            <w:vAlign w:val="center"/>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Държавни заеми</w:t>
            </w:r>
          </w:p>
        </w:tc>
        <w:tc>
          <w:tcPr>
            <w:tcW w:w="993"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12,9%</w:t>
            </w:r>
          </w:p>
        </w:tc>
        <w:tc>
          <w:tcPr>
            <w:tcW w:w="104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10,6%</w:t>
            </w:r>
          </w:p>
        </w:tc>
        <w:tc>
          <w:tcPr>
            <w:tcW w:w="93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9,3</w:t>
            </w:r>
            <w:r w:rsidRPr="0066555D">
              <w:rPr>
                <w:rFonts w:asciiTheme="minorHAnsi" w:eastAsia="Times New Roman" w:hAnsiTheme="minorHAnsi" w:cstheme="minorHAnsi"/>
                <w:color w:val="000000"/>
                <w:sz w:val="20"/>
                <w:szCs w:val="20"/>
              </w:rPr>
              <w:t>%</w:t>
            </w:r>
          </w:p>
        </w:tc>
        <w:tc>
          <w:tcPr>
            <w:tcW w:w="994"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8,2</w:t>
            </w:r>
            <w:r w:rsidRPr="0066555D">
              <w:rPr>
                <w:rFonts w:asciiTheme="minorHAnsi" w:eastAsia="Times New Roman" w:hAnsiTheme="minorHAnsi" w:cstheme="minorHAnsi"/>
                <w:color w:val="000000"/>
                <w:sz w:val="20"/>
                <w:szCs w:val="20"/>
              </w:rPr>
              <w:t>%</w:t>
            </w:r>
          </w:p>
        </w:tc>
        <w:tc>
          <w:tcPr>
            <w:tcW w:w="991"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7,3</w:t>
            </w:r>
            <w:r w:rsidRPr="0066555D">
              <w:rPr>
                <w:rFonts w:asciiTheme="minorHAnsi" w:eastAsia="Times New Roman" w:hAnsiTheme="minorHAnsi" w:cstheme="minorHAnsi"/>
                <w:color w:val="000000"/>
                <w:sz w:val="20"/>
                <w:szCs w:val="20"/>
              </w:rPr>
              <w:t>%</w:t>
            </w:r>
          </w:p>
        </w:tc>
      </w:tr>
      <w:tr w:rsidR="00F94D09" w:rsidRPr="0066555D" w:rsidTr="008A16A3">
        <w:trPr>
          <w:trHeight w:val="360"/>
        </w:trPr>
        <w:tc>
          <w:tcPr>
            <w:tcW w:w="3969" w:type="dxa"/>
            <w:shd w:val="clear" w:color="auto" w:fill="auto"/>
            <w:noWrap/>
            <w:vAlign w:val="center"/>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Държавни инвестиционни заеми</w:t>
            </w:r>
          </w:p>
        </w:tc>
        <w:tc>
          <w:tcPr>
            <w:tcW w:w="993"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1,9%</w:t>
            </w:r>
          </w:p>
        </w:tc>
        <w:tc>
          <w:tcPr>
            <w:tcW w:w="104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1,4%</w:t>
            </w:r>
          </w:p>
        </w:tc>
        <w:tc>
          <w:tcPr>
            <w:tcW w:w="93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1,0%</w:t>
            </w:r>
          </w:p>
        </w:tc>
        <w:tc>
          <w:tcPr>
            <w:tcW w:w="994"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0,7%</w:t>
            </w:r>
          </w:p>
        </w:tc>
        <w:tc>
          <w:tcPr>
            <w:tcW w:w="991"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0,5%</w:t>
            </w:r>
          </w:p>
        </w:tc>
      </w:tr>
      <w:tr w:rsidR="00F94D09" w:rsidRPr="0066555D" w:rsidTr="008A16A3">
        <w:trPr>
          <w:trHeight w:val="375"/>
        </w:trPr>
        <w:tc>
          <w:tcPr>
            <w:tcW w:w="8931" w:type="dxa"/>
            <w:gridSpan w:val="6"/>
            <w:shd w:val="clear" w:color="auto" w:fill="EEF1F6" w:themeFill="accent5" w:themeFillTint="33"/>
            <w:vAlign w:val="center"/>
            <w:hideMark/>
          </w:tcPr>
          <w:p w:rsidR="00F94D09" w:rsidRPr="0066555D" w:rsidRDefault="00F94D09" w:rsidP="008A16A3">
            <w:pPr>
              <w:spacing w:after="0"/>
              <w:jc w:val="left"/>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Структура на държавните заеми по кредитори</w:t>
            </w:r>
          </w:p>
        </w:tc>
      </w:tr>
      <w:tr w:rsidR="00F94D09" w:rsidRPr="0066555D" w:rsidTr="008A16A3">
        <w:trPr>
          <w:trHeight w:val="345"/>
        </w:trPr>
        <w:tc>
          <w:tcPr>
            <w:tcW w:w="3969" w:type="dxa"/>
            <w:shd w:val="clear" w:color="auto" w:fill="auto"/>
            <w:noWrap/>
            <w:vAlign w:val="center"/>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Заеми от ЕС /в т.ч. ЕИБ/</w:t>
            </w:r>
          </w:p>
        </w:tc>
        <w:tc>
          <w:tcPr>
            <w:tcW w:w="993"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84,8%</w:t>
            </w:r>
          </w:p>
        </w:tc>
        <w:tc>
          <w:tcPr>
            <w:tcW w:w="104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86,2%</w:t>
            </w:r>
          </w:p>
        </w:tc>
        <w:tc>
          <w:tcPr>
            <w:tcW w:w="93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86,0%</w:t>
            </w:r>
          </w:p>
        </w:tc>
        <w:tc>
          <w:tcPr>
            <w:tcW w:w="994"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85,4%</w:t>
            </w:r>
          </w:p>
        </w:tc>
        <w:tc>
          <w:tcPr>
            <w:tcW w:w="991"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84,6%</w:t>
            </w:r>
          </w:p>
        </w:tc>
      </w:tr>
      <w:tr w:rsidR="00F94D09" w:rsidRPr="0066555D" w:rsidTr="008A16A3">
        <w:trPr>
          <w:trHeight w:val="300"/>
        </w:trPr>
        <w:tc>
          <w:tcPr>
            <w:tcW w:w="3969" w:type="dxa"/>
            <w:shd w:val="clear" w:color="auto" w:fill="auto"/>
            <w:noWrap/>
            <w:vAlign w:val="center"/>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Заеми от МБВР</w:t>
            </w:r>
          </w:p>
        </w:tc>
        <w:tc>
          <w:tcPr>
            <w:tcW w:w="993"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6,3%</w:t>
            </w:r>
          </w:p>
        </w:tc>
        <w:tc>
          <w:tcPr>
            <w:tcW w:w="104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4,6%</w:t>
            </w:r>
          </w:p>
        </w:tc>
        <w:tc>
          <w:tcPr>
            <w:tcW w:w="93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3,0%</w:t>
            </w:r>
          </w:p>
        </w:tc>
        <w:tc>
          <w:tcPr>
            <w:tcW w:w="994"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1,8%</w:t>
            </w:r>
          </w:p>
        </w:tc>
        <w:tc>
          <w:tcPr>
            <w:tcW w:w="991"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0,9%</w:t>
            </w:r>
          </w:p>
        </w:tc>
      </w:tr>
      <w:tr w:rsidR="00F94D09" w:rsidRPr="0066555D" w:rsidTr="008A16A3">
        <w:trPr>
          <w:trHeight w:val="300"/>
        </w:trPr>
        <w:tc>
          <w:tcPr>
            <w:tcW w:w="3969" w:type="dxa"/>
            <w:shd w:val="clear" w:color="auto" w:fill="auto"/>
            <w:noWrap/>
            <w:vAlign w:val="center"/>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Заеми от БРСЕ</w:t>
            </w:r>
          </w:p>
        </w:tc>
        <w:tc>
          <w:tcPr>
            <w:tcW w:w="993"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7,4%</w:t>
            </w:r>
          </w:p>
        </w:tc>
        <w:tc>
          <w:tcPr>
            <w:tcW w:w="104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7,5%</w:t>
            </w:r>
          </w:p>
        </w:tc>
        <w:tc>
          <w:tcPr>
            <w:tcW w:w="93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9,7%</w:t>
            </w:r>
          </w:p>
        </w:tc>
        <w:tc>
          <w:tcPr>
            <w:tcW w:w="994"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11,7%</w:t>
            </w:r>
          </w:p>
        </w:tc>
        <w:tc>
          <w:tcPr>
            <w:tcW w:w="991"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13,8%</w:t>
            </w:r>
          </w:p>
        </w:tc>
      </w:tr>
      <w:tr w:rsidR="00F94D09" w:rsidRPr="0066555D" w:rsidTr="008A16A3">
        <w:trPr>
          <w:trHeight w:val="315"/>
        </w:trPr>
        <w:tc>
          <w:tcPr>
            <w:tcW w:w="3969" w:type="dxa"/>
            <w:shd w:val="clear" w:color="auto" w:fill="auto"/>
            <w:noWrap/>
            <w:vAlign w:val="center"/>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Заеми от други кредитори</w:t>
            </w:r>
          </w:p>
        </w:tc>
        <w:tc>
          <w:tcPr>
            <w:tcW w:w="993"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1,5%</w:t>
            </w:r>
          </w:p>
        </w:tc>
        <w:tc>
          <w:tcPr>
            <w:tcW w:w="104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1,7%</w:t>
            </w:r>
          </w:p>
        </w:tc>
        <w:tc>
          <w:tcPr>
            <w:tcW w:w="93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1,4%</w:t>
            </w:r>
          </w:p>
        </w:tc>
        <w:tc>
          <w:tcPr>
            <w:tcW w:w="994"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1,1%</w:t>
            </w:r>
          </w:p>
        </w:tc>
        <w:tc>
          <w:tcPr>
            <w:tcW w:w="991"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0,8%</w:t>
            </w:r>
          </w:p>
        </w:tc>
      </w:tr>
      <w:tr w:rsidR="00F94D09" w:rsidRPr="0066555D" w:rsidTr="008A16A3">
        <w:trPr>
          <w:trHeight w:val="54"/>
        </w:trPr>
        <w:tc>
          <w:tcPr>
            <w:tcW w:w="3969" w:type="dxa"/>
            <w:shd w:val="clear" w:color="000000" w:fill="FFFFFF"/>
            <w:noWrap/>
            <w:vAlign w:val="bottom"/>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 </w:t>
            </w:r>
          </w:p>
        </w:tc>
        <w:tc>
          <w:tcPr>
            <w:tcW w:w="993" w:type="dxa"/>
            <w:shd w:val="clear" w:color="000000" w:fill="FFFFFF"/>
            <w:noWrap/>
            <w:vAlign w:val="bottom"/>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 </w:t>
            </w:r>
          </w:p>
        </w:tc>
        <w:tc>
          <w:tcPr>
            <w:tcW w:w="1047" w:type="dxa"/>
            <w:shd w:val="clear" w:color="000000" w:fill="FFFFFF"/>
            <w:noWrap/>
            <w:vAlign w:val="bottom"/>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 </w:t>
            </w:r>
          </w:p>
        </w:tc>
        <w:tc>
          <w:tcPr>
            <w:tcW w:w="937" w:type="dxa"/>
            <w:shd w:val="clear" w:color="000000" w:fill="FFFFFF"/>
            <w:noWrap/>
            <w:vAlign w:val="bottom"/>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 </w:t>
            </w:r>
          </w:p>
        </w:tc>
        <w:tc>
          <w:tcPr>
            <w:tcW w:w="994" w:type="dxa"/>
            <w:shd w:val="clear" w:color="000000" w:fill="FFFFFF"/>
            <w:noWrap/>
            <w:vAlign w:val="bottom"/>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 </w:t>
            </w:r>
          </w:p>
        </w:tc>
        <w:tc>
          <w:tcPr>
            <w:tcW w:w="991" w:type="dxa"/>
            <w:shd w:val="clear" w:color="000000" w:fill="FFFFFF"/>
            <w:noWrap/>
            <w:vAlign w:val="bottom"/>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 </w:t>
            </w:r>
          </w:p>
        </w:tc>
      </w:tr>
      <w:tr w:rsidR="00F94D09" w:rsidRPr="0066555D" w:rsidTr="008A16A3">
        <w:trPr>
          <w:trHeight w:val="330"/>
        </w:trPr>
        <w:tc>
          <w:tcPr>
            <w:tcW w:w="3969" w:type="dxa"/>
            <w:shd w:val="clear" w:color="auto" w:fill="EEF1F6" w:themeFill="accent5" w:themeFillTint="33"/>
            <w:noWrap/>
            <w:vAlign w:val="center"/>
            <w:hideMark/>
          </w:tcPr>
          <w:p w:rsidR="00F94D09" w:rsidRPr="0066555D" w:rsidRDefault="00F94D09" w:rsidP="008A16A3">
            <w:pPr>
              <w:spacing w:after="0"/>
              <w:jc w:val="left"/>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Лихвена структура</w:t>
            </w:r>
          </w:p>
        </w:tc>
        <w:tc>
          <w:tcPr>
            <w:tcW w:w="993" w:type="dxa"/>
            <w:shd w:val="clear" w:color="auto" w:fill="EEF1F6" w:themeFill="accent5" w:themeFillTint="33"/>
            <w:noWrap/>
            <w:vAlign w:val="center"/>
            <w:hideMark/>
          </w:tcPr>
          <w:p w:rsidR="00F94D09" w:rsidRPr="0066555D" w:rsidRDefault="00F94D09" w:rsidP="008A16A3">
            <w:pPr>
              <w:spacing w:after="0"/>
              <w:jc w:val="left"/>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 </w:t>
            </w:r>
          </w:p>
        </w:tc>
        <w:tc>
          <w:tcPr>
            <w:tcW w:w="1047" w:type="dxa"/>
            <w:shd w:val="clear" w:color="auto" w:fill="EEF1F6" w:themeFill="accent5" w:themeFillTint="33"/>
            <w:noWrap/>
            <w:vAlign w:val="center"/>
            <w:hideMark/>
          </w:tcPr>
          <w:p w:rsidR="00F94D09" w:rsidRPr="0066555D" w:rsidRDefault="00F94D09" w:rsidP="008A16A3">
            <w:pPr>
              <w:spacing w:after="0"/>
              <w:jc w:val="left"/>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 </w:t>
            </w:r>
          </w:p>
        </w:tc>
        <w:tc>
          <w:tcPr>
            <w:tcW w:w="937" w:type="dxa"/>
            <w:shd w:val="clear" w:color="auto" w:fill="EEF1F6" w:themeFill="accent5" w:themeFillTint="33"/>
            <w:noWrap/>
            <w:vAlign w:val="center"/>
            <w:hideMark/>
          </w:tcPr>
          <w:p w:rsidR="00F94D09" w:rsidRPr="0066555D" w:rsidRDefault="00F94D09" w:rsidP="008A16A3">
            <w:pPr>
              <w:spacing w:after="0"/>
              <w:jc w:val="left"/>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 </w:t>
            </w:r>
          </w:p>
        </w:tc>
        <w:tc>
          <w:tcPr>
            <w:tcW w:w="994" w:type="dxa"/>
            <w:shd w:val="clear" w:color="auto" w:fill="EEF1F6" w:themeFill="accent5" w:themeFillTint="33"/>
            <w:noWrap/>
            <w:vAlign w:val="center"/>
            <w:hideMark/>
          </w:tcPr>
          <w:p w:rsidR="00F94D09" w:rsidRPr="0066555D" w:rsidRDefault="00F94D09" w:rsidP="008A16A3">
            <w:pPr>
              <w:spacing w:after="0"/>
              <w:jc w:val="left"/>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 </w:t>
            </w:r>
          </w:p>
        </w:tc>
        <w:tc>
          <w:tcPr>
            <w:tcW w:w="991" w:type="dxa"/>
            <w:shd w:val="clear" w:color="auto" w:fill="EEF1F6" w:themeFill="accent5" w:themeFillTint="33"/>
            <w:noWrap/>
            <w:vAlign w:val="center"/>
            <w:hideMark/>
          </w:tcPr>
          <w:p w:rsidR="00F94D09" w:rsidRPr="0066555D" w:rsidRDefault="00F94D09" w:rsidP="008A16A3">
            <w:pPr>
              <w:spacing w:after="0"/>
              <w:jc w:val="left"/>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 </w:t>
            </w:r>
          </w:p>
        </w:tc>
      </w:tr>
      <w:tr w:rsidR="00F94D09" w:rsidRPr="0066555D" w:rsidTr="008A16A3">
        <w:trPr>
          <w:trHeight w:val="330"/>
        </w:trPr>
        <w:tc>
          <w:tcPr>
            <w:tcW w:w="3969" w:type="dxa"/>
            <w:shd w:val="clear" w:color="auto" w:fill="auto"/>
            <w:noWrap/>
            <w:vAlign w:val="center"/>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Заеми с фиксирани лихви</w:t>
            </w:r>
          </w:p>
        </w:tc>
        <w:tc>
          <w:tcPr>
            <w:tcW w:w="993"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99,2%</w:t>
            </w:r>
          </w:p>
        </w:tc>
        <w:tc>
          <w:tcPr>
            <w:tcW w:w="104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99,5%</w:t>
            </w:r>
          </w:p>
        </w:tc>
        <w:tc>
          <w:tcPr>
            <w:tcW w:w="93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99,1%</w:t>
            </w:r>
          </w:p>
        </w:tc>
        <w:tc>
          <w:tcPr>
            <w:tcW w:w="994"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98,8%</w:t>
            </w:r>
          </w:p>
        </w:tc>
        <w:tc>
          <w:tcPr>
            <w:tcW w:w="991"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98,4</w:t>
            </w:r>
            <w:r w:rsidRPr="0066555D">
              <w:rPr>
                <w:rFonts w:asciiTheme="minorHAnsi" w:eastAsia="Times New Roman" w:hAnsiTheme="minorHAnsi" w:cstheme="minorHAnsi"/>
                <w:color w:val="000000"/>
                <w:sz w:val="20"/>
                <w:szCs w:val="20"/>
              </w:rPr>
              <w:t>%</w:t>
            </w:r>
          </w:p>
        </w:tc>
      </w:tr>
      <w:tr w:rsidR="00F94D09" w:rsidRPr="0066555D" w:rsidTr="008A16A3">
        <w:trPr>
          <w:trHeight w:val="315"/>
        </w:trPr>
        <w:tc>
          <w:tcPr>
            <w:tcW w:w="3969" w:type="dxa"/>
            <w:shd w:val="clear" w:color="auto" w:fill="auto"/>
            <w:noWrap/>
            <w:vAlign w:val="center"/>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Заеми с плаващи лихви</w:t>
            </w:r>
          </w:p>
        </w:tc>
        <w:tc>
          <w:tcPr>
            <w:tcW w:w="993"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0,8%</w:t>
            </w:r>
          </w:p>
        </w:tc>
        <w:tc>
          <w:tcPr>
            <w:tcW w:w="104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0,5%</w:t>
            </w:r>
          </w:p>
        </w:tc>
        <w:tc>
          <w:tcPr>
            <w:tcW w:w="93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0,9%</w:t>
            </w:r>
          </w:p>
        </w:tc>
        <w:tc>
          <w:tcPr>
            <w:tcW w:w="994"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1,2%</w:t>
            </w:r>
          </w:p>
        </w:tc>
        <w:tc>
          <w:tcPr>
            <w:tcW w:w="991"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1,6</w:t>
            </w:r>
            <w:r w:rsidRPr="0066555D">
              <w:rPr>
                <w:rFonts w:asciiTheme="minorHAnsi" w:eastAsia="Times New Roman" w:hAnsiTheme="minorHAnsi" w:cstheme="minorHAnsi"/>
                <w:color w:val="000000"/>
                <w:sz w:val="20"/>
                <w:szCs w:val="20"/>
              </w:rPr>
              <w:t>%</w:t>
            </w:r>
          </w:p>
        </w:tc>
      </w:tr>
      <w:tr w:rsidR="00F94D09" w:rsidRPr="0066555D" w:rsidTr="008A16A3">
        <w:trPr>
          <w:trHeight w:val="330"/>
        </w:trPr>
        <w:tc>
          <w:tcPr>
            <w:tcW w:w="3969" w:type="dxa"/>
            <w:shd w:val="clear" w:color="auto" w:fill="EEF1F6" w:themeFill="accent5" w:themeFillTint="33"/>
            <w:noWrap/>
            <w:vAlign w:val="center"/>
            <w:hideMark/>
          </w:tcPr>
          <w:p w:rsidR="00F94D09" w:rsidRPr="0066555D" w:rsidRDefault="00F94D09" w:rsidP="008A16A3">
            <w:pPr>
              <w:spacing w:after="0"/>
              <w:jc w:val="left"/>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Валутна структура</w:t>
            </w:r>
          </w:p>
        </w:tc>
        <w:tc>
          <w:tcPr>
            <w:tcW w:w="993" w:type="dxa"/>
            <w:shd w:val="clear" w:color="auto" w:fill="EEF1F6" w:themeFill="accent5" w:themeFillTint="33"/>
            <w:noWrap/>
            <w:vAlign w:val="center"/>
            <w:hideMark/>
          </w:tcPr>
          <w:p w:rsidR="00F94D09" w:rsidRPr="0066555D" w:rsidRDefault="00F94D09" w:rsidP="008A16A3">
            <w:pPr>
              <w:spacing w:after="0"/>
              <w:jc w:val="left"/>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 </w:t>
            </w:r>
          </w:p>
        </w:tc>
        <w:tc>
          <w:tcPr>
            <w:tcW w:w="1047" w:type="dxa"/>
            <w:shd w:val="clear" w:color="auto" w:fill="EEF1F6" w:themeFill="accent5" w:themeFillTint="33"/>
            <w:noWrap/>
            <w:vAlign w:val="center"/>
            <w:hideMark/>
          </w:tcPr>
          <w:p w:rsidR="00F94D09" w:rsidRPr="0066555D" w:rsidRDefault="00F94D09" w:rsidP="008A16A3">
            <w:pPr>
              <w:spacing w:after="0"/>
              <w:jc w:val="left"/>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 </w:t>
            </w:r>
          </w:p>
        </w:tc>
        <w:tc>
          <w:tcPr>
            <w:tcW w:w="937" w:type="dxa"/>
            <w:shd w:val="clear" w:color="auto" w:fill="EEF1F6" w:themeFill="accent5" w:themeFillTint="33"/>
            <w:noWrap/>
            <w:vAlign w:val="center"/>
            <w:hideMark/>
          </w:tcPr>
          <w:p w:rsidR="00F94D09" w:rsidRPr="0066555D" w:rsidRDefault="00F94D09" w:rsidP="008A16A3">
            <w:pPr>
              <w:spacing w:after="0"/>
              <w:jc w:val="left"/>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 </w:t>
            </w:r>
          </w:p>
        </w:tc>
        <w:tc>
          <w:tcPr>
            <w:tcW w:w="994" w:type="dxa"/>
            <w:shd w:val="clear" w:color="auto" w:fill="EEF1F6" w:themeFill="accent5" w:themeFillTint="33"/>
            <w:noWrap/>
            <w:vAlign w:val="center"/>
            <w:hideMark/>
          </w:tcPr>
          <w:p w:rsidR="00F94D09" w:rsidRPr="0066555D" w:rsidRDefault="00F94D09" w:rsidP="008A16A3">
            <w:pPr>
              <w:spacing w:after="0"/>
              <w:jc w:val="left"/>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 </w:t>
            </w:r>
          </w:p>
        </w:tc>
        <w:tc>
          <w:tcPr>
            <w:tcW w:w="991" w:type="dxa"/>
            <w:shd w:val="clear" w:color="auto" w:fill="EEF1F6" w:themeFill="accent5" w:themeFillTint="33"/>
            <w:noWrap/>
            <w:vAlign w:val="center"/>
            <w:hideMark/>
          </w:tcPr>
          <w:p w:rsidR="00F94D09" w:rsidRPr="0066555D" w:rsidRDefault="00F94D09" w:rsidP="008A16A3">
            <w:pPr>
              <w:spacing w:after="0"/>
              <w:jc w:val="left"/>
              <w:rPr>
                <w:rFonts w:asciiTheme="minorHAnsi" w:eastAsia="Times New Roman" w:hAnsiTheme="minorHAnsi" w:cstheme="minorHAnsi"/>
                <w:b/>
                <w:bCs/>
                <w:color w:val="000000"/>
                <w:sz w:val="20"/>
                <w:szCs w:val="20"/>
              </w:rPr>
            </w:pPr>
            <w:r w:rsidRPr="0066555D">
              <w:rPr>
                <w:rFonts w:asciiTheme="minorHAnsi" w:eastAsia="Times New Roman" w:hAnsiTheme="minorHAnsi" w:cstheme="minorHAnsi"/>
                <w:b/>
                <w:bCs/>
                <w:color w:val="000000"/>
                <w:sz w:val="20"/>
                <w:szCs w:val="20"/>
              </w:rPr>
              <w:t> </w:t>
            </w:r>
          </w:p>
        </w:tc>
      </w:tr>
      <w:tr w:rsidR="00F94D09" w:rsidRPr="0066555D" w:rsidTr="008A16A3">
        <w:trPr>
          <w:trHeight w:val="300"/>
        </w:trPr>
        <w:tc>
          <w:tcPr>
            <w:tcW w:w="3969" w:type="dxa"/>
            <w:shd w:val="clear" w:color="auto" w:fill="auto"/>
            <w:noWrap/>
            <w:vAlign w:val="center"/>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Дълг в лева</w:t>
            </w:r>
          </w:p>
        </w:tc>
        <w:tc>
          <w:tcPr>
            <w:tcW w:w="993"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29,1%</w:t>
            </w:r>
          </w:p>
        </w:tc>
        <w:tc>
          <w:tcPr>
            <w:tcW w:w="104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25,1%</w:t>
            </w:r>
          </w:p>
        </w:tc>
        <w:tc>
          <w:tcPr>
            <w:tcW w:w="93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26,9</w:t>
            </w:r>
            <w:r w:rsidRPr="0066555D">
              <w:rPr>
                <w:rFonts w:asciiTheme="minorHAnsi" w:eastAsia="Times New Roman" w:hAnsiTheme="minorHAnsi" w:cstheme="minorHAnsi"/>
                <w:color w:val="000000"/>
                <w:sz w:val="20"/>
                <w:szCs w:val="20"/>
              </w:rPr>
              <w:t>%</w:t>
            </w:r>
          </w:p>
        </w:tc>
        <w:tc>
          <w:tcPr>
            <w:tcW w:w="994"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24,1</w:t>
            </w:r>
            <w:r w:rsidRPr="0066555D">
              <w:rPr>
                <w:rFonts w:asciiTheme="minorHAnsi" w:eastAsia="Times New Roman" w:hAnsiTheme="minorHAnsi" w:cstheme="minorHAnsi"/>
                <w:color w:val="000000"/>
                <w:sz w:val="20"/>
                <w:szCs w:val="20"/>
              </w:rPr>
              <w:t>%</w:t>
            </w:r>
          </w:p>
        </w:tc>
        <w:tc>
          <w:tcPr>
            <w:tcW w:w="991"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21,4</w:t>
            </w:r>
            <w:r w:rsidRPr="0066555D">
              <w:rPr>
                <w:rFonts w:asciiTheme="minorHAnsi" w:eastAsia="Times New Roman" w:hAnsiTheme="minorHAnsi" w:cstheme="minorHAnsi"/>
                <w:color w:val="000000"/>
                <w:sz w:val="20"/>
                <w:szCs w:val="20"/>
              </w:rPr>
              <w:t>%</w:t>
            </w:r>
          </w:p>
        </w:tc>
      </w:tr>
      <w:tr w:rsidR="00F94D09" w:rsidRPr="0066555D" w:rsidTr="008A16A3">
        <w:trPr>
          <w:trHeight w:val="300"/>
        </w:trPr>
        <w:tc>
          <w:tcPr>
            <w:tcW w:w="3969" w:type="dxa"/>
            <w:shd w:val="clear" w:color="auto" w:fill="auto"/>
            <w:noWrap/>
            <w:vAlign w:val="center"/>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Дълг в щатски долари</w:t>
            </w:r>
          </w:p>
        </w:tc>
        <w:tc>
          <w:tcPr>
            <w:tcW w:w="993"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w:t>
            </w:r>
          </w:p>
        </w:tc>
        <w:tc>
          <w:tcPr>
            <w:tcW w:w="104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w:t>
            </w:r>
          </w:p>
        </w:tc>
        <w:tc>
          <w:tcPr>
            <w:tcW w:w="93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w:t>
            </w:r>
          </w:p>
        </w:tc>
        <w:tc>
          <w:tcPr>
            <w:tcW w:w="994"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w:t>
            </w:r>
          </w:p>
        </w:tc>
        <w:tc>
          <w:tcPr>
            <w:tcW w:w="991"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w:t>
            </w:r>
          </w:p>
        </w:tc>
      </w:tr>
      <w:tr w:rsidR="00F94D09" w:rsidRPr="0066555D" w:rsidTr="008A16A3">
        <w:trPr>
          <w:trHeight w:val="300"/>
        </w:trPr>
        <w:tc>
          <w:tcPr>
            <w:tcW w:w="3969" w:type="dxa"/>
            <w:shd w:val="clear" w:color="auto" w:fill="auto"/>
            <w:noWrap/>
            <w:vAlign w:val="center"/>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Дълг в евро</w:t>
            </w:r>
          </w:p>
        </w:tc>
        <w:tc>
          <w:tcPr>
            <w:tcW w:w="993"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70,8%</w:t>
            </w:r>
          </w:p>
        </w:tc>
        <w:tc>
          <w:tcPr>
            <w:tcW w:w="104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74,8%</w:t>
            </w:r>
          </w:p>
        </w:tc>
        <w:tc>
          <w:tcPr>
            <w:tcW w:w="937"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73,0</w:t>
            </w:r>
            <w:r w:rsidRPr="0066555D">
              <w:rPr>
                <w:rFonts w:asciiTheme="minorHAnsi" w:eastAsia="Times New Roman" w:hAnsiTheme="minorHAnsi" w:cstheme="minorHAnsi"/>
                <w:color w:val="000000"/>
                <w:sz w:val="20"/>
                <w:szCs w:val="20"/>
              </w:rPr>
              <w:t>%</w:t>
            </w:r>
          </w:p>
        </w:tc>
        <w:tc>
          <w:tcPr>
            <w:tcW w:w="994"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75,8</w:t>
            </w:r>
            <w:r w:rsidRPr="0066555D">
              <w:rPr>
                <w:rFonts w:asciiTheme="minorHAnsi" w:eastAsia="Times New Roman" w:hAnsiTheme="minorHAnsi" w:cstheme="minorHAnsi"/>
                <w:color w:val="000000"/>
                <w:sz w:val="20"/>
                <w:szCs w:val="20"/>
              </w:rPr>
              <w:t>%</w:t>
            </w:r>
          </w:p>
        </w:tc>
        <w:tc>
          <w:tcPr>
            <w:tcW w:w="991" w:type="dxa"/>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Pr>
                <w:rFonts w:asciiTheme="minorHAnsi" w:eastAsia="Times New Roman" w:hAnsiTheme="minorHAnsi" w:cstheme="minorHAnsi"/>
                <w:color w:val="000000"/>
                <w:sz w:val="20"/>
                <w:szCs w:val="20"/>
              </w:rPr>
              <w:t>78,5</w:t>
            </w:r>
            <w:r w:rsidRPr="0066555D">
              <w:rPr>
                <w:rFonts w:asciiTheme="minorHAnsi" w:eastAsia="Times New Roman" w:hAnsiTheme="minorHAnsi" w:cstheme="minorHAnsi"/>
                <w:color w:val="000000"/>
                <w:sz w:val="20"/>
                <w:szCs w:val="20"/>
              </w:rPr>
              <w:t>%</w:t>
            </w:r>
          </w:p>
        </w:tc>
      </w:tr>
      <w:tr w:rsidR="00F94D09" w:rsidRPr="00413336" w:rsidTr="008A16A3">
        <w:trPr>
          <w:trHeight w:val="315"/>
        </w:trPr>
        <w:tc>
          <w:tcPr>
            <w:tcW w:w="3969" w:type="dxa"/>
            <w:tcBorders>
              <w:bottom w:val="single" w:sz="4" w:space="0" w:color="auto"/>
            </w:tcBorders>
            <w:shd w:val="clear" w:color="auto" w:fill="auto"/>
            <w:noWrap/>
            <w:vAlign w:val="center"/>
            <w:hideMark/>
          </w:tcPr>
          <w:p w:rsidR="00F94D09" w:rsidRPr="0066555D" w:rsidRDefault="00F94D09" w:rsidP="008A16A3">
            <w:pPr>
              <w:spacing w:after="0"/>
              <w:jc w:val="lef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Дълг в други валути (японски йени)</w:t>
            </w:r>
          </w:p>
        </w:tc>
        <w:tc>
          <w:tcPr>
            <w:tcW w:w="993" w:type="dxa"/>
            <w:tcBorders>
              <w:bottom w:val="single" w:sz="4" w:space="0" w:color="auto"/>
            </w:tcBorders>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0,2%</w:t>
            </w:r>
          </w:p>
        </w:tc>
        <w:tc>
          <w:tcPr>
            <w:tcW w:w="1047" w:type="dxa"/>
            <w:tcBorders>
              <w:bottom w:val="single" w:sz="4" w:space="0" w:color="auto"/>
            </w:tcBorders>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0,2%</w:t>
            </w:r>
          </w:p>
        </w:tc>
        <w:tc>
          <w:tcPr>
            <w:tcW w:w="937" w:type="dxa"/>
            <w:tcBorders>
              <w:bottom w:val="single" w:sz="4" w:space="0" w:color="auto"/>
            </w:tcBorders>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0,1%</w:t>
            </w:r>
          </w:p>
        </w:tc>
        <w:tc>
          <w:tcPr>
            <w:tcW w:w="994" w:type="dxa"/>
            <w:tcBorders>
              <w:bottom w:val="single" w:sz="4" w:space="0" w:color="auto"/>
            </w:tcBorders>
            <w:shd w:val="clear" w:color="auto" w:fill="auto"/>
            <w:noWrap/>
            <w:vAlign w:val="bottom"/>
            <w:hideMark/>
          </w:tcPr>
          <w:p w:rsidR="00F94D09" w:rsidRPr="0066555D"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0,1%</w:t>
            </w:r>
          </w:p>
        </w:tc>
        <w:tc>
          <w:tcPr>
            <w:tcW w:w="991" w:type="dxa"/>
            <w:tcBorders>
              <w:bottom w:val="single" w:sz="4" w:space="0" w:color="auto"/>
            </w:tcBorders>
            <w:shd w:val="clear" w:color="auto" w:fill="auto"/>
            <w:noWrap/>
            <w:vAlign w:val="bottom"/>
            <w:hideMark/>
          </w:tcPr>
          <w:p w:rsidR="00F94D09" w:rsidRPr="00413336" w:rsidRDefault="00F94D09" w:rsidP="008A16A3">
            <w:pPr>
              <w:spacing w:after="0"/>
              <w:jc w:val="right"/>
              <w:rPr>
                <w:rFonts w:asciiTheme="minorHAnsi" w:eastAsia="Times New Roman" w:hAnsiTheme="minorHAnsi" w:cstheme="minorHAnsi"/>
                <w:color w:val="000000"/>
                <w:sz w:val="20"/>
                <w:szCs w:val="20"/>
              </w:rPr>
            </w:pPr>
            <w:r w:rsidRPr="0066555D">
              <w:rPr>
                <w:rFonts w:asciiTheme="minorHAnsi" w:eastAsia="Times New Roman" w:hAnsiTheme="minorHAnsi" w:cstheme="minorHAnsi"/>
                <w:color w:val="000000"/>
                <w:sz w:val="20"/>
                <w:szCs w:val="20"/>
              </w:rPr>
              <w:t>-</w:t>
            </w:r>
          </w:p>
        </w:tc>
      </w:tr>
    </w:tbl>
    <w:p w:rsidR="009139BD" w:rsidRPr="00AA3F66" w:rsidRDefault="009139BD" w:rsidP="009139BD">
      <w:pPr>
        <w:spacing w:before="120"/>
        <w:jc w:val="right"/>
        <w:rPr>
          <w:rFonts w:eastAsia="Batang" w:cs="Times New Roman"/>
          <w:sz w:val="18"/>
          <w:szCs w:val="18"/>
        </w:rPr>
      </w:pPr>
      <w:r w:rsidRPr="00AA3F66">
        <w:rPr>
          <w:rFonts w:eastAsia="Batang" w:cs="Times New Roman"/>
          <w:sz w:val="18"/>
          <w:szCs w:val="18"/>
        </w:rPr>
        <w:t>Източник: МФ</w:t>
      </w:r>
    </w:p>
    <w:p w:rsidR="0066555D" w:rsidRPr="00AA3F66" w:rsidRDefault="0066555D" w:rsidP="0066555D">
      <w:pPr>
        <w:rPr>
          <w:rFonts w:eastAsia="Batang" w:cs="Times New Roman"/>
          <w:szCs w:val="24"/>
        </w:rPr>
      </w:pPr>
      <w:r w:rsidRPr="00AA3F66">
        <w:rPr>
          <w:rFonts w:eastAsia="Batang" w:cs="Times New Roman"/>
          <w:i/>
          <w:szCs w:val="24"/>
        </w:rPr>
        <w:t>В структурата на дълга по остатъчен матуритет</w:t>
      </w:r>
      <w:r w:rsidRPr="00AA3F66">
        <w:rPr>
          <w:rFonts w:eastAsia="Batang" w:cs="Times New Roman"/>
          <w:szCs w:val="24"/>
        </w:rPr>
        <w:t xml:space="preserve"> през целия прогнозен период се наблюдава преобладаващ дял на дълга с матуритет над 10 г., следван от дълга с матуритет от 1 до 5 г. и от 5 до 10 г., за сметка на редуциране на дълга с кратък срок за погасяване – до 1 година. </w:t>
      </w:r>
    </w:p>
    <w:p w:rsidR="0066555D" w:rsidRPr="00AA3F66" w:rsidRDefault="0066555D" w:rsidP="0066555D">
      <w:pPr>
        <w:rPr>
          <w:rFonts w:eastAsia="Batang" w:cs="Times New Roman"/>
          <w:szCs w:val="24"/>
        </w:rPr>
      </w:pPr>
      <w:r w:rsidRPr="00AA3F66">
        <w:rPr>
          <w:rFonts w:eastAsia="Batang" w:cs="Times New Roman"/>
          <w:i/>
          <w:szCs w:val="24"/>
        </w:rPr>
        <w:t>В структурата на дълга по видове инструменти</w:t>
      </w:r>
      <w:r w:rsidRPr="00AA3F66">
        <w:rPr>
          <w:rFonts w:eastAsia="Batang" w:cs="Times New Roman"/>
          <w:szCs w:val="24"/>
        </w:rPr>
        <w:t xml:space="preserve"> облигациите, емитирани на МКП, ще продължат да заемат доминантна позиция през целия прогнозен период, като делът им е с нарастваща тенденция и се очаква в края на периода да достигне до </w:t>
      </w:r>
      <w:r w:rsidR="00E02603">
        <w:rPr>
          <w:rFonts w:eastAsia="Batang" w:cs="Times New Roman"/>
          <w:szCs w:val="24"/>
        </w:rPr>
        <w:t>70,8</w:t>
      </w:r>
      <w:r w:rsidRPr="00AA3F66">
        <w:rPr>
          <w:rFonts w:eastAsia="Batang" w:cs="Times New Roman"/>
          <w:szCs w:val="24"/>
        </w:rPr>
        <w:t>%. ДЦК, емитирани на вътрешния пазар, държавните и държавните инвестиционни заеми са с намаляващ дял, който в края на 2026 г. достига съответно до 21,</w:t>
      </w:r>
      <w:r w:rsidR="00E02603">
        <w:rPr>
          <w:rFonts w:eastAsia="Batang" w:cs="Times New Roman"/>
          <w:szCs w:val="24"/>
        </w:rPr>
        <w:t>4</w:t>
      </w:r>
      <w:r w:rsidRPr="00AA3F66">
        <w:rPr>
          <w:rFonts w:eastAsia="Batang" w:cs="Times New Roman"/>
          <w:szCs w:val="24"/>
        </w:rPr>
        <w:t>%, 7,</w:t>
      </w:r>
      <w:r w:rsidR="00E02603">
        <w:rPr>
          <w:rFonts w:eastAsia="Batang" w:cs="Times New Roman"/>
          <w:szCs w:val="24"/>
        </w:rPr>
        <w:t>3</w:t>
      </w:r>
      <w:r w:rsidRPr="00AA3F66">
        <w:rPr>
          <w:rFonts w:eastAsia="Batang" w:cs="Times New Roman"/>
          <w:szCs w:val="24"/>
        </w:rPr>
        <w:t xml:space="preserve">% и 0,5%. </w:t>
      </w:r>
    </w:p>
    <w:p w:rsidR="0066555D" w:rsidRPr="00AA3F66" w:rsidRDefault="0066555D" w:rsidP="0066555D">
      <w:pPr>
        <w:rPr>
          <w:rFonts w:eastAsia="Batang" w:cs="Times New Roman"/>
          <w:szCs w:val="24"/>
        </w:rPr>
      </w:pPr>
      <w:r w:rsidRPr="00AA3F66">
        <w:rPr>
          <w:rFonts w:eastAsia="Batang" w:cs="Times New Roman"/>
          <w:i/>
          <w:szCs w:val="24"/>
        </w:rPr>
        <w:t>В структурата на държавните заеми по кредитори</w:t>
      </w:r>
      <w:r w:rsidRPr="00AA3F66">
        <w:rPr>
          <w:rFonts w:eastAsia="Batang" w:cs="Times New Roman"/>
          <w:szCs w:val="24"/>
        </w:rPr>
        <w:t xml:space="preserve"> към края на 2022 г. най-голям дял имат получените заеми от Европейски съюз (в т.ч. от ЕИБ и ЕК) – 84,8%. През следващите години се прогнозира запазване на доминантната му позиция, предвид нарастващата роля на инструментите на ЕС за подпомагане на процесите за възстановяване на икономиките на държавите членки. Очакванията са за нарастване на дела на заемите, получени от БРСЕ и достигане до 13,8% в края на периода, при намаляващ дял на заемите от МБВР (поради приключване на изпълняваните с помощта на банката проекти и преминаване към предоставянето на аналитични и консултантски услуги от МБВР по приоритетни за държавата направления) и на заемите с кредитори в раздел „Други“. </w:t>
      </w:r>
    </w:p>
    <w:p w:rsidR="0066555D" w:rsidRPr="00AA3F66" w:rsidRDefault="0066555D" w:rsidP="0066555D">
      <w:pPr>
        <w:rPr>
          <w:rFonts w:eastAsia="Batang" w:cs="Times New Roman"/>
          <w:szCs w:val="24"/>
          <w:highlight w:val="yellow"/>
        </w:rPr>
      </w:pPr>
      <w:r w:rsidRPr="00AA3F66">
        <w:rPr>
          <w:rFonts w:eastAsia="Batang" w:cs="Times New Roman"/>
          <w:i/>
          <w:szCs w:val="24"/>
        </w:rPr>
        <w:t xml:space="preserve">Лихвената и валутна структура </w:t>
      </w:r>
      <w:r w:rsidRPr="00AA3F66">
        <w:rPr>
          <w:rFonts w:eastAsia="Batang" w:cs="Times New Roman"/>
          <w:szCs w:val="24"/>
        </w:rPr>
        <w:t xml:space="preserve">на дълга към края на 2022 г. се характеризират с ясно изразен превес на задълженията с фиксиран лихвен процент от 99,2% и на евровия и левовия компонент на дълга – 99,9%, като тази тенденция се запазва през целия разглеждан период. Дългът с плаващи лихви е обвързан с </w:t>
      </w:r>
      <w:r w:rsidR="0078504B" w:rsidRPr="00AA3F66">
        <w:rPr>
          <w:rFonts w:eastAsia="Batang" w:cs="Times New Roman"/>
          <w:szCs w:val="24"/>
        </w:rPr>
        <w:t xml:space="preserve">индекса на </w:t>
      </w:r>
      <w:r w:rsidRPr="00AA3F66">
        <w:rPr>
          <w:rFonts w:eastAsia="Batang" w:cs="Times New Roman"/>
          <w:szCs w:val="24"/>
        </w:rPr>
        <w:t>6-месечния EURIBOR.</w:t>
      </w:r>
    </w:p>
    <w:p w:rsidR="00496C96" w:rsidRPr="00AA3F66" w:rsidRDefault="0066555D" w:rsidP="00FB2D71">
      <w:pPr>
        <w:rPr>
          <w:rFonts w:eastAsia="Batang"/>
          <w:szCs w:val="24"/>
        </w:rPr>
      </w:pPr>
      <w:r w:rsidRPr="00AA3F66">
        <w:rPr>
          <w:rFonts w:eastAsia="Batang"/>
          <w:b/>
          <w:szCs w:val="24"/>
        </w:rPr>
        <w:t>Лихвените разходи за обслужването на държавния дълг</w:t>
      </w:r>
      <w:r w:rsidRPr="00AA3F66">
        <w:rPr>
          <w:rFonts w:eastAsia="Batang"/>
          <w:szCs w:val="24"/>
        </w:rPr>
        <w:t xml:space="preserve"> през 2022 г. възлизат на 593,6 млн. лв., от които 485,0 млн. лв. по външния и 108,6 млн. лв. по вътрешния. През 2023 г. се очаква те да достигнат до 782,2 млн. лв. (665,3 млн. лв. по външния и 116,9 млн. лв. по вътрешния). Прогнозираното нарастване на размера на държавния дълг за периода 2024</w:t>
      </w:r>
      <w:r w:rsidRPr="00AA3F66">
        <w:rPr>
          <w:rFonts w:eastAsia="Batang"/>
          <w:b/>
          <w:szCs w:val="24"/>
        </w:rPr>
        <w:t>-</w:t>
      </w:r>
      <w:r w:rsidRPr="00AA3F66">
        <w:rPr>
          <w:rFonts w:eastAsia="Batang"/>
          <w:szCs w:val="24"/>
        </w:rPr>
        <w:t>2026 г., в комбинация с неблагоприятната конюнктура на местния и международ</w:t>
      </w:r>
      <w:r w:rsidR="00E376DC">
        <w:rPr>
          <w:rFonts w:eastAsia="Batang"/>
          <w:szCs w:val="24"/>
        </w:rPr>
        <w:t>ните</w:t>
      </w:r>
      <w:r w:rsidRPr="00AA3F66">
        <w:rPr>
          <w:rFonts w:eastAsia="Batang"/>
          <w:szCs w:val="24"/>
        </w:rPr>
        <w:t xml:space="preserve"> пазар</w:t>
      </w:r>
      <w:r w:rsidR="00E376DC">
        <w:rPr>
          <w:rFonts w:eastAsia="Batang"/>
          <w:szCs w:val="24"/>
        </w:rPr>
        <w:t>и</w:t>
      </w:r>
      <w:r w:rsidRPr="00AA3F66">
        <w:rPr>
          <w:rFonts w:eastAsia="Batang"/>
          <w:szCs w:val="24"/>
        </w:rPr>
        <w:t xml:space="preserve"> на суверенен дълг, ще обусловят и по-негативната динамика на лихвените разходи за обслужването на държавния дълг в средносрочен хоризонт, като предвижданията са през периода 2024</w:t>
      </w:r>
      <w:r w:rsidRPr="00AA3F66">
        <w:rPr>
          <w:rFonts w:eastAsia="Batang"/>
          <w:b/>
          <w:szCs w:val="24"/>
        </w:rPr>
        <w:t>-</w:t>
      </w:r>
      <w:r w:rsidRPr="00AA3F66">
        <w:rPr>
          <w:rFonts w:eastAsia="Batang"/>
          <w:szCs w:val="24"/>
        </w:rPr>
        <w:t xml:space="preserve">2026 г. разходите за лихви да се увеличат, достигайки до 966,8 млн. лв. през 2024 г. (0,5% от БВП), </w:t>
      </w:r>
      <w:r w:rsidR="00E376DC" w:rsidRPr="00E376DC">
        <w:rPr>
          <w:rFonts w:eastAsia="Batang"/>
          <w:szCs w:val="24"/>
        </w:rPr>
        <w:t>1 485,7</w:t>
      </w:r>
      <w:r w:rsidRPr="00AA3F66">
        <w:rPr>
          <w:rFonts w:eastAsia="Batang"/>
          <w:szCs w:val="24"/>
        </w:rPr>
        <w:t xml:space="preserve"> млн. лв. през 2025 г. (0,7% от БВП) и </w:t>
      </w:r>
      <w:r w:rsidR="00E376DC" w:rsidRPr="00E376DC">
        <w:rPr>
          <w:rFonts w:eastAsia="Batang"/>
          <w:szCs w:val="24"/>
        </w:rPr>
        <w:t>2 203,6</w:t>
      </w:r>
      <w:r w:rsidRPr="00AA3F66">
        <w:rPr>
          <w:rFonts w:eastAsia="Batang"/>
          <w:szCs w:val="24"/>
        </w:rPr>
        <w:t xml:space="preserve"> млн. лв. през 2026 г. (1,0% от БВП). Съотношението на лихвените разходи към прогнозния БВП за целия период остава под 1,0%.</w:t>
      </w:r>
    </w:p>
    <w:p w:rsidR="0066555D" w:rsidRDefault="00082029" w:rsidP="0066555D">
      <w:pPr>
        <w:pStyle w:val="Caption"/>
        <w:spacing w:after="240"/>
        <w:ind w:left="0" w:firstLine="0"/>
      </w:pPr>
      <w:r w:rsidRPr="00AA3F66">
        <w:t xml:space="preserve">Граф. </w:t>
      </w:r>
      <w:fldSimple w:instr=" STYLEREF 1 \s ">
        <w:r w:rsidR="005A69ED">
          <w:rPr>
            <w:noProof/>
          </w:rPr>
          <w:t>VI</w:t>
        </w:r>
      </w:fldSimple>
      <w:r w:rsidRPr="00AA3F66">
        <w:noBreakHyphen/>
      </w:r>
      <w:fldSimple w:instr=" SEQ Граф. \* ARABIC \s 1 ">
        <w:r w:rsidR="005A69ED">
          <w:rPr>
            <w:noProof/>
          </w:rPr>
          <w:t>2</w:t>
        </w:r>
      </w:fldSimple>
      <w:r w:rsidRPr="00AA3F66">
        <w:t>: Съотношение на лихвените разходи към БВП</w:t>
      </w:r>
      <w:r w:rsidR="00343886" w:rsidRPr="00AA3F66">
        <w:t xml:space="preserve"> по държавния бюджет</w:t>
      </w:r>
      <w:r w:rsidR="002B3BD5" w:rsidRPr="00AA3F66">
        <w:t>*</w:t>
      </w:r>
    </w:p>
    <w:p w:rsidR="002B3BD5" w:rsidRPr="00AA3F66" w:rsidRDefault="00E376DC" w:rsidP="00614E05">
      <w:r>
        <w:rPr>
          <w:noProof/>
        </w:rPr>
        <w:drawing>
          <wp:inline distT="0" distB="0" distL="0" distR="0" wp14:anchorId="0D6A1053" wp14:editId="3900F760">
            <wp:extent cx="5715000" cy="2895600"/>
            <wp:effectExtent l="0" t="0" r="0" b="0"/>
            <wp:docPr id="24" name="Chart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2B3BD5" w:rsidRPr="00AA3F66" w:rsidRDefault="00496C96" w:rsidP="00496C96">
      <w:pPr>
        <w:spacing w:after="0"/>
        <w:rPr>
          <w:rFonts w:eastAsia="Times New Roman" w:cs="Times New Roman"/>
          <w:i/>
          <w:iCs/>
          <w:color w:val="000000"/>
          <w:sz w:val="18"/>
          <w:szCs w:val="20"/>
        </w:rPr>
      </w:pPr>
      <w:r w:rsidRPr="00AA3F66">
        <w:rPr>
          <w:rFonts w:eastAsia="Times New Roman" w:cs="Times New Roman"/>
          <w:i/>
          <w:iCs/>
          <w:color w:val="000000"/>
          <w:sz w:val="18"/>
          <w:szCs w:val="20"/>
        </w:rPr>
        <w:t xml:space="preserve">* </w:t>
      </w:r>
      <w:r w:rsidR="002B3BD5" w:rsidRPr="00AA3F66">
        <w:rPr>
          <w:rFonts w:eastAsia="Times New Roman" w:cs="Times New Roman"/>
          <w:i/>
          <w:iCs/>
          <w:color w:val="000000"/>
          <w:sz w:val="18"/>
          <w:szCs w:val="20"/>
        </w:rPr>
        <w:t>Поради закръгления сумарните позиции не се изчерпват от съставните им</w:t>
      </w:r>
      <w:r w:rsidRPr="00AA3F66">
        <w:rPr>
          <w:rFonts w:eastAsia="Times New Roman" w:cs="Times New Roman"/>
          <w:i/>
          <w:iCs/>
          <w:color w:val="000000"/>
          <w:sz w:val="18"/>
          <w:szCs w:val="20"/>
        </w:rPr>
        <w:t xml:space="preserve"> числа.</w:t>
      </w:r>
    </w:p>
    <w:p w:rsidR="00C22BE1" w:rsidRPr="00AA3F66" w:rsidRDefault="0058553F" w:rsidP="002C702B">
      <w:pPr>
        <w:jc w:val="right"/>
        <w:rPr>
          <w:rFonts w:eastAsia="Times New Roman" w:cs="Times New Roman"/>
          <w:sz w:val="18"/>
          <w:szCs w:val="18"/>
        </w:rPr>
      </w:pPr>
      <w:r w:rsidRPr="00AA3F66">
        <w:rPr>
          <w:rFonts w:eastAsia="Times New Roman" w:cs="Times New Roman"/>
          <w:sz w:val="18"/>
          <w:szCs w:val="18"/>
        </w:rPr>
        <w:t xml:space="preserve">Източник: </w:t>
      </w:r>
      <w:r w:rsidR="002C702B" w:rsidRPr="00AA3F66">
        <w:rPr>
          <w:rFonts w:eastAsia="Times New Roman" w:cs="Times New Roman"/>
          <w:sz w:val="18"/>
          <w:szCs w:val="18"/>
        </w:rPr>
        <w:t>МФ</w:t>
      </w:r>
    </w:p>
    <w:p w:rsidR="00D427A3" w:rsidRPr="00AA3F66" w:rsidRDefault="00853713" w:rsidP="00A640E2">
      <w:pPr>
        <w:pStyle w:val="Heading2"/>
      </w:pPr>
      <w:bookmarkStart w:id="459" w:name="_Toc151557310"/>
      <w:bookmarkStart w:id="460" w:name="_Toc464224812"/>
      <w:bookmarkStart w:id="461" w:name="_Toc464225462"/>
      <w:bookmarkStart w:id="462" w:name="_Toc464459009"/>
      <w:bookmarkStart w:id="463" w:name="_Toc464459757"/>
      <w:bookmarkStart w:id="464" w:name="_Toc464460710"/>
      <w:bookmarkStart w:id="465" w:name="_Toc464463109"/>
      <w:bookmarkStart w:id="466" w:name="_Toc464464938"/>
      <w:bookmarkStart w:id="467" w:name="_Toc464465445"/>
      <w:bookmarkStart w:id="468" w:name="_Toc464465631"/>
      <w:bookmarkStart w:id="469" w:name="_Toc464466456"/>
      <w:bookmarkStart w:id="470" w:name="_Toc464466700"/>
      <w:bookmarkStart w:id="471" w:name="_Toc464645020"/>
      <w:bookmarkStart w:id="472" w:name="_Toc465205570"/>
      <w:r w:rsidRPr="00AA3F66">
        <w:t>Д</w:t>
      </w:r>
      <w:r w:rsidR="00D427A3" w:rsidRPr="00AA3F66">
        <w:t>ържавногарантиран дълг</w:t>
      </w:r>
      <w:bookmarkEnd w:id="459"/>
    </w:p>
    <w:bookmarkEnd w:id="460"/>
    <w:bookmarkEnd w:id="461"/>
    <w:bookmarkEnd w:id="462"/>
    <w:bookmarkEnd w:id="463"/>
    <w:bookmarkEnd w:id="464"/>
    <w:bookmarkEnd w:id="465"/>
    <w:bookmarkEnd w:id="466"/>
    <w:bookmarkEnd w:id="467"/>
    <w:bookmarkEnd w:id="468"/>
    <w:bookmarkEnd w:id="469"/>
    <w:bookmarkEnd w:id="470"/>
    <w:bookmarkEnd w:id="471"/>
    <w:bookmarkEnd w:id="472"/>
    <w:p w:rsidR="000D6A98" w:rsidRPr="00AA3F66" w:rsidRDefault="000D6A98" w:rsidP="000D6A98">
      <w:pPr>
        <w:rPr>
          <w:rFonts w:eastAsia="Batang" w:cs="Times New Roman"/>
          <w:szCs w:val="24"/>
        </w:rPr>
      </w:pPr>
      <w:r w:rsidRPr="00AA3F66">
        <w:rPr>
          <w:rFonts w:eastAsia="Batang" w:cs="Times New Roman"/>
          <w:szCs w:val="24"/>
        </w:rPr>
        <w:t>Към края на 2022 г. държавногарантираният дълг възлиза на 1,7 млрд. лв., при съотношение към БВП от 1,0%. Основната част от него се формира от външни заеми – 96,3%. Доминиращ дял от държавните гаранции имат издадените за сектор „Финансов“ – 58,6%, следвани от сектор „Инструменти на ЕС“ – 18,0%, сектор „Енергетика“ – 12,6%, сектор „Транспорт“ – 4,9%, сектор „Образование“ - 3,7% и сектор „Други“ – 2,1%.</w:t>
      </w:r>
      <w:r w:rsidR="00FB452F" w:rsidRPr="00AA3F66">
        <w:rPr>
          <w:rFonts w:eastAsia="Batang" w:cs="Times New Roman"/>
          <w:szCs w:val="24"/>
        </w:rPr>
        <w:t xml:space="preserve"> Към края на 2023 г. се очаква запазване на нивото на държавногарантирания дълг от предходната година, при намаляване на съотношение към БВП до 0,9%.</w:t>
      </w:r>
    </w:p>
    <w:p w:rsidR="00E376DC" w:rsidRDefault="000D6A98" w:rsidP="000D6A98">
      <w:pPr>
        <w:rPr>
          <w:rFonts w:eastAsia="Batang" w:cs="Times New Roman"/>
          <w:szCs w:val="24"/>
        </w:rPr>
      </w:pPr>
      <w:r w:rsidRPr="00AA3F66">
        <w:rPr>
          <w:rFonts w:eastAsia="Batang" w:cs="Times New Roman"/>
          <w:szCs w:val="24"/>
        </w:rPr>
        <w:t xml:space="preserve">През 2023 г. е ратифицирано със закон от Народното събрание </w:t>
      </w:r>
      <w:r w:rsidR="00D93D39" w:rsidRPr="00AA3F66">
        <w:rPr>
          <w:rFonts w:eastAsia="Batang" w:cs="Times New Roman"/>
          <w:szCs w:val="24"/>
        </w:rPr>
        <w:t xml:space="preserve">(ДВ, бр. 14 от 2023 г.), </w:t>
      </w:r>
      <w:r w:rsidRPr="00AA3F66">
        <w:rPr>
          <w:rFonts w:eastAsia="Batang" w:cs="Times New Roman"/>
          <w:szCs w:val="24"/>
        </w:rPr>
        <w:t>Гаранционното споразумение между Република България и ИНГ Банк Н.В. („ИНГ Банк“) във връзка с договора за</w:t>
      </w:r>
      <w:r w:rsidR="00D93D39" w:rsidRPr="00AA3F66">
        <w:rPr>
          <w:rFonts w:eastAsia="Batang" w:cs="Times New Roman"/>
          <w:szCs w:val="24"/>
        </w:rPr>
        <w:t xml:space="preserve"> дългосрочен</w:t>
      </w:r>
      <w:r w:rsidRPr="00AA3F66">
        <w:rPr>
          <w:rFonts w:eastAsia="Batang" w:cs="Times New Roman"/>
          <w:szCs w:val="24"/>
        </w:rPr>
        <w:t xml:space="preserve"> кредит, сключен през януари 2023 г. между ИНГ Банк Н.В. и „Булгартрансгаз“ ЕАД</w:t>
      </w:r>
      <w:r w:rsidR="00D93D39" w:rsidRPr="00AA3F66">
        <w:rPr>
          <w:rFonts w:eastAsia="Batang" w:cs="Times New Roman"/>
          <w:szCs w:val="24"/>
        </w:rPr>
        <w:t>,</w:t>
      </w:r>
      <w:r w:rsidRPr="00AA3F66">
        <w:rPr>
          <w:rFonts w:eastAsia="Batang" w:cs="Times New Roman"/>
          <w:szCs w:val="24"/>
        </w:rPr>
        <w:t xml:space="preserve"> за финансиране на Проекта от общ интерес 6.8.3. Междусистемна газова връзка България – Сърбия в размер на 49,1 млн. евро (96,0 млн. лв.) и Гаранционното споразумение по заема за ББР с кредитор ЕИБ на стойност 175</w:t>
      </w:r>
      <w:r w:rsidR="00087E05" w:rsidRPr="00AA3F66">
        <w:rPr>
          <w:rFonts w:eastAsia="Batang" w:cs="Times New Roman"/>
          <w:szCs w:val="24"/>
        </w:rPr>
        <w:t>,0</w:t>
      </w:r>
      <w:r w:rsidRPr="00AA3F66">
        <w:rPr>
          <w:rFonts w:eastAsia="Batang" w:cs="Times New Roman"/>
          <w:szCs w:val="24"/>
        </w:rPr>
        <w:t xml:space="preserve"> млн. евро за финансиране на кредитни програми за малкия и средния бизнес.</w:t>
      </w:r>
    </w:p>
    <w:p w:rsidR="00E376DC" w:rsidRPr="00B36146" w:rsidRDefault="00E376DC" w:rsidP="00E376DC">
      <w:pPr>
        <w:rPr>
          <w:rFonts w:eastAsia="Batang" w:cs="Times New Roman"/>
          <w:szCs w:val="24"/>
        </w:rPr>
      </w:pPr>
      <w:r>
        <w:rPr>
          <w:rFonts w:eastAsia="Batang" w:cs="Times New Roman"/>
          <w:szCs w:val="24"/>
        </w:rPr>
        <w:t>П</w:t>
      </w:r>
      <w:r w:rsidRPr="00B36146">
        <w:rPr>
          <w:rFonts w:eastAsia="Batang" w:cs="Times New Roman"/>
          <w:szCs w:val="24"/>
        </w:rPr>
        <w:t>редстои НС да ратифицира гаранционните споразумения по държавногарантирания заем между ББР и БРСЕ на стойност 175</w:t>
      </w:r>
      <w:r>
        <w:rPr>
          <w:rFonts w:eastAsia="Batang" w:cs="Times New Roman"/>
          <w:szCs w:val="24"/>
        </w:rPr>
        <w:t>,0</w:t>
      </w:r>
      <w:r w:rsidRPr="00B36146">
        <w:rPr>
          <w:rFonts w:eastAsia="Batang" w:cs="Times New Roman"/>
          <w:szCs w:val="24"/>
        </w:rPr>
        <w:t xml:space="preserve"> млн. евро </w:t>
      </w:r>
      <w:r w:rsidRPr="00350EE9">
        <w:rPr>
          <w:rFonts w:eastAsia="Batang" w:cs="Times New Roman"/>
          <w:szCs w:val="24"/>
        </w:rPr>
        <w:t>(342,3 млн. лв.)</w:t>
      </w:r>
      <w:r>
        <w:rPr>
          <w:rFonts w:eastAsia="Batang" w:cs="Times New Roman"/>
          <w:szCs w:val="24"/>
        </w:rPr>
        <w:t xml:space="preserve"> </w:t>
      </w:r>
      <w:r w:rsidRPr="00B36146">
        <w:rPr>
          <w:rFonts w:eastAsia="Batang" w:cs="Times New Roman"/>
          <w:szCs w:val="24"/>
        </w:rPr>
        <w:t xml:space="preserve">за подкрепа на микро-, малки и средни предприятия за създаването и запазването на жизнеспособни работни места и опазване на околната среда (подписан и внесен за ратификация през м. юли 2023 г.) и по новите заемни споразумения за предоставяне на извънредна макрофинансова помощ от ЕС на Украйна в размер до левовата равностойност на 16,7 млн. евро </w:t>
      </w:r>
      <w:r w:rsidRPr="00350EE9">
        <w:rPr>
          <w:rFonts w:eastAsia="Batang" w:cs="Times New Roman"/>
          <w:szCs w:val="24"/>
        </w:rPr>
        <w:t>(32,7 млн. лв.)</w:t>
      </w:r>
      <w:r>
        <w:rPr>
          <w:rFonts w:eastAsia="Batang" w:cs="Times New Roman"/>
          <w:szCs w:val="24"/>
        </w:rPr>
        <w:t xml:space="preserve"> - </w:t>
      </w:r>
      <w:r w:rsidRPr="00B36146">
        <w:rPr>
          <w:rFonts w:eastAsia="Batang" w:cs="Times New Roman"/>
          <w:szCs w:val="24"/>
        </w:rPr>
        <w:t>внесен в НС за ратификация през м. юли 2023 г.</w:t>
      </w:r>
    </w:p>
    <w:p w:rsidR="00E376DC" w:rsidRPr="00B36146" w:rsidRDefault="00E376DC" w:rsidP="00E376DC">
      <w:pPr>
        <w:rPr>
          <w:rFonts w:eastAsia="Batang" w:cs="Times New Roman"/>
          <w:szCs w:val="24"/>
        </w:rPr>
      </w:pPr>
      <w:r w:rsidRPr="00B36146">
        <w:rPr>
          <w:rFonts w:eastAsia="Batang" w:cs="Times New Roman"/>
          <w:szCs w:val="24"/>
        </w:rPr>
        <w:t>Предлага се в ПЗДБРБ за 2024 г. да бъде продължена възможността за издаване на предвидените в ЗДБРБ за 2023 г. гаранции, по нови заемни споразумения за плащания на „Булгаргаз“ ЕАД в размер на 150</w:t>
      </w:r>
      <w:r>
        <w:rPr>
          <w:rFonts w:eastAsia="Batang" w:cs="Times New Roman"/>
          <w:szCs w:val="24"/>
        </w:rPr>
        <w:t>,0</w:t>
      </w:r>
      <w:r w:rsidRPr="00B36146">
        <w:rPr>
          <w:rFonts w:eastAsia="Batang" w:cs="Times New Roman"/>
          <w:szCs w:val="24"/>
        </w:rPr>
        <w:t xml:space="preserve"> млн. евро </w:t>
      </w:r>
      <w:r w:rsidRPr="00350EE9">
        <w:rPr>
          <w:rFonts w:eastAsia="Batang" w:cs="Times New Roman"/>
          <w:szCs w:val="24"/>
        </w:rPr>
        <w:t>(293,4 млн. лв.)</w:t>
      </w:r>
      <w:r>
        <w:rPr>
          <w:rFonts w:eastAsia="Batang" w:cs="Times New Roman"/>
          <w:szCs w:val="24"/>
        </w:rPr>
        <w:t xml:space="preserve"> </w:t>
      </w:r>
      <w:r w:rsidRPr="00B36146">
        <w:rPr>
          <w:rFonts w:eastAsia="Batang" w:cs="Times New Roman"/>
          <w:szCs w:val="24"/>
        </w:rPr>
        <w:t>и за инвестиции на „Булгартрансгаз“ ЕАД по проект от общ интерес 6.20.2 „Разширение на капацитета на ПГХ</w:t>
      </w:r>
      <w:r>
        <w:rPr>
          <w:rStyle w:val="FootnoteReference"/>
          <w:rFonts w:eastAsia="Batang"/>
          <w:szCs w:val="24"/>
        </w:rPr>
        <w:footnoteReference w:id="42"/>
      </w:r>
      <w:r w:rsidRPr="00B36146">
        <w:rPr>
          <w:rFonts w:eastAsia="Batang" w:cs="Times New Roman"/>
          <w:szCs w:val="24"/>
        </w:rPr>
        <w:t xml:space="preserve"> „Чирен“ в размер до левовата равностойност на 207 586 411 евро</w:t>
      </w:r>
      <w:r>
        <w:rPr>
          <w:rFonts w:eastAsia="Batang" w:cs="Times New Roman"/>
          <w:szCs w:val="24"/>
        </w:rPr>
        <w:t xml:space="preserve"> </w:t>
      </w:r>
      <w:r w:rsidRPr="00350EE9">
        <w:rPr>
          <w:rFonts w:eastAsia="Batang" w:cs="Times New Roman"/>
          <w:szCs w:val="24"/>
        </w:rPr>
        <w:t>(406,0 млн. лв.)</w:t>
      </w:r>
      <w:r w:rsidRPr="00B36146">
        <w:rPr>
          <w:rFonts w:eastAsia="Batang" w:cs="Times New Roman"/>
          <w:szCs w:val="24"/>
        </w:rPr>
        <w:t xml:space="preserve">. </w:t>
      </w:r>
    </w:p>
    <w:p w:rsidR="00E376DC" w:rsidRPr="00B36146" w:rsidRDefault="00E376DC" w:rsidP="00E376DC">
      <w:pPr>
        <w:rPr>
          <w:rFonts w:eastAsia="Batang" w:cs="Times New Roman"/>
          <w:szCs w:val="24"/>
        </w:rPr>
      </w:pPr>
      <w:r w:rsidRPr="00350EE9">
        <w:rPr>
          <w:rFonts w:eastAsia="Batang" w:cs="Times New Roman"/>
          <w:szCs w:val="24"/>
        </w:rPr>
        <w:t>В проекта на Закон за държавния бюджет на Република България за 2024 г. е включена възможност за издаване на държавни гаранции</w:t>
      </w:r>
      <w:r>
        <w:rPr>
          <w:rFonts w:eastAsia="Batang" w:cs="Times New Roman"/>
          <w:szCs w:val="24"/>
        </w:rPr>
        <w:t xml:space="preserve"> по нови заемни споразумения</w:t>
      </w:r>
      <w:r w:rsidRPr="00350EE9">
        <w:rPr>
          <w:rFonts w:eastAsia="Batang" w:cs="Times New Roman"/>
          <w:szCs w:val="24"/>
        </w:rPr>
        <w:t xml:space="preserve"> в максимален размер до 4,5 млрд. лв. От тях </w:t>
      </w:r>
      <w:r w:rsidRPr="00B36146">
        <w:rPr>
          <w:rFonts w:eastAsia="Batang" w:cs="Times New Roman"/>
          <w:szCs w:val="24"/>
        </w:rPr>
        <w:t xml:space="preserve">4,4 млрд. лв. </w:t>
      </w:r>
      <w:r>
        <w:rPr>
          <w:rFonts w:eastAsia="Batang" w:cs="Times New Roman"/>
          <w:szCs w:val="24"/>
        </w:rPr>
        <w:t xml:space="preserve">са </w:t>
      </w:r>
      <w:r w:rsidRPr="00B36146">
        <w:rPr>
          <w:rFonts w:eastAsia="Batang" w:cs="Times New Roman"/>
          <w:szCs w:val="24"/>
        </w:rPr>
        <w:t>нови държавни гаранции по Закона за държавния дълг</w:t>
      </w:r>
      <w:r>
        <w:rPr>
          <w:rFonts w:eastAsia="Batang" w:cs="Times New Roman"/>
          <w:szCs w:val="24"/>
        </w:rPr>
        <w:t xml:space="preserve"> във връзка с финансирането на следните проекти</w:t>
      </w:r>
      <w:r w:rsidRPr="00B36146">
        <w:rPr>
          <w:rFonts w:eastAsia="Batang" w:cs="Times New Roman"/>
          <w:szCs w:val="24"/>
        </w:rPr>
        <w:t>:</w:t>
      </w:r>
    </w:p>
    <w:p w:rsidR="00E376DC" w:rsidRDefault="00E376DC" w:rsidP="00E376DC">
      <w:pPr>
        <w:ind w:left="720" w:hanging="270"/>
        <w:rPr>
          <w:rFonts w:eastAsia="Batang" w:cs="Times New Roman"/>
          <w:szCs w:val="24"/>
        </w:rPr>
      </w:pPr>
      <w:r w:rsidRPr="00B36146">
        <w:rPr>
          <w:rFonts w:eastAsia="Batang" w:cs="Times New Roman"/>
          <w:szCs w:val="24"/>
        </w:rPr>
        <w:t>-</w:t>
      </w:r>
      <w:r w:rsidRPr="00B36146">
        <w:rPr>
          <w:rFonts w:eastAsia="Batang" w:cs="Times New Roman"/>
          <w:szCs w:val="24"/>
        </w:rPr>
        <w:tab/>
        <w:t>проект „Модернизация и рехабилитация на ПАВЕЦ</w:t>
      </w:r>
      <w:r>
        <w:rPr>
          <w:rStyle w:val="FootnoteReference"/>
          <w:rFonts w:eastAsia="Batang"/>
          <w:szCs w:val="24"/>
        </w:rPr>
        <w:footnoteReference w:id="43"/>
      </w:r>
      <w:r w:rsidRPr="00B36146">
        <w:rPr>
          <w:rFonts w:eastAsia="Batang" w:cs="Times New Roman"/>
          <w:szCs w:val="24"/>
        </w:rPr>
        <w:t xml:space="preserve"> „Чаира“ в размер до валутната равностойност на 80</w:t>
      </w:r>
      <w:r>
        <w:rPr>
          <w:rFonts w:eastAsia="Batang" w:cs="Times New Roman"/>
          <w:szCs w:val="24"/>
        </w:rPr>
        <w:t>,0</w:t>
      </w:r>
      <w:r w:rsidRPr="00B36146">
        <w:rPr>
          <w:rFonts w:eastAsia="Batang" w:cs="Times New Roman"/>
          <w:szCs w:val="24"/>
        </w:rPr>
        <w:t xml:space="preserve"> млн. лв.</w:t>
      </w:r>
      <w:r>
        <w:rPr>
          <w:rFonts w:eastAsia="Batang" w:cs="Times New Roman"/>
          <w:szCs w:val="24"/>
        </w:rPr>
        <w:t>,</w:t>
      </w:r>
      <w:r w:rsidRPr="00350EE9">
        <w:t xml:space="preserve"> </w:t>
      </w:r>
      <w:r w:rsidRPr="00350EE9">
        <w:rPr>
          <w:rFonts w:eastAsia="Batang" w:cs="Times New Roman"/>
          <w:szCs w:val="24"/>
        </w:rPr>
        <w:t>при спазване на законодателството в областта на държавните помощи</w:t>
      </w:r>
      <w:r>
        <w:rPr>
          <w:rFonts w:eastAsia="Batang" w:cs="Times New Roman"/>
          <w:szCs w:val="24"/>
        </w:rPr>
        <w:t>;</w:t>
      </w:r>
      <w:r w:rsidRPr="00B36146">
        <w:rPr>
          <w:rFonts w:eastAsia="Batang" w:cs="Times New Roman"/>
          <w:szCs w:val="24"/>
        </w:rPr>
        <w:t xml:space="preserve"> </w:t>
      </w:r>
    </w:p>
    <w:p w:rsidR="00E376DC" w:rsidRPr="00B36146" w:rsidRDefault="00E376DC" w:rsidP="00E376DC">
      <w:pPr>
        <w:ind w:left="720" w:hanging="270"/>
        <w:rPr>
          <w:rFonts w:eastAsia="Batang" w:cs="Times New Roman"/>
          <w:szCs w:val="24"/>
        </w:rPr>
      </w:pPr>
      <w:r>
        <w:rPr>
          <w:rFonts w:eastAsia="Batang" w:cs="Times New Roman"/>
          <w:szCs w:val="24"/>
        </w:rPr>
        <w:t xml:space="preserve">- </w:t>
      </w:r>
      <w:r w:rsidRPr="00B36146">
        <w:rPr>
          <w:rFonts w:eastAsia="Batang" w:cs="Times New Roman"/>
          <w:szCs w:val="24"/>
        </w:rPr>
        <w:t>проект „Увеличаване обема на долния изравнител на ПАВЕЦ „Чаира“ с изграждането на язовир „Яденица“ и реверсивен напорен тунел за връзка с язовир „Чаира“ в размер до валутната равностойност на 75</w:t>
      </w:r>
      <w:r>
        <w:rPr>
          <w:rFonts w:eastAsia="Batang" w:cs="Times New Roman"/>
          <w:szCs w:val="24"/>
        </w:rPr>
        <w:t>,0</w:t>
      </w:r>
      <w:r w:rsidRPr="00B36146">
        <w:rPr>
          <w:rFonts w:eastAsia="Batang" w:cs="Times New Roman"/>
          <w:szCs w:val="24"/>
        </w:rPr>
        <w:t xml:space="preserve"> млн. лв.</w:t>
      </w:r>
      <w:r>
        <w:rPr>
          <w:rFonts w:eastAsia="Batang" w:cs="Times New Roman"/>
          <w:szCs w:val="24"/>
        </w:rPr>
        <w:t xml:space="preserve">, </w:t>
      </w:r>
      <w:r w:rsidRPr="00350EE9">
        <w:rPr>
          <w:rFonts w:eastAsia="Batang" w:cs="Times New Roman"/>
          <w:szCs w:val="24"/>
        </w:rPr>
        <w:t>при спазване на законодателството в областта на държавните помощи</w:t>
      </w:r>
      <w:r w:rsidRPr="00B36146">
        <w:rPr>
          <w:rFonts w:eastAsia="Batang" w:cs="Times New Roman"/>
          <w:szCs w:val="24"/>
        </w:rPr>
        <w:t>;</w:t>
      </w:r>
    </w:p>
    <w:p w:rsidR="00E376DC" w:rsidRPr="00B36146" w:rsidRDefault="00E376DC" w:rsidP="00E376DC">
      <w:pPr>
        <w:ind w:left="720" w:hanging="270"/>
        <w:rPr>
          <w:rFonts w:eastAsia="Batang" w:cs="Times New Roman"/>
          <w:szCs w:val="24"/>
        </w:rPr>
      </w:pPr>
      <w:r w:rsidRPr="00B36146">
        <w:rPr>
          <w:rFonts w:eastAsia="Batang" w:cs="Times New Roman"/>
          <w:szCs w:val="24"/>
        </w:rPr>
        <w:t>-</w:t>
      </w:r>
      <w:r w:rsidRPr="00B36146">
        <w:rPr>
          <w:rFonts w:eastAsia="Batang" w:cs="Times New Roman"/>
          <w:szCs w:val="24"/>
        </w:rPr>
        <w:tab/>
        <w:t>проект „Изграждане на нова ядрена мощност от най-ново поколение на площадка</w:t>
      </w:r>
      <w:r>
        <w:rPr>
          <w:rFonts w:eastAsia="Batang" w:cs="Times New Roman"/>
          <w:szCs w:val="24"/>
        </w:rPr>
        <w:t>та</w:t>
      </w:r>
      <w:r w:rsidRPr="00B36146">
        <w:rPr>
          <w:rFonts w:eastAsia="Batang" w:cs="Times New Roman"/>
          <w:szCs w:val="24"/>
        </w:rPr>
        <w:t xml:space="preserve"> на АЕЦ</w:t>
      </w:r>
      <w:r>
        <w:rPr>
          <w:rStyle w:val="FootnoteReference"/>
          <w:rFonts w:eastAsia="Batang"/>
          <w:szCs w:val="24"/>
        </w:rPr>
        <w:footnoteReference w:id="44"/>
      </w:r>
      <w:r w:rsidRPr="00B36146">
        <w:rPr>
          <w:rFonts w:eastAsia="Batang" w:cs="Times New Roman"/>
          <w:szCs w:val="24"/>
        </w:rPr>
        <w:t xml:space="preserve"> „Козлодуй“ (7 блок) в размер до левовата равностойност на 1 500 417 089 евро </w:t>
      </w:r>
      <w:r>
        <w:rPr>
          <w:rFonts w:eastAsia="Batang" w:cs="Times New Roman"/>
          <w:szCs w:val="24"/>
          <w:lang w:val="en-US"/>
        </w:rPr>
        <w:t>(</w:t>
      </w:r>
      <w:r w:rsidRPr="006E0DC0">
        <w:rPr>
          <w:rFonts w:eastAsia="Times New Roman" w:cs="Times New Roman"/>
          <w:color w:val="000000"/>
          <w:szCs w:val="24"/>
        </w:rPr>
        <w:t>2 934 560</w:t>
      </w:r>
      <w:r>
        <w:rPr>
          <w:rFonts w:eastAsia="Times New Roman" w:cs="Times New Roman"/>
          <w:color w:val="000000"/>
          <w:szCs w:val="24"/>
        </w:rPr>
        <w:t> </w:t>
      </w:r>
      <w:r w:rsidRPr="006E0DC0">
        <w:rPr>
          <w:rFonts w:eastAsia="Times New Roman" w:cs="Times New Roman"/>
          <w:color w:val="000000"/>
          <w:szCs w:val="24"/>
        </w:rPr>
        <w:t>755</w:t>
      </w:r>
      <w:r>
        <w:rPr>
          <w:rFonts w:eastAsia="Times New Roman" w:cs="Times New Roman"/>
          <w:color w:val="000000"/>
          <w:szCs w:val="24"/>
        </w:rPr>
        <w:t xml:space="preserve"> </w:t>
      </w:r>
      <w:r>
        <w:rPr>
          <w:rFonts w:eastAsia="Batang" w:cs="Times New Roman"/>
          <w:szCs w:val="24"/>
        </w:rPr>
        <w:t>лв.</w:t>
      </w:r>
      <w:r>
        <w:rPr>
          <w:rFonts w:eastAsia="Batang" w:cs="Times New Roman"/>
          <w:szCs w:val="24"/>
          <w:lang w:val="en-US"/>
        </w:rPr>
        <w:t>)</w:t>
      </w:r>
      <w:r>
        <w:rPr>
          <w:rFonts w:eastAsia="Batang" w:cs="Times New Roman"/>
          <w:szCs w:val="24"/>
        </w:rPr>
        <w:t xml:space="preserve">, </w:t>
      </w:r>
      <w:r w:rsidRPr="00B36146">
        <w:rPr>
          <w:rFonts w:eastAsia="Batang" w:cs="Times New Roman"/>
          <w:szCs w:val="24"/>
        </w:rPr>
        <w:t>при спазване на законодателството в областта на държавните помощи;</w:t>
      </w:r>
    </w:p>
    <w:p w:rsidR="00E376DC" w:rsidRPr="00B36146" w:rsidRDefault="00E376DC" w:rsidP="00E376DC">
      <w:pPr>
        <w:ind w:left="720" w:hanging="270"/>
        <w:rPr>
          <w:rFonts w:eastAsia="Batang" w:cs="Times New Roman"/>
          <w:szCs w:val="24"/>
        </w:rPr>
      </w:pPr>
      <w:r w:rsidRPr="00B36146">
        <w:rPr>
          <w:rFonts w:eastAsia="Batang" w:cs="Times New Roman"/>
          <w:szCs w:val="24"/>
        </w:rPr>
        <w:t>-</w:t>
      </w:r>
      <w:r w:rsidRPr="00B36146">
        <w:rPr>
          <w:rFonts w:eastAsia="Batang" w:cs="Times New Roman"/>
          <w:szCs w:val="24"/>
        </w:rPr>
        <w:tab/>
        <w:t xml:space="preserve">проект „Придобиване на </w:t>
      </w:r>
      <w:r>
        <w:rPr>
          <w:rFonts w:eastAsia="Batang" w:cs="Times New Roman"/>
          <w:szCs w:val="24"/>
        </w:rPr>
        <w:t xml:space="preserve">подвижен </w:t>
      </w:r>
      <w:r w:rsidRPr="00B36146">
        <w:rPr>
          <w:rFonts w:eastAsia="Batang" w:cs="Times New Roman"/>
          <w:szCs w:val="24"/>
        </w:rPr>
        <w:t>железопътен състав“ в размер до левовата равностойност на 300</w:t>
      </w:r>
      <w:r>
        <w:rPr>
          <w:rFonts w:eastAsia="Batang" w:cs="Times New Roman"/>
          <w:szCs w:val="24"/>
        </w:rPr>
        <w:t>,0</w:t>
      </w:r>
      <w:r w:rsidRPr="00B36146">
        <w:rPr>
          <w:rFonts w:eastAsia="Batang" w:cs="Times New Roman"/>
          <w:szCs w:val="24"/>
        </w:rPr>
        <w:t xml:space="preserve"> млн. евро</w:t>
      </w:r>
      <w:r>
        <w:rPr>
          <w:rFonts w:eastAsia="Batang" w:cs="Times New Roman"/>
          <w:szCs w:val="24"/>
        </w:rPr>
        <w:t xml:space="preserve"> </w:t>
      </w:r>
      <w:r w:rsidRPr="00A8415C">
        <w:rPr>
          <w:rFonts w:eastAsia="Batang" w:cs="Times New Roman"/>
          <w:szCs w:val="24"/>
        </w:rPr>
        <w:t>(</w:t>
      </w:r>
      <w:r>
        <w:rPr>
          <w:rFonts w:eastAsia="Batang" w:cs="Times New Roman"/>
          <w:szCs w:val="24"/>
        </w:rPr>
        <w:t>586</w:t>
      </w:r>
      <w:r w:rsidRPr="00A8415C">
        <w:rPr>
          <w:rFonts w:eastAsia="Batang" w:cs="Times New Roman"/>
          <w:szCs w:val="24"/>
        </w:rPr>
        <w:t>,</w:t>
      </w:r>
      <w:r>
        <w:rPr>
          <w:rFonts w:eastAsia="Batang" w:cs="Times New Roman"/>
          <w:szCs w:val="24"/>
        </w:rPr>
        <w:t>7</w:t>
      </w:r>
      <w:r w:rsidRPr="00A8415C">
        <w:rPr>
          <w:rFonts w:eastAsia="Batang" w:cs="Times New Roman"/>
          <w:szCs w:val="24"/>
        </w:rPr>
        <w:t xml:space="preserve"> млн. лв.)</w:t>
      </w:r>
      <w:r>
        <w:rPr>
          <w:rFonts w:eastAsia="Batang" w:cs="Times New Roman"/>
          <w:szCs w:val="24"/>
        </w:rPr>
        <w:t>,</w:t>
      </w:r>
      <w:r w:rsidRPr="00350EE9">
        <w:t xml:space="preserve"> </w:t>
      </w:r>
      <w:r w:rsidRPr="00350EE9">
        <w:rPr>
          <w:rFonts w:eastAsia="Batang" w:cs="Times New Roman"/>
          <w:szCs w:val="24"/>
        </w:rPr>
        <w:t>при спазване на законодателството в областта на държавните помощи</w:t>
      </w:r>
      <w:r w:rsidRPr="00B36146">
        <w:rPr>
          <w:rFonts w:eastAsia="Batang" w:cs="Times New Roman"/>
          <w:szCs w:val="24"/>
        </w:rPr>
        <w:t>.</w:t>
      </w:r>
    </w:p>
    <w:p w:rsidR="000D6A98" w:rsidRPr="00AA3F66" w:rsidRDefault="00E376DC" w:rsidP="000D6A98">
      <w:pPr>
        <w:rPr>
          <w:rFonts w:cs="Times New Roman"/>
        </w:rPr>
      </w:pPr>
      <w:r w:rsidRPr="00B36146">
        <w:rPr>
          <w:rFonts w:eastAsia="Batang" w:cs="Times New Roman"/>
          <w:szCs w:val="24"/>
        </w:rPr>
        <w:t>В рамките на следващата бюджетна година се предвижда да бъдат издадени държавни гаранции по Закона за кредитиране на студенти и докторанти в общ размер до 40</w:t>
      </w:r>
      <w:r>
        <w:rPr>
          <w:rFonts w:eastAsia="Batang" w:cs="Times New Roman"/>
          <w:szCs w:val="24"/>
        </w:rPr>
        <w:t>,0</w:t>
      </w:r>
      <w:r w:rsidRPr="00B36146">
        <w:rPr>
          <w:rFonts w:eastAsia="Batang" w:cs="Times New Roman"/>
          <w:szCs w:val="24"/>
        </w:rPr>
        <w:t xml:space="preserve"> млн. лв. и във връзка със споразумението за принос между Република България и Европейската инвестиционна банка по отношение на участието на Република България с гаранция в размер до левовата равностойност на 10</w:t>
      </w:r>
      <w:r>
        <w:rPr>
          <w:rFonts w:eastAsia="Batang" w:cs="Times New Roman"/>
          <w:szCs w:val="24"/>
        </w:rPr>
        <w:t>,0</w:t>
      </w:r>
      <w:r w:rsidRPr="00B36146">
        <w:rPr>
          <w:rFonts w:eastAsia="Batang" w:cs="Times New Roman"/>
          <w:szCs w:val="24"/>
        </w:rPr>
        <w:t xml:space="preserve"> млн. евро </w:t>
      </w:r>
      <w:r w:rsidRPr="00350EE9">
        <w:rPr>
          <w:rFonts w:eastAsia="Batang" w:cs="Times New Roman"/>
          <w:szCs w:val="24"/>
        </w:rPr>
        <w:t>(19,6 млн. лв.)</w:t>
      </w:r>
      <w:r>
        <w:rPr>
          <w:rFonts w:eastAsia="Batang" w:cs="Times New Roman"/>
          <w:szCs w:val="24"/>
        </w:rPr>
        <w:t xml:space="preserve"> </w:t>
      </w:r>
      <w:r w:rsidRPr="00B36146">
        <w:rPr>
          <w:rFonts w:eastAsia="Batang" w:cs="Times New Roman"/>
          <w:szCs w:val="24"/>
        </w:rPr>
        <w:t>в доверителния фонд „ЕС за Украйна“.</w:t>
      </w:r>
      <w:r w:rsidR="000D6A98" w:rsidRPr="00AA3F66">
        <w:rPr>
          <w:rFonts w:cs="Times New Roman"/>
        </w:rPr>
        <w:t xml:space="preserve">От гледна точка на влиянието върху размера на държавногарантирания дълг, при допускането за издаване на разглежданите нови държавни гаранции и пълно усвояване на средствата от заемите до края на 2024 г., се очаква общият размер на </w:t>
      </w:r>
      <w:r w:rsidR="000D6A98" w:rsidRPr="00AA3F66">
        <w:rPr>
          <w:rFonts w:cs="Times New Roman"/>
          <w:bCs/>
        </w:rPr>
        <w:t>държавногарантирания дълг да достигне до ниво от около 6,0 млрд. лв. (при 1,7 мл</w:t>
      </w:r>
      <w:r w:rsidR="00157EC3" w:rsidRPr="00AA3F66">
        <w:rPr>
          <w:rFonts w:cs="Times New Roman"/>
          <w:bCs/>
        </w:rPr>
        <w:t>рд</w:t>
      </w:r>
      <w:r w:rsidR="000D6A98" w:rsidRPr="00AA3F66">
        <w:rPr>
          <w:rFonts w:cs="Times New Roman"/>
          <w:bCs/>
        </w:rPr>
        <w:t>. лв. през 2023 г.)</w:t>
      </w:r>
      <w:r w:rsidR="004D7A2B" w:rsidRPr="00AA3F66">
        <w:rPr>
          <w:rStyle w:val="FootnoteReference"/>
          <w:bCs/>
        </w:rPr>
        <w:footnoteReference w:id="45"/>
      </w:r>
      <w:r w:rsidR="000D6A98" w:rsidRPr="00AA3F66">
        <w:rPr>
          <w:rFonts w:cs="Times New Roman"/>
        </w:rPr>
        <w:t>,</w:t>
      </w:r>
      <w:r w:rsidR="000D6A98" w:rsidRPr="00AA3F66">
        <w:rPr>
          <w:rFonts w:cs="Times New Roman"/>
          <w:bCs/>
        </w:rPr>
        <w:t xml:space="preserve"> </w:t>
      </w:r>
      <w:r w:rsidR="000D6A98" w:rsidRPr="00AA3F66">
        <w:rPr>
          <w:rFonts w:cs="Times New Roman"/>
        </w:rPr>
        <w:t>а</w:t>
      </w:r>
      <w:r w:rsidR="000D6A98" w:rsidRPr="00AA3F66">
        <w:rPr>
          <w:rFonts w:cs="Times New Roman"/>
          <w:bCs/>
        </w:rPr>
        <w:t xml:space="preserve"> </w:t>
      </w:r>
      <w:r w:rsidR="000D6A98" w:rsidRPr="00AA3F66">
        <w:rPr>
          <w:rFonts w:cs="Times New Roman"/>
        </w:rPr>
        <w:t>показателят „Съотношение на държавногарантирания дълг към прогнозния БВП“ за 2024 г. до 2,9% (при 0,9% за 2023 г.). При тези допускания, отрасловата структура на гарантирания дълг ще претърпи съществени промени спрямо предходната година, като с най-висок дял предвид съсредоточаването на финансовия ресурс основно в един отрасъл ще бъде дълг</w:t>
      </w:r>
      <w:r w:rsidR="00B200F3" w:rsidRPr="00AA3F66">
        <w:rPr>
          <w:rFonts w:cs="Times New Roman"/>
        </w:rPr>
        <w:t>ът</w:t>
      </w:r>
      <w:r w:rsidR="000D6A98" w:rsidRPr="00AA3F66">
        <w:rPr>
          <w:rFonts w:cs="Times New Roman"/>
        </w:rPr>
        <w:t xml:space="preserve"> на сектор „Енергетика“, нараствайки до ниво от </w:t>
      </w:r>
      <w:r w:rsidR="000D6A98" w:rsidRPr="00AA3F66">
        <w:rPr>
          <w:rFonts w:cs="Times New Roman"/>
          <w:bCs/>
        </w:rPr>
        <w:t>68,0%</w:t>
      </w:r>
      <w:r w:rsidR="000D6A98" w:rsidRPr="00AA3F66">
        <w:rPr>
          <w:rFonts w:cs="Times New Roman"/>
        </w:rPr>
        <w:t xml:space="preserve"> (при 17,6% към края на 2023 г.), следван от дела на сектор „Транспорт“ възлизащ на </w:t>
      </w:r>
      <w:r w:rsidR="000D6A98" w:rsidRPr="00AA3F66">
        <w:rPr>
          <w:rFonts w:cs="Times New Roman"/>
          <w:bCs/>
        </w:rPr>
        <w:t>11</w:t>
      </w:r>
      <w:r w:rsidR="00180416" w:rsidRPr="00AA3F66">
        <w:rPr>
          <w:rFonts w:cs="Times New Roman"/>
          <w:bCs/>
        </w:rPr>
        <w:t>,</w:t>
      </w:r>
      <w:r w:rsidR="000D6A98" w:rsidRPr="00AA3F66">
        <w:rPr>
          <w:rFonts w:cs="Times New Roman"/>
          <w:bCs/>
        </w:rPr>
        <w:t>2%</w:t>
      </w:r>
      <w:r w:rsidR="000D6A98" w:rsidRPr="00AA3F66">
        <w:rPr>
          <w:rFonts w:cs="Times New Roman"/>
        </w:rPr>
        <w:t>.</w:t>
      </w:r>
    </w:p>
    <w:p w:rsidR="000D6A98" w:rsidRPr="00AA3F66" w:rsidRDefault="000D6A98" w:rsidP="004542B1">
      <w:pPr>
        <w:rPr>
          <w:rFonts w:eastAsia="Batang" w:cs="Times New Roman"/>
          <w:szCs w:val="24"/>
          <w:highlight w:val="yellow"/>
        </w:rPr>
      </w:pPr>
      <w:r w:rsidRPr="00AA3F66">
        <w:rPr>
          <w:rFonts w:eastAsia="Batang" w:cs="Times New Roman"/>
          <w:szCs w:val="24"/>
        </w:rPr>
        <w:t>В следващите години очакванията са за плавно намаление на държавногарантирания дълг в номинално изражение, достигайки 5,9 млрд. лв. (2,7% от прогнозния БВП) в края на 2025 г. и 5,8 млрд. лв. (2,5% от прогнозния БВП) в края на 2026 г.</w:t>
      </w:r>
    </w:p>
    <w:p w:rsidR="00D427A3" w:rsidRPr="00AA3F66" w:rsidRDefault="00853713" w:rsidP="00DE2BDB">
      <w:pPr>
        <w:pStyle w:val="Heading2"/>
      </w:pPr>
      <w:bookmarkStart w:id="473" w:name="_Toc151557311"/>
      <w:bookmarkStart w:id="474" w:name="_Toc464224813"/>
      <w:bookmarkStart w:id="475" w:name="_Toc464225463"/>
      <w:bookmarkStart w:id="476" w:name="_Toc464459010"/>
      <w:bookmarkStart w:id="477" w:name="_Toc464459758"/>
      <w:bookmarkStart w:id="478" w:name="_Toc464460711"/>
      <w:bookmarkStart w:id="479" w:name="_Toc464463110"/>
      <w:bookmarkStart w:id="480" w:name="_Toc464464939"/>
      <w:bookmarkStart w:id="481" w:name="_Toc464465446"/>
      <w:bookmarkStart w:id="482" w:name="_Toc464465632"/>
      <w:bookmarkStart w:id="483" w:name="_Toc464466457"/>
      <w:bookmarkStart w:id="484" w:name="_Toc464466701"/>
      <w:bookmarkStart w:id="485" w:name="_Toc464645021"/>
      <w:bookmarkStart w:id="486" w:name="_Toc465205571"/>
      <w:r w:rsidRPr="00AA3F66">
        <w:t>Д</w:t>
      </w:r>
      <w:r w:rsidR="00D427A3" w:rsidRPr="00AA3F66">
        <w:t>ържавен дълг чрез финансов лизинг и други форми на държавен дълг</w:t>
      </w:r>
      <w:bookmarkEnd w:id="473"/>
    </w:p>
    <w:bookmarkEnd w:id="474"/>
    <w:bookmarkEnd w:id="475"/>
    <w:bookmarkEnd w:id="476"/>
    <w:bookmarkEnd w:id="477"/>
    <w:bookmarkEnd w:id="478"/>
    <w:bookmarkEnd w:id="479"/>
    <w:bookmarkEnd w:id="480"/>
    <w:bookmarkEnd w:id="481"/>
    <w:bookmarkEnd w:id="482"/>
    <w:bookmarkEnd w:id="483"/>
    <w:bookmarkEnd w:id="484"/>
    <w:bookmarkEnd w:id="485"/>
    <w:bookmarkEnd w:id="486"/>
    <w:p w:rsidR="004542B1" w:rsidRPr="00AA3F66" w:rsidRDefault="000D6A98" w:rsidP="0011192B">
      <w:pPr>
        <w:spacing w:before="120"/>
        <w:rPr>
          <w:rFonts w:eastAsia="Batang" w:cs="Times New Roman"/>
          <w:szCs w:val="24"/>
        </w:rPr>
      </w:pPr>
      <w:r w:rsidRPr="00AA3F66">
        <w:rPr>
          <w:rFonts w:eastAsia="Batang" w:cs="Times New Roman"/>
          <w:szCs w:val="24"/>
        </w:rPr>
        <w:t>За периода 2024-2026</w:t>
      </w:r>
      <w:r w:rsidR="004542B1" w:rsidRPr="00AA3F66">
        <w:rPr>
          <w:rFonts w:eastAsia="Batang" w:cs="Times New Roman"/>
          <w:szCs w:val="24"/>
        </w:rPr>
        <w:t xml:space="preserve"> г. не се предвижда поемане на нов дълг от първостепенните разпоредители с бюджет по държавния бюджет по чл. 37, ал. 1, т. 1, буква „б“ от Закона за публичните финанси.</w:t>
      </w:r>
    </w:p>
    <w:p w:rsidR="00D427A3" w:rsidRPr="00AA3F66" w:rsidRDefault="00853713" w:rsidP="00DE2BDB">
      <w:pPr>
        <w:pStyle w:val="Heading2"/>
      </w:pPr>
      <w:bookmarkStart w:id="487" w:name="_Toc151557312"/>
      <w:bookmarkStart w:id="488" w:name="_Toc464224814"/>
      <w:bookmarkStart w:id="489" w:name="_Toc464225464"/>
      <w:bookmarkStart w:id="490" w:name="_Toc464459011"/>
      <w:bookmarkStart w:id="491" w:name="_Toc464459759"/>
      <w:bookmarkStart w:id="492" w:name="_Toc464460712"/>
      <w:bookmarkStart w:id="493" w:name="_Toc464463111"/>
      <w:bookmarkStart w:id="494" w:name="_Toc464464940"/>
      <w:bookmarkStart w:id="495" w:name="_Toc464465447"/>
      <w:bookmarkStart w:id="496" w:name="_Toc464465633"/>
      <w:bookmarkStart w:id="497" w:name="_Toc464466458"/>
      <w:bookmarkStart w:id="498" w:name="_Toc464466702"/>
      <w:bookmarkStart w:id="499" w:name="_Toc464645022"/>
      <w:bookmarkStart w:id="500" w:name="_Toc465205572"/>
      <w:r w:rsidRPr="00AA3F66">
        <w:t>Д</w:t>
      </w:r>
      <w:r w:rsidR="00D427A3" w:rsidRPr="00AA3F66">
        <w:t>руги операции в частта на финансирането</w:t>
      </w:r>
      <w:bookmarkEnd w:id="487"/>
    </w:p>
    <w:bookmarkEnd w:id="488"/>
    <w:bookmarkEnd w:id="489"/>
    <w:bookmarkEnd w:id="490"/>
    <w:bookmarkEnd w:id="491"/>
    <w:bookmarkEnd w:id="492"/>
    <w:bookmarkEnd w:id="493"/>
    <w:bookmarkEnd w:id="494"/>
    <w:bookmarkEnd w:id="495"/>
    <w:bookmarkEnd w:id="496"/>
    <w:bookmarkEnd w:id="497"/>
    <w:bookmarkEnd w:id="498"/>
    <w:bookmarkEnd w:id="499"/>
    <w:bookmarkEnd w:id="500"/>
    <w:p w:rsidR="00673E8C" w:rsidRPr="00AA3F66" w:rsidRDefault="00DC1E2B" w:rsidP="00DC1E2B">
      <w:pPr>
        <w:pStyle w:val="Heading3"/>
        <w:ind w:left="709" w:hanging="567"/>
      </w:pPr>
      <w:r w:rsidRPr="00AA3F66">
        <w:t>У</w:t>
      </w:r>
      <w:r w:rsidR="00673E8C" w:rsidRPr="00AA3F66">
        <w:t>своявания по държавните инвестиционни заеми</w:t>
      </w:r>
    </w:p>
    <w:p w:rsidR="0099725C" w:rsidRPr="00AA3F66" w:rsidRDefault="0099725C" w:rsidP="0099725C">
      <w:pPr>
        <w:rPr>
          <w:rFonts w:eastAsia="Times New Roman" w:cs="Times New Roman"/>
        </w:rPr>
      </w:pPr>
      <w:r w:rsidRPr="00AA3F66">
        <w:rPr>
          <w:rFonts w:eastAsia="Times New Roman" w:cs="Times New Roman"/>
        </w:rPr>
        <w:t>За периода 2024-2026 г. не е предвидено усвояване на външно финансиране по държавни инвестиционни заеми. По централния бюджет са разчетени приходи от лихви по държавни инвестиционни заеми с краен бенефициент търговско дружество общо за 2024</w:t>
      </w:r>
      <w:r w:rsidR="009D35E1" w:rsidRPr="00AA3F66">
        <w:rPr>
          <w:rFonts w:eastAsia="Times New Roman" w:cs="Times New Roman"/>
        </w:rPr>
        <w:t> </w:t>
      </w:r>
      <w:r w:rsidRPr="00AA3F66">
        <w:rPr>
          <w:rFonts w:eastAsia="Times New Roman" w:cs="Times New Roman"/>
        </w:rPr>
        <w:t xml:space="preserve">г. </w:t>
      </w:r>
      <w:r w:rsidR="00087E05" w:rsidRPr="00AA3F66">
        <w:rPr>
          <w:rFonts w:eastAsia="Times New Roman" w:cs="Times New Roman"/>
        </w:rPr>
        <w:t>в размер на</w:t>
      </w:r>
      <w:r w:rsidRPr="00AA3F66">
        <w:rPr>
          <w:rFonts w:eastAsia="Times New Roman" w:cs="Times New Roman"/>
        </w:rPr>
        <w:t xml:space="preserve"> 1,7 млн. лв., за 2025 г. - 1,4 млн. лв. и за 2026 г. - 1,0 млн. лв. Общо разчетените разходи по държавните инвестиционни заеми, в т.ч. и с краен бенефициент търговско дружество</w:t>
      </w:r>
      <w:r w:rsidR="004D7A2B" w:rsidRPr="00AA3F66">
        <w:rPr>
          <w:rFonts w:eastAsia="Times New Roman" w:cs="Times New Roman"/>
        </w:rPr>
        <w:t>,</w:t>
      </w:r>
      <w:r w:rsidRPr="00AA3F66">
        <w:rPr>
          <w:rFonts w:eastAsia="Times New Roman" w:cs="Times New Roman"/>
        </w:rPr>
        <w:t xml:space="preserve"> за 2024 г. са в размер на 17,7 млн. лв., от които 17,6 млн. лв. разходи за лихви и 0,1 млн. лв. разходи за издръжка по проект, изпълняван от Министерството на финансите. За 2025 г. са планирани разходи по държавните инвестиционни заеми в общ размер 14,4 млн. лв., а за 2026 г. – 11,9 млн. лв.</w:t>
      </w:r>
    </w:p>
    <w:p w:rsidR="0099725C" w:rsidRPr="00AA3F66" w:rsidRDefault="0099725C" w:rsidP="009E5C98">
      <w:pPr>
        <w:rPr>
          <w:rFonts w:eastAsia="Times New Roman" w:cs="Times New Roman"/>
        </w:rPr>
      </w:pPr>
      <w:r w:rsidRPr="00AA3F66">
        <w:rPr>
          <w:rFonts w:eastAsia="Times New Roman" w:cs="Times New Roman"/>
        </w:rPr>
        <w:t>Разчетените средства за погашения по държавни инвестиционни заеми, в т.ч. и с краен бенефициент търговско дружество</w:t>
      </w:r>
      <w:r w:rsidR="00161C1F" w:rsidRPr="00AA3F66">
        <w:rPr>
          <w:rFonts w:eastAsia="Times New Roman" w:cs="Times New Roman"/>
        </w:rPr>
        <w:t>,</w:t>
      </w:r>
      <w:r w:rsidRPr="00AA3F66">
        <w:rPr>
          <w:rFonts w:eastAsia="Times New Roman" w:cs="Times New Roman"/>
        </w:rPr>
        <w:t xml:space="preserve"> за 2024 г. са в размер на 99,5 млн. лв., за 2025 г. </w:t>
      </w:r>
      <w:r w:rsidR="00161C1F" w:rsidRPr="00AA3F66">
        <w:rPr>
          <w:rFonts w:eastAsia="Times New Roman" w:cs="Times New Roman"/>
        </w:rPr>
        <w:t>–</w:t>
      </w:r>
      <w:r w:rsidRPr="00AA3F66">
        <w:rPr>
          <w:rFonts w:eastAsia="Times New Roman" w:cs="Times New Roman"/>
        </w:rPr>
        <w:t xml:space="preserve"> 76,0 млн. лв</w:t>
      </w:r>
      <w:r w:rsidR="000D6A98" w:rsidRPr="00AA3F66">
        <w:rPr>
          <w:rFonts w:eastAsia="Times New Roman" w:cs="Times New Roman"/>
        </w:rPr>
        <w:t>., а за 2026 г. – 60,1 млн. лв.</w:t>
      </w:r>
    </w:p>
    <w:p w:rsidR="00673E8C" w:rsidRPr="00AA3F66" w:rsidRDefault="00DC1E2B" w:rsidP="00DC1E2B">
      <w:pPr>
        <w:pStyle w:val="Heading3"/>
        <w:ind w:left="709" w:hanging="567"/>
      </w:pPr>
      <w:r w:rsidRPr="00AA3F66">
        <w:t>Ф</w:t>
      </w:r>
      <w:r w:rsidR="00673E8C" w:rsidRPr="00AA3F66">
        <w:t>инансиране по чл. 9, ал. 1 от Закона за експортното застраховане за периода 2024-2026 г.</w:t>
      </w:r>
    </w:p>
    <w:p w:rsidR="00DC703A" w:rsidRPr="00AA3F66" w:rsidRDefault="00DC703A" w:rsidP="00DC703A">
      <w:pPr>
        <w:spacing w:before="120"/>
      </w:pPr>
      <w:r w:rsidRPr="00AA3F66">
        <w:t xml:space="preserve">Съгласно чл. 9, ал. 1 от Закона за експортното застраховане (ЗЕЗ), в </w:t>
      </w:r>
      <w:r w:rsidR="00D93D39" w:rsidRPr="00AA3F66">
        <w:t>з</w:t>
      </w:r>
      <w:r w:rsidRPr="00AA3F66">
        <w:t>акона за държавния бюджет на Република България за съответната година се предвиждат средства</w:t>
      </w:r>
      <w:r w:rsidR="00D93D39" w:rsidRPr="00AA3F66">
        <w:t>та</w:t>
      </w:r>
      <w:r w:rsidRPr="00AA3F66">
        <w:t xml:space="preserve"> от </w:t>
      </w:r>
      <w:r w:rsidR="00D93D39" w:rsidRPr="00AA3F66">
        <w:t>централния</w:t>
      </w:r>
      <w:r w:rsidRPr="00AA3F66">
        <w:t xml:space="preserve"> бюджет за изплащане на застрахователни обезщетения по чл. 3 от ЗЕЗ (дейността за сметка на държавата). За периода 2024-2026 г. се предвиждат средства в размер</w:t>
      </w:r>
      <w:r w:rsidR="00161C1F" w:rsidRPr="00AA3F66">
        <w:t>,</w:t>
      </w:r>
      <w:r w:rsidRPr="00AA3F66">
        <w:t xml:space="preserve"> както следва: 140,0 млн. лв. за 2024 г., 145,0 млн. лв. за 2025 г. и 150,0 млн. лв. за 2026 г. </w:t>
      </w:r>
    </w:p>
    <w:p w:rsidR="00DC703A" w:rsidRPr="00AA3F66" w:rsidRDefault="00DC703A" w:rsidP="00DC703A">
      <w:pPr>
        <w:spacing w:before="120"/>
      </w:pPr>
      <w:r w:rsidRPr="00AA3F66">
        <w:t xml:space="preserve">В съответствие с мисията и целите на „Българска агенция за експортно застраховане“ (БАЕЗ) като държавна агенция, която да подкрепя българските износители, дружеството акцентира върху развитието в предлагането на застрахователните продукти по дейността за сметка на държавата. За изпълнението на заложените показатели БАЕЗ се нуждае от съответния застрахователен капацитет, който да покрива нуждите на компанията. </w:t>
      </w:r>
    </w:p>
    <w:p w:rsidR="00DC703A" w:rsidRPr="00AA3F66" w:rsidRDefault="00DC703A" w:rsidP="00E93DCB">
      <w:pPr>
        <w:spacing w:before="120"/>
      </w:pPr>
      <w:r w:rsidRPr="00AA3F66">
        <w:t>Мерките за постепенно повишаване на заделените средства в държавния бюджет целят повишаване на застрахователния капацитет на БАЕЗ по дейността за сметка на държавата, в съответствие със ЗЕЗ, както и са необходими като превенция относно достигане на застрахователния капацитет и невъзможност за сключване на застрахователни договори или спешно увеличаване на средствата през текущата година.</w:t>
      </w:r>
    </w:p>
    <w:p w:rsidR="001D2E10" w:rsidRPr="00AA3F66" w:rsidRDefault="00E91E4E" w:rsidP="00EE2B20">
      <w:pPr>
        <w:pStyle w:val="Heading3"/>
        <w:ind w:left="709" w:hanging="567"/>
      </w:pPr>
      <w:r w:rsidRPr="00AA3F66">
        <w:t>П</w:t>
      </w:r>
      <w:r w:rsidR="001D2E10" w:rsidRPr="00AA3F66">
        <w:t>остъпления от приватизация за периода 2024-2026 г.</w:t>
      </w:r>
    </w:p>
    <w:p w:rsidR="00DC703A" w:rsidRPr="00AA3F66" w:rsidRDefault="00DC703A" w:rsidP="0011192B">
      <w:pPr>
        <w:spacing w:before="120"/>
        <w:rPr>
          <w:bCs/>
        </w:rPr>
      </w:pPr>
      <w:r w:rsidRPr="00AA3F66">
        <w:rPr>
          <w:bCs/>
        </w:rPr>
        <w:t xml:space="preserve">Прогнозните </w:t>
      </w:r>
      <w:r w:rsidR="00851B6C" w:rsidRPr="00AA3F66">
        <w:rPr>
          <w:bCs/>
        </w:rPr>
        <w:t xml:space="preserve">постъпления </w:t>
      </w:r>
      <w:r w:rsidRPr="00AA3F66">
        <w:rPr>
          <w:bCs/>
        </w:rPr>
        <w:t xml:space="preserve">от приватизация за периода 2024-2026 г. са съответно </w:t>
      </w:r>
      <w:r w:rsidR="00395050" w:rsidRPr="00AA3F66">
        <w:rPr>
          <w:bCs/>
        </w:rPr>
        <w:t xml:space="preserve">по </w:t>
      </w:r>
      <w:r w:rsidRPr="00AA3F66">
        <w:rPr>
          <w:bCs/>
        </w:rPr>
        <w:t>0,5 млн. лв. за 2024 г.</w:t>
      </w:r>
      <w:r w:rsidR="00395050" w:rsidRPr="00AA3F66">
        <w:rPr>
          <w:bCs/>
        </w:rPr>
        <w:t xml:space="preserve"> и</w:t>
      </w:r>
      <w:r w:rsidRPr="00AA3F66">
        <w:rPr>
          <w:bCs/>
        </w:rPr>
        <w:t xml:space="preserve"> 2025 г. и 0,4 млн. лв. за 2026 г.</w:t>
      </w:r>
    </w:p>
    <w:p w:rsidR="001D2E10" w:rsidRPr="00AA3F66" w:rsidRDefault="00130465" w:rsidP="00695F98">
      <w:pPr>
        <w:pStyle w:val="Heading3"/>
        <w:ind w:left="709" w:hanging="567"/>
      </w:pPr>
      <w:bookmarkStart w:id="501" w:name="_Toc464465637"/>
      <w:bookmarkStart w:id="502" w:name="_Toc464466462"/>
      <w:bookmarkStart w:id="503" w:name="_Toc464466706"/>
      <w:bookmarkStart w:id="504" w:name="_Toc464466738"/>
      <w:bookmarkStart w:id="505" w:name="_Toc464470248"/>
      <w:bookmarkStart w:id="506" w:name="_Toc464645026"/>
      <w:bookmarkStart w:id="507" w:name="_Toc464646382"/>
      <w:r w:rsidRPr="00AA3F66">
        <w:t>С</w:t>
      </w:r>
      <w:r w:rsidR="001D2E10" w:rsidRPr="00AA3F66">
        <w:t>поразумение за кредитна линия между република българия като кредитор и единния съвет за преструктуриране в ЕС като кредитополучател</w:t>
      </w:r>
    </w:p>
    <w:p w:rsidR="003B4FB4" w:rsidRPr="00AA3F66" w:rsidRDefault="003B4FB4" w:rsidP="003B4FB4">
      <w:pPr>
        <w:rPr>
          <w:rFonts w:eastAsia="Times New Roman" w:cs="Times New Roman"/>
          <w:bCs/>
        </w:rPr>
      </w:pPr>
      <w:r w:rsidRPr="00AA3F66">
        <w:rPr>
          <w:rFonts w:eastAsia="Times New Roman" w:cs="Times New Roman"/>
          <w:bCs/>
        </w:rPr>
        <w:t>На 07.10.2020 г. Република България сключи споразумение за кредитна линия с Единния съвет за преструктуриране в изпълнение на ангажиментите на Република България във връзка с присъединяването на страната към Единния надзорен механизъм (ЕНМ) и Единния механизъм за преструктуриране (ЕМП). Споразумението е подписано от министъра на финансите при условията на последваща ратификация.</w:t>
      </w:r>
    </w:p>
    <w:p w:rsidR="003B4FB4" w:rsidRPr="00AA3F66" w:rsidRDefault="003B4FB4" w:rsidP="003B4FB4">
      <w:pPr>
        <w:rPr>
          <w:rFonts w:eastAsia="Times New Roman" w:cs="Times New Roman"/>
          <w:bCs/>
        </w:rPr>
      </w:pPr>
      <w:r w:rsidRPr="00AA3F66">
        <w:rPr>
          <w:rFonts w:eastAsia="Times New Roman" w:cs="Times New Roman"/>
          <w:bCs/>
        </w:rPr>
        <w:t>Всички участващи в банковия съюз държави членки предоставят национални кредитни линии като форма за мостово финансиране, за да се осигури необходимото финансиране за евентуално преструктуриране само на банки в съответната държава членка през преходния период до достигане на целевото равнище на Единния фонд за преструктуриране (ЕФП) към 31 декември 2023 г. Кредитната линия между Република България и Единния съвет за преструктуриране (ЕСП) е в размер на 113 499 хил. евро (около 221 985 хил. лв.). До този момент кредитната линия не е активирана. След приключване на преходния период бе планирано кредитните линии от държавите членки, участващи в банковия съюз</w:t>
      </w:r>
      <w:r w:rsidR="00F6265A" w:rsidRPr="00AA3F66">
        <w:rPr>
          <w:rFonts w:eastAsia="Times New Roman" w:cs="Times New Roman"/>
          <w:bCs/>
        </w:rPr>
        <w:t>,</w:t>
      </w:r>
      <w:r w:rsidRPr="00AA3F66">
        <w:rPr>
          <w:rFonts w:eastAsia="Times New Roman" w:cs="Times New Roman"/>
          <w:bCs/>
        </w:rPr>
        <w:t xml:space="preserve"> да бъдат заменени от Общ защитен механизъм (ОЗМ)</w:t>
      </w:r>
      <w:r w:rsidRPr="00AA3F66">
        <w:rPr>
          <w:rStyle w:val="FootnoteReference"/>
          <w:rFonts w:eastAsia="Times New Roman"/>
        </w:rPr>
        <w:footnoteReference w:id="46"/>
      </w:r>
      <w:r w:rsidRPr="00AA3F66">
        <w:rPr>
          <w:rFonts w:eastAsia="Times New Roman" w:cs="Times New Roman"/>
          <w:bCs/>
        </w:rPr>
        <w:t xml:space="preserve">. Участието на Република България в ОЗМ е посредством паралелно споразумение за защитен механизъм между Република България като кредитор и ЕСП като кредитополучател. Споразумението е подписано и ратифицирано от Република България, но ще влезе в сила едновременно с влизането в сила на Споразумението за защитен механизъм между ЕМС и ЕСП. Максималният размер на кредитна линия по паралелното споразумение за защитен механизъм е 96 087 хил. евро (приблизително 188 000 хил. лв.). </w:t>
      </w:r>
    </w:p>
    <w:p w:rsidR="003B4FB4" w:rsidRPr="00AA3F66" w:rsidRDefault="003B4FB4" w:rsidP="003B4FB4">
      <w:pPr>
        <w:rPr>
          <w:rFonts w:eastAsia="Times New Roman" w:cs="Times New Roman"/>
          <w:bCs/>
        </w:rPr>
      </w:pPr>
      <w:r w:rsidRPr="00AA3F66">
        <w:rPr>
          <w:rFonts w:eastAsia="Times New Roman" w:cs="Times New Roman"/>
          <w:bCs/>
        </w:rPr>
        <w:t>Общият защитен механизъм все още не е влязъл в сила (все още една държава членка се очаква да ратифицира актуализирания договор за ЕСМ). До влизането в сила се очаква кредитните линии между ЕСП и държавите членки, участващи в банковия съюз</w:t>
      </w:r>
      <w:r w:rsidR="00F6265A" w:rsidRPr="00AA3F66">
        <w:rPr>
          <w:rFonts w:eastAsia="Times New Roman" w:cs="Times New Roman"/>
          <w:bCs/>
        </w:rPr>
        <w:t>,</w:t>
      </w:r>
      <w:r w:rsidRPr="00AA3F66">
        <w:rPr>
          <w:rFonts w:eastAsia="Times New Roman" w:cs="Times New Roman"/>
          <w:bCs/>
        </w:rPr>
        <w:t xml:space="preserve"> да бъдат автоматично подновени при същите условия.</w:t>
      </w:r>
    </w:p>
    <w:p w:rsidR="003B4FB4" w:rsidRPr="00AA3F66" w:rsidRDefault="003B4FB4" w:rsidP="00CA512C">
      <w:pPr>
        <w:rPr>
          <w:rFonts w:eastAsia="Times New Roman" w:cs="Times New Roman"/>
          <w:bCs/>
        </w:rPr>
      </w:pPr>
      <w:r w:rsidRPr="00AA3F66">
        <w:rPr>
          <w:rFonts w:eastAsia="Times New Roman" w:cs="Times New Roman"/>
          <w:bCs/>
        </w:rPr>
        <w:t xml:space="preserve">Кредитната линия може да бъде активирана само в краен случай - при недостиг на средства в Единния фонд за преструктуриране и след като са изчерпани всички други източници на финансиране. Системата от национални кредитни линии гарантира защитата на данъкоплатците и е фискално неутрална в средносрочен план, тъй като банковият сектор на съответната държава членка е отговорен за погасяване на сумите, изтеглени по кредитната линия. </w:t>
      </w:r>
    </w:p>
    <w:p w:rsidR="00B92D00" w:rsidRPr="00AA3F66" w:rsidRDefault="001D2E10" w:rsidP="00B92D00">
      <w:pPr>
        <w:pStyle w:val="Heading3"/>
        <w:ind w:left="709" w:hanging="567"/>
      </w:pPr>
      <w:r w:rsidRPr="00AA3F66">
        <w:t>Фискален резерв</w:t>
      </w:r>
      <w:r w:rsidR="00B92D00" w:rsidRPr="00AA3F66">
        <w:t xml:space="preserve"> </w:t>
      </w:r>
    </w:p>
    <w:p w:rsidR="00B92D00" w:rsidRPr="00AA3F66" w:rsidRDefault="00B92D00" w:rsidP="00B92D00">
      <w:r w:rsidRPr="00AA3F66">
        <w:t xml:space="preserve">Съгласно дефиницията за показателя „Фискален резерв“ в т. 41 </w:t>
      </w:r>
      <w:r w:rsidR="00DA70A4" w:rsidRPr="00AA3F66">
        <w:t xml:space="preserve">на § 1 </w:t>
      </w:r>
      <w:r w:rsidRPr="00AA3F66">
        <w:t>от допълнителните разпоредби на Закона за публичните финанси в неговия обхват се включват салдата по всички банкови сметки на бюджетните организации без тези на общините и техните разпоредители с бюджет, активите на Държавния фонд за гарантиране устойчивост на държавната пенсионна система (ДФГУДПС), вземания от фондове на Европейския съюз за сертифицирани разходи, аванси и други, и други финансови активи по чл. 154, ал. 22 и 23 от същия закон.</w:t>
      </w:r>
    </w:p>
    <w:p w:rsidR="00B92D00" w:rsidRPr="00AA3F66" w:rsidRDefault="00B92D00" w:rsidP="00B92D00">
      <w:r w:rsidRPr="00AA3F66">
        <w:t>Минималният размер на показателя „Фискален резерв“ е определен на база необходимите средства на разположение към 31 декември 202</w:t>
      </w:r>
      <w:r w:rsidR="001D2E10" w:rsidRPr="00AA3F66">
        <w:t>4</w:t>
      </w:r>
      <w:r w:rsidR="00FE064C" w:rsidRPr="00AA3F66">
        <w:t xml:space="preserve"> </w:t>
      </w:r>
      <w:r w:rsidRPr="00AA3F66">
        <w:t xml:space="preserve">г. за обезпечаване на наличностите на ДФГУДПС и текущите ликвидни нужди на бюджета. Следва обаче да се подчертае, че минималният размер на фискалния резерв не представлява целева стойност за показателя към даден период. Той представлява минимален праг за показателя, който има за цел да минимизира рисковете от ликвидни проблеми в краткосрочен хоризонт. </w:t>
      </w:r>
    </w:p>
    <w:p w:rsidR="00B92D00" w:rsidRPr="00AA3F66" w:rsidRDefault="00B92D00" w:rsidP="00B92D00">
      <w:r w:rsidRPr="00AA3F66">
        <w:t>На тази база се предвижда запазване на определения към момента праг за минималния ра</w:t>
      </w:r>
      <w:r w:rsidR="001D2E10" w:rsidRPr="00AA3F66">
        <w:t>змер на фискалния резерв за 2023</w:t>
      </w:r>
      <w:r w:rsidRPr="00AA3F66">
        <w:t xml:space="preserve"> г. Предлага се минималният размер на фиска</w:t>
      </w:r>
      <w:r w:rsidR="001D2E10" w:rsidRPr="00AA3F66">
        <w:t>лния резерв към 31 декември 2024</w:t>
      </w:r>
      <w:r w:rsidRPr="00AA3F66">
        <w:t xml:space="preserve"> г. да бъде в размер на 4,5 млрд. лв.</w:t>
      </w:r>
    </w:p>
    <w:p w:rsidR="00343412" w:rsidRPr="00AA3F66" w:rsidRDefault="00343412" w:rsidP="00B92D00"/>
    <w:p w:rsidR="0012697B" w:rsidRDefault="0012697B" w:rsidP="002C702B">
      <w:pPr>
        <w:pStyle w:val="Heading1"/>
        <w:numPr>
          <w:ilvl w:val="0"/>
          <w:numId w:val="0"/>
        </w:numPr>
        <w:rPr>
          <w:color w:val="auto"/>
        </w:rPr>
        <w:sectPr w:rsidR="0012697B" w:rsidSect="002D7CED">
          <w:type w:val="oddPage"/>
          <w:pgSz w:w="11906" w:h="16838" w:code="9"/>
          <w:pgMar w:top="1418" w:right="1418" w:bottom="851" w:left="1418" w:header="708" w:footer="708" w:gutter="0"/>
          <w:cols w:space="708"/>
          <w:titlePg/>
          <w:docGrid w:linePitch="360"/>
        </w:sectPr>
      </w:pPr>
    </w:p>
    <w:bookmarkStart w:id="508" w:name="_Toc151557313"/>
    <w:p w:rsidR="00AE23B8" w:rsidRPr="00BC7843" w:rsidRDefault="001E0DF0" w:rsidP="007D0124">
      <w:pPr>
        <w:pStyle w:val="Heading1"/>
      </w:pPr>
      <w:r w:rsidRPr="001E0DF0">
        <w:rPr>
          <w:noProof/>
        </w:rPr>
        <mc:AlternateContent>
          <mc:Choice Requires="wps">
            <w:drawing>
              <wp:anchor distT="0" distB="0" distL="114300" distR="114300" simplePos="0" relativeHeight="251681280" behindDoc="0" locked="0" layoutInCell="1" allowOverlap="1" wp14:anchorId="751EF2B1" wp14:editId="3F5161D1">
                <wp:simplePos x="0" y="0"/>
                <wp:positionH relativeFrom="column">
                  <wp:posOffset>-898525</wp:posOffset>
                </wp:positionH>
                <wp:positionV relativeFrom="paragraph">
                  <wp:posOffset>1405255</wp:posOffset>
                </wp:positionV>
                <wp:extent cx="7560310" cy="0"/>
                <wp:effectExtent l="0" t="0" r="21590" b="19050"/>
                <wp:wrapNone/>
                <wp:docPr id="697" name="Straight Connector 697"/>
                <wp:cNvGraphicFramePr/>
                <a:graphic xmlns:a="http://schemas.openxmlformats.org/drawingml/2006/main">
                  <a:graphicData uri="http://schemas.microsoft.com/office/word/2010/wordprocessingShape">
                    <wps:wsp>
                      <wps:cNvCnPr/>
                      <wps:spPr>
                        <a:xfrm>
                          <a:off x="0" y="0"/>
                          <a:ext cx="7560310" cy="0"/>
                        </a:xfrm>
                        <a:prstGeom prst="line">
                          <a:avLst/>
                        </a:prstGeom>
                        <a:ln>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790AE57" id="Straight Connector 697" o:spid="_x0000_s1026" style="position:absolute;z-index:251681280;visibility:visible;mso-wrap-style:square;mso-wrap-distance-left:9pt;mso-wrap-distance-top:0;mso-wrap-distance-right:9pt;mso-wrap-distance-bottom:0;mso-position-horizontal:absolute;mso-position-horizontal-relative:text;mso-position-vertical:absolute;mso-position-vertical-relative:text" from="-70.75pt,110.65pt" to="524.55pt,1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U70wEAAAsEAAAOAAAAZHJzL2Uyb0RvYy54bWysU8Fu1DAQvSPxD5bvbJJWbCHabA9blQuC&#10;FS0f4Dr2xpLtscZmk/17xs5uWhUkBOIyydjznt88jze3k7PsqDAa8B1vVjVnykvojT90/Pvj/bsP&#10;nMUkfC8seNXxk4r8dvv2zWYMrbqCAWyvkBGJj+0YOj6kFNqqinJQTsQVBOVpUwM6kSjFQ9WjGInd&#10;2eqqrtfVCNgHBKlipNW7eZNvC7/WSqavWkeVmO04aUslYolPOVbbjWgPKMJg5FmG+AcVThhPhy5U&#10;dyIJ9gPNL1TOSIQIOq0kuAq0NlKVHqibpn7VzcMggiq9kDkxLDbF/0crvxz3yEzf8fXHG868cHRJ&#10;DwmFOQyJ7cB7shCQ5V3yagyxJcjO7/GcxbDH3Pik0eUvtcSm4u9p8VdNiUlavHm/rq8bugZ52aue&#10;gQFj+qTAsfzTcWt8bl204vg5JjqMSi8ledn6HCNY098ba0uSh0btLLKjoOsWUiqfrrNswr6opCyj&#10;q9zMLL/8pZNVM/M3pckSEtwUBWUYX/M2Z17rqTrDNKlYgPWfgef6DFVlUP8GvCDKyeDTAnbGA/7u&#10;9DRdJOu5/uLA3He24An6U7nYYg1NXHHu/DrySL/MC/z5DW9/AgAA//8DAFBLAwQUAAYACAAAACEA&#10;WlCd1eEAAAANAQAADwAAAGRycy9kb3ducmV2LnhtbEyPwU7DMAyG70i8Q2QkbluabqBRmk4IsQsX&#10;xEDAMWtM0y1xqiZdC09PJiHB0fan399fridn2RH70HqSIOYZMKTa65YaCa8vm9kKWIiKtLKeUMIX&#10;BlhX52elKrQf6RmP29iwFEKhUBJMjF3BeagNOhXmvkNKt0/fOxXT2Ddc92pM4c7yPMuuuVMtpQ9G&#10;dXhvsD5sByfBvj89rA7fH/vFYzeYzRjyaf/mpLy8mO5ugUWc4h8MJ/2kDlVy2vmBdGBWwkwsxVVi&#10;JeS5WAA7IdnyRgDb/a54VfL/LaofAAAA//8DAFBLAQItABQABgAIAAAAIQC2gziS/gAAAOEBAAAT&#10;AAAAAAAAAAAAAAAAAAAAAABbQ29udGVudF9UeXBlc10ueG1sUEsBAi0AFAAGAAgAAAAhADj9If/W&#10;AAAAlAEAAAsAAAAAAAAAAAAAAAAALwEAAF9yZWxzLy5yZWxzUEsBAi0AFAAGAAgAAAAhAClhhTvT&#10;AQAACwQAAA4AAAAAAAAAAAAAAAAALgIAAGRycy9lMm9Eb2MueG1sUEsBAi0AFAAGAAgAAAAhAFpQ&#10;ndXhAAAADQEAAA8AAAAAAAAAAAAAAAAALQQAAGRycy9kb3ducmV2LnhtbFBLBQYAAAAABAAEAPMA&#10;AAA7BQAAAAA=&#10;" strokecolor="#b32c16 [3206]"/>
            </w:pict>
          </mc:Fallback>
        </mc:AlternateContent>
      </w:r>
      <w:r w:rsidRPr="001E0DF0">
        <w:rPr>
          <w:noProof/>
        </w:rPr>
        <mc:AlternateContent>
          <mc:Choice Requires="wps">
            <w:drawing>
              <wp:anchor distT="0" distB="0" distL="114300" distR="114300" simplePos="0" relativeHeight="251678208" behindDoc="1" locked="0" layoutInCell="1" allowOverlap="1" wp14:anchorId="30226FF6" wp14:editId="342DEC76">
                <wp:simplePos x="0" y="0"/>
                <wp:positionH relativeFrom="column">
                  <wp:posOffset>-898156</wp:posOffset>
                </wp:positionH>
                <wp:positionV relativeFrom="paragraph">
                  <wp:posOffset>-898155</wp:posOffset>
                </wp:positionV>
                <wp:extent cx="7560860" cy="2304000"/>
                <wp:effectExtent l="0" t="0" r="2540" b="1270"/>
                <wp:wrapNone/>
                <wp:docPr id="696" name="Rectangle 696"/>
                <wp:cNvGraphicFramePr/>
                <a:graphic xmlns:a="http://schemas.openxmlformats.org/drawingml/2006/main">
                  <a:graphicData uri="http://schemas.microsoft.com/office/word/2010/wordprocessingShape">
                    <wps:wsp>
                      <wps:cNvSpPr/>
                      <wps:spPr>
                        <a:xfrm>
                          <a:off x="0" y="0"/>
                          <a:ext cx="7560860" cy="2304000"/>
                        </a:xfrm>
                        <a:prstGeom prst="rect">
                          <a:avLst/>
                        </a:prstGeom>
                        <a:solidFill>
                          <a:schemeClr val="accent3">
                            <a:lumMod val="20000"/>
                            <a:lumOff val="8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4A9C92C" id="Rectangle 696" o:spid="_x0000_s1026" style="position:absolute;margin-left:-70.7pt;margin-top:-70.7pt;width:595.35pt;height:181.4pt;z-index:-251638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iUcsAIAANIFAAAOAAAAZHJzL2Uyb0RvYy54bWysVN9P2zAQfp+0/8Hy+0haSikRKapATJMY&#10;IGDi2Th2G8n2ebbbtPvrd7bT0DF4mfaS2Pfru/t8d+cXW63IRjjfgqnp6KikRBgOTWuWNf3xdP1l&#10;RokPzDRMgRE13QlPL+afP513thJjWIFqhCMYxPiqszVdhWCrovB8JTTzR2CFQaUEp1nAq1sWjWMd&#10;RteqGJfltOjANdYBF96j9Cor6TzFl1LwcCelF4GommJuIX1d+r7EbzE/Z9XSMbtqeZ8G+4csNGsN&#10;gg6hrlhgZO3av0LpljvwIMMRB12AlC0XqQasZlS+qeZxxaxItSA53g40+f8Xlt9u7h1pm5pOz6aU&#10;GKbxkR6QNmaWSpAoRIo66yu0fLT3rr95PMZ6t9Lp+MdKyDbRuhtoFdtAOApPT6blbIrsc9SNj8tJ&#10;WSbii1d363z4KkCTeKipwwQSnWxz4wNCouneJKJ5UG1z3SqVLrFXxKVyZMPwlRnnwoTj5K7W+js0&#10;WY7dkmFZhWLsiiye7cUIkbouRkqAf4AoQzrs7/EpxoigBiJ8zkwZtI8UZVLSKeyUiHbKPAiJ/CIN&#10;4+Q4YBxmO8qqFWtEFp98mFUKGCNLxB9i9wHeY2IUHxCL6+2jq0iDMTjnij5ILDsPHgkZTBicdWvA&#10;vVeZCgNytt+TlKmJLL1As8Puc5DH0lt+3eL73zAf7pnDOcSewd0S7vAjFeADQH+iZAXu13vyaI/j&#10;gVpKOpzrmvqfa+YEJeqbwcE5G00mcRGky+TkdIwXd6h5OdSYtb4EbKoRbjHL0zHaB7U/Sgf6GVfQ&#10;IqKiihmO2DXlwe0vlyHvG1xiXCwWyQyH37JwYx4tj8Ejq7G/n7bPzNl+CALOzy3sdwCr3sxCto2e&#10;BhbrALJNg/LKa883Lo70/v2Si5vp8J6sXlfx/DcAAAD//wMAUEsDBBQABgAIAAAAIQDHZQSh4QAA&#10;AA4BAAAPAAAAZHJzL2Rvd25yZXYueG1sTI/BTsMwDIbvSLxDZCRuW9pSMdY1ncak3SYkBkjdLWtM&#10;W5E4VZN1LU9PdgFutv5Pvz/n69FoNmDvWksC4nkEDKmyqqVawPvbbvYEzHlJSmpLKGBCB+vi9iaX&#10;mbIXesXh4GsWSshlUkDjfZdx7qoGjXRz2yGF7NP2Rvqw9jVXvbyEcqN5EkWP3MiWwoVGdrhtsPo6&#10;nI2A7WIzlYt0X34M1XFfPr/spuO3FuL+btysgHkc/R8MV/2gDkVwOtkzKce0gFmcxmlgf6crE6XL&#10;B2AnAUkSQl7k/P8bxQ8AAAD//wMAUEsBAi0AFAAGAAgAAAAhALaDOJL+AAAA4QEAABMAAAAAAAAA&#10;AAAAAAAAAAAAAFtDb250ZW50X1R5cGVzXS54bWxQSwECLQAUAAYACAAAACEAOP0h/9YAAACUAQAA&#10;CwAAAAAAAAAAAAAAAAAvAQAAX3JlbHMvLnJlbHNQSwECLQAUAAYACAAAACEAxEIlHLACAADSBQAA&#10;DgAAAAAAAAAAAAAAAAAuAgAAZHJzL2Uyb0RvYy54bWxQSwECLQAUAAYACAAAACEAx2UEoeEAAAAO&#10;AQAADwAAAAAAAAAAAAAAAAAKBQAAZHJzL2Rvd25yZXYueG1sUEsFBgAAAAAEAAQA8wAAABgGAAAA&#10;AA==&#10;" fillcolor="#f8cec7 [662]" stroked="f" strokeweight="1pt"/>
            </w:pict>
          </mc:Fallback>
        </mc:AlternateContent>
      </w:r>
      <w:r w:rsidR="00AA3035" w:rsidRPr="00512FF1">
        <w:br/>
      </w:r>
      <w:bookmarkStart w:id="509" w:name="_Toc465205575"/>
      <w:r w:rsidR="00AE23B8" w:rsidRPr="001E0DF0">
        <w:rPr>
          <w:color w:val="auto"/>
        </w:rPr>
        <w:t>Перспективи за развитието на публичните финанси</w:t>
      </w:r>
      <w:bookmarkEnd w:id="501"/>
      <w:bookmarkEnd w:id="502"/>
      <w:bookmarkEnd w:id="503"/>
      <w:bookmarkEnd w:id="504"/>
      <w:bookmarkEnd w:id="505"/>
      <w:bookmarkEnd w:id="506"/>
      <w:bookmarkEnd w:id="507"/>
      <w:bookmarkEnd w:id="508"/>
      <w:bookmarkEnd w:id="509"/>
    </w:p>
    <w:p w:rsidR="00911809" w:rsidRDefault="00911809" w:rsidP="00DE2BDB">
      <w:pPr>
        <w:pStyle w:val="Heading2"/>
      </w:pPr>
      <w:bookmarkStart w:id="510" w:name="_Toc151557314"/>
      <w:bookmarkStart w:id="511" w:name="_Toc464224819"/>
      <w:bookmarkStart w:id="512" w:name="_Toc464225469"/>
      <w:bookmarkStart w:id="513" w:name="_Toc464459016"/>
      <w:bookmarkStart w:id="514" w:name="_Toc464459764"/>
      <w:bookmarkStart w:id="515" w:name="_Toc464460717"/>
      <w:bookmarkStart w:id="516" w:name="_Toc464463116"/>
      <w:bookmarkStart w:id="517" w:name="_Toc464464945"/>
      <w:bookmarkStart w:id="518" w:name="_Toc464465452"/>
      <w:bookmarkStart w:id="519" w:name="_Toc464465640"/>
      <w:bookmarkStart w:id="520" w:name="_Toc464466463"/>
      <w:bookmarkStart w:id="521" w:name="_Toc464466707"/>
      <w:bookmarkStart w:id="522" w:name="_Toc464645027"/>
      <w:bookmarkStart w:id="523" w:name="_Toc465205576"/>
      <w:r>
        <w:t>Устойчивост на публичните финанси</w:t>
      </w:r>
      <w:bookmarkEnd w:id="510"/>
    </w:p>
    <w:bookmarkEnd w:id="511"/>
    <w:bookmarkEnd w:id="512"/>
    <w:bookmarkEnd w:id="513"/>
    <w:bookmarkEnd w:id="514"/>
    <w:bookmarkEnd w:id="515"/>
    <w:bookmarkEnd w:id="516"/>
    <w:bookmarkEnd w:id="517"/>
    <w:bookmarkEnd w:id="518"/>
    <w:bookmarkEnd w:id="519"/>
    <w:bookmarkEnd w:id="520"/>
    <w:bookmarkEnd w:id="521"/>
    <w:bookmarkEnd w:id="522"/>
    <w:bookmarkEnd w:id="523"/>
    <w:p w:rsidR="001A6AE9" w:rsidRPr="00AA3F66" w:rsidRDefault="001A6AE9" w:rsidP="001A6AE9">
      <w:pPr>
        <w:rPr>
          <w:rFonts w:eastAsia="Calibri" w:cs="Times New Roman"/>
          <w:bCs/>
          <w:szCs w:val="24"/>
        </w:rPr>
      </w:pPr>
      <w:r w:rsidRPr="00AA3F66">
        <w:rPr>
          <w:rFonts w:eastAsia="Calibri" w:cs="Times New Roman"/>
          <w:bCs/>
          <w:szCs w:val="24"/>
        </w:rPr>
        <w:t>В този раздел се разглежда дългосрочната устойчивостта на фискалната позиция, като се оценява текущото състояние на публичните финанси от гледна точка на бъдещото нарастване на публичните разходи свързани със застаряването на населението. За тази цел се използват индикаторите за устойчивост S1 и S2, изчислени по методология</w:t>
      </w:r>
      <w:r w:rsidR="00F6265A" w:rsidRPr="00AA3F66">
        <w:rPr>
          <w:rFonts w:eastAsia="Calibri" w:cs="Times New Roman"/>
          <w:bCs/>
          <w:szCs w:val="24"/>
        </w:rPr>
        <w:t>,</w:t>
      </w:r>
      <w:r w:rsidRPr="00AA3F66">
        <w:rPr>
          <w:rFonts w:eastAsia="Calibri" w:cs="Times New Roman"/>
          <w:bCs/>
          <w:szCs w:val="24"/>
        </w:rPr>
        <w:t xml:space="preserve"> разработена от ЕК</w:t>
      </w:r>
      <w:r w:rsidRPr="00AA3F66">
        <w:rPr>
          <w:rStyle w:val="FootnoteReference"/>
          <w:rFonts w:eastAsia="Calibri"/>
          <w:szCs w:val="24"/>
        </w:rPr>
        <w:footnoteReference w:id="47"/>
      </w:r>
      <w:r w:rsidRPr="00AA3F66">
        <w:rPr>
          <w:rFonts w:eastAsia="Calibri" w:cs="Times New Roman"/>
          <w:bCs/>
          <w:szCs w:val="24"/>
        </w:rPr>
        <w:t>.</w:t>
      </w:r>
    </w:p>
    <w:p w:rsidR="001A6AE9" w:rsidRPr="00AA3F66" w:rsidRDefault="001A6AE9" w:rsidP="001A6AE9">
      <w:pPr>
        <w:spacing w:after="120"/>
        <w:rPr>
          <w:rFonts w:eastAsia="MS Mincho" w:cs="Times New Roman"/>
        </w:rPr>
      </w:pPr>
      <w:r w:rsidRPr="00AA3F66">
        <w:rPr>
          <w:rFonts w:eastAsia="MS Mincho" w:cs="Times New Roman"/>
          <w:i/>
        </w:rPr>
        <w:t>Индикаторът S1</w:t>
      </w:r>
      <w:r w:rsidRPr="00AA3F66">
        <w:rPr>
          <w:rFonts w:eastAsia="MS Mincho" w:cs="Times New Roman"/>
        </w:rPr>
        <w:t xml:space="preserve"> показва необходимата корекция в структурното първично бюджетно салдо през последната прогнозна година (2026 г. в случая на МФ, 2024 г. в случая на ЕК)</w:t>
      </w:r>
      <w:r w:rsidR="00003C5F" w:rsidRPr="00AA3F66">
        <w:rPr>
          <w:rFonts w:eastAsia="MS Mincho" w:cs="Times New Roman"/>
        </w:rPr>
        <w:t>,</w:t>
      </w:r>
      <w:r w:rsidRPr="00AA3F66">
        <w:rPr>
          <w:rFonts w:eastAsia="MS Mincho" w:cs="Times New Roman"/>
        </w:rPr>
        <w:t xml:space="preserve"> за да се задържи съотношението на държавен дълг към БВП под 60% към 2070 г. </w:t>
      </w:r>
      <w:r w:rsidRPr="00AA3F66">
        <w:rPr>
          <w:rFonts w:eastAsia="MS Mincho" w:cs="Times New Roman"/>
          <w:i/>
        </w:rPr>
        <w:t xml:space="preserve">Индикаторът S2 </w:t>
      </w:r>
      <w:r w:rsidRPr="00AA3F66">
        <w:rPr>
          <w:rFonts w:eastAsia="MS Mincho" w:cs="Times New Roman"/>
        </w:rPr>
        <w:t>показва корекцията в структурния първичния баланс през последната прогнозна година, която се изисква за да се стабилизира държавния</w:t>
      </w:r>
      <w:r w:rsidR="00003C5F" w:rsidRPr="00AA3F66">
        <w:rPr>
          <w:rFonts w:eastAsia="MS Mincho" w:cs="Times New Roman"/>
        </w:rPr>
        <w:t>т</w:t>
      </w:r>
      <w:r w:rsidRPr="00AA3F66">
        <w:rPr>
          <w:rFonts w:eastAsia="MS Mincho" w:cs="Times New Roman"/>
        </w:rPr>
        <w:t xml:space="preserve"> дълг в дългосрочен план.</w:t>
      </w:r>
    </w:p>
    <w:p w:rsidR="001A6AE9" w:rsidRPr="00AA3F66" w:rsidRDefault="001A6AE9" w:rsidP="001A6AE9">
      <w:pPr>
        <w:spacing w:after="120"/>
        <w:rPr>
          <w:rFonts w:eastAsia="MS Mincho" w:cs="Times New Roman"/>
        </w:rPr>
      </w:pPr>
      <w:r w:rsidRPr="00AA3F66">
        <w:rPr>
          <w:rFonts w:eastAsia="MS Mincho" w:cs="Times New Roman"/>
        </w:rPr>
        <w:t>Положителна стойност на индикаторите означава необходимост от фискална консолидация или структурни реформи, които да намалят тежестта от застаряването на населението върху публичните финанси, докато отрицателната показва наличие на фискално пространство.</w:t>
      </w:r>
    </w:p>
    <w:p w:rsidR="00DE1DEF" w:rsidRPr="00AA3F66" w:rsidRDefault="00BC7843" w:rsidP="00DE1DEF">
      <w:pPr>
        <w:pStyle w:val="Caption"/>
        <w:rPr>
          <w:rFonts w:eastAsia="MS Mincho"/>
          <w:bCs w:val="0"/>
          <w:szCs w:val="24"/>
          <w:lang w:eastAsia="ar-SA"/>
        </w:rPr>
      </w:pPr>
      <w:bookmarkStart w:id="524" w:name="_Toc464645028"/>
      <w:bookmarkStart w:id="525" w:name="_Toc464646383"/>
      <w:bookmarkStart w:id="526" w:name="_Toc464737651"/>
      <w:bookmarkStart w:id="527" w:name="_Toc150443431"/>
      <w:r w:rsidRPr="00AA3F66">
        <w:t xml:space="preserve">Табл. </w:t>
      </w:r>
      <w:fldSimple w:instr=" STYLEREF 1 \s ">
        <w:r w:rsidR="005A69ED">
          <w:rPr>
            <w:noProof/>
          </w:rPr>
          <w:t>VII</w:t>
        </w:r>
      </w:fldSimple>
      <w:r w:rsidR="00927CD5" w:rsidRPr="00AA3F66">
        <w:noBreakHyphen/>
      </w:r>
      <w:fldSimple w:instr=" SEQ Табл. \* ARABIC \s 1 ">
        <w:r w:rsidR="005A69ED">
          <w:rPr>
            <w:noProof/>
          </w:rPr>
          <w:t>1</w:t>
        </w:r>
      </w:fldSimple>
      <w:r w:rsidRPr="00AA3F66">
        <w:t>:</w:t>
      </w:r>
      <w:r w:rsidRPr="00AA3F66">
        <w:tab/>
      </w:r>
      <w:r w:rsidR="00A02457" w:rsidRPr="00AA3F66">
        <w:rPr>
          <w:rFonts w:eastAsia="MS Mincho"/>
          <w:bCs w:val="0"/>
          <w:szCs w:val="24"/>
          <w:lang w:eastAsia="ar-SA"/>
        </w:rPr>
        <w:t>Индикатори за устойчивост</w:t>
      </w:r>
      <w:bookmarkEnd w:id="524"/>
      <w:bookmarkEnd w:id="525"/>
      <w:bookmarkEnd w:id="526"/>
      <w:bookmarkEnd w:id="527"/>
    </w:p>
    <w:tbl>
      <w:tblPr>
        <w:tblW w:w="5001" w:type="pct"/>
        <w:tblCellMar>
          <w:left w:w="70" w:type="dxa"/>
          <w:right w:w="70" w:type="dxa"/>
        </w:tblCellMar>
        <w:tblLook w:val="00A0" w:firstRow="1" w:lastRow="0" w:firstColumn="1" w:lastColumn="0" w:noHBand="0" w:noVBand="0"/>
      </w:tblPr>
      <w:tblGrid>
        <w:gridCol w:w="5124"/>
        <w:gridCol w:w="989"/>
        <w:gridCol w:w="987"/>
        <w:gridCol w:w="987"/>
        <w:gridCol w:w="985"/>
      </w:tblGrid>
      <w:tr w:rsidR="001A6AE9" w:rsidRPr="00AA3F66" w:rsidTr="00EF6DA1">
        <w:trPr>
          <w:trHeight w:val="315"/>
        </w:trPr>
        <w:tc>
          <w:tcPr>
            <w:tcW w:w="2824" w:type="pct"/>
            <w:tcBorders>
              <w:top w:val="single" w:sz="4" w:space="0" w:color="auto"/>
              <w:left w:val="nil"/>
              <w:right w:val="nil"/>
            </w:tcBorders>
            <w:vAlign w:val="center"/>
          </w:tcPr>
          <w:p w:rsidR="001A6AE9" w:rsidRPr="00AA3F66" w:rsidRDefault="001A6AE9" w:rsidP="00EF6DA1">
            <w:pPr>
              <w:spacing w:before="40" w:after="40"/>
              <w:rPr>
                <w:rFonts w:eastAsia="Times New Roman" w:cs="Times New Roman"/>
                <w:b/>
                <w:bCs/>
                <w:sz w:val="20"/>
                <w:szCs w:val="20"/>
              </w:rPr>
            </w:pPr>
          </w:p>
        </w:tc>
        <w:tc>
          <w:tcPr>
            <w:tcW w:w="1089" w:type="pct"/>
            <w:gridSpan w:val="2"/>
            <w:tcBorders>
              <w:top w:val="single" w:sz="4" w:space="0" w:color="auto"/>
              <w:left w:val="nil"/>
              <w:right w:val="nil"/>
            </w:tcBorders>
            <w:vAlign w:val="center"/>
          </w:tcPr>
          <w:p w:rsidR="001A6AE9" w:rsidRPr="00AA3F66" w:rsidRDefault="001A6AE9" w:rsidP="00EF6DA1">
            <w:pPr>
              <w:spacing w:before="40" w:after="40"/>
              <w:jc w:val="center"/>
              <w:rPr>
                <w:rFonts w:eastAsia="Times New Roman" w:cs="Times New Roman"/>
                <w:b/>
                <w:bCs/>
                <w:sz w:val="20"/>
                <w:szCs w:val="20"/>
              </w:rPr>
            </w:pPr>
            <w:r w:rsidRPr="00AA3F66">
              <w:rPr>
                <w:rFonts w:eastAsia="Times New Roman" w:cs="Times New Roman"/>
                <w:b/>
                <w:bCs/>
                <w:sz w:val="20"/>
                <w:szCs w:val="20"/>
              </w:rPr>
              <w:t>ИАП</w:t>
            </w:r>
          </w:p>
        </w:tc>
        <w:tc>
          <w:tcPr>
            <w:tcW w:w="1087" w:type="pct"/>
            <w:gridSpan w:val="2"/>
            <w:tcBorders>
              <w:top w:val="single" w:sz="4" w:space="0" w:color="auto"/>
              <w:left w:val="nil"/>
            </w:tcBorders>
          </w:tcPr>
          <w:p w:rsidR="001A6AE9" w:rsidRPr="00AA3F66" w:rsidRDefault="001A6AE9" w:rsidP="00EF6DA1">
            <w:pPr>
              <w:spacing w:before="40" w:after="40"/>
              <w:jc w:val="center"/>
              <w:rPr>
                <w:rFonts w:eastAsia="Times New Roman" w:cs="Times New Roman"/>
                <w:b/>
                <w:bCs/>
                <w:sz w:val="20"/>
                <w:szCs w:val="20"/>
              </w:rPr>
            </w:pPr>
            <w:r w:rsidRPr="00AA3F66">
              <w:rPr>
                <w:rFonts w:eastAsia="Times New Roman" w:cs="Times New Roman"/>
                <w:b/>
                <w:bCs/>
                <w:sz w:val="20"/>
                <w:szCs w:val="20"/>
              </w:rPr>
              <w:t>ЕК</w:t>
            </w:r>
          </w:p>
        </w:tc>
      </w:tr>
      <w:tr w:rsidR="001A6AE9" w:rsidRPr="00AA3F66" w:rsidTr="00EF6DA1">
        <w:trPr>
          <w:trHeight w:val="315"/>
        </w:trPr>
        <w:tc>
          <w:tcPr>
            <w:tcW w:w="2824" w:type="pct"/>
            <w:tcBorders>
              <w:left w:val="nil"/>
              <w:bottom w:val="single" w:sz="4" w:space="0" w:color="auto"/>
              <w:right w:val="nil"/>
            </w:tcBorders>
            <w:vAlign w:val="center"/>
          </w:tcPr>
          <w:p w:rsidR="001A6AE9" w:rsidRPr="00AA3F66" w:rsidRDefault="001A6AE9" w:rsidP="00EF6DA1">
            <w:pPr>
              <w:spacing w:before="40" w:after="40"/>
              <w:rPr>
                <w:rFonts w:eastAsia="Times New Roman" w:cs="Times New Roman"/>
                <w:b/>
                <w:bCs/>
                <w:sz w:val="20"/>
                <w:szCs w:val="20"/>
              </w:rPr>
            </w:pPr>
            <w:r w:rsidRPr="00AA3F66">
              <w:rPr>
                <w:rFonts w:eastAsia="Times New Roman" w:cs="Times New Roman"/>
                <w:b/>
                <w:bCs/>
                <w:sz w:val="20"/>
                <w:szCs w:val="20"/>
              </w:rPr>
              <w:t> </w:t>
            </w:r>
          </w:p>
        </w:tc>
        <w:tc>
          <w:tcPr>
            <w:tcW w:w="545" w:type="pct"/>
            <w:tcBorders>
              <w:left w:val="nil"/>
              <w:bottom w:val="single" w:sz="4" w:space="0" w:color="auto"/>
              <w:right w:val="nil"/>
            </w:tcBorders>
            <w:vAlign w:val="center"/>
          </w:tcPr>
          <w:p w:rsidR="001A6AE9" w:rsidRPr="00AA3F66" w:rsidRDefault="001A6AE9" w:rsidP="00EF6DA1">
            <w:pPr>
              <w:spacing w:before="40" w:after="40"/>
              <w:jc w:val="center"/>
              <w:rPr>
                <w:rFonts w:eastAsia="Times New Roman" w:cs="Times New Roman"/>
                <w:b/>
                <w:bCs/>
                <w:sz w:val="20"/>
                <w:szCs w:val="20"/>
              </w:rPr>
            </w:pPr>
            <w:r w:rsidRPr="00AA3F66">
              <w:rPr>
                <w:rFonts w:eastAsia="Times New Roman" w:cs="Times New Roman"/>
                <w:b/>
                <w:bCs/>
                <w:sz w:val="20"/>
                <w:szCs w:val="20"/>
              </w:rPr>
              <w:t>S1</w:t>
            </w:r>
          </w:p>
        </w:tc>
        <w:tc>
          <w:tcPr>
            <w:tcW w:w="544" w:type="pct"/>
            <w:tcBorders>
              <w:left w:val="nil"/>
              <w:bottom w:val="single" w:sz="4" w:space="0" w:color="auto"/>
              <w:right w:val="nil"/>
            </w:tcBorders>
            <w:vAlign w:val="center"/>
          </w:tcPr>
          <w:p w:rsidR="001A6AE9" w:rsidRPr="00AA3F66" w:rsidRDefault="001A6AE9" w:rsidP="00EF6DA1">
            <w:pPr>
              <w:spacing w:before="40" w:after="40"/>
              <w:jc w:val="center"/>
              <w:rPr>
                <w:rFonts w:eastAsia="Times New Roman" w:cs="Times New Roman"/>
                <w:b/>
                <w:bCs/>
                <w:sz w:val="20"/>
                <w:szCs w:val="20"/>
              </w:rPr>
            </w:pPr>
            <w:r w:rsidRPr="00AA3F66">
              <w:rPr>
                <w:rFonts w:eastAsia="Times New Roman" w:cs="Times New Roman"/>
                <w:b/>
                <w:bCs/>
                <w:sz w:val="20"/>
                <w:szCs w:val="20"/>
              </w:rPr>
              <w:t>S2</w:t>
            </w:r>
          </w:p>
        </w:tc>
        <w:tc>
          <w:tcPr>
            <w:tcW w:w="544" w:type="pct"/>
            <w:tcBorders>
              <w:left w:val="nil"/>
              <w:bottom w:val="single" w:sz="4" w:space="0" w:color="auto"/>
              <w:right w:val="nil"/>
            </w:tcBorders>
          </w:tcPr>
          <w:p w:rsidR="001A6AE9" w:rsidRPr="00AA3F66" w:rsidRDefault="001A6AE9" w:rsidP="00EF6DA1">
            <w:pPr>
              <w:spacing w:before="40" w:after="40"/>
              <w:jc w:val="center"/>
              <w:rPr>
                <w:rFonts w:eastAsia="Times New Roman" w:cs="Times New Roman"/>
                <w:b/>
                <w:bCs/>
                <w:sz w:val="20"/>
                <w:szCs w:val="20"/>
              </w:rPr>
            </w:pPr>
            <w:r w:rsidRPr="00AA3F66">
              <w:rPr>
                <w:rFonts w:eastAsia="Times New Roman" w:cs="Times New Roman"/>
                <w:b/>
                <w:bCs/>
                <w:sz w:val="20"/>
                <w:szCs w:val="20"/>
              </w:rPr>
              <w:t>S1</w:t>
            </w:r>
          </w:p>
        </w:tc>
        <w:tc>
          <w:tcPr>
            <w:tcW w:w="543" w:type="pct"/>
            <w:tcBorders>
              <w:left w:val="nil"/>
              <w:bottom w:val="single" w:sz="4" w:space="0" w:color="auto"/>
              <w:right w:val="nil"/>
            </w:tcBorders>
          </w:tcPr>
          <w:p w:rsidR="001A6AE9" w:rsidRPr="00AA3F66" w:rsidRDefault="001A6AE9" w:rsidP="00EF6DA1">
            <w:pPr>
              <w:spacing w:before="40" w:after="40"/>
              <w:jc w:val="center"/>
              <w:rPr>
                <w:rFonts w:eastAsia="Times New Roman" w:cs="Times New Roman"/>
                <w:b/>
                <w:bCs/>
                <w:sz w:val="20"/>
                <w:szCs w:val="20"/>
              </w:rPr>
            </w:pPr>
            <w:r w:rsidRPr="00AA3F66">
              <w:rPr>
                <w:rFonts w:eastAsia="Times New Roman" w:cs="Times New Roman"/>
                <w:b/>
                <w:bCs/>
                <w:sz w:val="20"/>
                <w:szCs w:val="20"/>
              </w:rPr>
              <w:t>S2</w:t>
            </w:r>
          </w:p>
        </w:tc>
      </w:tr>
      <w:tr w:rsidR="001A6AE9" w:rsidRPr="00AA3F66" w:rsidTr="00EF6DA1">
        <w:trPr>
          <w:trHeight w:val="315"/>
        </w:trPr>
        <w:tc>
          <w:tcPr>
            <w:tcW w:w="2824" w:type="pct"/>
            <w:tcBorders>
              <w:top w:val="single" w:sz="4" w:space="0" w:color="auto"/>
              <w:left w:val="nil"/>
              <w:bottom w:val="nil"/>
              <w:right w:val="nil"/>
            </w:tcBorders>
            <w:vAlign w:val="center"/>
          </w:tcPr>
          <w:p w:rsidR="001A6AE9" w:rsidRPr="00AA3F66" w:rsidRDefault="001A6AE9" w:rsidP="00EF6DA1">
            <w:pPr>
              <w:spacing w:before="40" w:after="40"/>
              <w:rPr>
                <w:rFonts w:eastAsia="Times New Roman" w:cs="Times New Roman"/>
                <w:bCs/>
                <w:sz w:val="20"/>
                <w:szCs w:val="20"/>
              </w:rPr>
            </w:pPr>
            <w:r w:rsidRPr="00AA3F66">
              <w:rPr>
                <w:rFonts w:eastAsia="Times New Roman" w:cs="Times New Roman"/>
                <w:bCs/>
                <w:sz w:val="20"/>
                <w:szCs w:val="20"/>
              </w:rPr>
              <w:t>Стойност, от която:</w:t>
            </w:r>
          </w:p>
        </w:tc>
        <w:tc>
          <w:tcPr>
            <w:tcW w:w="545" w:type="pct"/>
            <w:tcBorders>
              <w:top w:val="single" w:sz="4" w:space="0" w:color="auto"/>
              <w:left w:val="nil"/>
              <w:bottom w:val="nil"/>
              <w:right w:val="nil"/>
            </w:tcBorders>
          </w:tcPr>
          <w:p w:rsidR="001A6AE9" w:rsidRPr="00AA3F66" w:rsidRDefault="001A6AE9" w:rsidP="00EF6DA1">
            <w:pPr>
              <w:spacing w:before="40" w:after="40"/>
              <w:jc w:val="center"/>
              <w:rPr>
                <w:rFonts w:eastAsia="Times New Roman" w:cs="Times New Roman"/>
                <w:bCs/>
                <w:sz w:val="20"/>
                <w:szCs w:val="20"/>
              </w:rPr>
            </w:pPr>
            <w:r w:rsidRPr="00AA3F66">
              <w:rPr>
                <w:rFonts w:eastAsia="Times New Roman" w:cs="Times New Roman"/>
                <w:bCs/>
                <w:sz w:val="20"/>
                <w:szCs w:val="20"/>
              </w:rPr>
              <w:t>-0,2</w:t>
            </w:r>
          </w:p>
        </w:tc>
        <w:tc>
          <w:tcPr>
            <w:tcW w:w="544" w:type="pct"/>
            <w:tcBorders>
              <w:top w:val="single" w:sz="4" w:space="0" w:color="auto"/>
              <w:left w:val="nil"/>
              <w:bottom w:val="nil"/>
              <w:right w:val="nil"/>
            </w:tcBorders>
          </w:tcPr>
          <w:p w:rsidR="001A6AE9" w:rsidRPr="00AA3F66" w:rsidRDefault="001A6AE9" w:rsidP="00EF6DA1">
            <w:pPr>
              <w:spacing w:before="40" w:after="40"/>
              <w:jc w:val="center"/>
              <w:rPr>
                <w:rFonts w:eastAsia="Times New Roman" w:cs="Times New Roman"/>
                <w:bCs/>
                <w:sz w:val="20"/>
                <w:szCs w:val="20"/>
              </w:rPr>
            </w:pPr>
            <w:r w:rsidRPr="00AA3F66">
              <w:rPr>
                <w:rFonts w:eastAsia="Times New Roman" w:cs="Times New Roman"/>
                <w:bCs/>
                <w:sz w:val="20"/>
                <w:szCs w:val="20"/>
              </w:rPr>
              <w:t>1</w:t>
            </w:r>
          </w:p>
        </w:tc>
        <w:tc>
          <w:tcPr>
            <w:tcW w:w="544" w:type="pct"/>
            <w:tcBorders>
              <w:top w:val="single" w:sz="4" w:space="0" w:color="auto"/>
              <w:left w:val="nil"/>
              <w:bottom w:val="nil"/>
              <w:right w:val="nil"/>
            </w:tcBorders>
          </w:tcPr>
          <w:p w:rsidR="001A6AE9" w:rsidRPr="00AA3F66" w:rsidRDefault="001A6AE9" w:rsidP="00EF6DA1">
            <w:pPr>
              <w:spacing w:before="40" w:after="40"/>
              <w:jc w:val="center"/>
              <w:rPr>
                <w:rFonts w:eastAsia="Times New Roman" w:cs="Times New Roman"/>
                <w:bCs/>
                <w:sz w:val="20"/>
                <w:szCs w:val="20"/>
              </w:rPr>
            </w:pPr>
            <w:r w:rsidRPr="00AA3F66">
              <w:rPr>
                <w:rFonts w:eastAsia="Times New Roman" w:cs="Times New Roman"/>
                <w:bCs/>
                <w:sz w:val="20"/>
                <w:szCs w:val="20"/>
              </w:rPr>
              <w:t>2,5</w:t>
            </w:r>
          </w:p>
        </w:tc>
        <w:tc>
          <w:tcPr>
            <w:tcW w:w="543" w:type="pct"/>
            <w:tcBorders>
              <w:top w:val="single" w:sz="4" w:space="0" w:color="auto"/>
              <w:left w:val="nil"/>
              <w:bottom w:val="nil"/>
              <w:right w:val="nil"/>
            </w:tcBorders>
          </w:tcPr>
          <w:p w:rsidR="001A6AE9" w:rsidRPr="00AA3F66" w:rsidRDefault="001A6AE9" w:rsidP="00EF6DA1">
            <w:pPr>
              <w:spacing w:before="40" w:after="40"/>
              <w:jc w:val="center"/>
              <w:rPr>
                <w:rFonts w:eastAsia="Times New Roman" w:cs="Times New Roman"/>
                <w:bCs/>
                <w:sz w:val="20"/>
                <w:szCs w:val="20"/>
              </w:rPr>
            </w:pPr>
            <w:r w:rsidRPr="00AA3F66">
              <w:rPr>
                <w:rFonts w:eastAsia="Times New Roman" w:cs="Times New Roman"/>
                <w:bCs/>
                <w:sz w:val="20"/>
                <w:szCs w:val="20"/>
              </w:rPr>
              <w:t>3,9</w:t>
            </w:r>
          </w:p>
        </w:tc>
      </w:tr>
      <w:tr w:rsidR="001A6AE9" w:rsidRPr="00AA3F66" w:rsidTr="00EF6DA1">
        <w:trPr>
          <w:trHeight w:val="315"/>
        </w:trPr>
        <w:tc>
          <w:tcPr>
            <w:tcW w:w="2824" w:type="pct"/>
            <w:tcBorders>
              <w:top w:val="nil"/>
              <w:left w:val="nil"/>
              <w:bottom w:val="nil"/>
              <w:right w:val="nil"/>
            </w:tcBorders>
            <w:vAlign w:val="center"/>
          </w:tcPr>
          <w:p w:rsidR="001A6AE9" w:rsidRPr="00AA3F66" w:rsidRDefault="001A6AE9" w:rsidP="00EF6DA1">
            <w:pPr>
              <w:spacing w:before="40" w:after="40"/>
              <w:rPr>
                <w:rFonts w:eastAsia="Times New Roman" w:cs="Times New Roman"/>
                <w:bCs/>
                <w:sz w:val="20"/>
                <w:szCs w:val="20"/>
              </w:rPr>
            </w:pPr>
            <w:r w:rsidRPr="00AA3F66">
              <w:rPr>
                <w:rFonts w:eastAsia="Times New Roman" w:cs="Times New Roman"/>
                <w:bCs/>
                <w:sz w:val="20"/>
                <w:szCs w:val="20"/>
              </w:rPr>
              <w:t xml:space="preserve">  Начална бюджетна позиция</w:t>
            </w:r>
          </w:p>
        </w:tc>
        <w:tc>
          <w:tcPr>
            <w:tcW w:w="545" w:type="pct"/>
            <w:tcBorders>
              <w:top w:val="nil"/>
              <w:left w:val="nil"/>
              <w:bottom w:val="nil"/>
              <w:right w:val="nil"/>
            </w:tcBorders>
          </w:tcPr>
          <w:p w:rsidR="001A6AE9" w:rsidRPr="00AA3F66" w:rsidRDefault="001A6AE9" w:rsidP="00EF6DA1">
            <w:pPr>
              <w:spacing w:before="40" w:after="40"/>
              <w:jc w:val="center"/>
              <w:rPr>
                <w:rFonts w:eastAsia="Times New Roman" w:cs="Times New Roman"/>
                <w:bCs/>
                <w:sz w:val="20"/>
                <w:szCs w:val="20"/>
              </w:rPr>
            </w:pPr>
            <w:r w:rsidRPr="00AA3F66">
              <w:rPr>
                <w:rFonts w:eastAsia="Times New Roman" w:cs="Times New Roman"/>
                <w:bCs/>
                <w:sz w:val="20"/>
                <w:szCs w:val="20"/>
              </w:rPr>
              <w:t>1,6</w:t>
            </w:r>
          </w:p>
        </w:tc>
        <w:tc>
          <w:tcPr>
            <w:tcW w:w="544" w:type="pct"/>
            <w:tcBorders>
              <w:top w:val="nil"/>
              <w:left w:val="nil"/>
              <w:bottom w:val="nil"/>
              <w:right w:val="nil"/>
            </w:tcBorders>
          </w:tcPr>
          <w:p w:rsidR="001A6AE9" w:rsidRPr="00AA3F66" w:rsidRDefault="001A6AE9" w:rsidP="00EF6DA1">
            <w:pPr>
              <w:spacing w:before="40" w:after="40"/>
              <w:jc w:val="center"/>
              <w:rPr>
                <w:rFonts w:eastAsia="Times New Roman" w:cs="Times New Roman"/>
                <w:bCs/>
                <w:sz w:val="20"/>
                <w:szCs w:val="20"/>
              </w:rPr>
            </w:pPr>
            <w:r w:rsidRPr="00AA3F66">
              <w:rPr>
                <w:rFonts w:eastAsia="Times New Roman" w:cs="Times New Roman"/>
                <w:bCs/>
                <w:sz w:val="20"/>
                <w:szCs w:val="20"/>
              </w:rPr>
              <w:t>1,7</w:t>
            </w:r>
          </w:p>
        </w:tc>
        <w:tc>
          <w:tcPr>
            <w:tcW w:w="544" w:type="pct"/>
            <w:tcBorders>
              <w:top w:val="nil"/>
              <w:left w:val="nil"/>
              <w:bottom w:val="nil"/>
              <w:right w:val="nil"/>
            </w:tcBorders>
          </w:tcPr>
          <w:p w:rsidR="001A6AE9" w:rsidRPr="00AA3F66" w:rsidRDefault="001A6AE9" w:rsidP="00EF6DA1">
            <w:pPr>
              <w:spacing w:before="40" w:after="40"/>
              <w:jc w:val="center"/>
              <w:rPr>
                <w:rFonts w:eastAsia="Times New Roman" w:cs="Times New Roman"/>
                <w:bCs/>
                <w:sz w:val="20"/>
                <w:szCs w:val="20"/>
              </w:rPr>
            </w:pPr>
            <w:r w:rsidRPr="00AA3F66">
              <w:rPr>
                <w:rFonts w:eastAsia="Times New Roman" w:cs="Times New Roman"/>
                <w:bCs/>
                <w:sz w:val="20"/>
                <w:szCs w:val="20"/>
              </w:rPr>
              <w:t>2,3</w:t>
            </w:r>
          </w:p>
        </w:tc>
        <w:tc>
          <w:tcPr>
            <w:tcW w:w="543" w:type="pct"/>
            <w:tcBorders>
              <w:top w:val="nil"/>
              <w:left w:val="nil"/>
              <w:bottom w:val="nil"/>
              <w:right w:val="nil"/>
            </w:tcBorders>
          </w:tcPr>
          <w:p w:rsidR="001A6AE9" w:rsidRPr="00AA3F66" w:rsidRDefault="001A6AE9" w:rsidP="00EF6DA1">
            <w:pPr>
              <w:spacing w:before="40" w:after="40"/>
              <w:jc w:val="center"/>
              <w:rPr>
                <w:rFonts w:eastAsia="Times New Roman" w:cs="Times New Roman"/>
                <w:bCs/>
                <w:sz w:val="20"/>
                <w:szCs w:val="20"/>
              </w:rPr>
            </w:pPr>
            <w:r w:rsidRPr="00AA3F66">
              <w:rPr>
                <w:rFonts w:eastAsia="Times New Roman" w:cs="Times New Roman"/>
                <w:bCs/>
                <w:sz w:val="20"/>
                <w:szCs w:val="20"/>
              </w:rPr>
              <w:t>2,5</w:t>
            </w:r>
          </w:p>
        </w:tc>
      </w:tr>
      <w:tr w:rsidR="001A6AE9" w:rsidRPr="00AA3F66" w:rsidTr="00EF6DA1">
        <w:trPr>
          <w:trHeight w:val="315"/>
        </w:trPr>
        <w:tc>
          <w:tcPr>
            <w:tcW w:w="2824" w:type="pct"/>
            <w:tcBorders>
              <w:top w:val="nil"/>
              <w:left w:val="nil"/>
              <w:bottom w:val="nil"/>
              <w:right w:val="nil"/>
            </w:tcBorders>
            <w:vAlign w:val="center"/>
          </w:tcPr>
          <w:p w:rsidR="001A6AE9" w:rsidRPr="00AA3F66" w:rsidRDefault="001A6AE9" w:rsidP="00EF6DA1">
            <w:pPr>
              <w:spacing w:before="40" w:after="40"/>
              <w:rPr>
                <w:rFonts w:eastAsia="Times New Roman" w:cs="Times New Roman"/>
                <w:bCs/>
                <w:sz w:val="20"/>
                <w:szCs w:val="20"/>
              </w:rPr>
            </w:pPr>
            <w:r w:rsidRPr="00AA3F66">
              <w:rPr>
                <w:rFonts w:eastAsia="Times New Roman" w:cs="Times New Roman"/>
                <w:bCs/>
                <w:sz w:val="20"/>
                <w:szCs w:val="20"/>
              </w:rPr>
              <w:t xml:space="preserve">  Дългово ограничение </w:t>
            </w:r>
          </w:p>
        </w:tc>
        <w:tc>
          <w:tcPr>
            <w:tcW w:w="545" w:type="pct"/>
            <w:tcBorders>
              <w:top w:val="nil"/>
              <w:left w:val="nil"/>
              <w:bottom w:val="nil"/>
              <w:right w:val="nil"/>
            </w:tcBorders>
          </w:tcPr>
          <w:p w:rsidR="001A6AE9" w:rsidRPr="00AA3F66" w:rsidRDefault="001A6AE9" w:rsidP="00EF6DA1">
            <w:pPr>
              <w:spacing w:before="40" w:after="40"/>
              <w:jc w:val="center"/>
              <w:rPr>
                <w:rFonts w:eastAsia="Times New Roman" w:cs="Times New Roman"/>
                <w:bCs/>
                <w:sz w:val="20"/>
                <w:szCs w:val="20"/>
              </w:rPr>
            </w:pPr>
            <w:r w:rsidRPr="00AA3F66">
              <w:rPr>
                <w:rFonts w:eastAsia="Times New Roman" w:cs="Times New Roman"/>
                <w:bCs/>
                <w:sz w:val="20"/>
                <w:szCs w:val="20"/>
              </w:rPr>
              <w:t>-0,6</w:t>
            </w:r>
          </w:p>
        </w:tc>
        <w:tc>
          <w:tcPr>
            <w:tcW w:w="544" w:type="pct"/>
            <w:tcBorders>
              <w:top w:val="nil"/>
              <w:left w:val="nil"/>
              <w:bottom w:val="nil"/>
              <w:right w:val="nil"/>
            </w:tcBorders>
          </w:tcPr>
          <w:p w:rsidR="001A6AE9" w:rsidRPr="00AA3F66" w:rsidRDefault="001A6AE9" w:rsidP="00EF6DA1">
            <w:pPr>
              <w:spacing w:before="40" w:after="40"/>
              <w:jc w:val="center"/>
              <w:rPr>
                <w:rFonts w:eastAsia="Times New Roman" w:cs="Times New Roman"/>
                <w:bCs/>
                <w:sz w:val="20"/>
                <w:szCs w:val="20"/>
              </w:rPr>
            </w:pPr>
          </w:p>
        </w:tc>
        <w:tc>
          <w:tcPr>
            <w:tcW w:w="544" w:type="pct"/>
            <w:tcBorders>
              <w:top w:val="nil"/>
              <w:left w:val="nil"/>
              <w:bottom w:val="nil"/>
              <w:right w:val="nil"/>
            </w:tcBorders>
          </w:tcPr>
          <w:p w:rsidR="001A6AE9" w:rsidRPr="00AA3F66" w:rsidRDefault="001A6AE9" w:rsidP="00EF6DA1">
            <w:pPr>
              <w:spacing w:before="40" w:after="40"/>
              <w:jc w:val="center"/>
              <w:rPr>
                <w:rFonts w:eastAsia="Times New Roman" w:cs="Times New Roman"/>
                <w:bCs/>
                <w:sz w:val="20"/>
                <w:szCs w:val="20"/>
              </w:rPr>
            </w:pPr>
            <w:r w:rsidRPr="00AA3F66">
              <w:rPr>
                <w:rFonts w:eastAsia="Times New Roman" w:cs="Times New Roman"/>
                <w:bCs/>
                <w:sz w:val="20"/>
                <w:szCs w:val="20"/>
              </w:rPr>
              <w:t>-0,7</w:t>
            </w:r>
          </w:p>
        </w:tc>
        <w:tc>
          <w:tcPr>
            <w:tcW w:w="543" w:type="pct"/>
            <w:tcBorders>
              <w:top w:val="nil"/>
              <w:left w:val="nil"/>
              <w:bottom w:val="nil"/>
              <w:right w:val="nil"/>
            </w:tcBorders>
          </w:tcPr>
          <w:p w:rsidR="001A6AE9" w:rsidRPr="00AA3F66" w:rsidRDefault="001A6AE9" w:rsidP="00EF6DA1">
            <w:pPr>
              <w:spacing w:before="40" w:after="40"/>
              <w:jc w:val="center"/>
              <w:rPr>
                <w:rFonts w:eastAsia="Times New Roman" w:cs="Times New Roman"/>
                <w:bCs/>
                <w:sz w:val="20"/>
                <w:szCs w:val="20"/>
              </w:rPr>
            </w:pPr>
          </w:p>
        </w:tc>
      </w:tr>
      <w:tr w:rsidR="001A6AE9" w:rsidRPr="00AA3F66" w:rsidTr="00EF6DA1">
        <w:trPr>
          <w:trHeight w:val="315"/>
        </w:trPr>
        <w:tc>
          <w:tcPr>
            <w:tcW w:w="2824" w:type="pct"/>
            <w:tcBorders>
              <w:top w:val="nil"/>
              <w:left w:val="nil"/>
              <w:bottom w:val="nil"/>
              <w:right w:val="nil"/>
            </w:tcBorders>
            <w:vAlign w:val="center"/>
          </w:tcPr>
          <w:p w:rsidR="001A6AE9" w:rsidRPr="00AA3F66" w:rsidRDefault="001A6AE9" w:rsidP="00EF6DA1">
            <w:pPr>
              <w:spacing w:before="40" w:after="40"/>
              <w:rPr>
                <w:rFonts w:eastAsia="Times New Roman" w:cs="Times New Roman"/>
                <w:bCs/>
                <w:sz w:val="20"/>
                <w:szCs w:val="20"/>
              </w:rPr>
            </w:pPr>
            <w:r w:rsidRPr="00AA3F66">
              <w:rPr>
                <w:rFonts w:eastAsia="Times New Roman" w:cs="Times New Roman"/>
                <w:bCs/>
                <w:sz w:val="20"/>
                <w:szCs w:val="20"/>
              </w:rPr>
              <w:t xml:space="preserve">  Бъдещи промени в бюджетната позиция</w:t>
            </w:r>
          </w:p>
        </w:tc>
        <w:tc>
          <w:tcPr>
            <w:tcW w:w="545" w:type="pct"/>
            <w:tcBorders>
              <w:top w:val="nil"/>
              <w:left w:val="nil"/>
              <w:bottom w:val="nil"/>
              <w:right w:val="nil"/>
            </w:tcBorders>
          </w:tcPr>
          <w:p w:rsidR="001A6AE9" w:rsidRPr="00AA3F66" w:rsidRDefault="001A6AE9" w:rsidP="00EF6DA1">
            <w:pPr>
              <w:spacing w:before="40" w:after="40"/>
              <w:jc w:val="center"/>
              <w:rPr>
                <w:rFonts w:eastAsia="Times New Roman" w:cs="Times New Roman"/>
                <w:bCs/>
                <w:sz w:val="20"/>
                <w:szCs w:val="20"/>
              </w:rPr>
            </w:pPr>
            <w:r w:rsidRPr="00AA3F66">
              <w:rPr>
                <w:rFonts w:eastAsia="Times New Roman" w:cs="Times New Roman"/>
                <w:bCs/>
                <w:sz w:val="20"/>
                <w:szCs w:val="20"/>
              </w:rPr>
              <w:t>-1,1</w:t>
            </w:r>
          </w:p>
        </w:tc>
        <w:tc>
          <w:tcPr>
            <w:tcW w:w="544" w:type="pct"/>
            <w:tcBorders>
              <w:top w:val="nil"/>
              <w:left w:val="nil"/>
              <w:bottom w:val="nil"/>
              <w:right w:val="nil"/>
            </w:tcBorders>
          </w:tcPr>
          <w:p w:rsidR="001A6AE9" w:rsidRPr="00AA3F66" w:rsidRDefault="001A6AE9" w:rsidP="00EF6DA1">
            <w:pPr>
              <w:spacing w:before="40" w:after="40"/>
              <w:jc w:val="center"/>
              <w:rPr>
                <w:rFonts w:eastAsia="Times New Roman" w:cs="Times New Roman"/>
                <w:bCs/>
                <w:sz w:val="20"/>
                <w:szCs w:val="20"/>
              </w:rPr>
            </w:pPr>
            <w:r w:rsidRPr="00AA3F66">
              <w:rPr>
                <w:rFonts w:eastAsia="Times New Roman" w:cs="Times New Roman"/>
                <w:bCs/>
                <w:sz w:val="20"/>
                <w:szCs w:val="20"/>
              </w:rPr>
              <w:t>-0,8</w:t>
            </w:r>
          </w:p>
        </w:tc>
        <w:tc>
          <w:tcPr>
            <w:tcW w:w="544" w:type="pct"/>
            <w:tcBorders>
              <w:top w:val="nil"/>
              <w:left w:val="nil"/>
              <w:bottom w:val="nil"/>
              <w:right w:val="nil"/>
            </w:tcBorders>
          </w:tcPr>
          <w:p w:rsidR="001A6AE9" w:rsidRPr="00AA3F66" w:rsidRDefault="001A6AE9" w:rsidP="00EF6DA1">
            <w:pPr>
              <w:spacing w:before="40" w:after="40"/>
              <w:jc w:val="center"/>
              <w:rPr>
                <w:rFonts w:eastAsia="Times New Roman" w:cs="Times New Roman"/>
                <w:bCs/>
                <w:sz w:val="20"/>
                <w:szCs w:val="20"/>
              </w:rPr>
            </w:pPr>
            <w:r w:rsidRPr="00AA3F66">
              <w:rPr>
                <w:rFonts w:eastAsia="Times New Roman" w:cs="Times New Roman"/>
                <w:bCs/>
                <w:sz w:val="20"/>
                <w:szCs w:val="20"/>
              </w:rPr>
              <w:t>1</w:t>
            </w:r>
            <w:r w:rsidR="007275A4" w:rsidRPr="00AA3F66">
              <w:rPr>
                <w:rFonts w:eastAsia="Times New Roman" w:cs="Times New Roman"/>
                <w:bCs/>
                <w:sz w:val="20"/>
                <w:szCs w:val="20"/>
              </w:rPr>
              <w:t>,0</w:t>
            </w:r>
          </w:p>
        </w:tc>
        <w:tc>
          <w:tcPr>
            <w:tcW w:w="543" w:type="pct"/>
            <w:tcBorders>
              <w:top w:val="nil"/>
              <w:left w:val="nil"/>
              <w:bottom w:val="nil"/>
              <w:right w:val="nil"/>
            </w:tcBorders>
          </w:tcPr>
          <w:p w:rsidR="001A6AE9" w:rsidRPr="00AA3F66" w:rsidRDefault="001A6AE9" w:rsidP="00EF6DA1">
            <w:pPr>
              <w:spacing w:before="40" w:after="40"/>
              <w:jc w:val="center"/>
              <w:rPr>
                <w:rFonts w:eastAsia="Times New Roman" w:cs="Times New Roman"/>
                <w:bCs/>
                <w:sz w:val="20"/>
                <w:szCs w:val="20"/>
              </w:rPr>
            </w:pPr>
            <w:r w:rsidRPr="00AA3F66">
              <w:rPr>
                <w:rFonts w:eastAsia="Times New Roman" w:cs="Times New Roman"/>
                <w:bCs/>
                <w:sz w:val="20"/>
                <w:szCs w:val="20"/>
              </w:rPr>
              <w:t>1,4</w:t>
            </w:r>
          </w:p>
        </w:tc>
      </w:tr>
      <w:tr w:rsidR="001A6AE9" w:rsidRPr="00AA3F66" w:rsidTr="00EF6DA1">
        <w:trPr>
          <w:trHeight w:val="315"/>
        </w:trPr>
        <w:tc>
          <w:tcPr>
            <w:tcW w:w="2824" w:type="pct"/>
            <w:tcBorders>
              <w:top w:val="nil"/>
              <w:left w:val="nil"/>
              <w:bottom w:val="single" w:sz="4" w:space="0" w:color="auto"/>
              <w:right w:val="nil"/>
            </w:tcBorders>
            <w:vAlign w:val="center"/>
          </w:tcPr>
          <w:p w:rsidR="001A6AE9" w:rsidRPr="00AA3F66" w:rsidRDefault="001A6AE9" w:rsidP="00EF6DA1">
            <w:pPr>
              <w:spacing w:before="40" w:after="40"/>
              <w:rPr>
                <w:rFonts w:eastAsia="Times New Roman" w:cs="Times New Roman"/>
                <w:bCs/>
                <w:sz w:val="20"/>
                <w:szCs w:val="20"/>
              </w:rPr>
            </w:pPr>
            <w:r w:rsidRPr="00AA3F66">
              <w:rPr>
                <w:rFonts w:eastAsia="Times New Roman" w:cs="Times New Roman"/>
                <w:bCs/>
                <w:sz w:val="20"/>
                <w:szCs w:val="20"/>
              </w:rPr>
              <w:t>Необходим структурен първичен баланс в края на прогнозния период</w:t>
            </w:r>
          </w:p>
        </w:tc>
        <w:tc>
          <w:tcPr>
            <w:tcW w:w="545" w:type="pct"/>
            <w:tcBorders>
              <w:top w:val="nil"/>
              <w:left w:val="nil"/>
              <w:bottom w:val="single" w:sz="4" w:space="0" w:color="auto"/>
              <w:right w:val="nil"/>
            </w:tcBorders>
          </w:tcPr>
          <w:p w:rsidR="001A6AE9" w:rsidRPr="00AA3F66" w:rsidRDefault="001A6AE9" w:rsidP="00EF6DA1">
            <w:pPr>
              <w:spacing w:before="40" w:after="40"/>
              <w:jc w:val="center"/>
              <w:rPr>
                <w:rFonts w:eastAsia="Times New Roman" w:cs="Times New Roman"/>
                <w:bCs/>
                <w:sz w:val="20"/>
                <w:szCs w:val="20"/>
              </w:rPr>
            </w:pPr>
            <w:r w:rsidRPr="00AA3F66">
              <w:rPr>
                <w:rFonts w:eastAsia="Times New Roman" w:cs="Times New Roman"/>
                <w:bCs/>
                <w:sz w:val="20"/>
                <w:szCs w:val="20"/>
              </w:rPr>
              <w:t>-1,7</w:t>
            </w:r>
          </w:p>
        </w:tc>
        <w:tc>
          <w:tcPr>
            <w:tcW w:w="544" w:type="pct"/>
            <w:tcBorders>
              <w:top w:val="nil"/>
              <w:left w:val="nil"/>
              <w:bottom w:val="single" w:sz="4" w:space="0" w:color="auto"/>
              <w:right w:val="nil"/>
            </w:tcBorders>
          </w:tcPr>
          <w:p w:rsidR="001A6AE9" w:rsidRPr="00AA3F66" w:rsidRDefault="001A6AE9" w:rsidP="00EF6DA1">
            <w:pPr>
              <w:spacing w:before="40" w:after="40"/>
              <w:jc w:val="center"/>
              <w:rPr>
                <w:rFonts w:eastAsia="Times New Roman" w:cs="Times New Roman"/>
                <w:bCs/>
                <w:sz w:val="20"/>
                <w:szCs w:val="20"/>
              </w:rPr>
            </w:pPr>
            <w:r w:rsidRPr="00AA3F66">
              <w:rPr>
                <w:rFonts w:eastAsia="Times New Roman" w:cs="Times New Roman"/>
                <w:bCs/>
                <w:sz w:val="20"/>
                <w:szCs w:val="20"/>
              </w:rPr>
              <w:t>-0,6</w:t>
            </w:r>
          </w:p>
        </w:tc>
        <w:tc>
          <w:tcPr>
            <w:tcW w:w="544" w:type="pct"/>
            <w:tcBorders>
              <w:top w:val="nil"/>
              <w:left w:val="nil"/>
              <w:bottom w:val="single" w:sz="4" w:space="0" w:color="auto"/>
              <w:right w:val="nil"/>
            </w:tcBorders>
          </w:tcPr>
          <w:p w:rsidR="001A6AE9" w:rsidRPr="00AA3F66" w:rsidRDefault="001A6AE9" w:rsidP="00EF6DA1">
            <w:pPr>
              <w:spacing w:before="40" w:after="40"/>
              <w:jc w:val="center"/>
              <w:rPr>
                <w:rFonts w:eastAsia="Times New Roman" w:cs="Times New Roman"/>
                <w:bCs/>
                <w:sz w:val="20"/>
                <w:szCs w:val="20"/>
              </w:rPr>
            </w:pPr>
            <w:r w:rsidRPr="00AA3F66">
              <w:rPr>
                <w:rFonts w:eastAsia="Times New Roman" w:cs="Times New Roman"/>
                <w:bCs/>
                <w:sz w:val="20"/>
                <w:szCs w:val="20"/>
              </w:rPr>
              <w:t>0,2</w:t>
            </w:r>
          </w:p>
        </w:tc>
        <w:tc>
          <w:tcPr>
            <w:tcW w:w="543" w:type="pct"/>
            <w:tcBorders>
              <w:top w:val="nil"/>
              <w:left w:val="nil"/>
              <w:bottom w:val="single" w:sz="4" w:space="0" w:color="auto"/>
              <w:right w:val="nil"/>
            </w:tcBorders>
          </w:tcPr>
          <w:p w:rsidR="001A6AE9" w:rsidRPr="00AA3F66" w:rsidRDefault="001A6AE9" w:rsidP="00EF6DA1">
            <w:pPr>
              <w:spacing w:before="40" w:after="40"/>
              <w:jc w:val="center"/>
              <w:rPr>
                <w:rFonts w:eastAsia="Times New Roman" w:cs="Times New Roman"/>
                <w:bCs/>
                <w:sz w:val="20"/>
                <w:szCs w:val="20"/>
              </w:rPr>
            </w:pPr>
            <w:r w:rsidRPr="00AA3F66">
              <w:rPr>
                <w:rFonts w:eastAsia="Times New Roman" w:cs="Times New Roman"/>
                <w:bCs/>
                <w:sz w:val="20"/>
                <w:szCs w:val="20"/>
              </w:rPr>
              <w:t>1,6</w:t>
            </w:r>
          </w:p>
        </w:tc>
      </w:tr>
    </w:tbl>
    <w:p w:rsidR="00DE1DEF" w:rsidRPr="00AA3F66" w:rsidRDefault="001A6AE9" w:rsidP="00DE1DEF">
      <w:pPr>
        <w:spacing w:before="60"/>
        <w:jc w:val="right"/>
        <w:rPr>
          <w:rFonts w:eastAsia="Times New Roman" w:cs="Times New Roman"/>
          <w:sz w:val="18"/>
          <w:szCs w:val="18"/>
        </w:rPr>
      </w:pPr>
      <w:r w:rsidRPr="00AA3F66">
        <w:rPr>
          <w:rFonts w:eastAsia="Times New Roman" w:cs="Times New Roman"/>
          <w:sz w:val="18"/>
          <w:szCs w:val="18"/>
        </w:rPr>
        <w:t>Източник: ИАП, ЕК</w:t>
      </w:r>
    </w:p>
    <w:p w:rsidR="001A6AE9" w:rsidRPr="00AA3F66" w:rsidRDefault="001A6AE9" w:rsidP="001A6AE9">
      <w:pPr>
        <w:rPr>
          <w:rFonts w:eastAsia="Calibri" w:cs="Times New Roman"/>
          <w:bCs/>
          <w:szCs w:val="24"/>
        </w:rPr>
      </w:pPr>
      <w:r w:rsidRPr="00AA3F66">
        <w:rPr>
          <w:rFonts w:eastAsia="Calibri" w:cs="Times New Roman"/>
          <w:bCs/>
          <w:szCs w:val="24"/>
        </w:rPr>
        <w:t>В таблицата са представени оценките на ИАП за индикаторите за фискална устойчивост и тези на ЕК от Мониторинговия доклад за устойчивостта на дълга на ЕК</w:t>
      </w:r>
      <w:r w:rsidRPr="00AA3F66">
        <w:rPr>
          <w:rStyle w:val="FootnoteReference"/>
          <w:rFonts w:eastAsia="Calibri"/>
          <w:szCs w:val="24"/>
        </w:rPr>
        <w:footnoteReference w:id="48"/>
      </w:r>
      <w:r w:rsidRPr="00AA3F66">
        <w:rPr>
          <w:rFonts w:eastAsia="Calibri" w:cs="Times New Roman"/>
          <w:bCs/>
          <w:szCs w:val="24"/>
        </w:rPr>
        <w:t xml:space="preserve">, публикуван през април 2023 г. Наличието на разлики в стойностите на индикаторите S1 и S2 между двете институции в голяма степен се дължи на различни очаквания за икономическия растеж, дълга и бюджетния баланс в средносрочен план. Оценките на Комисията се базират на прогнози от есента на 2022 г. Освен това оценката за устойчивостта на фискалната политика е силно зависима от перспективите за дългосрочно развитие на икономиката. Наличието на разлики в стойностите на индикаторите S1 и S2 между двете институции се дължи и на разлики в очакванията за бъдещи промени в бюджетната позиция, които са свързани с разходите за пенсии, здравеопазване и образование. При изготвянето на своята дългосрочна макроикономическа прогноза и съответните оценки за разходи, свързани със застаряването на населението, ИАП използва допускания, които ще залегнат в Доклада по застаряване на населението от 2024 г., прогноза за разходите за пенсии, подадена от Националния осигурителен институт, </w:t>
      </w:r>
      <w:r w:rsidR="00C92E12" w:rsidRPr="00AA3F66">
        <w:rPr>
          <w:rFonts w:eastAsia="Calibri" w:cs="Times New Roman"/>
          <w:bCs/>
          <w:szCs w:val="24"/>
        </w:rPr>
        <w:t xml:space="preserve">както </w:t>
      </w:r>
      <w:r w:rsidRPr="00AA3F66">
        <w:rPr>
          <w:rFonts w:eastAsia="Calibri" w:cs="Times New Roman"/>
          <w:bCs/>
          <w:szCs w:val="24"/>
        </w:rPr>
        <w:t>и прогнози за разходите за здравеопазване и образование, получени от използвания дългосроч</w:t>
      </w:r>
      <w:r w:rsidR="00003C5F" w:rsidRPr="00AA3F66">
        <w:rPr>
          <w:rFonts w:eastAsia="Calibri" w:cs="Times New Roman"/>
          <w:bCs/>
          <w:szCs w:val="24"/>
        </w:rPr>
        <w:t>ен</w:t>
      </w:r>
      <w:r w:rsidRPr="00AA3F66">
        <w:rPr>
          <w:rFonts w:eastAsia="Calibri" w:cs="Times New Roman"/>
          <w:bCs/>
          <w:szCs w:val="24"/>
        </w:rPr>
        <w:t xml:space="preserve"> модел</w:t>
      </w:r>
      <w:r w:rsidRPr="00AA3F66">
        <w:rPr>
          <w:rFonts w:eastAsia="Calibri" w:cs="Times New Roman"/>
          <w:bCs/>
          <w:vertAlign w:val="superscript"/>
        </w:rPr>
        <w:footnoteReference w:id="49"/>
      </w:r>
      <w:r w:rsidRPr="00AA3F66">
        <w:rPr>
          <w:rFonts w:eastAsia="Calibri" w:cs="Times New Roman"/>
          <w:bCs/>
          <w:szCs w:val="24"/>
        </w:rPr>
        <w:t xml:space="preserve">. </w:t>
      </w:r>
    </w:p>
    <w:p w:rsidR="001A6AE9" w:rsidRPr="00AA3F66" w:rsidRDefault="001A6AE9" w:rsidP="001A6AE9">
      <w:pPr>
        <w:spacing w:before="120" w:after="0"/>
        <w:rPr>
          <w:rFonts w:eastAsia="Calibri" w:cs="Times New Roman"/>
          <w:sz w:val="18"/>
          <w:szCs w:val="24"/>
        </w:rPr>
      </w:pPr>
      <w:r w:rsidRPr="00AA3F66">
        <w:rPr>
          <w:rFonts w:eastAsia="MS Mincho" w:cs="Times New Roman"/>
        </w:rPr>
        <w:t>Оценките показват, че въпреки очакванията за увеличение на дълга в рамките на прогнозния период до 2026 г., фискалната устойчивост на страната не е застрашена. Индикаторът S1 е отрицателен, което според референтните стойности на ЕК</w:t>
      </w:r>
      <w:r w:rsidRPr="00AA3F66">
        <w:rPr>
          <w:rStyle w:val="FootnoteReference"/>
          <w:rFonts w:eastAsia="MS Mincho"/>
        </w:rPr>
        <w:footnoteReference w:id="50"/>
      </w:r>
      <w:r w:rsidRPr="00AA3F66">
        <w:rPr>
          <w:rFonts w:eastAsia="MS Mincho" w:cs="Times New Roman"/>
        </w:rPr>
        <w:t xml:space="preserve"> означава нисък риск за фискалната устойчивост и поддържане на нивото на дълга под 60% от БВП до 2070 г. Стойността на индикатора S2 също показва нисък риск пред фискалната устойчивост в дългосрочен план.</w:t>
      </w:r>
    </w:p>
    <w:p w:rsidR="00E42934" w:rsidRPr="00AA3F66" w:rsidRDefault="007E3876" w:rsidP="00D427A3">
      <w:pPr>
        <w:pStyle w:val="Heading3"/>
        <w:ind w:left="567" w:hanging="567"/>
        <w:rPr>
          <w:rFonts w:eastAsia="Batang"/>
        </w:rPr>
      </w:pPr>
      <w:r w:rsidRPr="00AA3F66">
        <w:rPr>
          <w:rFonts w:eastAsia="Batang"/>
        </w:rPr>
        <w:t>Оценка на структурния бюджетен баланс</w:t>
      </w:r>
      <w:r w:rsidR="00D427A3" w:rsidRPr="00AA3F66">
        <w:rPr>
          <w:rFonts w:eastAsia="Batang"/>
        </w:rPr>
        <w:t xml:space="preserve"> и годишния ръст на разходите спрямо референтния растеж на потенциалния БВП</w:t>
      </w:r>
    </w:p>
    <w:p w:rsidR="007E3876" w:rsidRPr="00AA3F66" w:rsidRDefault="007E3876" w:rsidP="00D427A3">
      <w:pPr>
        <w:pStyle w:val="Heading4"/>
        <w:rPr>
          <w:rFonts w:eastAsia="Batang"/>
        </w:rPr>
      </w:pPr>
      <w:r w:rsidRPr="00AA3F66">
        <w:rPr>
          <w:rFonts w:eastAsia="Batang"/>
        </w:rPr>
        <w:t xml:space="preserve"> </w:t>
      </w:r>
      <w:r w:rsidR="00D427A3" w:rsidRPr="00AA3F66">
        <w:rPr>
          <w:rFonts w:eastAsia="Batang"/>
        </w:rPr>
        <w:t>Структурен бюджетен баланс</w:t>
      </w:r>
    </w:p>
    <w:p w:rsidR="00EF6DA1" w:rsidRPr="00AA3F66" w:rsidRDefault="00EF6DA1" w:rsidP="00EF6DA1">
      <w:pPr>
        <w:rPr>
          <w:rFonts w:eastAsia="Calibri"/>
          <w:bCs/>
          <w:szCs w:val="24"/>
        </w:rPr>
      </w:pPr>
      <w:r w:rsidRPr="00AA3F66">
        <w:rPr>
          <w:rFonts w:eastAsia="Calibri"/>
          <w:bCs/>
          <w:szCs w:val="24"/>
        </w:rPr>
        <w:t xml:space="preserve">През 2023 г. структурният бюджетен баланс е оценен на дефицит от 3,5% от БВП.  При изчислението му отрицателното фактическо салдо на сектор „Държавно управление“ се коригира с размера на предвидените еднократни мерки. Поради очакванията за по-малък размер на еднократните разходи спрямо </w:t>
      </w:r>
      <w:r w:rsidR="00C92E12" w:rsidRPr="00AA3F66">
        <w:rPr>
          <w:rFonts w:eastAsia="Calibri"/>
          <w:bCs/>
          <w:szCs w:val="24"/>
        </w:rPr>
        <w:t xml:space="preserve">еднократните </w:t>
      </w:r>
      <w:r w:rsidRPr="00AA3F66">
        <w:rPr>
          <w:rFonts w:eastAsia="Calibri"/>
          <w:bCs/>
          <w:szCs w:val="24"/>
        </w:rPr>
        <w:t>приходи, отчитането на мерките се проявява в корекция към по-голям структурен бюджетен дефицит. Цикличната компонента, която отразява положителното отклонение на икономиката от потенциала и чувствителността на бюджетната позиция към икономическия цикъл, също води до корекция към по-голяма отрицателна стойност на структурното бюджетно салдо.</w:t>
      </w:r>
    </w:p>
    <w:p w:rsidR="00EF6DA1" w:rsidRPr="00AA3F66" w:rsidRDefault="00EF6DA1" w:rsidP="00EF6DA1">
      <w:pPr>
        <w:rPr>
          <w:rFonts w:eastAsia="Calibri"/>
          <w:bCs/>
          <w:szCs w:val="24"/>
        </w:rPr>
      </w:pPr>
      <w:r w:rsidRPr="00AA3F66">
        <w:rPr>
          <w:rFonts w:eastAsia="Calibri"/>
          <w:bCs/>
          <w:szCs w:val="24"/>
        </w:rPr>
        <w:t xml:space="preserve">През 2024 г. се планира запазване на дефицита на сектор „Държавно управление“ при относително еквивалентно повишение на приходите и разходите. Икономиката ще продължи да се развива над потенциала си и цикличната компонента ще окаже лек отрицателен ефект върху структурното салдо. Ефектите от еднократни мерки са минимални, съответно няма корекция, свързана с тях, върху структурния бюджетен баланс. В резултат, структурният бюджетен дефицит ще се свие до 3,0% от БВП през 2024 г. </w:t>
      </w:r>
    </w:p>
    <w:p w:rsidR="00EF6DA1" w:rsidRPr="00AA3F66" w:rsidRDefault="00EF6DA1" w:rsidP="00EF6DA1">
      <w:pPr>
        <w:rPr>
          <w:rFonts w:eastAsia="Calibri"/>
          <w:bCs/>
          <w:szCs w:val="24"/>
        </w:rPr>
      </w:pPr>
      <w:r w:rsidRPr="00AA3F66">
        <w:rPr>
          <w:rFonts w:eastAsia="Calibri"/>
          <w:bCs/>
          <w:szCs w:val="24"/>
        </w:rPr>
        <w:t>През последните две години от прогнозния период дефицитът на сектор „Държавно управление“ се очаква да възлезе съответно на 3</w:t>
      </w:r>
      <w:r w:rsidR="00C92E12" w:rsidRPr="00AA3F66">
        <w:rPr>
          <w:rFonts w:eastAsia="Calibri"/>
          <w:bCs/>
          <w:szCs w:val="24"/>
        </w:rPr>
        <w:t>,0</w:t>
      </w:r>
      <w:r w:rsidRPr="00AA3F66">
        <w:rPr>
          <w:rFonts w:eastAsia="Calibri"/>
          <w:bCs/>
          <w:szCs w:val="24"/>
        </w:rPr>
        <w:t xml:space="preserve"> и 2,5% от БВП, като отново не се предвиждат ефекти по линия на еднократни мерки. Отклонението от потенциала ще остане положително и леко ще се повиши, което ще се отрази в корекция към по-отрицателно салдо спрямо планирания фактически бюджет</w:t>
      </w:r>
      <w:r w:rsidR="00C92E12" w:rsidRPr="00AA3F66">
        <w:rPr>
          <w:rFonts w:eastAsia="Calibri"/>
          <w:bCs/>
          <w:szCs w:val="24"/>
        </w:rPr>
        <w:t>ен</w:t>
      </w:r>
      <w:r w:rsidRPr="00AA3F66">
        <w:rPr>
          <w:rFonts w:eastAsia="Calibri"/>
          <w:bCs/>
          <w:szCs w:val="24"/>
        </w:rPr>
        <w:t xml:space="preserve"> дефицит. Структурният бюджетен дефицит ще достигане 3,2% от БВП през 2025 г. и 2,8% от БВП през 2026 г.</w:t>
      </w:r>
    </w:p>
    <w:p w:rsidR="003A06A0" w:rsidRPr="00AA3F66" w:rsidRDefault="003A06A0" w:rsidP="00306793">
      <w:pPr>
        <w:rPr>
          <w:rFonts w:eastAsia="Calibri"/>
          <w:bCs/>
          <w:szCs w:val="24"/>
        </w:rPr>
      </w:pPr>
    </w:p>
    <w:p w:rsidR="00EF6DA1" w:rsidRPr="00AA3F66" w:rsidRDefault="00F9111B" w:rsidP="00B02EEC">
      <w:pPr>
        <w:pStyle w:val="Caption"/>
        <w:ind w:left="0" w:firstLine="0"/>
      </w:pPr>
      <w:r w:rsidRPr="00AA3F66">
        <w:t xml:space="preserve">Граф. </w:t>
      </w:r>
      <w:fldSimple w:instr=" STYLEREF 1 \s ">
        <w:r w:rsidR="005A69ED">
          <w:rPr>
            <w:noProof/>
          </w:rPr>
          <w:t>VII</w:t>
        </w:r>
      </w:fldSimple>
      <w:r w:rsidRPr="00AA3F66">
        <w:noBreakHyphen/>
      </w:r>
      <w:fldSimple w:instr=" SEQ Граф. \* ARABIC \s 1 ">
        <w:r w:rsidR="005A69ED">
          <w:rPr>
            <w:noProof/>
          </w:rPr>
          <w:t>1</w:t>
        </w:r>
      </w:fldSimple>
      <w:r w:rsidR="001B116E" w:rsidRPr="00AA3F66">
        <w:t xml:space="preserve">: </w:t>
      </w:r>
      <w:r w:rsidRPr="00AA3F66">
        <w:t>Структурен бюджетен баланс (% от БВП)</w:t>
      </w:r>
    </w:p>
    <w:p w:rsidR="001132FF" w:rsidRPr="00AA3F66" w:rsidRDefault="00EF6DA1" w:rsidP="00EF6DA1">
      <w:pPr>
        <w:jc w:val="center"/>
      </w:pPr>
      <w:r w:rsidRPr="00AA3F66">
        <w:rPr>
          <w:noProof/>
        </w:rPr>
        <w:drawing>
          <wp:inline distT="0" distB="0" distL="0" distR="0" wp14:anchorId="60D53844" wp14:editId="6EDC7AE4">
            <wp:extent cx="3121660" cy="2701925"/>
            <wp:effectExtent l="0" t="0" r="0" b="0"/>
            <wp:docPr id="683" name="Chart 683">
              <a:extLst xmlns:a="http://schemas.openxmlformats.org/drawingml/2006/main">
                <a:ext uri="{FF2B5EF4-FFF2-40B4-BE49-F238E27FC236}">
                  <a16:creationId xmlns:a16="http://schemas.microsoft.com/office/drawing/2014/main" id="{00000000-0008-0000-02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F9111B" w:rsidRPr="00AA3F66" w:rsidRDefault="003A06A0" w:rsidP="00C53AD1">
      <w:pPr>
        <w:spacing w:line="276" w:lineRule="auto"/>
        <w:jc w:val="right"/>
        <w:rPr>
          <w:rFonts w:eastAsia="Calibri" w:cs="Times New Roman"/>
          <w:sz w:val="18"/>
          <w:szCs w:val="18"/>
          <w:lang w:eastAsia="en-US"/>
        </w:rPr>
      </w:pPr>
      <w:r w:rsidRPr="00AA3F66">
        <w:rPr>
          <w:rFonts w:eastAsia="Calibri" w:cs="Times New Roman"/>
          <w:sz w:val="18"/>
          <w:szCs w:val="18"/>
          <w:lang w:eastAsia="en-US"/>
        </w:rPr>
        <w:t>Източник: МФ, собствени изчисления</w:t>
      </w:r>
    </w:p>
    <w:p w:rsidR="001370B5" w:rsidRPr="00AA3F66" w:rsidRDefault="00EF2F5C" w:rsidP="00747503">
      <w:pPr>
        <w:pStyle w:val="Caption"/>
        <w:ind w:left="0" w:firstLine="0"/>
      </w:pPr>
      <w:r w:rsidRPr="00AA3F66">
        <w:t xml:space="preserve">Граф. </w:t>
      </w:r>
      <w:fldSimple w:instr=" STYLEREF 1 \s ">
        <w:r w:rsidR="005A69ED">
          <w:rPr>
            <w:noProof/>
          </w:rPr>
          <w:t>VII</w:t>
        </w:r>
      </w:fldSimple>
      <w:r w:rsidRPr="00AA3F66">
        <w:noBreakHyphen/>
      </w:r>
      <w:fldSimple w:instr=" SEQ Граф. \* ARABIC \s 1 ">
        <w:r w:rsidR="005A69ED">
          <w:rPr>
            <w:noProof/>
          </w:rPr>
          <w:t>2</w:t>
        </w:r>
      </w:fldSimple>
      <w:r w:rsidR="001B116E" w:rsidRPr="00AA3F66">
        <w:t xml:space="preserve">: </w:t>
      </w:r>
      <w:r w:rsidRPr="00AA3F66">
        <w:t>Фискална позиция</w:t>
      </w:r>
    </w:p>
    <w:p w:rsidR="00D64C28" w:rsidRPr="00AA3F66" w:rsidRDefault="00EF6DA1" w:rsidP="001132FF">
      <w:pPr>
        <w:jc w:val="center"/>
      </w:pPr>
      <w:r w:rsidRPr="00AA3F66">
        <w:rPr>
          <w:noProof/>
        </w:rPr>
        <w:drawing>
          <wp:inline distT="0" distB="0" distL="0" distR="0" wp14:anchorId="1B637624" wp14:editId="51B7F98D">
            <wp:extent cx="3419475" cy="2199640"/>
            <wp:effectExtent l="0" t="0" r="0" b="0"/>
            <wp:docPr id="684" name="Chart 684">
              <a:extLst xmlns:a="http://schemas.openxmlformats.org/drawingml/2006/main">
                <a:ext uri="{FF2B5EF4-FFF2-40B4-BE49-F238E27FC236}">
                  <a16:creationId xmlns:a16="http://schemas.microsoft.com/office/drawing/2014/main" id="{00000000-0008-0000-02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BC2A08" w:rsidRPr="00AA3F66" w:rsidRDefault="007026B8" w:rsidP="00BC2A08">
      <w:pPr>
        <w:spacing w:line="276" w:lineRule="auto"/>
        <w:jc w:val="right"/>
        <w:rPr>
          <w:rFonts w:eastAsia="Calibri"/>
          <w:sz w:val="18"/>
          <w:szCs w:val="18"/>
          <w:lang w:eastAsia="en-US"/>
        </w:rPr>
      </w:pPr>
      <w:r w:rsidRPr="00AA3F66">
        <w:rPr>
          <w:rFonts w:eastAsia="Calibri"/>
          <w:sz w:val="18"/>
          <w:szCs w:val="18"/>
          <w:lang w:eastAsia="en-US"/>
        </w:rPr>
        <w:t>Източник: МФ, собствени изчисления</w:t>
      </w:r>
    </w:p>
    <w:p w:rsidR="002418A5" w:rsidRPr="00AA3F66" w:rsidRDefault="002418A5" w:rsidP="00BC2A08">
      <w:pPr>
        <w:rPr>
          <w:rFonts w:eastAsia="Calibri"/>
          <w:bCs/>
          <w:szCs w:val="24"/>
        </w:rPr>
      </w:pPr>
      <w:r w:rsidRPr="00AA3F66">
        <w:rPr>
          <w:rFonts w:eastAsia="Calibri"/>
          <w:bCs/>
          <w:szCs w:val="24"/>
        </w:rPr>
        <w:t xml:space="preserve">Средносрочната бюджетна цел за структурния баланс на сектор „Държавно управление“ е дефицит в размер на 1% от БВП. Тази цел е в съответствие с действащите изисквания на чл. 23, ал. 2 от ЗПФ, като отчита сравнително ниския размер на консолидирания дълг на сектор „Държавно управление”, както и рисковете пред дългосрочната устойчивост на публичните финанси. Според чл. 24 от ЗПФ неизпълнението на средносрочната бюджетна цел за структурния дефицит на годишна основа се допуска при извънредни обстоятелства. Поради кризата, породена от COVID-19, през 2020 г. бе активирана общата клауза за дерогация (General escape clause) от Пакта за стабилност и растеж, която позволи на държавите членки да се отклонят от стъпката за постигане на средносрочната бюджетна цел през 2020 и 2021 г. Впоследствие, с решение на ЕК, прилагането на клаузата за дерогация в ЕС бе удължено за 2022 г. и 2023 г., и тя ще бъде деактивирана от началото на  2024 г. През пролетта на следващата година </w:t>
      </w:r>
      <w:r w:rsidR="00C92E12" w:rsidRPr="00AA3F66">
        <w:rPr>
          <w:rFonts w:eastAsia="Calibri"/>
          <w:bCs/>
          <w:szCs w:val="24"/>
        </w:rPr>
        <w:t xml:space="preserve">се </w:t>
      </w:r>
      <w:r w:rsidRPr="00AA3F66">
        <w:rPr>
          <w:rFonts w:eastAsia="Calibri"/>
          <w:bCs/>
          <w:szCs w:val="24"/>
        </w:rPr>
        <w:t xml:space="preserve">предвижда </w:t>
      </w:r>
      <w:r w:rsidR="00C92E12" w:rsidRPr="00AA3F66">
        <w:rPr>
          <w:rFonts w:eastAsia="Calibri"/>
          <w:bCs/>
          <w:szCs w:val="24"/>
        </w:rPr>
        <w:t xml:space="preserve">ЕК </w:t>
      </w:r>
      <w:r w:rsidRPr="00AA3F66">
        <w:rPr>
          <w:rFonts w:eastAsia="Calibri"/>
          <w:bCs/>
          <w:szCs w:val="24"/>
        </w:rPr>
        <w:t xml:space="preserve">да </w:t>
      </w:r>
      <w:r w:rsidR="00C92E12" w:rsidRPr="00AA3F66">
        <w:rPr>
          <w:rFonts w:eastAsia="Calibri"/>
          <w:bCs/>
          <w:szCs w:val="24"/>
        </w:rPr>
        <w:t xml:space="preserve">може да предлага </w:t>
      </w:r>
      <w:r w:rsidRPr="00AA3F66">
        <w:rPr>
          <w:rFonts w:eastAsia="Calibri"/>
          <w:bCs/>
          <w:szCs w:val="24"/>
        </w:rPr>
        <w:t>активиране на процедури за прекомерен дефицит на база отчетни данни за дефицита и дълга за 2023 г. и прогнозни за 2024 г.</w:t>
      </w:r>
    </w:p>
    <w:p w:rsidR="00D427A3" w:rsidRPr="00AA3F66" w:rsidRDefault="00D427A3" w:rsidP="00D427A3">
      <w:pPr>
        <w:pStyle w:val="Heading4"/>
        <w:rPr>
          <w:rFonts w:eastAsia="Batang"/>
        </w:rPr>
      </w:pPr>
      <w:r w:rsidRPr="00AA3F66">
        <w:rPr>
          <w:rFonts w:eastAsia="Batang"/>
        </w:rPr>
        <w:t>Разходно правило</w:t>
      </w:r>
    </w:p>
    <w:p w:rsidR="001132FF" w:rsidRPr="00AA3F66" w:rsidRDefault="001132FF" w:rsidP="001132FF">
      <w:pPr>
        <w:rPr>
          <w:rFonts w:eastAsia="Calibri"/>
          <w:bCs/>
          <w:szCs w:val="24"/>
        </w:rPr>
      </w:pPr>
      <w:r w:rsidRPr="00AA3F66">
        <w:rPr>
          <w:rFonts w:eastAsia="Calibri"/>
          <w:bCs/>
          <w:szCs w:val="24"/>
        </w:rPr>
        <w:t xml:space="preserve">Оценката на съответствието с изискванията по ПСР и ЗПФ по отношение на растежа на бюджетните разходи се базира на общата методология на Европейската комисия за т. нар. бенчмарк на разходите, при отчитането на разделението между финансираните с национални средства и със средства от ЕС публични инвестиции. Бенчмаркът на разходите се сравнява с нивото на потенциалния средносрочен растеж на БВП, изчислен от ЕК. </w:t>
      </w:r>
    </w:p>
    <w:p w:rsidR="001132FF" w:rsidRPr="00AA3F66" w:rsidRDefault="001132FF" w:rsidP="001132FF">
      <w:pPr>
        <w:rPr>
          <w:rFonts w:eastAsia="Calibri"/>
          <w:bCs/>
          <w:szCs w:val="24"/>
        </w:rPr>
      </w:pPr>
      <w:r w:rsidRPr="00AA3F66">
        <w:rPr>
          <w:rFonts w:eastAsia="Calibri"/>
          <w:bCs/>
          <w:szCs w:val="24"/>
        </w:rPr>
        <w:t xml:space="preserve">На база направени изчисления от Министерството на финансите изменението в реално изражение на разходния индикатор, използван за целите на фискалното управление в ЕС, се оценява съответно на </w:t>
      </w:r>
      <w:r w:rsidR="00EC55D3" w:rsidRPr="00B00A68">
        <w:rPr>
          <w:rFonts w:eastAsia="Calibri"/>
          <w:bCs/>
          <w:szCs w:val="24"/>
        </w:rPr>
        <w:t>-0,</w:t>
      </w:r>
      <w:r w:rsidR="00B00A68">
        <w:rPr>
          <w:rFonts w:eastAsia="Calibri"/>
          <w:bCs/>
          <w:szCs w:val="24"/>
        </w:rPr>
        <w:t>3</w:t>
      </w:r>
      <w:r w:rsidR="00EC55D3" w:rsidRPr="00AA3F66">
        <w:rPr>
          <w:rFonts w:eastAsia="Calibri"/>
          <w:bCs/>
          <w:szCs w:val="24"/>
        </w:rPr>
        <w:t>% за 2022 г., -8,</w:t>
      </w:r>
      <w:r w:rsidR="004151C0">
        <w:rPr>
          <w:rFonts w:eastAsia="Calibri"/>
          <w:bCs/>
          <w:szCs w:val="24"/>
        </w:rPr>
        <w:t>7</w:t>
      </w:r>
      <w:r w:rsidR="00EC55D3" w:rsidRPr="00AA3F66">
        <w:rPr>
          <w:rFonts w:eastAsia="Calibri"/>
          <w:bCs/>
          <w:szCs w:val="24"/>
        </w:rPr>
        <w:t xml:space="preserve">% за 2023 г., </w:t>
      </w:r>
      <w:r w:rsidR="004151C0">
        <w:rPr>
          <w:rFonts w:eastAsia="Calibri"/>
          <w:bCs/>
          <w:szCs w:val="24"/>
        </w:rPr>
        <w:t>5</w:t>
      </w:r>
      <w:r w:rsidR="00EC55D3" w:rsidRPr="00AA3F66">
        <w:rPr>
          <w:rFonts w:eastAsia="Calibri"/>
          <w:bCs/>
          <w:szCs w:val="24"/>
        </w:rPr>
        <w:t>% за 2024 г., 3% за 2025 г</w:t>
      </w:r>
      <w:r w:rsidR="00003C5F" w:rsidRPr="00AA3F66">
        <w:rPr>
          <w:rFonts w:eastAsia="Calibri"/>
          <w:bCs/>
          <w:szCs w:val="24"/>
        </w:rPr>
        <w:t>.</w:t>
      </w:r>
      <w:r w:rsidR="00EC55D3" w:rsidRPr="00AA3F66">
        <w:rPr>
          <w:rFonts w:eastAsia="Calibri"/>
          <w:bCs/>
          <w:szCs w:val="24"/>
        </w:rPr>
        <w:t xml:space="preserve"> и 3,</w:t>
      </w:r>
      <w:r w:rsidR="004151C0">
        <w:rPr>
          <w:rFonts w:eastAsia="Calibri"/>
          <w:bCs/>
          <w:szCs w:val="24"/>
        </w:rPr>
        <w:t>1</w:t>
      </w:r>
      <w:r w:rsidR="00EC55D3" w:rsidRPr="00AA3F66">
        <w:rPr>
          <w:rFonts w:eastAsia="Calibri"/>
          <w:bCs/>
          <w:szCs w:val="24"/>
        </w:rPr>
        <w:t>% за 2026 г. Според изчисленията на ЕК нивото на референтния растеж се оценява средно на 2,3% за 2022 г. и 2</w:t>
      </w:r>
      <w:r w:rsidR="00C92E12" w:rsidRPr="00AA3F66">
        <w:rPr>
          <w:rFonts w:eastAsia="Calibri"/>
          <w:bCs/>
          <w:szCs w:val="24"/>
        </w:rPr>
        <w:t>,2% за прогнозния период 2023-</w:t>
      </w:r>
      <w:r w:rsidR="00EC55D3" w:rsidRPr="00AA3F66">
        <w:rPr>
          <w:rFonts w:eastAsia="Calibri"/>
          <w:bCs/>
          <w:szCs w:val="24"/>
        </w:rPr>
        <w:t xml:space="preserve">2026 г. </w:t>
      </w:r>
    </w:p>
    <w:p w:rsidR="001132FF" w:rsidRPr="00AA3F66" w:rsidRDefault="001132FF" w:rsidP="00BC2A08">
      <w:pPr>
        <w:rPr>
          <w:rFonts w:eastAsia="Calibri"/>
          <w:bCs/>
          <w:szCs w:val="24"/>
        </w:rPr>
      </w:pPr>
      <w:r w:rsidRPr="00AA3F66">
        <w:rPr>
          <w:rFonts w:eastAsia="Calibri"/>
          <w:bCs/>
          <w:szCs w:val="24"/>
        </w:rPr>
        <w:t>Бенчмаркът на разходите е част от индикаторите, следени при оценката на спазването на правилата в превантивната част на ПСР, и като такъв попада под обхвата на общата клауза за дерогация, която бе активирана през 2020 г. и продължава да действа до 2023 г. включително.</w:t>
      </w:r>
    </w:p>
    <w:p w:rsidR="00CE4781" w:rsidRPr="00AA3F66" w:rsidRDefault="002A7C29" w:rsidP="00CE4781">
      <w:pPr>
        <w:pStyle w:val="Heading2"/>
      </w:pPr>
      <w:bookmarkStart w:id="528" w:name="_Toc151557315"/>
      <w:r w:rsidRPr="00AA3F66">
        <w:t>А</w:t>
      </w:r>
      <w:r w:rsidR="00E46B2B" w:rsidRPr="00AA3F66">
        <w:t>нализ на чувствителността</w:t>
      </w:r>
      <w:bookmarkEnd w:id="528"/>
    </w:p>
    <w:p w:rsidR="00CE4781" w:rsidRPr="00AA3F66" w:rsidRDefault="00CE4781" w:rsidP="007027DF">
      <w:pPr>
        <w:spacing w:after="120"/>
        <w:rPr>
          <w:rFonts w:eastAsia="Times New Roman" w:cs="Calibri"/>
          <w:b/>
          <w:color w:val="852010" w:themeColor="accent3" w:themeShade="BF"/>
        </w:rPr>
      </w:pPr>
      <w:r w:rsidRPr="00AA3F66">
        <w:rPr>
          <w:rFonts w:eastAsia="Times New Roman" w:cs="Calibri"/>
          <w:b/>
          <w:color w:val="852010" w:themeColor="accent3" w:themeShade="BF"/>
        </w:rPr>
        <w:t>Макроикономически симулационен модел</w:t>
      </w:r>
    </w:p>
    <w:p w:rsidR="002418A5" w:rsidRPr="00AA3F66" w:rsidRDefault="002418A5" w:rsidP="00A76C8E">
      <w:pPr>
        <w:spacing w:after="120"/>
        <w:rPr>
          <w:rFonts w:eastAsia="Times New Roman" w:cs="Calibri"/>
          <w:bCs/>
        </w:rPr>
      </w:pPr>
      <w:r w:rsidRPr="00AA3F66">
        <w:rPr>
          <w:rFonts w:eastAsia="Times New Roman" w:cs="Calibri"/>
          <w:bCs/>
        </w:rPr>
        <w:t>Според чл. 75, ал. 3 от Закона за публичните финанси разработването на средносрочната бюджетна прогноза и на проекта на държавния бюджет се съпровожда с изготвянето на алтернативни сценарии, свързани със съответни рискове, при различни допускания. Представеният анализ е изготвен с макроикономическия симулационен модел, който оценява ефекти върху основни макроикономически и бюджетни показатели от промени в глобалната и/или вътрешната икономическа среда.</w:t>
      </w:r>
    </w:p>
    <w:p w:rsidR="00E46B2B" w:rsidRPr="00AA3F66" w:rsidRDefault="00E46B2B" w:rsidP="0014351D">
      <w:pPr>
        <w:pStyle w:val="Heading3"/>
        <w:ind w:left="709" w:hanging="567"/>
      </w:pPr>
      <w:r w:rsidRPr="00AA3F66">
        <w:t>Алтернативен сценарий на избрани макроикономически показатели</w:t>
      </w:r>
      <w:r w:rsidR="0098294A" w:rsidRPr="00AA3F66">
        <w:t xml:space="preserve"> за периода 2024-2026</w:t>
      </w:r>
      <w:r w:rsidR="00606CA0" w:rsidRPr="00AA3F66">
        <w:t xml:space="preserve"> г.</w:t>
      </w:r>
    </w:p>
    <w:p w:rsidR="00854036" w:rsidRPr="00AA3F66" w:rsidRDefault="00854036" w:rsidP="00854036">
      <w:r w:rsidRPr="00AA3F66">
        <w:t xml:space="preserve">Геополитическите конфликти в различни части на света създават висока степен на несигурност, което увеличава риска от внезапно покачване на цените на енергийните суровини и храните. Налице е и опасност от фрагментиране на пазарите, което ще намали ефективността на веригите за доставки и ще доведе до повишение на цените на международно търгуваните стоки и задържане на по-високите лихвени проценти за по-дълго време. </w:t>
      </w:r>
      <w:r w:rsidRPr="00AA3F66">
        <w:rPr>
          <w:bCs/>
        </w:rPr>
        <w:t>По-високите цени ще ограничат реалния разполагаем доход на домакинствата, което в съчетание с по-високите разходи за обслужване на кредитите ще предизвика намаление на реалното потребление. Задържането на по-високите лихвени проценти за по-дълго от очакваното може да се отрази отрицателно върху инвестиционната активност на фирмите, както и на разходите от страна на публичния сектор. В резултат, икономиката на ЕС</w:t>
      </w:r>
      <w:r w:rsidRPr="00AA3F66">
        <w:t xml:space="preserve"> </w:t>
      </w:r>
      <w:r w:rsidRPr="00AA3F66">
        <w:rPr>
          <w:bCs/>
        </w:rPr>
        <w:t xml:space="preserve">ще се свие през 2024 г., а растежът на БВП през 2025 г. ще е по-нисък спрямо базовия сценарий. </w:t>
      </w:r>
      <w:r w:rsidRPr="00AA3F66">
        <w:t>Имайки предвид тези потенциални рискове, в алтернативния макроикономически сценарий е разгледано повишение на цените на някои международно търгувани стоки</w:t>
      </w:r>
      <w:r w:rsidRPr="00AA3F66">
        <w:rPr>
          <w:rStyle w:val="FootnoteReference"/>
        </w:rPr>
        <w:footnoteReference w:id="51"/>
      </w:r>
      <w:r w:rsidRPr="00AA3F66">
        <w:t xml:space="preserve"> и по-неблагоприятна динамика на външното търсене спрямо базовия сценарий.</w:t>
      </w:r>
    </w:p>
    <w:p w:rsidR="00854036" w:rsidRPr="00AA3F66" w:rsidRDefault="00854036" w:rsidP="00854036">
      <w:pPr>
        <w:rPr>
          <w:color w:val="FF0000"/>
        </w:rPr>
      </w:pPr>
      <w:r w:rsidRPr="00AA3F66">
        <w:rPr>
          <w:bCs/>
        </w:rPr>
        <w:t xml:space="preserve">В резултат от направената симулация, инфлацията в страната ще бъде по-висока спрямо </w:t>
      </w:r>
      <w:r w:rsidR="00985F66" w:rsidRPr="00AA3F66">
        <w:rPr>
          <w:bCs/>
        </w:rPr>
        <w:t>базовия сценарий, съответно с 1,3 пр.п. през 2024 г. и с 1,</w:t>
      </w:r>
      <w:r w:rsidRPr="00AA3F66">
        <w:rPr>
          <w:bCs/>
        </w:rPr>
        <w:t>1 пр.п. през 2025 г. Същевременно, нарастването на международните цени на храните, енергийните продукти и металите има по-силен ефект върху индекса на цените на вноса, отколкото на износа, т.е. отрицателните условия на търговия ще доведат до по-нисък дефлатор на БВП през 2024 г. в сравнение с базовия сценарий.</w:t>
      </w:r>
      <w:r w:rsidRPr="00AA3F66">
        <w:t xml:space="preserve"> В отговор на повишената инфлация в еврозоната ЕЦБ ще трябва допълнително да повиши основния си лихвен процент през 2024 г., както и да го задържи на по-високо ниво спрямо очакваното в базовия сценарий и през 2025 г. Това ще се отрази и в повишение на междубанковия лихвен процент EURIBOR.</w:t>
      </w:r>
    </w:p>
    <w:p w:rsidR="00854036" w:rsidRPr="00AA3F66" w:rsidRDefault="001202DA" w:rsidP="00854036">
      <w:pPr>
        <w:pStyle w:val="Caption"/>
        <w:spacing w:after="240"/>
      </w:pPr>
      <w:bookmarkStart w:id="529" w:name="_Toc150443432"/>
      <w:r w:rsidRPr="00AA3F66">
        <w:t xml:space="preserve">Табл. </w:t>
      </w:r>
      <w:fldSimple w:instr=" STYLEREF 1 \s ">
        <w:r w:rsidR="005A69ED">
          <w:rPr>
            <w:noProof/>
          </w:rPr>
          <w:t>VII</w:t>
        </w:r>
      </w:fldSimple>
      <w:r w:rsidRPr="00AA3F66">
        <w:noBreakHyphen/>
      </w:r>
      <w:fldSimple w:instr=" SEQ Табл. \* ARABIC \s 1 ">
        <w:r w:rsidR="005A69ED">
          <w:rPr>
            <w:noProof/>
          </w:rPr>
          <w:t>2</w:t>
        </w:r>
      </w:fldSimple>
      <w:r w:rsidRPr="00AA3F66">
        <w:t>:</w:t>
      </w:r>
      <w:r w:rsidR="00C54080" w:rsidRPr="00AA3F66">
        <w:tab/>
      </w:r>
      <w:r w:rsidR="00854036" w:rsidRPr="00AA3F66">
        <w:t>Обобщение на допусканията, използвани в алтернативния сценарий (отклонение спрямо основния сценарий)</w:t>
      </w:r>
      <w:bookmarkEnd w:id="529"/>
    </w:p>
    <w:tbl>
      <w:tblPr>
        <w:tblStyle w:val="TableGrid"/>
        <w:tblW w:w="9114" w:type="dxa"/>
        <w:jc w:val="center"/>
        <w:tblBorders>
          <w:top w:val="single" w:sz="8" w:space="0" w:color="auto"/>
          <w:left w:val="none" w:sz="0" w:space="0" w:color="auto"/>
          <w:bottom w:val="single" w:sz="8" w:space="0" w:color="auto"/>
          <w:right w:val="none" w:sz="0" w:space="0" w:color="auto"/>
          <w:insideH w:val="none" w:sz="0" w:space="0" w:color="auto"/>
          <w:insideV w:val="none" w:sz="0" w:space="0" w:color="auto"/>
        </w:tblBorders>
        <w:tblLook w:val="04A0" w:firstRow="1" w:lastRow="0" w:firstColumn="1" w:lastColumn="0" w:noHBand="0" w:noVBand="1"/>
      </w:tblPr>
      <w:tblGrid>
        <w:gridCol w:w="4782"/>
        <w:gridCol w:w="1083"/>
        <w:gridCol w:w="1083"/>
        <w:gridCol w:w="1083"/>
        <w:gridCol w:w="1083"/>
      </w:tblGrid>
      <w:tr w:rsidR="00854036" w:rsidRPr="00AA3F66" w:rsidTr="006E42D0">
        <w:trPr>
          <w:trHeight w:val="340"/>
          <w:jc w:val="center"/>
        </w:trPr>
        <w:tc>
          <w:tcPr>
            <w:tcW w:w="4782" w:type="dxa"/>
            <w:tcBorders>
              <w:top w:val="single" w:sz="8" w:space="0" w:color="auto"/>
              <w:bottom w:val="single" w:sz="8" w:space="0" w:color="auto"/>
            </w:tcBorders>
            <w:vAlign w:val="center"/>
          </w:tcPr>
          <w:p w:rsidR="00854036" w:rsidRPr="00AA3F66" w:rsidRDefault="00854036" w:rsidP="006E42D0">
            <w:pPr>
              <w:rPr>
                <w:b/>
              </w:rPr>
            </w:pPr>
            <w:r w:rsidRPr="00AA3F66">
              <w:rPr>
                <w:b/>
                <w:sz w:val="20"/>
              </w:rPr>
              <w:t>МЕЖДУНАРОДНА СРЕДА</w:t>
            </w:r>
          </w:p>
        </w:tc>
        <w:tc>
          <w:tcPr>
            <w:tcW w:w="1083" w:type="dxa"/>
            <w:tcBorders>
              <w:top w:val="single" w:sz="8" w:space="0" w:color="auto"/>
              <w:bottom w:val="single" w:sz="8" w:space="0" w:color="auto"/>
            </w:tcBorders>
            <w:vAlign w:val="center"/>
          </w:tcPr>
          <w:p w:rsidR="00854036" w:rsidRPr="00AA3F66" w:rsidRDefault="00854036" w:rsidP="006E42D0">
            <w:pPr>
              <w:pStyle w:val="a0"/>
              <w:jc w:val="center"/>
              <w:rPr>
                <w:rFonts w:ascii="Times New Roman" w:hAnsi="Times New Roman"/>
                <w:b/>
                <w:bCs/>
                <w:sz w:val="20"/>
                <w:lang w:val="bg-BG"/>
              </w:rPr>
            </w:pPr>
            <w:r w:rsidRPr="00AA3F66">
              <w:rPr>
                <w:rFonts w:ascii="Times New Roman" w:hAnsi="Times New Roman"/>
                <w:b/>
                <w:bCs/>
                <w:sz w:val="20"/>
                <w:lang w:val="bg-BG"/>
              </w:rPr>
              <w:t>2023</w:t>
            </w:r>
          </w:p>
        </w:tc>
        <w:tc>
          <w:tcPr>
            <w:tcW w:w="1083" w:type="dxa"/>
            <w:tcBorders>
              <w:top w:val="single" w:sz="8" w:space="0" w:color="auto"/>
              <w:bottom w:val="single" w:sz="8" w:space="0" w:color="auto"/>
            </w:tcBorders>
            <w:vAlign w:val="center"/>
          </w:tcPr>
          <w:p w:rsidR="00854036" w:rsidRPr="00AA3F66" w:rsidRDefault="00854036" w:rsidP="006E42D0">
            <w:pPr>
              <w:pStyle w:val="a0"/>
              <w:jc w:val="center"/>
              <w:rPr>
                <w:rFonts w:ascii="Times New Roman" w:hAnsi="Times New Roman"/>
                <w:b/>
                <w:bCs/>
                <w:sz w:val="20"/>
                <w:lang w:val="bg-BG"/>
              </w:rPr>
            </w:pPr>
            <w:r w:rsidRPr="00AA3F66">
              <w:rPr>
                <w:rFonts w:ascii="Times New Roman" w:hAnsi="Times New Roman"/>
                <w:b/>
                <w:bCs/>
                <w:sz w:val="20"/>
                <w:lang w:val="bg-BG"/>
              </w:rPr>
              <w:t>2024</w:t>
            </w:r>
          </w:p>
        </w:tc>
        <w:tc>
          <w:tcPr>
            <w:tcW w:w="1083" w:type="dxa"/>
            <w:tcBorders>
              <w:top w:val="single" w:sz="8" w:space="0" w:color="auto"/>
              <w:bottom w:val="single" w:sz="8" w:space="0" w:color="auto"/>
            </w:tcBorders>
            <w:vAlign w:val="center"/>
          </w:tcPr>
          <w:p w:rsidR="00854036" w:rsidRPr="00AA3F66" w:rsidRDefault="00854036" w:rsidP="006E42D0">
            <w:pPr>
              <w:pStyle w:val="a0"/>
              <w:jc w:val="center"/>
              <w:rPr>
                <w:rFonts w:ascii="Times New Roman" w:hAnsi="Times New Roman"/>
                <w:b/>
                <w:bCs/>
                <w:sz w:val="20"/>
                <w:lang w:val="bg-BG"/>
              </w:rPr>
            </w:pPr>
            <w:r w:rsidRPr="00AA3F66">
              <w:rPr>
                <w:rFonts w:ascii="Times New Roman" w:hAnsi="Times New Roman"/>
                <w:b/>
                <w:bCs/>
                <w:sz w:val="20"/>
                <w:lang w:val="bg-BG"/>
              </w:rPr>
              <w:t>2025</w:t>
            </w:r>
          </w:p>
        </w:tc>
        <w:tc>
          <w:tcPr>
            <w:tcW w:w="1083" w:type="dxa"/>
            <w:tcBorders>
              <w:top w:val="single" w:sz="8" w:space="0" w:color="auto"/>
              <w:bottom w:val="single" w:sz="8" w:space="0" w:color="auto"/>
            </w:tcBorders>
            <w:vAlign w:val="center"/>
          </w:tcPr>
          <w:p w:rsidR="00854036" w:rsidRPr="00AA3F66" w:rsidRDefault="00854036" w:rsidP="006E42D0">
            <w:pPr>
              <w:pStyle w:val="a0"/>
              <w:jc w:val="center"/>
              <w:rPr>
                <w:rFonts w:ascii="Times New Roman" w:hAnsi="Times New Roman"/>
                <w:b/>
                <w:bCs/>
                <w:sz w:val="20"/>
                <w:lang w:val="bg-BG"/>
              </w:rPr>
            </w:pPr>
            <w:r w:rsidRPr="00AA3F66">
              <w:rPr>
                <w:rFonts w:ascii="Times New Roman" w:hAnsi="Times New Roman"/>
                <w:b/>
                <w:bCs/>
                <w:sz w:val="20"/>
                <w:lang w:val="bg-BG"/>
              </w:rPr>
              <w:t>2026</w:t>
            </w:r>
          </w:p>
        </w:tc>
      </w:tr>
      <w:tr w:rsidR="00854036" w:rsidRPr="00AA3F66" w:rsidTr="006E42D0">
        <w:trPr>
          <w:trHeight w:val="329"/>
          <w:jc w:val="center"/>
        </w:trPr>
        <w:tc>
          <w:tcPr>
            <w:tcW w:w="4782" w:type="dxa"/>
            <w:tcBorders>
              <w:top w:val="single" w:sz="8" w:space="0" w:color="auto"/>
            </w:tcBorders>
          </w:tcPr>
          <w:p w:rsidR="00854036" w:rsidRPr="00AA3F66" w:rsidRDefault="00E667A0" w:rsidP="006E42D0">
            <w:pPr>
              <w:pStyle w:val="a0"/>
              <w:jc w:val="left"/>
              <w:rPr>
                <w:rFonts w:ascii="Times New Roman" w:hAnsi="Times New Roman"/>
                <w:sz w:val="20"/>
                <w:lang w:val="bg-BG"/>
              </w:rPr>
            </w:pPr>
            <w:r w:rsidRPr="00AA3F66">
              <w:rPr>
                <w:rFonts w:ascii="Times New Roman" w:hAnsi="Times New Roman"/>
                <w:sz w:val="20"/>
                <w:lang w:val="bg-BG"/>
              </w:rPr>
              <w:t>Световна икономика (реален растеж, пр.п.)</w:t>
            </w:r>
          </w:p>
        </w:tc>
        <w:tc>
          <w:tcPr>
            <w:tcW w:w="1083" w:type="dxa"/>
            <w:tcBorders>
              <w:top w:val="single" w:sz="8" w:space="0" w:color="auto"/>
            </w:tcBorders>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0,</w:t>
            </w:r>
            <w:r w:rsidR="00854036" w:rsidRPr="00AA3F66">
              <w:rPr>
                <w:rFonts w:ascii="Times New Roman" w:hAnsi="Times New Roman"/>
                <w:sz w:val="20"/>
                <w:lang w:val="bg-BG"/>
              </w:rPr>
              <w:t>0</w:t>
            </w:r>
          </w:p>
        </w:tc>
        <w:tc>
          <w:tcPr>
            <w:tcW w:w="1083" w:type="dxa"/>
            <w:tcBorders>
              <w:top w:val="single" w:sz="8" w:space="0" w:color="auto"/>
            </w:tcBorders>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-0,</w:t>
            </w:r>
            <w:r w:rsidR="00854036" w:rsidRPr="00AA3F66">
              <w:rPr>
                <w:rFonts w:ascii="Times New Roman" w:hAnsi="Times New Roman"/>
                <w:sz w:val="20"/>
                <w:lang w:val="bg-BG"/>
              </w:rPr>
              <w:t>7</w:t>
            </w:r>
          </w:p>
        </w:tc>
        <w:tc>
          <w:tcPr>
            <w:tcW w:w="1083" w:type="dxa"/>
            <w:tcBorders>
              <w:top w:val="single" w:sz="8" w:space="0" w:color="auto"/>
            </w:tcBorders>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-0,</w:t>
            </w:r>
            <w:r w:rsidR="00854036" w:rsidRPr="00AA3F66">
              <w:rPr>
                <w:rFonts w:ascii="Times New Roman" w:hAnsi="Times New Roman"/>
                <w:sz w:val="20"/>
                <w:lang w:val="bg-BG"/>
              </w:rPr>
              <w:t>3</w:t>
            </w:r>
          </w:p>
        </w:tc>
        <w:tc>
          <w:tcPr>
            <w:tcW w:w="1083" w:type="dxa"/>
            <w:tcBorders>
              <w:top w:val="single" w:sz="8" w:space="0" w:color="auto"/>
            </w:tcBorders>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0,</w:t>
            </w:r>
            <w:r w:rsidR="00854036" w:rsidRPr="00AA3F66">
              <w:rPr>
                <w:rFonts w:ascii="Times New Roman" w:hAnsi="Times New Roman"/>
                <w:sz w:val="20"/>
                <w:lang w:val="bg-BG"/>
              </w:rPr>
              <w:t>0</w:t>
            </w:r>
          </w:p>
        </w:tc>
      </w:tr>
      <w:tr w:rsidR="00854036" w:rsidRPr="00AA3F66" w:rsidTr="006E42D0">
        <w:trPr>
          <w:trHeight w:val="329"/>
          <w:jc w:val="center"/>
        </w:trPr>
        <w:tc>
          <w:tcPr>
            <w:tcW w:w="4782" w:type="dxa"/>
          </w:tcPr>
          <w:p w:rsidR="00854036" w:rsidRPr="00AA3F66" w:rsidRDefault="00E667A0" w:rsidP="006E42D0">
            <w:pPr>
              <w:pStyle w:val="a0"/>
              <w:jc w:val="left"/>
              <w:rPr>
                <w:rFonts w:ascii="Times New Roman" w:hAnsi="Times New Roman"/>
                <w:sz w:val="20"/>
                <w:lang w:val="bg-BG"/>
              </w:rPr>
            </w:pPr>
            <w:r w:rsidRPr="00AA3F66">
              <w:rPr>
                <w:rFonts w:ascii="Times New Roman" w:hAnsi="Times New Roman"/>
                <w:sz w:val="20"/>
                <w:lang w:val="bg-BG"/>
              </w:rPr>
              <w:t>Европейска икономика – ЕС (реален растеж, пр.п.)</w:t>
            </w:r>
          </w:p>
        </w:tc>
        <w:tc>
          <w:tcPr>
            <w:tcW w:w="1083" w:type="dxa"/>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0,</w:t>
            </w:r>
            <w:r w:rsidR="00854036" w:rsidRPr="00AA3F66">
              <w:rPr>
                <w:rFonts w:ascii="Times New Roman" w:hAnsi="Times New Roman"/>
                <w:sz w:val="20"/>
                <w:lang w:val="bg-BG"/>
              </w:rPr>
              <w:t>0</w:t>
            </w:r>
          </w:p>
        </w:tc>
        <w:tc>
          <w:tcPr>
            <w:tcW w:w="1083" w:type="dxa"/>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-1,</w:t>
            </w:r>
            <w:r w:rsidR="00854036" w:rsidRPr="00AA3F66">
              <w:rPr>
                <w:rFonts w:ascii="Times New Roman" w:hAnsi="Times New Roman"/>
                <w:sz w:val="20"/>
                <w:lang w:val="bg-BG"/>
              </w:rPr>
              <w:t>0</w:t>
            </w:r>
          </w:p>
        </w:tc>
        <w:tc>
          <w:tcPr>
            <w:tcW w:w="1083" w:type="dxa"/>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-0,</w:t>
            </w:r>
            <w:r w:rsidR="00854036" w:rsidRPr="00AA3F66">
              <w:rPr>
                <w:rFonts w:ascii="Times New Roman" w:hAnsi="Times New Roman"/>
                <w:sz w:val="20"/>
                <w:lang w:val="bg-BG"/>
              </w:rPr>
              <w:t>5</w:t>
            </w:r>
          </w:p>
        </w:tc>
        <w:tc>
          <w:tcPr>
            <w:tcW w:w="1083" w:type="dxa"/>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0,</w:t>
            </w:r>
            <w:r w:rsidR="00854036" w:rsidRPr="00AA3F66">
              <w:rPr>
                <w:rFonts w:ascii="Times New Roman" w:hAnsi="Times New Roman"/>
                <w:sz w:val="20"/>
                <w:lang w:val="bg-BG"/>
              </w:rPr>
              <w:t>0</w:t>
            </w:r>
          </w:p>
        </w:tc>
      </w:tr>
      <w:tr w:rsidR="00854036" w:rsidRPr="00AA3F66" w:rsidTr="006E42D0">
        <w:trPr>
          <w:trHeight w:val="329"/>
          <w:jc w:val="center"/>
        </w:trPr>
        <w:tc>
          <w:tcPr>
            <w:tcW w:w="4782" w:type="dxa"/>
          </w:tcPr>
          <w:p w:rsidR="00854036" w:rsidRPr="00AA3F66" w:rsidRDefault="00E667A0" w:rsidP="006E42D0">
            <w:pPr>
              <w:pStyle w:val="a0"/>
              <w:jc w:val="left"/>
              <w:rPr>
                <w:rFonts w:ascii="Times New Roman" w:hAnsi="Times New Roman"/>
                <w:sz w:val="20"/>
                <w:lang w:val="bg-BG"/>
              </w:rPr>
            </w:pPr>
            <w:r w:rsidRPr="00AA3F66">
              <w:rPr>
                <w:rFonts w:ascii="Times New Roman" w:hAnsi="Times New Roman"/>
                <w:sz w:val="20"/>
                <w:lang w:val="bg-BG"/>
              </w:rPr>
              <w:t>Валутен курс щ.д./евро (%)</w:t>
            </w:r>
          </w:p>
        </w:tc>
        <w:tc>
          <w:tcPr>
            <w:tcW w:w="1083" w:type="dxa"/>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0,</w:t>
            </w:r>
            <w:r w:rsidR="00854036" w:rsidRPr="00AA3F66">
              <w:rPr>
                <w:rFonts w:ascii="Times New Roman" w:hAnsi="Times New Roman"/>
                <w:sz w:val="20"/>
                <w:lang w:val="bg-BG"/>
              </w:rPr>
              <w:t>0%</w:t>
            </w:r>
          </w:p>
        </w:tc>
        <w:tc>
          <w:tcPr>
            <w:tcW w:w="1083" w:type="dxa"/>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0,</w:t>
            </w:r>
            <w:r w:rsidR="00854036" w:rsidRPr="00AA3F66">
              <w:rPr>
                <w:rFonts w:ascii="Times New Roman" w:hAnsi="Times New Roman"/>
                <w:sz w:val="20"/>
                <w:lang w:val="bg-BG"/>
              </w:rPr>
              <w:t>0%</w:t>
            </w:r>
          </w:p>
        </w:tc>
        <w:tc>
          <w:tcPr>
            <w:tcW w:w="1083" w:type="dxa"/>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0,</w:t>
            </w:r>
            <w:r w:rsidR="00854036" w:rsidRPr="00AA3F66">
              <w:rPr>
                <w:rFonts w:ascii="Times New Roman" w:hAnsi="Times New Roman"/>
                <w:sz w:val="20"/>
                <w:lang w:val="bg-BG"/>
              </w:rPr>
              <w:t>0%</w:t>
            </w:r>
          </w:p>
        </w:tc>
        <w:tc>
          <w:tcPr>
            <w:tcW w:w="1083" w:type="dxa"/>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0,</w:t>
            </w:r>
            <w:r w:rsidR="00854036" w:rsidRPr="00AA3F66">
              <w:rPr>
                <w:rFonts w:ascii="Times New Roman" w:hAnsi="Times New Roman"/>
                <w:sz w:val="20"/>
                <w:lang w:val="bg-BG"/>
              </w:rPr>
              <w:t>0%</w:t>
            </w:r>
          </w:p>
        </w:tc>
      </w:tr>
      <w:tr w:rsidR="00854036" w:rsidRPr="00AA3F66" w:rsidTr="006E42D0">
        <w:trPr>
          <w:trHeight w:val="329"/>
          <w:jc w:val="center"/>
        </w:trPr>
        <w:tc>
          <w:tcPr>
            <w:tcW w:w="4782" w:type="dxa"/>
          </w:tcPr>
          <w:p w:rsidR="00854036" w:rsidRPr="00AA3F66" w:rsidRDefault="00E667A0" w:rsidP="006E42D0">
            <w:pPr>
              <w:pStyle w:val="a0"/>
              <w:jc w:val="left"/>
              <w:rPr>
                <w:rFonts w:ascii="Times New Roman" w:hAnsi="Times New Roman"/>
                <w:sz w:val="20"/>
                <w:lang w:val="bg-BG"/>
              </w:rPr>
            </w:pPr>
            <w:r w:rsidRPr="00AA3F66">
              <w:rPr>
                <w:rFonts w:ascii="Times New Roman" w:hAnsi="Times New Roman"/>
                <w:sz w:val="20"/>
                <w:lang w:val="bg-BG"/>
              </w:rPr>
              <w:t>Цена на петрол "Брент" (щ.д./барел,%)</w:t>
            </w:r>
          </w:p>
        </w:tc>
        <w:tc>
          <w:tcPr>
            <w:tcW w:w="1083" w:type="dxa"/>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0,</w:t>
            </w:r>
            <w:r w:rsidR="00854036" w:rsidRPr="00AA3F66">
              <w:rPr>
                <w:rFonts w:ascii="Times New Roman" w:hAnsi="Times New Roman"/>
                <w:sz w:val="20"/>
                <w:lang w:val="bg-BG"/>
              </w:rPr>
              <w:t>0%</w:t>
            </w:r>
          </w:p>
        </w:tc>
        <w:tc>
          <w:tcPr>
            <w:tcW w:w="1083" w:type="dxa"/>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22,</w:t>
            </w:r>
            <w:r w:rsidR="00854036" w:rsidRPr="00AA3F66">
              <w:rPr>
                <w:rFonts w:ascii="Times New Roman" w:hAnsi="Times New Roman"/>
                <w:sz w:val="20"/>
                <w:lang w:val="bg-BG"/>
              </w:rPr>
              <w:t>5%</w:t>
            </w:r>
          </w:p>
        </w:tc>
        <w:tc>
          <w:tcPr>
            <w:tcW w:w="1083" w:type="dxa"/>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20,</w:t>
            </w:r>
            <w:r w:rsidR="00854036" w:rsidRPr="00AA3F66">
              <w:rPr>
                <w:rFonts w:ascii="Times New Roman" w:hAnsi="Times New Roman"/>
                <w:sz w:val="20"/>
                <w:lang w:val="bg-BG"/>
              </w:rPr>
              <w:t>2%</w:t>
            </w:r>
          </w:p>
        </w:tc>
        <w:tc>
          <w:tcPr>
            <w:tcW w:w="1083" w:type="dxa"/>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0,</w:t>
            </w:r>
            <w:r w:rsidR="00854036" w:rsidRPr="00AA3F66">
              <w:rPr>
                <w:rFonts w:ascii="Times New Roman" w:hAnsi="Times New Roman"/>
                <w:sz w:val="20"/>
                <w:lang w:val="bg-BG"/>
              </w:rPr>
              <w:t>0%</w:t>
            </w:r>
          </w:p>
        </w:tc>
      </w:tr>
      <w:tr w:rsidR="00854036" w:rsidRPr="00AA3F66" w:rsidTr="006E42D0">
        <w:trPr>
          <w:trHeight w:val="329"/>
          <w:jc w:val="center"/>
        </w:trPr>
        <w:tc>
          <w:tcPr>
            <w:tcW w:w="4782" w:type="dxa"/>
          </w:tcPr>
          <w:p w:rsidR="00854036" w:rsidRPr="00AA3F66" w:rsidRDefault="00E667A0" w:rsidP="006E42D0">
            <w:pPr>
              <w:pStyle w:val="a0"/>
              <w:jc w:val="left"/>
              <w:rPr>
                <w:rFonts w:ascii="Times New Roman" w:hAnsi="Times New Roman"/>
                <w:sz w:val="20"/>
                <w:lang w:val="bg-BG"/>
              </w:rPr>
            </w:pPr>
            <w:r w:rsidRPr="00AA3F66">
              <w:rPr>
                <w:rFonts w:ascii="Times New Roman" w:hAnsi="Times New Roman"/>
                <w:sz w:val="20"/>
                <w:lang w:val="bg-BG"/>
              </w:rPr>
              <w:t>Цена на метали (щ.д., %)</w:t>
            </w:r>
          </w:p>
        </w:tc>
        <w:tc>
          <w:tcPr>
            <w:tcW w:w="1083" w:type="dxa"/>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0,</w:t>
            </w:r>
            <w:r w:rsidR="00854036" w:rsidRPr="00AA3F66">
              <w:rPr>
                <w:rFonts w:ascii="Times New Roman" w:hAnsi="Times New Roman"/>
                <w:sz w:val="20"/>
                <w:lang w:val="bg-BG"/>
              </w:rPr>
              <w:t>0%</w:t>
            </w:r>
          </w:p>
        </w:tc>
        <w:tc>
          <w:tcPr>
            <w:tcW w:w="1083" w:type="dxa"/>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12,</w:t>
            </w:r>
            <w:r w:rsidR="00854036" w:rsidRPr="00AA3F66">
              <w:rPr>
                <w:rFonts w:ascii="Times New Roman" w:hAnsi="Times New Roman"/>
                <w:sz w:val="20"/>
                <w:lang w:val="bg-BG"/>
              </w:rPr>
              <w:t>2%</w:t>
            </w:r>
          </w:p>
        </w:tc>
        <w:tc>
          <w:tcPr>
            <w:tcW w:w="1083" w:type="dxa"/>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10,</w:t>
            </w:r>
            <w:r w:rsidR="00854036" w:rsidRPr="00AA3F66">
              <w:rPr>
                <w:rFonts w:ascii="Times New Roman" w:hAnsi="Times New Roman"/>
                <w:sz w:val="20"/>
                <w:lang w:val="bg-BG"/>
              </w:rPr>
              <w:t>6%</w:t>
            </w:r>
          </w:p>
        </w:tc>
        <w:tc>
          <w:tcPr>
            <w:tcW w:w="1083" w:type="dxa"/>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0,</w:t>
            </w:r>
            <w:r w:rsidR="00854036" w:rsidRPr="00AA3F66">
              <w:rPr>
                <w:rFonts w:ascii="Times New Roman" w:hAnsi="Times New Roman"/>
                <w:sz w:val="20"/>
                <w:lang w:val="bg-BG"/>
              </w:rPr>
              <w:t>0%</w:t>
            </w:r>
          </w:p>
        </w:tc>
      </w:tr>
      <w:tr w:rsidR="00854036" w:rsidRPr="00AA3F66" w:rsidTr="006E42D0">
        <w:trPr>
          <w:trHeight w:val="329"/>
          <w:jc w:val="center"/>
        </w:trPr>
        <w:tc>
          <w:tcPr>
            <w:tcW w:w="4782" w:type="dxa"/>
          </w:tcPr>
          <w:p w:rsidR="00854036" w:rsidRPr="00AA3F66" w:rsidRDefault="00E667A0" w:rsidP="006E42D0">
            <w:pPr>
              <w:pStyle w:val="a0"/>
              <w:jc w:val="left"/>
              <w:rPr>
                <w:rFonts w:ascii="Times New Roman" w:hAnsi="Times New Roman"/>
                <w:sz w:val="20"/>
                <w:lang w:val="bg-BG"/>
              </w:rPr>
            </w:pPr>
            <w:r w:rsidRPr="00AA3F66">
              <w:rPr>
                <w:rFonts w:ascii="Times New Roman" w:hAnsi="Times New Roman"/>
                <w:sz w:val="20"/>
                <w:lang w:val="bg-BG"/>
              </w:rPr>
              <w:t>Цени хранителни продукти (в щ.д., %)</w:t>
            </w:r>
          </w:p>
        </w:tc>
        <w:tc>
          <w:tcPr>
            <w:tcW w:w="1083" w:type="dxa"/>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0,</w:t>
            </w:r>
            <w:r w:rsidR="00854036" w:rsidRPr="00AA3F66">
              <w:rPr>
                <w:rFonts w:ascii="Times New Roman" w:hAnsi="Times New Roman"/>
                <w:sz w:val="20"/>
                <w:lang w:val="bg-BG"/>
              </w:rPr>
              <w:t>0%</w:t>
            </w:r>
          </w:p>
        </w:tc>
        <w:tc>
          <w:tcPr>
            <w:tcW w:w="1083" w:type="dxa"/>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20,</w:t>
            </w:r>
            <w:r w:rsidR="00854036" w:rsidRPr="00AA3F66">
              <w:rPr>
                <w:rFonts w:ascii="Times New Roman" w:hAnsi="Times New Roman"/>
                <w:sz w:val="20"/>
                <w:lang w:val="bg-BG"/>
              </w:rPr>
              <w:t>9%</w:t>
            </w:r>
          </w:p>
        </w:tc>
        <w:tc>
          <w:tcPr>
            <w:tcW w:w="1083" w:type="dxa"/>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21,</w:t>
            </w:r>
            <w:r w:rsidR="00854036" w:rsidRPr="00AA3F66">
              <w:rPr>
                <w:rFonts w:ascii="Times New Roman" w:hAnsi="Times New Roman"/>
                <w:sz w:val="20"/>
                <w:lang w:val="bg-BG"/>
              </w:rPr>
              <w:t>0%</w:t>
            </w:r>
          </w:p>
        </w:tc>
        <w:tc>
          <w:tcPr>
            <w:tcW w:w="1083" w:type="dxa"/>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0,</w:t>
            </w:r>
            <w:r w:rsidR="00854036" w:rsidRPr="00AA3F66">
              <w:rPr>
                <w:rFonts w:ascii="Times New Roman" w:hAnsi="Times New Roman"/>
                <w:sz w:val="20"/>
                <w:lang w:val="bg-BG"/>
              </w:rPr>
              <w:t>0%</w:t>
            </w:r>
          </w:p>
        </w:tc>
      </w:tr>
      <w:tr w:rsidR="00854036" w:rsidRPr="00AA3F66" w:rsidTr="006E42D0">
        <w:trPr>
          <w:trHeight w:val="329"/>
          <w:jc w:val="center"/>
        </w:trPr>
        <w:tc>
          <w:tcPr>
            <w:tcW w:w="4782" w:type="dxa"/>
          </w:tcPr>
          <w:p w:rsidR="00854036" w:rsidRPr="00AA3F66" w:rsidRDefault="00E667A0" w:rsidP="006E42D0">
            <w:pPr>
              <w:pStyle w:val="a0"/>
              <w:jc w:val="left"/>
              <w:rPr>
                <w:rFonts w:ascii="Times New Roman" w:hAnsi="Times New Roman"/>
                <w:sz w:val="20"/>
                <w:lang w:val="bg-BG"/>
              </w:rPr>
            </w:pPr>
            <w:r w:rsidRPr="00AA3F66">
              <w:rPr>
                <w:rFonts w:ascii="Times New Roman" w:hAnsi="Times New Roman"/>
                <w:sz w:val="20"/>
                <w:lang w:val="bg-BG"/>
              </w:rPr>
              <w:t>EURIBOR 3м. (пр.п.)</w:t>
            </w:r>
          </w:p>
        </w:tc>
        <w:tc>
          <w:tcPr>
            <w:tcW w:w="1083" w:type="dxa"/>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0,</w:t>
            </w:r>
            <w:r w:rsidR="00854036" w:rsidRPr="00AA3F66">
              <w:rPr>
                <w:rFonts w:ascii="Times New Roman" w:hAnsi="Times New Roman"/>
                <w:sz w:val="20"/>
                <w:lang w:val="bg-BG"/>
              </w:rPr>
              <w:t>0</w:t>
            </w:r>
          </w:p>
        </w:tc>
        <w:tc>
          <w:tcPr>
            <w:tcW w:w="1083" w:type="dxa"/>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0,</w:t>
            </w:r>
            <w:r w:rsidR="00854036" w:rsidRPr="00AA3F66">
              <w:rPr>
                <w:rFonts w:ascii="Times New Roman" w:hAnsi="Times New Roman"/>
                <w:sz w:val="20"/>
                <w:lang w:val="bg-BG"/>
              </w:rPr>
              <w:t>75</w:t>
            </w:r>
          </w:p>
        </w:tc>
        <w:tc>
          <w:tcPr>
            <w:tcW w:w="1083" w:type="dxa"/>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1,</w:t>
            </w:r>
            <w:r w:rsidR="00854036" w:rsidRPr="00AA3F66">
              <w:rPr>
                <w:rFonts w:ascii="Times New Roman" w:hAnsi="Times New Roman"/>
                <w:sz w:val="20"/>
                <w:lang w:val="bg-BG"/>
              </w:rPr>
              <w:t>0</w:t>
            </w:r>
          </w:p>
        </w:tc>
        <w:tc>
          <w:tcPr>
            <w:tcW w:w="1083" w:type="dxa"/>
          </w:tcPr>
          <w:p w:rsidR="00854036" w:rsidRPr="00AA3F66" w:rsidRDefault="00E667A0" w:rsidP="006E42D0">
            <w:pPr>
              <w:pStyle w:val="a0"/>
              <w:jc w:val="right"/>
              <w:rPr>
                <w:rFonts w:ascii="Times New Roman" w:hAnsi="Times New Roman"/>
                <w:sz w:val="20"/>
                <w:lang w:val="bg-BG"/>
              </w:rPr>
            </w:pPr>
            <w:r w:rsidRPr="00AA3F66">
              <w:rPr>
                <w:rFonts w:ascii="Times New Roman" w:hAnsi="Times New Roman"/>
                <w:sz w:val="20"/>
                <w:lang w:val="bg-BG"/>
              </w:rPr>
              <w:t>0,</w:t>
            </w:r>
            <w:r w:rsidR="00854036" w:rsidRPr="00AA3F66">
              <w:rPr>
                <w:rFonts w:ascii="Times New Roman" w:hAnsi="Times New Roman"/>
                <w:sz w:val="20"/>
                <w:lang w:val="bg-BG"/>
              </w:rPr>
              <w:t>0</w:t>
            </w:r>
          </w:p>
        </w:tc>
      </w:tr>
    </w:tbl>
    <w:p w:rsidR="008B166A" w:rsidRPr="00AA3F66" w:rsidRDefault="00E667A0" w:rsidP="00E667A0">
      <w:pPr>
        <w:spacing w:before="120"/>
        <w:jc w:val="right"/>
        <w:rPr>
          <w:bCs/>
          <w:sz w:val="18"/>
          <w:szCs w:val="18"/>
        </w:rPr>
      </w:pPr>
      <w:r w:rsidRPr="00AA3F66">
        <w:rPr>
          <w:bCs/>
          <w:sz w:val="18"/>
          <w:szCs w:val="18"/>
        </w:rPr>
        <w:t>Източник: ИАП</w:t>
      </w:r>
    </w:p>
    <w:p w:rsidR="00985F66" w:rsidRPr="00AA3F66" w:rsidRDefault="00985F66" w:rsidP="00985F66">
      <w:pPr>
        <w:rPr>
          <w:bCs/>
        </w:rPr>
      </w:pPr>
      <w:r w:rsidRPr="00AA3F66">
        <w:rPr>
          <w:bCs/>
        </w:rPr>
        <w:t>Нарасналите разходи за живот и за обслужване на вече съществуващи и нови заеми ще намалят покупателната способност на населението, което ще се отрази в по-ниско потребление на домакинствата за целия прогнозен период. Несигурната външна среда, по-скъпите суровини и по-високите лихвени проценти ще ограничат инвестиционната активност в страната, като ефектът ще е с известно забавяне спрямо останалите компоненти на БВП. По-слабата инвестиционна активност ще доведе до малко по-слабо търсене на труд и по-бавен ръст на доходите спрямо базовия сценарий, което от своя страна също ще се отрази отрицателно върху потреблението на домакинствата.</w:t>
      </w:r>
    </w:p>
    <w:p w:rsidR="00985F66" w:rsidRPr="00AA3F66" w:rsidRDefault="00985F66" w:rsidP="00985F66">
      <w:pPr>
        <w:rPr>
          <w:highlight w:val="yellow"/>
        </w:rPr>
      </w:pPr>
      <w:r w:rsidRPr="00AA3F66">
        <w:rPr>
          <w:bCs/>
        </w:rPr>
        <w:t>Допусканията за по-неблагоприятно развитие на външната среда в периода 2024 и 2025 г. ще се отразят неблагоприятно върху растежа на износа на стоки и услуги. Вносът на стоки и услуги също ще бъде по-нисък спрямо базовия сценарий, в резултат на влошеното вътрешно търсене и износ. Отрицателният принос на нетния износ към растежа на БВП ще се увеличи през 2024 г., но през последните две години от прогнозния период ще е по-благоприятен в сравнение с базовия сценарий. Балансът на текущата сметка ще следва тенденциите във външната търговия и динамиката на цените на внос и износ, което ще доведе до влошаване през 2024 и 2025 г., след което леко ще се подобри.</w:t>
      </w:r>
    </w:p>
    <w:p w:rsidR="00985F66" w:rsidRPr="00AA3F66" w:rsidRDefault="00985F66" w:rsidP="00985F66">
      <w:pPr>
        <w:rPr>
          <w:color w:val="FF0000"/>
        </w:rPr>
      </w:pPr>
      <w:r w:rsidRPr="00AA3F66">
        <w:rPr>
          <w:bCs/>
        </w:rPr>
        <w:t>Расте</w:t>
      </w:r>
      <w:r w:rsidR="00367094" w:rsidRPr="00AA3F66">
        <w:rPr>
          <w:bCs/>
        </w:rPr>
        <w:t>жът на БВП ще бъде по-нисък с 0,</w:t>
      </w:r>
      <w:r w:rsidRPr="00AA3F66">
        <w:rPr>
          <w:bCs/>
        </w:rPr>
        <w:t>5 пр.п. спрямо базовия сценарий през целия прогнозен период. Нивото на БВП както по постоянни, така и по текущи цени в алтернативния сценарий ще остане трайно под</w:t>
      </w:r>
      <w:r w:rsidRPr="00AA3F66">
        <w:t xml:space="preserve"> </w:t>
      </w:r>
      <w:r w:rsidRPr="00AA3F66">
        <w:rPr>
          <w:bCs/>
        </w:rPr>
        <w:t>това в базовия до края на периода.</w:t>
      </w:r>
    </w:p>
    <w:p w:rsidR="00235FAF" w:rsidRPr="00AA3F66" w:rsidRDefault="008C2A11" w:rsidP="00985F66">
      <w:pPr>
        <w:pStyle w:val="Caption"/>
        <w:spacing w:after="240"/>
      </w:pPr>
      <w:bookmarkStart w:id="530" w:name="_Toc150443433"/>
      <w:r w:rsidRPr="00AA3F66">
        <w:t xml:space="preserve">Табл. </w:t>
      </w:r>
      <w:fldSimple w:instr=" STYLEREF 1 \s ">
        <w:r w:rsidR="005A69ED">
          <w:rPr>
            <w:noProof/>
          </w:rPr>
          <w:t>VII</w:t>
        </w:r>
      </w:fldSimple>
      <w:r w:rsidRPr="00AA3F66">
        <w:noBreakHyphen/>
      </w:r>
      <w:fldSimple w:instr=" SEQ Табл. \* ARABIC \s 1 ">
        <w:r w:rsidR="005A69ED">
          <w:rPr>
            <w:noProof/>
          </w:rPr>
          <w:t>3</w:t>
        </w:r>
      </w:fldSimple>
      <w:r w:rsidRPr="00AA3F66">
        <w:t>:</w:t>
      </w:r>
      <w:r w:rsidRPr="00AA3F66">
        <w:tab/>
      </w:r>
      <w:r w:rsidR="00985F66" w:rsidRPr="00AA3F66">
        <w:t>Промени в основните макроикономически показатели (отклонение спрямо основния сценарий)</w:t>
      </w:r>
      <w:bookmarkEnd w:id="530"/>
    </w:p>
    <w:tbl>
      <w:tblPr>
        <w:tblStyle w:val="TableGrid"/>
        <w:tblW w:w="9082" w:type="dxa"/>
        <w:jc w:val="center"/>
        <w:tblLook w:val="04A0" w:firstRow="1" w:lastRow="0" w:firstColumn="1" w:lastColumn="0" w:noHBand="0" w:noVBand="1"/>
      </w:tblPr>
      <w:tblGrid>
        <w:gridCol w:w="4602"/>
        <w:gridCol w:w="1125"/>
        <w:gridCol w:w="1119"/>
        <w:gridCol w:w="1119"/>
        <w:gridCol w:w="1117"/>
      </w:tblGrid>
      <w:tr w:rsidR="00985F66" w:rsidRPr="00AA3F66" w:rsidTr="00EA1422">
        <w:trPr>
          <w:trHeight w:val="525"/>
          <w:jc w:val="center"/>
        </w:trPr>
        <w:tc>
          <w:tcPr>
            <w:tcW w:w="4602" w:type="dxa"/>
            <w:tcBorders>
              <w:left w:val="nil"/>
              <w:bottom w:val="single" w:sz="4" w:space="0" w:color="auto"/>
              <w:right w:val="nil"/>
            </w:tcBorders>
            <w:shd w:val="clear" w:color="auto" w:fill="auto"/>
            <w:vAlign w:val="center"/>
          </w:tcPr>
          <w:p w:rsidR="00985F66" w:rsidRPr="00AA3F66" w:rsidRDefault="00985F66" w:rsidP="006E42D0">
            <w:pPr>
              <w:jc w:val="center"/>
              <w:rPr>
                <w:b/>
                <w:sz w:val="20"/>
                <w:szCs w:val="20"/>
              </w:rPr>
            </w:pPr>
            <w:r w:rsidRPr="00AA3F66">
              <w:rPr>
                <w:b/>
                <w:sz w:val="20"/>
                <w:szCs w:val="20"/>
                <w:lang w:eastAsia="en-GB"/>
              </w:rPr>
              <w:t>Основни макроикономически показатели</w:t>
            </w:r>
          </w:p>
        </w:tc>
        <w:tc>
          <w:tcPr>
            <w:tcW w:w="1125" w:type="dxa"/>
            <w:tcBorders>
              <w:left w:val="nil"/>
              <w:bottom w:val="single" w:sz="4" w:space="0" w:color="auto"/>
              <w:right w:val="nil"/>
            </w:tcBorders>
            <w:shd w:val="clear" w:color="auto" w:fill="auto"/>
            <w:vAlign w:val="center"/>
          </w:tcPr>
          <w:p w:rsidR="00985F66" w:rsidRPr="00AA3F66" w:rsidRDefault="00985F66" w:rsidP="006E42D0">
            <w:pPr>
              <w:pStyle w:val="a0"/>
              <w:jc w:val="right"/>
              <w:rPr>
                <w:rFonts w:ascii="Times New Roman" w:hAnsi="Times New Roman"/>
                <w:b/>
                <w:bCs/>
                <w:sz w:val="20"/>
                <w:szCs w:val="20"/>
                <w:lang w:val="bg-BG"/>
              </w:rPr>
            </w:pPr>
            <w:r w:rsidRPr="00AA3F66">
              <w:rPr>
                <w:rFonts w:ascii="Times New Roman" w:hAnsi="Times New Roman"/>
                <w:b/>
                <w:bCs/>
                <w:sz w:val="20"/>
                <w:szCs w:val="20"/>
                <w:lang w:val="bg-BG"/>
              </w:rPr>
              <w:t>2023</w:t>
            </w:r>
          </w:p>
        </w:tc>
        <w:tc>
          <w:tcPr>
            <w:tcW w:w="1119" w:type="dxa"/>
            <w:tcBorders>
              <w:left w:val="nil"/>
              <w:bottom w:val="single" w:sz="4" w:space="0" w:color="auto"/>
              <w:right w:val="nil"/>
            </w:tcBorders>
            <w:shd w:val="clear" w:color="auto" w:fill="auto"/>
            <w:vAlign w:val="center"/>
          </w:tcPr>
          <w:p w:rsidR="00985F66" w:rsidRPr="00AA3F66" w:rsidRDefault="00985F66" w:rsidP="006E42D0">
            <w:pPr>
              <w:pStyle w:val="a0"/>
              <w:jc w:val="right"/>
              <w:rPr>
                <w:rFonts w:ascii="Times New Roman" w:hAnsi="Times New Roman"/>
                <w:b/>
                <w:bCs/>
                <w:sz w:val="20"/>
                <w:szCs w:val="20"/>
                <w:lang w:val="bg-BG"/>
              </w:rPr>
            </w:pPr>
            <w:r w:rsidRPr="00AA3F66">
              <w:rPr>
                <w:rFonts w:ascii="Times New Roman" w:hAnsi="Times New Roman"/>
                <w:b/>
                <w:bCs/>
                <w:sz w:val="20"/>
                <w:szCs w:val="20"/>
                <w:lang w:val="bg-BG"/>
              </w:rPr>
              <w:t>2024</w:t>
            </w:r>
          </w:p>
        </w:tc>
        <w:tc>
          <w:tcPr>
            <w:tcW w:w="1119" w:type="dxa"/>
            <w:tcBorders>
              <w:left w:val="nil"/>
              <w:bottom w:val="single" w:sz="4" w:space="0" w:color="auto"/>
              <w:right w:val="nil"/>
            </w:tcBorders>
            <w:shd w:val="clear" w:color="auto" w:fill="auto"/>
            <w:vAlign w:val="center"/>
          </w:tcPr>
          <w:p w:rsidR="00985F66" w:rsidRPr="00AA3F66" w:rsidRDefault="00985F66" w:rsidP="006E42D0">
            <w:pPr>
              <w:pStyle w:val="a0"/>
              <w:jc w:val="right"/>
              <w:rPr>
                <w:rFonts w:ascii="Times New Roman" w:hAnsi="Times New Roman"/>
                <w:b/>
                <w:bCs/>
                <w:sz w:val="20"/>
                <w:szCs w:val="20"/>
                <w:lang w:val="bg-BG"/>
              </w:rPr>
            </w:pPr>
            <w:r w:rsidRPr="00AA3F66">
              <w:rPr>
                <w:rFonts w:ascii="Times New Roman" w:hAnsi="Times New Roman"/>
                <w:b/>
                <w:bCs/>
                <w:sz w:val="20"/>
                <w:szCs w:val="20"/>
                <w:lang w:val="bg-BG"/>
              </w:rPr>
              <w:t>2025</w:t>
            </w:r>
          </w:p>
        </w:tc>
        <w:tc>
          <w:tcPr>
            <w:tcW w:w="1117" w:type="dxa"/>
            <w:tcBorders>
              <w:left w:val="nil"/>
              <w:bottom w:val="single" w:sz="4" w:space="0" w:color="auto"/>
              <w:right w:val="nil"/>
            </w:tcBorders>
            <w:vAlign w:val="center"/>
          </w:tcPr>
          <w:p w:rsidR="00985F66" w:rsidRPr="00AA3F66" w:rsidRDefault="00985F66" w:rsidP="006E42D0">
            <w:pPr>
              <w:pStyle w:val="a0"/>
              <w:jc w:val="right"/>
              <w:rPr>
                <w:rFonts w:ascii="Times New Roman" w:hAnsi="Times New Roman"/>
                <w:b/>
                <w:bCs/>
                <w:sz w:val="20"/>
                <w:szCs w:val="20"/>
                <w:lang w:val="bg-BG"/>
              </w:rPr>
            </w:pPr>
            <w:r w:rsidRPr="00AA3F66">
              <w:rPr>
                <w:rFonts w:ascii="Times New Roman" w:hAnsi="Times New Roman"/>
                <w:b/>
                <w:bCs/>
                <w:sz w:val="20"/>
                <w:szCs w:val="20"/>
                <w:lang w:val="bg-BG"/>
              </w:rPr>
              <w:t>2026</w:t>
            </w:r>
          </w:p>
        </w:tc>
      </w:tr>
      <w:tr w:rsidR="00985F66" w:rsidRPr="00AA3F66" w:rsidTr="006E42D0">
        <w:trPr>
          <w:trHeight w:val="329"/>
          <w:jc w:val="center"/>
        </w:trPr>
        <w:tc>
          <w:tcPr>
            <w:tcW w:w="4602" w:type="dxa"/>
            <w:tcBorders>
              <w:top w:val="single" w:sz="4" w:space="0" w:color="auto"/>
              <w:left w:val="nil"/>
              <w:bottom w:val="nil"/>
              <w:right w:val="nil"/>
            </w:tcBorders>
            <w:shd w:val="clear" w:color="auto" w:fill="auto"/>
          </w:tcPr>
          <w:p w:rsidR="00985F66" w:rsidRPr="00AA3F66" w:rsidRDefault="00985F66" w:rsidP="006E42D0">
            <w:pPr>
              <w:pStyle w:val="a0"/>
              <w:jc w:val="left"/>
              <w:rPr>
                <w:rFonts w:ascii="Times New Roman" w:hAnsi="Times New Roman"/>
                <w:b/>
                <w:sz w:val="20"/>
                <w:szCs w:val="20"/>
                <w:lang w:val="bg-BG"/>
              </w:rPr>
            </w:pPr>
            <w:r w:rsidRPr="00AA3F66">
              <w:rPr>
                <w:rFonts w:ascii="Times New Roman" w:hAnsi="Times New Roman"/>
                <w:b/>
                <w:bCs/>
                <w:sz w:val="20"/>
                <w:szCs w:val="20"/>
                <w:lang w:val="bg-BG"/>
              </w:rPr>
              <w:t>БРУТЕН ВЪТРЕШЕН ПРОДУКТ</w:t>
            </w:r>
          </w:p>
        </w:tc>
        <w:tc>
          <w:tcPr>
            <w:tcW w:w="1125" w:type="dxa"/>
            <w:tcBorders>
              <w:top w:val="single" w:sz="4" w:space="0" w:color="auto"/>
              <w:left w:val="nil"/>
              <w:bottom w:val="nil"/>
              <w:right w:val="nil"/>
            </w:tcBorders>
            <w:shd w:val="clear" w:color="auto" w:fill="auto"/>
          </w:tcPr>
          <w:p w:rsidR="00985F66" w:rsidRPr="00AA3F66" w:rsidRDefault="00985F66" w:rsidP="006E42D0">
            <w:pPr>
              <w:pStyle w:val="a0"/>
              <w:jc w:val="left"/>
              <w:rPr>
                <w:rFonts w:ascii="Times New Roman" w:hAnsi="Times New Roman"/>
                <w:sz w:val="20"/>
                <w:szCs w:val="20"/>
                <w:lang w:val="bg-BG"/>
              </w:rPr>
            </w:pPr>
          </w:p>
        </w:tc>
        <w:tc>
          <w:tcPr>
            <w:tcW w:w="1119" w:type="dxa"/>
            <w:tcBorders>
              <w:top w:val="single" w:sz="4" w:space="0" w:color="auto"/>
              <w:left w:val="nil"/>
              <w:bottom w:val="nil"/>
              <w:right w:val="nil"/>
            </w:tcBorders>
            <w:shd w:val="clear" w:color="auto" w:fill="auto"/>
          </w:tcPr>
          <w:p w:rsidR="00985F66" w:rsidRPr="00AA3F66" w:rsidRDefault="00985F66" w:rsidP="006E42D0">
            <w:pPr>
              <w:pStyle w:val="a0"/>
              <w:jc w:val="left"/>
              <w:rPr>
                <w:rFonts w:ascii="Times New Roman" w:hAnsi="Times New Roman"/>
                <w:sz w:val="20"/>
                <w:szCs w:val="20"/>
                <w:lang w:val="bg-BG"/>
              </w:rPr>
            </w:pPr>
          </w:p>
        </w:tc>
        <w:tc>
          <w:tcPr>
            <w:tcW w:w="1119" w:type="dxa"/>
            <w:tcBorders>
              <w:top w:val="single" w:sz="4" w:space="0" w:color="auto"/>
              <w:left w:val="nil"/>
              <w:bottom w:val="nil"/>
              <w:right w:val="nil"/>
            </w:tcBorders>
            <w:shd w:val="clear" w:color="auto" w:fill="auto"/>
          </w:tcPr>
          <w:p w:rsidR="00985F66" w:rsidRPr="00AA3F66" w:rsidRDefault="00985F66" w:rsidP="006E42D0">
            <w:pPr>
              <w:pStyle w:val="a0"/>
              <w:jc w:val="left"/>
              <w:rPr>
                <w:rFonts w:ascii="Times New Roman" w:hAnsi="Times New Roman"/>
                <w:sz w:val="20"/>
                <w:szCs w:val="20"/>
                <w:lang w:val="bg-BG"/>
              </w:rPr>
            </w:pPr>
          </w:p>
        </w:tc>
        <w:tc>
          <w:tcPr>
            <w:tcW w:w="1117" w:type="dxa"/>
            <w:tcBorders>
              <w:top w:val="single" w:sz="4" w:space="0" w:color="auto"/>
              <w:left w:val="nil"/>
              <w:bottom w:val="nil"/>
              <w:right w:val="nil"/>
            </w:tcBorders>
          </w:tcPr>
          <w:p w:rsidR="00985F66" w:rsidRPr="00AA3F66" w:rsidRDefault="00985F66" w:rsidP="006E42D0">
            <w:pPr>
              <w:pStyle w:val="a0"/>
              <w:jc w:val="left"/>
              <w:rPr>
                <w:rFonts w:ascii="Times New Roman" w:hAnsi="Times New Roman"/>
                <w:sz w:val="20"/>
                <w:szCs w:val="20"/>
                <w:lang w:val="bg-BG"/>
              </w:rPr>
            </w:pPr>
          </w:p>
        </w:tc>
      </w:tr>
      <w:tr w:rsidR="00985F66" w:rsidRPr="00AA3F66" w:rsidTr="006E42D0">
        <w:trPr>
          <w:trHeight w:val="329"/>
          <w:jc w:val="center"/>
        </w:trPr>
        <w:tc>
          <w:tcPr>
            <w:tcW w:w="4602" w:type="dxa"/>
            <w:tcBorders>
              <w:top w:val="nil"/>
              <w:left w:val="nil"/>
              <w:bottom w:val="nil"/>
              <w:right w:val="nil"/>
            </w:tcBorders>
            <w:shd w:val="clear" w:color="auto" w:fill="auto"/>
          </w:tcPr>
          <w:p w:rsidR="00985F66" w:rsidRPr="00AA3F66" w:rsidRDefault="00985F66" w:rsidP="006E42D0">
            <w:pPr>
              <w:pStyle w:val="a0"/>
              <w:jc w:val="left"/>
              <w:rPr>
                <w:rFonts w:ascii="Times New Roman" w:hAnsi="Times New Roman"/>
                <w:sz w:val="20"/>
                <w:szCs w:val="20"/>
                <w:lang w:val="bg-BG"/>
              </w:rPr>
            </w:pPr>
            <w:r w:rsidRPr="00AA3F66">
              <w:rPr>
                <w:rFonts w:ascii="Times New Roman" w:hAnsi="Times New Roman"/>
                <w:sz w:val="20"/>
                <w:szCs w:val="20"/>
                <w:lang w:val="bg-BG"/>
              </w:rPr>
              <w:t xml:space="preserve">  </w:t>
            </w:r>
            <w:r w:rsidR="00367094" w:rsidRPr="00AA3F66">
              <w:rPr>
                <w:rFonts w:ascii="Times New Roman" w:hAnsi="Times New Roman"/>
                <w:sz w:val="20"/>
                <w:szCs w:val="20"/>
                <w:lang w:val="bg-BG"/>
              </w:rPr>
              <w:t>БВП ниво по текущи цени (%)</w:t>
            </w:r>
          </w:p>
        </w:tc>
        <w:tc>
          <w:tcPr>
            <w:tcW w:w="1125" w:type="dxa"/>
            <w:tcBorders>
              <w:top w:val="nil"/>
              <w:left w:val="nil"/>
              <w:bottom w:val="nil"/>
              <w:right w:val="nil"/>
            </w:tcBorders>
            <w:shd w:val="clear" w:color="auto" w:fill="auto"/>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0%</w:t>
            </w:r>
          </w:p>
        </w:tc>
        <w:tc>
          <w:tcPr>
            <w:tcW w:w="1119" w:type="dxa"/>
            <w:tcBorders>
              <w:top w:val="nil"/>
              <w:left w:val="nil"/>
              <w:bottom w:val="nil"/>
              <w:right w:val="nil"/>
            </w:tcBorders>
            <w:shd w:val="clear" w:color="auto" w:fill="auto"/>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9%</w:t>
            </w:r>
          </w:p>
        </w:tc>
        <w:tc>
          <w:tcPr>
            <w:tcW w:w="1119" w:type="dxa"/>
            <w:tcBorders>
              <w:top w:val="nil"/>
              <w:left w:val="nil"/>
              <w:bottom w:val="nil"/>
              <w:right w:val="nil"/>
            </w:tcBorders>
            <w:shd w:val="clear" w:color="auto" w:fill="auto"/>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7%</w:t>
            </w:r>
          </w:p>
        </w:tc>
        <w:tc>
          <w:tcPr>
            <w:tcW w:w="1117" w:type="dxa"/>
            <w:tcBorders>
              <w:top w:val="nil"/>
              <w:left w:val="nil"/>
              <w:bottom w:val="nil"/>
              <w:right w:val="nil"/>
            </w:tcBorders>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-1,</w:t>
            </w:r>
            <w:r w:rsidR="00985F66" w:rsidRPr="00AA3F66">
              <w:rPr>
                <w:rFonts w:ascii="Times New Roman" w:hAnsi="Times New Roman"/>
                <w:sz w:val="20"/>
                <w:szCs w:val="20"/>
                <w:lang w:val="bg-BG"/>
              </w:rPr>
              <w:t>1%</w:t>
            </w:r>
          </w:p>
        </w:tc>
      </w:tr>
      <w:tr w:rsidR="00985F66" w:rsidRPr="00AA3F66" w:rsidTr="006E42D0">
        <w:trPr>
          <w:trHeight w:val="329"/>
          <w:jc w:val="center"/>
        </w:trPr>
        <w:tc>
          <w:tcPr>
            <w:tcW w:w="4602" w:type="dxa"/>
            <w:tcBorders>
              <w:top w:val="nil"/>
              <w:left w:val="nil"/>
              <w:bottom w:val="nil"/>
              <w:right w:val="nil"/>
            </w:tcBorders>
            <w:shd w:val="clear" w:color="auto" w:fill="auto"/>
          </w:tcPr>
          <w:p w:rsidR="00985F66" w:rsidRPr="00AA3F66" w:rsidRDefault="00985F66" w:rsidP="006E42D0">
            <w:pPr>
              <w:pStyle w:val="a0"/>
              <w:jc w:val="left"/>
              <w:rPr>
                <w:rFonts w:ascii="Times New Roman" w:hAnsi="Times New Roman"/>
                <w:sz w:val="20"/>
                <w:szCs w:val="20"/>
                <w:lang w:val="bg-BG"/>
              </w:rPr>
            </w:pPr>
            <w:r w:rsidRPr="00AA3F66">
              <w:rPr>
                <w:rFonts w:ascii="Times New Roman" w:hAnsi="Times New Roman"/>
                <w:sz w:val="20"/>
                <w:szCs w:val="20"/>
                <w:lang w:val="bg-BG"/>
              </w:rPr>
              <w:t xml:space="preserve">  </w:t>
            </w:r>
            <w:r w:rsidR="00367094" w:rsidRPr="00AA3F66">
              <w:rPr>
                <w:rFonts w:ascii="Times New Roman" w:hAnsi="Times New Roman"/>
                <w:sz w:val="20"/>
                <w:szCs w:val="20"/>
                <w:lang w:val="bg-BG"/>
              </w:rPr>
              <w:t>БВП (реален растеж, пр.п.)</w:t>
            </w:r>
          </w:p>
        </w:tc>
        <w:tc>
          <w:tcPr>
            <w:tcW w:w="1125" w:type="dxa"/>
            <w:tcBorders>
              <w:top w:val="nil"/>
              <w:left w:val="nil"/>
              <w:bottom w:val="nil"/>
              <w:right w:val="nil"/>
            </w:tcBorders>
            <w:shd w:val="clear" w:color="auto" w:fill="auto"/>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0</w:t>
            </w:r>
          </w:p>
        </w:tc>
        <w:tc>
          <w:tcPr>
            <w:tcW w:w="1119" w:type="dxa"/>
            <w:tcBorders>
              <w:top w:val="nil"/>
              <w:left w:val="nil"/>
              <w:bottom w:val="nil"/>
              <w:right w:val="nil"/>
            </w:tcBorders>
            <w:shd w:val="clear" w:color="auto" w:fill="auto"/>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5</w:t>
            </w:r>
          </w:p>
        </w:tc>
        <w:tc>
          <w:tcPr>
            <w:tcW w:w="1119" w:type="dxa"/>
            <w:tcBorders>
              <w:top w:val="nil"/>
              <w:left w:val="nil"/>
              <w:bottom w:val="nil"/>
              <w:right w:val="nil"/>
            </w:tcBorders>
            <w:shd w:val="clear" w:color="auto" w:fill="auto"/>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5</w:t>
            </w:r>
          </w:p>
        </w:tc>
        <w:tc>
          <w:tcPr>
            <w:tcW w:w="1117" w:type="dxa"/>
            <w:tcBorders>
              <w:top w:val="nil"/>
              <w:left w:val="nil"/>
              <w:bottom w:val="nil"/>
              <w:right w:val="nil"/>
            </w:tcBorders>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5</w:t>
            </w:r>
          </w:p>
        </w:tc>
      </w:tr>
      <w:tr w:rsidR="00985F66" w:rsidRPr="00AA3F66" w:rsidTr="006E42D0">
        <w:trPr>
          <w:trHeight w:val="329"/>
          <w:jc w:val="center"/>
        </w:trPr>
        <w:tc>
          <w:tcPr>
            <w:tcW w:w="4602" w:type="dxa"/>
            <w:tcBorders>
              <w:top w:val="nil"/>
              <w:left w:val="nil"/>
              <w:bottom w:val="nil"/>
              <w:right w:val="nil"/>
            </w:tcBorders>
            <w:shd w:val="clear" w:color="auto" w:fill="auto"/>
          </w:tcPr>
          <w:p w:rsidR="00985F66" w:rsidRPr="00AA3F66" w:rsidRDefault="00985F66" w:rsidP="006E42D0">
            <w:pPr>
              <w:pStyle w:val="a0"/>
              <w:jc w:val="left"/>
              <w:rPr>
                <w:rFonts w:ascii="Times New Roman" w:hAnsi="Times New Roman"/>
                <w:sz w:val="20"/>
                <w:szCs w:val="20"/>
                <w:lang w:val="bg-BG"/>
              </w:rPr>
            </w:pPr>
            <w:r w:rsidRPr="00AA3F66">
              <w:rPr>
                <w:rFonts w:ascii="Times New Roman" w:hAnsi="Times New Roman"/>
                <w:sz w:val="20"/>
                <w:szCs w:val="20"/>
                <w:lang w:val="bg-BG"/>
              </w:rPr>
              <w:t xml:space="preserve">    Потребление</w:t>
            </w:r>
          </w:p>
        </w:tc>
        <w:tc>
          <w:tcPr>
            <w:tcW w:w="1125" w:type="dxa"/>
            <w:tcBorders>
              <w:top w:val="nil"/>
              <w:left w:val="nil"/>
              <w:bottom w:val="nil"/>
              <w:right w:val="nil"/>
            </w:tcBorders>
            <w:shd w:val="clear" w:color="auto" w:fill="auto"/>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0</w:t>
            </w:r>
          </w:p>
        </w:tc>
        <w:tc>
          <w:tcPr>
            <w:tcW w:w="1119" w:type="dxa"/>
            <w:tcBorders>
              <w:top w:val="nil"/>
              <w:left w:val="nil"/>
              <w:bottom w:val="nil"/>
              <w:right w:val="nil"/>
            </w:tcBorders>
            <w:shd w:val="clear" w:color="auto" w:fill="auto"/>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1</w:t>
            </w:r>
          </w:p>
        </w:tc>
        <w:tc>
          <w:tcPr>
            <w:tcW w:w="1119" w:type="dxa"/>
            <w:tcBorders>
              <w:top w:val="nil"/>
              <w:left w:val="nil"/>
              <w:bottom w:val="nil"/>
              <w:right w:val="nil"/>
            </w:tcBorders>
            <w:shd w:val="clear" w:color="auto" w:fill="auto"/>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-1,</w:t>
            </w:r>
            <w:r w:rsidR="00985F66" w:rsidRPr="00AA3F66">
              <w:rPr>
                <w:rFonts w:ascii="Times New Roman" w:hAnsi="Times New Roman"/>
                <w:sz w:val="20"/>
                <w:szCs w:val="20"/>
                <w:lang w:val="bg-BG"/>
              </w:rPr>
              <w:t>0</w:t>
            </w:r>
          </w:p>
        </w:tc>
        <w:tc>
          <w:tcPr>
            <w:tcW w:w="1117" w:type="dxa"/>
            <w:tcBorders>
              <w:top w:val="nil"/>
              <w:left w:val="nil"/>
              <w:bottom w:val="nil"/>
              <w:right w:val="nil"/>
            </w:tcBorders>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-1,</w:t>
            </w:r>
            <w:r w:rsidR="00985F66" w:rsidRPr="00AA3F66">
              <w:rPr>
                <w:rFonts w:ascii="Times New Roman" w:hAnsi="Times New Roman"/>
                <w:sz w:val="20"/>
                <w:szCs w:val="20"/>
                <w:lang w:val="bg-BG"/>
              </w:rPr>
              <w:t>0</w:t>
            </w:r>
          </w:p>
        </w:tc>
      </w:tr>
      <w:tr w:rsidR="00985F66" w:rsidRPr="00AA3F66" w:rsidTr="006E42D0">
        <w:trPr>
          <w:trHeight w:val="329"/>
          <w:jc w:val="center"/>
        </w:trPr>
        <w:tc>
          <w:tcPr>
            <w:tcW w:w="4602" w:type="dxa"/>
            <w:tcBorders>
              <w:top w:val="nil"/>
              <w:left w:val="nil"/>
              <w:bottom w:val="nil"/>
              <w:right w:val="nil"/>
            </w:tcBorders>
            <w:shd w:val="clear" w:color="auto" w:fill="auto"/>
          </w:tcPr>
          <w:p w:rsidR="00985F66" w:rsidRPr="00AA3F66" w:rsidRDefault="00985F66" w:rsidP="006E42D0">
            <w:pPr>
              <w:pStyle w:val="a0"/>
              <w:jc w:val="left"/>
              <w:rPr>
                <w:rFonts w:ascii="Times New Roman" w:hAnsi="Times New Roman"/>
                <w:sz w:val="20"/>
                <w:szCs w:val="20"/>
                <w:lang w:val="bg-BG"/>
              </w:rPr>
            </w:pPr>
            <w:r w:rsidRPr="00AA3F66">
              <w:rPr>
                <w:rFonts w:ascii="Times New Roman" w:hAnsi="Times New Roman"/>
                <w:sz w:val="20"/>
                <w:szCs w:val="20"/>
                <w:lang w:val="bg-BG"/>
              </w:rPr>
              <w:t xml:space="preserve">    Брутообразуване на основен капитал</w:t>
            </w:r>
          </w:p>
        </w:tc>
        <w:tc>
          <w:tcPr>
            <w:tcW w:w="1125" w:type="dxa"/>
            <w:tcBorders>
              <w:top w:val="nil"/>
              <w:left w:val="nil"/>
              <w:bottom w:val="nil"/>
              <w:right w:val="nil"/>
            </w:tcBorders>
            <w:shd w:val="clear" w:color="auto" w:fill="auto"/>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0</w:t>
            </w:r>
          </w:p>
        </w:tc>
        <w:tc>
          <w:tcPr>
            <w:tcW w:w="1119" w:type="dxa"/>
            <w:tcBorders>
              <w:top w:val="nil"/>
              <w:left w:val="nil"/>
              <w:bottom w:val="nil"/>
              <w:right w:val="nil"/>
            </w:tcBorders>
            <w:shd w:val="clear" w:color="auto" w:fill="auto"/>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7</w:t>
            </w:r>
          </w:p>
        </w:tc>
        <w:tc>
          <w:tcPr>
            <w:tcW w:w="1119" w:type="dxa"/>
            <w:tcBorders>
              <w:top w:val="nil"/>
              <w:left w:val="nil"/>
              <w:bottom w:val="nil"/>
              <w:right w:val="nil"/>
            </w:tcBorders>
            <w:shd w:val="clear" w:color="auto" w:fill="auto"/>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-2,</w:t>
            </w:r>
            <w:r w:rsidR="00985F66" w:rsidRPr="00AA3F66">
              <w:rPr>
                <w:rFonts w:ascii="Times New Roman" w:hAnsi="Times New Roman"/>
                <w:sz w:val="20"/>
                <w:szCs w:val="20"/>
                <w:lang w:val="bg-BG"/>
              </w:rPr>
              <w:t>6</w:t>
            </w:r>
          </w:p>
        </w:tc>
        <w:tc>
          <w:tcPr>
            <w:tcW w:w="1117" w:type="dxa"/>
            <w:tcBorders>
              <w:top w:val="nil"/>
              <w:left w:val="nil"/>
              <w:bottom w:val="nil"/>
              <w:right w:val="nil"/>
            </w:tcBorders>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-1,</w:t>
            </w:r>
            <w:r w:rsidR="00985F66" w:rsidRPr="00AA3F66">
              <w:rPr>
                <w:rFonts w:ascii="Times New Roman" w:hAnsi="Times New Roman"/>
                <w:sz w:val="20"/>
                <w:szCs w:val="20"/>
                <w:lang w:val="bg-BG"/>
              </w:rPr>
              <w:t>5</w:t>
            </w:r>
          </w:p>
        </w:tc>
      </w:tr>
      <w:tr w:rsidR="00985F66" w:rsidRPr="00AA3F66" w:rsidTr="006E42D0">
        <w:trPr>
          <w:trHeight w:val="329"/>
          <w:jc w:val="center"/>
        </w:trPr>
        <w:tc>
          <w:tcPr>
            <w:tcW w:w="4602" w:type="dxa"/>
            <w:tcBorders>
              <w:top w:val="nil"/>
              <w:left w:val="nil"/>
              <w:bottom w:val="nil"/>
              <w:right w:val="nil"/>
            </w:tcBorders>
            <w:shd w:val="clear" w:color="auto" w:fill="auto"/>
          </w:tcPr>
          <w:p w:rsidR="00985F66" w:rsidRPr="00AA3F66" w:rsidRDefault="00985F66" w:rsidP="006E42D0">
            <w:pPr>
              <w:pStyle w:val="a0"/>
              <w:jc w:val="left"/>
              <w:rPr>
                <w:rFonts w:ascii="Times New Roman" w:hAnsi="Times New Roman"/>
                <w:sz w:val="20"/>
                <w:szCs w:val="20"/>
                <w:lang w:val="bg-BG"/>
              </w:rPr>
            </w:pPr>
            <w:r w:rsidRPr="00AA3F66">
              <w:rPr>
                <w:rFonts w:ascii="Times New Roman" w:hAnsi="Times New Roman"/>
                <w:sz w:val="20"/>
                <w:szCs w:val="20"/>
                <w:lang w:val="bg-BG"/>
              </w:rPr>
              <w:t xml:space="preserve">    Износ на стоки и услуги</w:t>
            </w:r>
          </w:p>
        </w:tc>
        <w:tc>
          <w:tcPr>
            <w:tcW w:w="1125" w:type="dxa"/>
            <w:tcBorders>
              <w:top w:val="nil"/>
              <w:left w:val="nil"/>
              <w:bottom w:val="nil"/>
              <w:right w:val="nil"/>
            </w:tcBorders>
            <w:shd w:val="clear" w:color="auto" w:fill="auto"/>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0</w:t>
            </w:r>
          </w:p>
        </w:tc>
        <w:tc>
          <w:tcPr>
            <w:tcW w:w="1119" w:type="dxa"/>
            <w:tcBorders>
              <w:top w:val="nil"/>
              <w:left w:val="nil"/>
              <w:bottom w:val="nil"/>
              <w:right w:val="nil"/>
            </w:tcBorders>
            <w:shd w:val="clear" w:color="auto" w:fill="auto"/>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-1,</w:t>
            </w:r>
            <w:r w:rsidR="00985F66" w:rsidRPr="00AA3F66">
              <w:rPr>
                <w:rFonts w:ascii="Times New Roman" w:hAnsi="Times New Roman"/>
                <w:sz w:val="20"/>
                <w:szCs w:val="20"/>
                <w:lang w:val="bg-BG"/>
              </w:rPr>
              <w:t>4</w:t>
            </w:r>
          </w:p>
        </w:tc>
        <w:tc>
          <w:tcPr>
            <w:tcW w:w="1119" w:type="dxa"/>
            <w:tcBorders>
              <w:top w:val="nil"/>
              <w:left w:val="nil"/>
              <w:bottom w:val="nil"/>
              <w:right w:val="nil"/>
            </w:tcBorders>
            <w:shd w:val="clear" w:color="auto" w:fill="auto"/>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0</w:t>
            </w:r>
          </w:p>
        </w:tc>
        <w:tc>
          <w:tcPr>
            <w:tcW w:w="1117" w:type="dxa"/>
            <w:tcBorders>
              <w:top w:val="nil"/>
              <w:left w:val="nil"/>
              <w:bottom w:val="nil"/>
              <w:right w:val="nil"/>
            </w:tcBorders>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2</w:t>
            </w:r>
          </w:p>
        </w:tc>
      </w:tr>
      <w:tr w:rsidR="00985F66" w:rsidRPr="00AA3F66" w:rsidTr="006E42D0">
        <w:trPr>
          <w:trHeight w:val="329"/>
          <w:jc w:val="center"/>
        </w:trPr>
        <w:tc>
          <w:tcPr>
            <w:tcW w:w="4602" w:type="dxa"/>
            <w:tcBorders>
              <w:top w:val="nil"/>
              <w:left w:val="nil"/>
              <w:bottom w:val="nil"/>
              <w:right w:val="nil"/>
            </w:tcBorders>
            <w:shd w:val="clear" w:color="auto" w:fill="auto"/>
          </w:tcPr>
          <w:p w:rsidR="00985F66" w:rsidRPr="00AA3F66" w:rsidRDefault="00985F66" w:rsidP="006E42D0">
            <w:pPr>
              <w:pStyle w:val="a0"/>
              <w:jc w:val="left"/>
              <w:rPr>
                <w:rFonts w:ascii="Times New Roman" w:hAnsi="Times New Roman"/>
                <w:sz w:val="20"/>
                <w:szCs w:val="20"/>
                <w:lang w:val="bg-BG"/>
              </w:rPr>
            </w:pPr>
            <w:r w:rsidRPr="00AA3F66">
              <w:rPr>
                <w:rFonts w:ascii="Times New Roman" w:hAnsi="Times New Roman"/>
                <w:sz w:val="20"/>
                <w:szCs w:val="20"/>
                <w:lang w:val="bg-BG"/>
              </w:rPr>
              <w:t xml:space="preserve">    Внос на стоки и услуги</w:t>
            </w:r>
          </w:p>
        </w:tc>
        <w:tc>
          <w:tcPr>
            <w:tcW w:w="1125" w:type="dxa"/>
            <w:tcBorders>
              <w:top w:val="nil"/>
              <w:left w:val="nil"/>
              <w:bottom w:val="nil"/>
              <w:right w:val="nil"/>
            </w:tcBorders>
            <w:shd w:val="clear" w:color="auto" w:fill="auto"/>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0</w:t>
            </w:r>
          </w:p>
        </w:tc>
        <w:tc>
          <w:tcPr>
            <w:tcW w:w="1119" w:type="dxa"/>
            <w:tcBorders>
              <w:top w:val="nil"/>
              <w:left w:val="nil"/>
              <w:bottom w:val="nil"/>
              <w:right w:val="nil"/>
            </w:tcBorders>
            <w:shd w:val="clear" w:color="auto" w:fill="auto"/>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7</w:t>
            </w:r>
          </w:p>
        </w:tc>
        <w:tc>
          <w:tcPr>
            <w:tcW w:w="1119" w:type="dxa"/>
            <w:tcBorders>
              <w:top w:val="nil"/>
              <w:left w:val="nil"/>
              <w:bottom w:val="nil"/>
              <w:right w:val="nil"/>
            </w:tcBorders>
            <w:shd w:val="clear" w:color="auto" w:fill="auto"/>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-1,</w:t>
            </w:r>
            <w:r w:rsidR="00985F66" w:rsidRPr="00AA3F66">
              <w:rPr>
                <w:rFonts w:ascii="Times New Roman" w:hAnsi="Times New Roman"/>
                <w:sz w:val="20"/>
                <w:szCs w:val="20"/>
                <w:lang w:val="bg-BG"/>
              </w:rPr>
              <w:t>0</w:t>
            </w:r>
          </w:p>
        </w:tc>
        <w:tc>
          <w:tcPr>
            <w:tcW w:w="1117" w:type="dxa"/>
            <w:tcBorders>
              <w:top w:val="nil"/>
              <w:left w:val="nil"/>
              <w:bottom w:val="nil"/>
              <w:right w:val="nil"/>
            </w:tcBorders>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-1,</w:t>
            </w:r>
            <w:r w:rsidR="00985F66" w:rsidRPr="00AA3F66">
              <w:rPr>
                <w:rFonts w:ascii="Times New Roman" w:hAnsi="Times New Roman"/>
                <w:sz w:val="20"/>
                <w:szCs w:val="20"/>
                <w:lang w:val="bg-BG"/>
              </w:rPr>
              <w:t>1</w:t>
            </w:r>
          </w:p>
        </w:tc>
      </w:tr>
      <w:tr w:rsidR="00985F66" w:rsidRPr="00AA3F66" w:rsidTr="006E42D0">
        <w:trPr>
          <w:trHeight w:val="329"/>
          <w:jc w:val="center"/>
        </w:trPr>
        <w:tc>
          <w:tcPr>
            <w:tcW w:w="4602" w:type="dxa"/>
            <w:tcBorders>
              <w:top w:val="nil"/>
              <w:left w:val="nil"/>
              <w:bottom w:val="nil"/>
              <w:right w:val="nil"/>
            </w:tcBorders>
            <w:shd w:val="clear" w:color="auto" w:fill="auto"/>
          </w:tcPr>
          <w:p w:rsidR="00985F66" w:rsidRPr="00AA3F66" w:rsidRDefault="00985F66" w:rsidP="006E42D0">
            <w:pPr>
              <w:pStyle w:val="a0"/>
              <w:jc w:val="left"/>
              <w:rPr>
                <w:rFonts w:ascii="Times New Roman" w:hAnsi="Times New Roman"/>
                <w:b/>
                <w:bCs/>
                <w:sz w:val="20"/>
                <w:szCs w:val="20"/>
                <w:lang w:val="bg-BG"/>
              </w:rPr>
            </w:pPr>
            <w:r w:rsidRPr="00AA3F66">
              <w:rPr>
                <w:rFonts w:ascii="Times New Roman" w:hAnsi="Times New Roman"/>
                <w:b/>
                <w:bCs/>
                <w:sz w:val="20"/>
                <w:szCs w:val="20"/>
                <w:lang w:val="bg-BG"/>
              </w:rPr>
              <w:t>ПАЗАР НА ТРУДА И ЦЕНИ</w:t>
            </w:r>
          </w:p>
        </w:tc>
        <w:tc>
          <w:tcPr>
            <w:tcW w:w="1125" w:type="dxa"/>
            <w:tcBorders>
              <w:top w:val="nil"/>
              <w:left w:val="nil"/>
              <w:bottom w:val="nil"/>
              <w:right w:val="nil"/>
            </w:tcBorders>
            <w:shd w:val="clear" w:color="auto" w:fill="auto"/>
          </w:tcPr>
          <w:p w:rsidR="00985F66" w:rsidRPr="00AA3F66" w:rsidRDefault="00985F66" w:rsidP="006E42D0">
            <w:pPr>
              <w:pStyle w:val="a0"/>
              <w:jc w:val="right"/>
              <w:rPr>
                <w:rFonts w:ascii="Times New Roman" w:hAnsi="Times New Roman"/>
                <w:sz w:val="20"/>
                <w:szCs w:val="20"/>
                <w:lang w:val="bg-BG"/>
              </w:rPr>
            </w:pPr>
          </w:p>
        </w:tc>
        <w:tc>
          <w:tcPr>
            <w:tcW w:w="1119" w:type="dxa"/>
            <w:tcBorders>
              <w:top w:val="nil"/>
              <w:left w:val="nil"/>
              <w:bottom w:val="nil"/>
              <w:right w:val="nil"/>
            </w:tcBorders>
            <w:shd w:val="clear" w:color="auto" w:fill="auto"/>
          </w:tcPr>
          <w:p w:rsidR="00985F66" w:rsidRPr="00AA3F66" w:rsidRDefault="00985F66" w:rsidP="006E42D0">
            <w:pPr>
              <w:pStyle w:val="a0"/>
              <w:jc w:val="right"/>
              <w:rPr>
                <w:rFonts w:ascii="Times New Roman" w:hAnsi="Times New Roman"/>
                <w:sz w:val="20"/>
                <w:szCs w:val="20"/>
                <w:lang w:val="bg-BG"/>
              </w:rPr>
            </w:pPr>
          </w:p>
        </w:tc>
        <w:tc>
          <w:tcPr>
            <w:tcW w:w="1119" w:type="dxa"/>
            <w:tcBorders>
              <w:top w:val="nil"/>
              <w:left w:val="nil"/>
              <w:bottom w:val="nil"/>
              <w:right w:val="nil"/>
            </w:tcBorders>
            <w:shd w:val="clear" w:color="auto" w:fill="auto"/>
          </w:tcPr>
          <w:p w:rsidR="00985F66" w:rsidRPr="00AA3F66" w:rsidRDefault="00985F66" w:rsidP="006E42D0">
            <w:pPr>
              <w:pStyle w:val="a0"/>
              <w:jc w:val="right"/>
              <w:rPr>
                <w:rFonts w:ascii="Times New Roman" w:hAnsi="Times New Roman"/>
                <w:sz w:val="20"/>
                <w:szCs w:val="20"/>
                <w:lang w:val="bg-BG"/>
              </w:rPr>
            </w:pPr>
          </w:p>
        </w:tc>
        <w:tc>
          <w:tcPr>
            <w:tcW w:w="1117" w:type="dxa"/>
            <w:tcBorders>
              <w:top w:val="nil"/>
              <w:left w:val="nil"/>
              <w:bottom w:val="nil"/>
              <w:right w:val="nil"/>
            </w:tcBorders>
          </w:tcPr>
          <w:p w:rsidR="00985F66" w:rsidRPr="00AA3F66" w:rsidRDefault="00985F66" w:rsidP="006E42D0">
            <w:pPr>
              <w:pStyle w:val="a0"/>
              <w:jc w:val="right"/>
              <w:rPr>
                <w:rFonts w:ascii="Times New Roman" w:hAnsi="Times New Roman"/>
                <w:sz w:val="20"/>
                <w:szCs w:val="20"/>
                <w:lang w:val="bg-BG"/>
              </w:rPr>
            </w:pPr>
          </w:p>
        </w:tc>
      </w:tr>
      <w:tr w:rsidR="00985F66" w:rsidRPr="00AA3F66" w:rsidTr="006E42D0">
        <w:trPr>
          <w:trHeight w:val="329"/>
          <w:jc w:val="center"/>
        </w:trPr>
        <w:tc>
          <w:tcPr>
            <w:tcW w:w="4602" w:type="dxa"/>
            <w:tcBorders>
              <w:top w:val="nil"/>
              <w:left w:val="nil"/>
              <w:bottom w:val="nil"/>
              <w:right w:val="nil"/>
            </w:tcBorders>
            <w:shd w:val="clear" w:color="auto" w:fill="auto"/>
          </w:tcPr>
          <w:p w:rsidR="00985F66" w:rsidRPr="00AA3F66" w:rsidRDefault="00985F66" w:rsidP="006E42D0">
            <w:pPr>
              <w:pStyle w:val="a0"/>
              <w:jc w:val="left"/>
              <w:rPr>
                <w:rFonts w:ascii="Times New Roman" w:hAnsi="Times New Roman"/>
                <w:sz w:val="20"/>
                <w:szCs w:val="20"/>
                <w:lang w:val="bg-BG"/>
              </w:rPr>
            </w:pPr>
            <w:r w:rsidRPr="00AA3F66">
              <w:rPr>
                <w:rFonts w:ascii="Times New Roman" w:hAnsi="Times New Roman"/>
                <w:sz w:val="20"/>
                <w:szCs w:val="20"/>
                <w:lang w:val="bg-BG"/>
              </w:rPr>
              <w:t xml:space="preserve">   </w:t>
            </w:r>
            <w:r w:rsidR="00367094" w:rsidRPr="00AA3F66">
              <w:rPr>
                <w:rFonts w:ascii="Times New Roman" w:hAnsi="Times New Roman"/>
                <w:sz w:val="20"/>
                <w:szCs w:val="20"/>
                <w:lang w:val="bg-BG"/>
              </w:rPr>
              <w:t xml:space="preserve">Заетост (СНС, </w:t>
            </w:r>
            <w:r w:rsidRPr="00AA3F66">
              <w:rPr>
                <w:rFonts w:ascii="Times New Roman" w:hAnsi="Times New Roman"/>
                <w:sz w:val="20"/>
                <w:szCs w:val="20"/>
                <w:lang w:val="bg-BG"/>
              </w:rPr>
              <w:t>%</w:t>
            </w:r>
            <w:r w:rsidR="00367094" w:rsidRPr="00AA3F66">
              <w:rPr>
                <w:rFonts w:ascii="Times New Roman" w:hAnsi="Times New Roman"/>
                <w:sz w:val="20"/>
                <w:szCs w:val="20"/>
                <w:lang w:val="bg-BG"/>
              </w:rPr>
              <w:t>)</w:t>
            </w:r>
          </w:p>
        </w:tc>
        <w:tc>
          <w:tcPr>
            <w:tcW w:w="1125" w:type="dxa"/>
            <w:tcBorders>
              <w:top w:val="nil"/>
              <w:left w:val="nil"/>
              <w:bottom w:val="nil"/>
              <w:right w:val="nil"/>
            </w:tcBorders>
            <w:shd w:val="clear" w:color="auto" w:fill="auto"/>
            <w:vAlign w:val="center"/>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0%</w:t>
            </w:r>
          </w:p>
        </w:tc>
        <w:tc>
          <w:tcPr>
            <w:tcW w:w="1119" w:type="dxa"/>
            <w:tcBorders>
              <w:top w:val="nil"/>
              <w:left w:val="nil"/>
              <w:bottom w:val="nil"/>
              <w:right w:val="nil"/>
            </w:tcBorders>
            <w:shd w:val="clear" w:color="auto" w:fill="auto"/>
            <w:vAlign w:val="center"/>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2%</w:t>
            </w:r>
          </w:p>
        </w:tc>
        <w:tc>
          <w:tcPr>
            <w:tcW w:w="1119" w:type="dxa"/>
            <w:tcBorders>
              <w:top w:val="nil"/>
              <w:left w:val="nil"/>
              <w:bottom w:val="nil"/>
              <w:right w:val="nil"/>
            </w:tcBorders>
            <w:shd w:val="clear" w:color="auto" w:fill="auto"/>
            <w:vAlign w:val="center"/>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3%</w:t>
            </w:r>
          </w:p>
        </w:tc>
        <w:tc>
          <w:tcPr>
            <w:tcW w:w="1117" w:type="dxa"/>
            <w:tcBorders>
              <w:top w:val="nil"/>
              <w:left w:val="nil"/>
              <w:bottom w:val="nil"/>
              <w:right w:val="nil"/>
            </w:tcBorders>
            <w:vAlign w:val="center"/>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5%</w:t>
            </w:r>
          </w:p>
        </w:tc>
      </w:tr>
      <w:tr w:rsidR="00985F66" w:rsidRPr="00AA3F66" w:rsidTr="006E42D0">
        <w:trPr>
          <w:trHeight w:val="329"/>
          <w:jc w:val="center"/>
        </w:trPr>
        <w:tc>
          <w:tcPr>
            <w:tcW w:w="4602" w:type="dxa"/>
            <w:tcBorders>
              <w:top w:val="nil"/>
              <w:left w:val="nil"/>
              <w:bottom w:val="nil"/>
              <w:right w:val="nil"/>
            </w:tcBorders>
            <w:shd w:val="clear" w:color="auto" w:fill="auto"/>
          </w:tcPr>
          <w:p w:rsidR="00985F66" w:rsidRPr="00AA3F66" w:rsidRDefault="00985F66" w:rsidP="006E42D0">
            <w:pPr>
              <w:pStyle w:val="a0"/>
              <w:jc w:val="left"/>
              <w:rPr>
                <w:rFonts w:ascii="Times New Roman" w:hAnsi="Times New Roman"/>
                <w:sz w:val="20"/>
                <w:szCs w:val="20"/>
                <w:lang w:val="bg-BG"/>
              </w:rPr>
            </w:pPr>
            <w:r w:rsidRPr="00AA3F66">
              <w:rPr>
                <w:rFonts w:ascii="Times New Roman" w:hAnsi="Times New Roman"/>
                <w:sz w:val="20"/>
                <w:szCs w:val="20"/>
                <w:lang w:val="bg-BG"/>
              </w:rPr>
              <w:t xml:space="preserve">   Коефициент на</w:t>
            </w:r>
            <w:r w:rsidR="00367094" w:rsidRPr="00AA3F66">
              <w:rPr>
                <w:rFonts w:ascii="Times New Roman" w:hAnsi="Times New Roman"/>
                <w:sz w:val="20"/>
                <w:szCs w:val="20"/>
                <w:lang w:val="bg-BG"/>
              </w:rPr>
              <w:t xml:space="preserve"> безработица (НРС, пр.п.)</w:t>
            </w:r>
          </w:p>
        </w:tc>
        <w:tc>
          <w:tcPr>
            <w:tcW w:w="1125" w:type="dxa"/>
            <w:tcBorders>
              <w:top w:val="nil"/>
              <w:left w:val="nil"/>
              <w:bottom w:val="nil"/>
              <w:right w:val="nil"/>
            </w:tcBorders>
            <w:shd w:val="clear" w:color="auto" w:fill="auto"/>
            <w:vAlign w:val="center"/>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0</w:t>
            </w:r>
          </w:p>
        </w:tc>
        <w:tc>
          <w:tcPr>
            <w:tcW w:w="1119" w:type="dxa"/>
            <w:tcBorders>
              <w:top w:val="nil"/>
              <w:left w:val="nil"/>
              <w:bottom w:val="nil"/>
              <w:right w:val="nil"/>
            </w:tcBorders>
            <w:shd w:val="clear" w:color="auto" w:fill="auto"/>
            <w:vAlign w:val="center"/>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1</w:t>
            </w:r>
          </w:p>
        </w:tc>
        <w:tc>
          <w:tcPr>
            <w:tcW w:w="1119" w:type="dxa"/>
            <w:tcBorders>
              <w:top w:val="nil"/>
              <w:left w:val="nil"/>
              <w:bottom w:val="nil"/>
              <w:right w:val="nil"/>
            </w:tcBorders>
            <w:shd w:val="clear" w:color="auto" w:fill="auto"/>
            <w:vAlign w:val="center"/>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2</w:t>
            </w:r>
          </w:p>
        </w:tc>
        <w:tc>
          <w:tcPr>
            <w:tcW w:w="1117" w:type="dxa"/>
            <w:tcBorders>
              <w:top w:val="nil"/>
              <w:left w:val="nil"/>
              <w:bottom w:val="nil"/>
              <w:right w:val="nil"/>
            </w:tcBorders>
            <w:vAlign w:val="center"/>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2</w:t>
            </w:r>
          </w:p>
        </w:tc>
      </w:tr>
      <w:tr w:rsidR="00985F66" w:rsidRPr="00AA3F66" w:rsidTr="006E42D0">
        <w:trPr>
          <w:trHeight w:val="329"/>
          <w:jc w:val="center"/>
        </w:trPr>
        <w:tc>
          <w:tcPr>
            <w:tcW w:w="4602" w:type="dxa"/>
            <w:tcBorders>
              <w:top w:val="nil"/>
              <w:left w:val="nil"/>
              <w:bottom w:val="nil"/>
              <w:right w:val="nil"/>
            </w:tcBorders>
            <w:shd w:val="clear" w:color="auto" w:fill="auto"/>
          </w:tcPr>
          <w:p w:rsidR="00985F66" w:rsidRPr="00AA3F66" w:rsidRDefault="00985F66" w:rsidP="006E42D0">
            <w:pPr>
              <w:pStyle w:val="a0"/>
              <w:jc w:val="left"/>
              <w:rPr>
                <w:rFonts w:ascii="Times New Roman" w:hAnsi="Times New Roman"/>
                <w:sz w:val="20"/>
                <w:szCs w:val="20"/>
                <w:lang w:val="bg-BG"/>
              </w:rPr>
            </w:pPr>
            <w:r w:rsidRPr="00AA3F66">
              <w:rPr>
                <w:rFonts w:ascii="Times New Roman" w:hAnsi="Times New Roman"/>
                <w:sz w:val="20"/>
                <w:szCs w:val="20"/>
                <w:lang w:val="bg-BG"/>
              </w:rPr>
              <w:t xml:space="preserve">   </w:t>
            </w:r>
            <w:r w:rsidR="00367094" w:rsidRPr="00AA3F66">
              <w:rPr>
                <w:rFonts w:ascii="Times New Roman" w:hAnsi="Times New Roman"/>
                <w:sz w:val="20"/>
                <w:szCs w:val="20"/>
                <w:lang w:val="bg-BG"/>
              </w:rPr>
              <w:t>Компенсация на наетите (</w:t>
            </w:r>
            <w:r w:rsidRPr="00AA3F66">
              <w:rPr>
                <w:rFonts w:ascii="Times New Roman" w:hAnsi="Times New Roman"/>
                <w:sz w:val="20"/>
                <w:szCs w:val="20"/>
                <w:lang w:val="bg-BG"/>
              </w:rPr>
              <w:t>%</w:t>
            </w:r>
            <w:r w:rsidR="00367094" w:rsidRPr="00AA3F66">
              <w:rPr>
                <w:rFonts w:ascii="Times New Roman" w:hAnsi="Times New Roman"/>
                <w:sz w:val="20"/>
                <w:szCs w:val="20"/>
                <w:lang w:val="bg-BG"/>
              </w:rPr>
              <w:t>)</w:t>
            </w:r>
          </w:p>
        </w:tc>
        <w:tc>
          <w:tcPr>
            <w:tcW w:w="1125" w:type="dxa"/>
            <w:tcBorders>
              <w:top w:val="nil"/>
              <w:left w:val="nil"/>
              <w:bottom w:val="nil"/>
              <w:right w:val="nil"/>
            </w:tcBorders>
            <w:shd w:val="clear" w:color="auto" w:fill="auto"/>
            <w:vAlign w:val="center"/>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0%</w:t>
            </w:r>
          </w:p>
        </w:tc>
        <w:tc>
          <w:tcPr>
            <w:tcW w:w="1119" w:type="dxa"/>
            <w:tcBorders>
              <w:top w:val="nil"/>
              <w:left w:val="nil"/>
              <w:bottom w:val="nil"/>
              <w:right w:val="nil"/>
            </w:tcBorders>
            <w:shd w:val="clear" w:color="auto" w:fill="auto"/>
            <w:vAlign w:val="center"/>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2%</w:t>
            </w:r>
          </w:p>
        </w:tc>
        <w:tc>
          <w:tcPr>
            <w:tcW w:w="1119" w:type="dxa"/>
            <w:tcBorders>
              <w:top w:val="nil"/>
              <w:left w:val="nil"/>
              <w:bottom w:val="nil"/>
              <w:right w:val="nil"/>
            </w:tcBorders>
            <w:shd w:val="clear" w:color="auto" w:fill="auto"/>
            <w:vAlign w:val="center"/>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1%</w:t>
            </w:r>
          </w:p>
        </w:tc>
        <w:tc>
          <w:tcPr>
            <w:tcW w:w="1117" w:type="dxa"/>
            <w:tcBorders>
              <w:top w:val="nil"/>
              <w:left w:val="nil"/>
              <w:bottom w:val="nil"/>
              <w:right w:val="nil"/>
            </w:tcBorders>
            <w:vAlign w:val="center"/>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2%</w:t>
            </w:r>
          </w:p>
        </w:tc>
      </w:tr>
      <w:tr w:rsidR="00985F66" w:rsidRPr="00AA3F66" w:rsidTr="006E42D0">
        <w:trPr>
          <w:trHeight w:val="329"/>
          <w:jc w:val="center"/>
        </w:trPr>
        <w:tc>
          <w:tcPr>
            <w:tcW w:w="4602" w:type="dxa"/>
            <w:tcBorders>
              <w:top w:val="nil"/>
              <w:left w:val="nil"/>
              <w:bottom w:val="nil"/>
              <w:right w:val="nil"/>
            </w:tcBorders>
            <w:shd w:val="clear" w:color="auto" w:fill="auto"/>
          </w:tcPr>
          <w:p w:rsidR="00985F66" w:rsidRPr="00AA3F66" w:rsidRDefault="00985F66" w:rsidP="006E42D0">
            <w:pPr>
              <w:pStyle w:val="a0"/>
              <w:jc w:val="left"/>
              <w:rPr>
                <w:rFonts w:ascii="Times New Roman" w:hAnsi="Times New Roman"/>
                <w:sz w:val="20"/>
                <w:szCs w:val="20"/>
                <w:lang w:val="bg-BG"/>
              </w:rPr>
            </w:pPr>
            <w:r w:rsidRPr="00AA3F66">
              <w:rPr>
                <w:rFonts w:ascii="Times New Roman" w:hAnsi="Times New Roman"/>
                <w:sz w:val="20"/>
                <w:szCs w:val="20"/>
                <w:lang w:val="bg-BG"/>
              </w:rPr>
              <w:t xml:space="preserve">   </w:t>
            </w:r>
            <w:r w:rsidR="00367094" w:rsidRPr="00AA3F66">
              <w:rPr>
                <w:rFonts w:ascii="Times New Roman" w:hAnsi="Times New Roman"/>
                <w:sz w:val="20"/>
                <w:szCs w:val="20"/>
                <w:lang w:val="bg-BG"/>
              </w:rPr>
              <w:t>Дефлатор на БВП (пр.п.)</w:t>
            </w:r>
          </w:p>
        </w:tc>
        <w:tc>
          <w:tcPr>
            <w:tcW w:w="1125" w:type="dxa"/>
            <w:tcBorders>
              <w:top w:val="nil"/>
              <w:left w:val="nil"/>
              <w:bottom w:val="nil"/>
              <w:right w:val="nil"/>
            </w:tcBorders>
            <w:shd w:val="clear" w:color="auto" w:fill="auto"/>
            <w:vAlign w:val="center"/>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0</w:t>
            </w:r>
          </w:p>
        </w:tc>
        <w:tc>
          <w:tcPr>
            <w:tcW w:w="1119" w:type="dxa"/>
            <w:tcBorders>
              <w:top w:val="nil"/>
              <w:left w:val="nil"/>
              <w:bottom w:val="nil"/>
              <w:right w:val="nil"/>
            </w:tcBorders>
            <w:shd w:val="clear" w:color="auto" w:fill="auto"/>
            <w:vAlign w:val="center"/>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4</w:t>
            </w:r>
          </w:p>
        </w:tc>
        <w:tc>
          <w:tcPr>
            <w:tcW w:w="1119" w:type="dxa"/>
            <w:tcBorders>
              <w:top w:val="nil"/>
              <w:left w:val="nil"/>
              <w:bottom w:val="nil"/>
              <w:right w:val="nil"/>
            </w:tcBorders>
            <w:shd w:val="clear" w:color="auto" w:fill="auto"/>
            <w:vAlign w:val="center"/>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6</w:t>
            </w:r>
          </w:p>
        </w:tc>
        <w:tc>
          <w:tcPr>
            <w:tcW w:w="1117" w:type="dxa"/>
            <w:tcBorders>
              <w:top w:val="nil"/>
              <w:left w:val="nil"/>
              <w:bottom w:val="nil"/>
              <w:right w:val="nil"/>
            </w:tcBorders>
            <w:vAlign w:val="center"/>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1</w:t>
            </w:r>
          </w:p>
        </w:tc>
      </w:tr>
      <w:tr w:rsidR="00985F66" w:rsidRPr="00AA3F66" w:rsidTr="006E42D0">
        <w:trPr>
          <w:trHeight w:val="329"/>
          <w:jc w:val="center"/>
        </w:trPr>
        <w:tc>
          <w:tcPr>
            <w:tcW w:w="4602" w:type="dxa"/>
            <w:tcBorders>
              <w:top w:val="nil"/>
              <w:left w:val="nil"/>
              <w:bottom w:val="nil"/>
              <w:right w:val="nil"/>
            </w:tcBorders>
            <w:shd w:val="clear" w:color="auto" w:fill="auto"/>
          </w:tcPr>
          <w:p w:rsidR="00985F66" w:rsidRPr="00AA3F66" w:rsidRDefault="00985F66" w:rsidP="006E42D0">
            <w:pPr>
              <w:pStyle w:val="a0"/>
              <w:jc w:val="left"/>
              <w:rPr>
                <w:rFonts w:ascii="Times New Roman" w:hAnsi="Times New Roman"/>
                <w:sz w:val="20"/>
                <w:szCs w:val="20"/>
                <w:lang w:val="bg-BG"/>
              </w:rPr>
            </w:pPr>
            <w:r w:rsidRPr="00AA3F66">
              <w:rPr>
                <w:rFonts w:ascii="Times New Roman" w:hAnsi="Times New Roman"/>
                <w:sz w:val="20"/>
                <w:szCs w:val="20"/>
                <w:lang w:val="bg-BG"/>
              </w:rPr>
              <w:t xml:space="preserve">   </w:t>
            </w:r>
            <w:r w:rsidR="00367094" w:rsidRPr="00AA3F66">
              <w:rPr>
                <w:rFonts w:ascii="Times New Roman" w:hAnsi="Times New Roman"/>
                <w:sz w:val="20"/>
                <w:szCs w:val="20"/>
                <w:lang w:val="bg-BG"/>
              </w:rPr>
              <w:t>Средногодишна инфлация (ХИПЦ, пр.п.)</w:t>
            </w:r>
          </w:p>
        </w:tc>
        <w:tc>
          <w:tcPr>
            <w:tcW w:w="1125" w:type="dxa"/>
            <w:tcBorders>
              <w:top w:val="nil"/>
              <w:left w:val="nil"/>
              <w:bottom w:val="nil"/>
              <w:right w:val="nil"/>
            </w:tcBorders>
            <w:shd w:val="clear" w:color="auto" w:fill="auto"/>
            <w:vAlign w:val="center"/>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0</w:t>
            </w:r>
          </w:p>
        </w:tc>
        <w:tc>
          <w:tcPr>
            <w:tcW w:w="1119" w:type="dxa"/>
            <w:tcBorders>
              <w:top w:val="nil"/>
              <w:left w:val="nil"/>
              <w:bottom w:val="nil"/>
              <w:right w:val="nil"/>
            </w:tcBorders>
            <w:shd w:val="clear" w:color="auto" w:fill="auto"/>
            <w:vAlign w:val="center"/>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1,</w:t>
            </w:r>
            <w:r w:rsidR="00985F66" w:rsidRPr="00AA3F66">
              <w:rPr>
                <w:rFonts w:ascii="Times New Roman" w:hAnsi="Times New Roman"/>
                <w:sz w:val="20"/>
                <w:szCs w:val="20"/>
                <w:lang w:val="bg-BG"/>
              </w:rPr>
              <w:t>3</w:t>
            </w:r>
          </w:p>
        </w:tc>
        <w:tc>
          <w:tcPr>
            <w:tcW w:w="1119" w:type="dxa"/>
            <w:tcBorders>
              <w:top w:val="nil"/>
              <w:left w:val="nil"/>
              <w:bottom w:val="nil"/>
              <w:right w:val="nil"/>
            </w:tcBorders>
            <w:shd w:val="clear" w:color="auto" w:fill="auto"/>
            <w:vAlign w:val="center"/>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1,</w:t>
            </w:r>
            <w:r w:rsidR="00985F66" w:rsidRPr="00AA3F66">
              <w:rPr>
                <w:rFonts w:ascii="Times New Roman" w:hAnsi="Times New Roman"/>
                <w:sz w:val="20"/>
                <w:szCs w:val="20"/>
                <w:lang w:val="bg-BG"/>
              </w:rPr>
              <w:t>1</w:t>
            </w:r>
          </w:p>
        </w:tc>
        <w:tc>
          <w:tcPr>
            <w:tcW w:w="1117" w:type="dxa"/>
            <w:tcBorders>
              <w:top w:val="nil"/>
              <w:left w:val="nil"/>
              <w:bottom w:val="nil"/>
              <w:right w:val="nil"/>
            </w:tcBorders>
            <w:vAlign w:val="center"/>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6</w:t>
            </w:r>
          </w:p>
        </w:tc>
      </w:tr>
      <w:tr w:rsidR="00985F66" w:rsidRPr="00AA3F66" w:rsidTr="006E42D0">
        <w:trPr>
          <w:trHeight w:val="329"/>
          <w:jc w:val="center"/>
        </w:trPr>
        <w:tc>
          <w:tcPr>
            <w:tcW w:w="4602" w:type="dxa"/>
            <w:tcBorders>
              <w:top w:val="nil"/>
              <w:left w:val="nil"/>
              <w:bottom w:val="nil"/>
              <w:right w:val="nil"/>
            </w:tcBorders>
            <w:shd w:val="clear" w:color="auto" w:fill="auto"/>
          </w:tcPr>
          <w:p w:rsidR="00985F66" w:rsidRPr="00AA3F66" w:rsidRDefault="00985F66" w:rsidP="006E42D0">
            <w:pPr>
              <w:pStyle w:val="a0"/>
              <w:jc w:val="left"/>
              <w:rPr>
                <w:rFonts w:ascii="Times New Roman" w:hAnsi="Times New Roman"/>
                <w:b/>
                <w:sz w:val="20"/>
                <w:szCs w:val="20"/>
                <w:lang w:val="bg-BG"/>
              </w:rPr>
            </w:pPr>
            <w:r w:rsidRPr="00AA3F66">
              <w:rPr>
                <w:rFonts w:ascii="Times New Roman" w:hAnsi="Times New Roman"/>
                <w:b/>
                <w:bCs/>
                <w:sz w:val="20"/>
                <w:szCs w:val="20"/>
                <w:lang w:val="bg-BG"/>
              </w:rPr>
              <w:t>ПЛАТЕЖЕН БАЛАНС</w:t>
            </w:r>
          </w:p>
        </w:tc>
        <w:tc>
          <w:tcPr>
            <w:tcW w:w="1125" w:type="dxa"/>
            <w:tcBorders>
              <w:top w:val="nil"/>
              <w:left w:val="nil"/>
              <w:bottom w:val="nil"/>
              <w:right w:val="nil"/>
            </w:tcBorders>
            <w:shd w:val="clear" w:color="auto" w:fill="auto"/>
          </w:tcPr>
          <w:p w:rsidR="00985F66" w:rsidRPr="00AA3F66" w:rsidRDefault="00985F66" w:rsidP="006E42D0">
            <w:pPr>
              <w:pStyle w:val="a0"/>
              <w:jc w:val="right"/>
              <w:rPr>
                <w:rFonts w:ascii="Times New Roman" w:hAnsi="Times New Roman"/>
                <w:sz w:val="20"/>
                <w:szCs w:val="20"/>
                <w:lang w:val="bg-BG"/>
              </w:rPr>
            </w:pPr>
          </w:p>
        </w:tc>
        <w:tc>
          <w:tcPr>
            <w:tcW w:w="1119" w:type="dxa"/>
            <w:tcBorders>
              <w:top w:val="nil"/>
              <w:left w:val="nil"/>
              <w:bottom w:val="nil"/>
              <w:right w:val="nil"/>
            </w:tcBorders>
            <w:shd w:val="clear" w:color="auto" w:fill="auto"/>
          </w:tcPr>
          <w:p w:rsidR="00985F66" w:rsidRPr="00AA3F66" w:rsidRDefault="00985F66" w:rsidP="006E42D0">
            <w:pPr>
              <w:pStyle w:val="a0"/>
              <w:jc w:val="right"/>
              <w:rPr>
                <w:rFonts w:ascii="Times New Roman" w:hAnsi="Times New Roman"/>
                <w:sz w:val="20"/>
                <w:szCs w:val="20"/>
                <w:lang w:val="bg-BG"/>
              </w:rPr>
            </w:pPr>
          </w:p>
        </w:tc>
        <w:tc>
          <w:tcPr>
            <w:tcW w:w="1119" w:type="dxa"/>
            <w:tcBorders>
              <w:top w:val="nil"/>
              <w:left w:val="nil"/>
              <w:bottom w:val="nil"/>
              <w:right w:val="nil"/>
            </w:tcBorders>
            <w:shd w:val="clear" w:color="auto" w:fill="auto"/>
          </w:tcPr>
          <w:p w:rsidR="00985F66" w:rsidRPr="00AA3F66" w:rsidRDefault="00985F66" w:rsidP="006E42D0">
            <w:pPr>
              <w:pStyle w:val="a0"/>
              <w:jc w:val="right"/>
              <w:rPr>
                <w:rFonts w:ascii="Times New Roman" w:hAnsi="Times New Roman"/>
                <w:sz w:val="20"/>
                <w:szCs w:val="20"/>
                <w:lang w:val="bg-BG"/>
              </w:rPr>
            </w:pPr>
          </w:p>
        </w:tc>
        <w:tc>
          <w:tcPr>
            <w:tcW w:w="1117" w:type="dxa"/>
            <w:tcBorders>
              <w:top w:val="nil"/>
              <w:left w:val="nil"/>
              <w:bottom w:val="nil"/>
              <w:right w:val="nil"/>
            </w:tcBorders>
          </w:tcPr>
          <w:p w:rsidR="00985F66" w:rsidRPr="00AA3F66" w:rsidRDefault="00985F66" w:rsidP="006E42D0">
            <w:pPr>
              <w:pStyle w:val="a0"/>
              <w:jc w:val="right"/>
              <w:rPr>
                <w:rFonts w:ascii="Times New Roman" w:hAnsi="Times New Roman"/>
                <w:sz w:val="20"/>
                <w:szCs w:val="20"/>
                <w:lang w:val="bg-BG"/>
              </w:rPr>
            </w:pPr>
          </w:p>
        </w:tc>
      </w:tr>
      <w:tr w:rsidR="00985F66" w:rsidRPr="00AA3F66" w:rsidTr="006E42D0">
        <w:trPr>
          <w:trHeight w:val="329"/>
          <w:jc w:val="center"/>
        </w:trPr>
        <w:tc>
          <w:tcPr>
            <w:tcW w:w="4602" w:type="dxa"/>
            <w:tcBorders>
              <w:top w:val="nil"/>
              <w:left w:val="nil"/>
              <w:bottom w:val="nil"/>
              <w:right w:val="nil"/>
            </w:tcBorders>
            <w:shd w:val="clear" w:color="auto" w:fill="auto"/>
          </w:tcPr>
          <w:p w:rsidR="00985F66" w:rsidRPr="00AA3F66" w:rsidRDefault="00985F66" w:rsidP="006E42D0">
            <w:pPr>
              <w:pStyle w:val="a0"/>
              <w:jc w:val="left"/>
              <w:rPr>
                <w:rFonts w:ascii="Times New Roman" w:hAnsi="Times New Roman"/>
                <w:sz w:val="20"/>
                <w:szCs w:val="20"/>
                <w:lang w:val="bg-BG"/>
              </w:rPr>
            </w:pPr>
            <w:r w:rsidRPr="00AA3F66">
              <w:rPr>
                <w:rFonts w:ascii="Times New Roman" w:hAnsi="Times New Roman"/>
                <w:sz w:val="20"/>
                <w:szCs w:val="20"/>
                <w:lang w:val="bg-BG"/>
              </w:rPr>
              <w:t xml:space="preserve">   </w:t>
            </w:r>
            <w:r w:rsidR="00367094" w:rsidRPr="00AA3F66">
              <w:rPr>
                <w:rFonts w:ascii="Times New Roman" w:hAnsi="Times New Roman"/>
                <w:sz w:val="20"/>
                <w:szCs w:val="20"/>
                <w:lang w:val="bg-BG"/>
              </w:rPr>
              <w:t>Текуща сметка (% от БВП, пр.п.)</w:t>
            </w:r>
          </w:p>
        </w:tc>
        <w:tc>
          <w:tcPr>
            <w:tcW w:w="1125" w:type="dxa"/>
            <w:tcBorders>
              <w:top w:val="nil"/>
              <w:left w:val="nil"/>
              <w:bottom w:val="nil"/>
              <w:right w:val="nil"/>
            </w:tcBorders>
            <w:shd w:val="clear" w:color="auto" w:fill="auto"/>
            <w:vAlign w:val="center"/>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0</w:t>
            </w:r>
          </w:p>
        </w:tc>
        <w:tc>
          <w:tcPr>
            <w:tcW w:w="1119" w:type="dxa"/>
            <w:tcBorders>
              <w:top w:val="nil"/>
              <w:left w:val="nil"/>
              <w:bottom w:val="nil"/>
              <w:right w:val="nil"/>
            </w:tcBorders>
            <w:shd w:val="clear" w:color="auto" w:fill="auto"/>
            <w:vAlign w:val="center"/>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-1,</w:t>
            </w:r>
            <w:r w:rsidR="00985F66" w:rsidRPr="00AA3F66">
              <w:rPr>
                <w:rFonts w:ascii="Times New Roman" w:hAnsi="Times New Roman"/>
                <w:sz w:val="20"/>
                <w:szCs w:val="20"/>
                <w:lang w:val="bg-BG"/>
              </w:rPr>
              <w:t>2</w:t>
            </w:r>
          </w:p>
        </w:tc>
        <w:tc>
          <w:tcPr>
            <w:tcW w:w="1119" w:type="dxa"/>
            <w:tcBorders>
              <w:top w:val="nil"/>
              <w:left w:val="nil"/>
              <w:bottom w:val="nil"/>
              <w:right w:val="nil"/>
            </w:tcBorders>
            <w:shd w:val="clear" w:color="auto" w:fill="auto"/>
            <w:vAlign w:val="center"/>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6</w:t>
            </w:r>
          </w:p>
        </w:tc>
        <w:tc>
          <w:tcPr>
            <w:tcW w:w="1117" w:type="dxa"/>
            <w:tcBorders>
              <w:top w:val="nil"/>
              <w:left w:val="nil"/>
              <w:bottom w:val="nil"/>
              <w:right w:val="nil"/>
            </w:tcBorders>
            <w:vAlign w:val="center"/>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3</w:t>
            </w:r>
          </w:p>
        </w:tc>
      </w:tr>
      <w:tr w:rsidR="00985F66" w:rsidRPr="00AA3F66" w:rsidTr="006E42D0">
        <w:trPr>
          <w:trHeight w:val="329"/>
          <w:jc w:val="center"/>
        </w:trPr>
        <w:tc>
          <w:tcPr>
            <w:tcW w:w="4602" w:type="dxa"/>
            <w:tcBorders>
              <w:top w:val="nil"/>
              <w:left w:val="nil"/>
              <w:bottom w:val="nil"/>
              <w:right w:val="nil"/>
            </w:tcBorders>
            <w:shd w:val="clear" w:color="auto" w:fill="auto"/>
          </w:tcPr>
          <w:p w:rsidR="00985F66" w:rsidRPr="00AA3F66" w:rsidRDefault="00985F66" w:rsidP="006E42D0">
            <w:pPr>
              <w:pStyle w:val="a0"/>
              <w:jc w:val="left"/>
              <w:rPr>
                <w:rFonts w:ascii="Times New Roman" w:hAnsi="Times New Roman"/>
                <w:b/>
                <w:sz w:val="20"/>
                <w:szCs w:val="20"/>
                <w:lang w:val="bg-BG"/>
              </w:rPr>
            </w:pPr>
            <w:r w:rsidRPr="00AA3F66">
              <w:rPr>
                <w:rFonts w:ascii="Times New Roman" w:hAnsi="Times New Roman"/>
                <w:b/>
                <w:sz w:val="20"/>
                <w:szCs w:val="20"/>
                <w:lang w:val="bg-BG" w:eastAsia="en-GB"/>
              </w:rPr>
              <w:t>БЮДЖЕТЕН СЕКТОР</w:t>
            </w:r>
          </w:p>
        </w:tc>
        <w:tc>
          <w:tcPr>
            <w:tcW w:w="1125" w:type="dxa"/>
            <w:tcBorders>
              <w:top w:val="nil"/>
              <w:left w:val="nil"/>
              <w:bottom w:val="nil"/>
              <w:right w:val="nil"/>
            </w:tcBorders>
            <w:shd w:val="clear" w:color="auto" w:fill="auto"/>
          </w:tcPr>
          <w:p w:rsidR="00985F66" w:rsidRPr="00AA3F66" w:rsidRDefault="00985F66" w:rsidP="006E42D0">
            <w:pPr>
              <w:pStyle w:val="a0"/>
              <w:jc w:val="right"/>
              <w:rPr>
                <w:rFonts w:ascii="Times New Roman" w:hAnsi="Times New Roman"/>
                <w:sz w:val="20"/>
                <w:szCs w:val="20"/>
                <w:lang w:val="bg-BG"/>
              </w:rPr>
            </w:pPr>
          </w:p>
        </w:tc>
        <w:tc>
          <w:tcPr>
            <w:tcW w:w="1119" w:type="dxa"/>
            <w:tcBorders>
              <w:top w:val="nil"/>
              <w:left w:val="nil"/>
              <w:bottom w:val="nil"/>
              <w:right w:val="nil"/>
            </w:tcBorders>
            <w:shd w:val="clear" w:color="auto" w:fill="auto"/>
          </w:tcPr>
          <w:p w:rsidR="00985F66" w:rsidRPr="00AA3F66" w:rsidRDefault="00985F66" w:rsidP="006E42D0">
            <w:pPr>
              <w:pStyle w:val="a0"/>
              <w:jc w:val="right"/>
              <w:rPr>
                <w:rFonts w:ascii="Times New Roman" w:hAnsi="Times New Roman"/>
                <w:sz w:val="20"/>
                <w:szCs w:val="20"/>
                <w:lang w:val="bg-BG"/>
              </w:rPr>
            </w:pPr>
          </w:p>
        </w:tc>
        <w:tc>
          <w:tcPr>
            <w:tcW w:w="1119" w:type="dxa"/>
            <w:tcBorders>
              <w:top w:val="nil"/>
              <w:left w:val="nil"/>
              <w:bottom w:val="nil"/>
              <w:right w:val="nil"/>
            </w:tcBorders>
            <w:shd w:val="clear" w:color="auto" w:fill="auto"/>
          </w:tcPr>
          <w:p w:rsidR="00985F66" w:rsidRPr="00AA3F66" w:rsidRDefault="00985F66" w:rsidP="006E42D0">
            <w:pPr>
              <w:pStyle w:val="a0"/>
              <w:jc w:val="right"/>
              <w:rPr>
                <w:rFonts w:ascii="Times New Roman" w:hAnsi="Times New Roman"/>
                <w:sz w:val="20"/>
                <w:szCs w:val="20"/>
                <w:lang w:val="bg-BG"/>
              </w:rPr>
            </w:pPr>
          </w:p>
        </w:tc>
        <w:tc>
          <w:tcPr>
            <w:tcW w:w="1117" w:type="dxa"/>
            <w:tcBorders>
              <w:top w:val="nil"/>
              <w:left w:val="nil"/>
              <w:bottom w:val="nil"/>
              <w:right w:val="nil"/>
            </w:tcBorders>
          </w:tcPr>
          <w:p w:rsidR="00985F66" w:rsidRPr="00AA3F66" w:rsidRDefault="00985F66" w:rsidP="006E42D0">
            <w:pPr>
              <w:pStyle w:val="a0"/>
              <w:jc w:val="right"/>
              <w:rPr>
                <w:rFonts w:ascii="Times New Roman" w:hAnsi="Times New Roman"/>
                <w:sz w:val="20"/>
                <w:szCs w:val="20"/>
                <w:lang w:val="bg-BG"/>
              </w:rPr>
            </w:pPr>
          </w:p>
        </w:tc>
      </w:tr>
      <w:tr w:rsidR="00985F66" w:rsidRPr="00AA3F66" w:rsidTr="006E42D0">
        <w:trPr>
          <w:trHeight w:val="329"/>
          <w:jc w:val="center"/>
        </w:trPr>
        <w:tc>
          <w:tcPr>
            <w:tcW w:w="4602" w:type="dxa"/>
            <w:tcBorders>
              <w:top w:val="nil"/>
              <w:left w:val="nil"/>
              <w:bottom w:val="nil"/>
              <w:right w:val="nil"/>
            </w:tcBorders>
            <w:shd w:val="clear" w:color="auto" w:fill="auto"/>
          </w:tcPr>
          <w:p w:rsidR="00985F66" w:rsidRPr="00AA3F66" w:rsidRDefault="00985F66" w:rsidP="006E42D0">
            <w:pPr>
              <w:pStyle w:val="a0"/>
              <w:jc w:val="left"/>
              <w:rPr>
                <w:rFonts w:ascii="Times New Roman" w:hAnsi="Times New Roman"/>
                <w:sz w:val="20"/>
                <w:szCs w:val="20"/>
                <w:lang w:val="bg-BG"/>
              </w:rPr>
            </w:pPr>
            <w:r w:rsidRPr="00AA3F66">
              <w:rPr>
                <w:rFonts w:ascii="Times New Roman" w:hAnsi="Times New Roman"/>
                <w:sz w:val="20"/>
                <w:szCs w:val="20"/>
                <w:lang w:val="bg-BG"/>
              </w:rPr>
              <w:t xml:space="preserve">   Бюджетни приходи </w:t>
            </w:r>
            <w:r w:rsidR="00367094" w:rsidRPr="00AA3F66">
              <w:rPr>
                <w:rFonts w:ascii="Times New Roman" w:hAnsi="Times New Roman"/>
                <w:sz w:val="20"/>
                <w:szCs w:val="20"/>
                <w:lang w:val="bg-BG"/>
              </w:rPr>
              <w:t>(%)</w:t>
            </w:r>
          </w:p>
        </w:tc>
        <w:tc>
          <w:tcPr>
            <w:tcW w:w="1125" w:type="dxa"/>
            <w:tcBorders>
              <w:top w:val="nil"/>
              <w:left w:val="nil"/>
              <w:bottom w:val="nil"/>
              <w:right w:val="nil"/>
            </w:tcBorders>
            <w:shd w:val="clear" w:color="auto" w:fill="auto"/>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0%</w:t>
            </w:r>
          </w:p>
        </w:tc>
        <w:tc>
          <w:tcPr>
            <w:tcW w:w="1119" w:type="dxa"/>
            <w:tcBorders>
              <w:top w:val="nil"/>
              <w:left w:val="nil"/>
              <w:bottom w:val="nil"/>
              <w:right w:val="nil"/>
            </w:tcBorders>
            <w:shd w:val="clear" w:color="auto" w:fill="auto"/>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4%</w:t>
            </w:r>
          </w:p>
        </w:tc>
        <w:tc>
          <w:tcPr>
            <w:tcW w:w="1119" w:type="dxa"/>
            <w:tcBorders>
              <w:top w:val="nil"/>
              <w:left w:val="nil"/>
              <w:bottom w:val="nil"/>
              <w:right w:val="nil"/>
            </w:tcBorders>
            <w:shd w:val="clear" w:color="auto" w:fill="auto"/>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4%</w:t>
            </w:r>
          </w:p>
        </w:tc>
        <w:tc>
          <w:tcPr>
            <w:tcW w:w="1117" w:type="dxa"/>
            <w:tcBorders>
              <w:top w:val="nil"/>
              <w:left w:val="nil"/>
              <w:bottom w:val="nil"/>
              <w:right w:val="nil"/>
            </w:tcBorders>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8%</w:t>
            </w:r>
          </w:p>
        </w:tc>
      </w:tr>
      <w:tr w:rsidR="00985F66" w:rsidRPr="00AA3F66" w:rsidTr="006E42D0">
        <w:trPr>
          <w:trHeight w:val="329"/>
          <w:jc w:val="center"/>
        </w:trPr>
        <w:tc>
          <w:tcPr>
            <w:tcW w:w="4602" w:type="dxa"/>
            <w:tcBorders>
              <w:top w:val="nil"/>
              <w:left w:val="nil"/>
              <w:bottom w:val="nil"/>
              <w:right w:val="nil"/>
            </w:tcBorders>
            <w:shd w:val="clear" w:color="auto" w:fill="auto"/>
          </w:tcPr>
          <w:p w:rsidR="00985F66" w:rsidRPr="00AA3F66" w:rsidRDefault="00985F66" w:rsidP="006E42D0">
            <w:pPr>
              <w:pStyle w:val="a0"/>
              <w:jc w:val="left"/>
              <w:rPr>
                <w:rFonts w:ascii="Times New Roman" w:hAnsi="Times New Roman"/>
                <w:sz w:val="20"/>
                <w:szCs w:val="20"/>
                <w:lang w:val="bg-BG"/>
              </w:rPr>
            </w:pPr>
            <w:r w:rsidRPr="00AA3F66">
              <w:rPr>
                <w:rFonts w:ascii="Times New Roman" w:hAnsi="Times New Roman"/>
                <w:sz w:val="20"/>
                <w:szCs w:val="20"/>
                <w:lang w:val="bg-BG"/>
              </w:rPr>
              <w:t xml:space="preserve">   Бюджетен баланс </w:t>
            </w:r>
            <w:r w:rsidR="00367094" w:rsidRPr="00AA3F66">
              <w:rPr>
                <w:rFonts w:ascii="Times New Roman" w:hAnsi="Times New Roman"/>
                <w:sz w:val="20"/>
                <w:szCs w:val="20"/>
                <w:lang w:val="bg-BG"/>
              </w:rPr>
              <w:t>(</w:t>
            </w:r>
            <w:r w:rsidRPr="00AA3F66">
              <w:rPr>
                <w:rFonts w:ascii="Times New Roman" w:hAnsi="Times New Roman"/>
                <w:sz w:val="20"/>
                <w:szCs w:val="20"/>
                <w:lang w:val="bg-BG"/>
              </w:rPr>
              <w:t>% от БВП</w:t>
            </w:r>
            <w:r w:rsidR="00367094" w:rsidRPr="00AA3F66">
              <w:rPr>
                <w:rFonts w:ascii="Times New Roman" w:hAnsi="Times New Roman"/>
                <w:sz w:val="20"/>
                <w:szCs w:val="20"/>
                <w:lang w:val="bg-BG"/>
              </w:rPr>
              <w:t>,</w:t>
            </w:r>
            <w:r w:rsidRPr="00AA3F66">
              <w:rPr>
                <w:rFonts w:ascii="Times New Roman" w:hAnsi="Times New Roman"/>
                <w:sz w:val="20"/>
                <w:szCs w:val="20"/>
                <w:lang w:val="bg-BG"/>
              </w:rPr>
              <w:t xml:space="preserve"> пр.п.</w:t>
            </w:r>
            <w:r w:rsidR="00367094" w:rsidRPr="00AA3F66">
              <w:rPr>
                <w:rFonts w:ascii="Times New Roman" w:hAnsi="Times New Roman"/>
                <w:sz w:val="20"/>
                <w:szCs w:val="20"/>
                <w:lang w:val="bg-BG"/>
              </w:rPr>
              <w:t>)</w:t>
            </w:r>
          </w:p>
        </w:tc>
        <w:tc>
          <w:tcPr>
            <w:tcW w:w="1125" w:type="dxa"/>
            <w:tcBorders>
              <w:top w:val="nil"/>
              <w:left w:val="nil"/>
              <w:bottom w:val="nil"/>
              <w:right w:val="nil"/>
            </w:tcBorders>
            <w:shd w:val="clear" w:color="auto" w:fill="auto"/>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0</w:t>
            </w:r>
          </w:p>
        </w:tc>
        <w:tc>
          <w:tcPr>
            <w:tcW w:w="1119" w:type="dxa"/>
            <w:tcBorders>
              <w:top w:val="nil"/>
              <w:left w:val="nil"/>
              <w:bottom w:val="nil"/>
              <w:right w:val="nil"/>
            </w:tcBorders>
            <w:shd w:val="clear" w:color="auto" w:fill="auto"/>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2</w:t>
            </w:r>
          </w:p>
        </w:tc>
        <w:tc>
          <w:tcPr>
            <w:tcW w:w="1119" w:type="dxa"/>
            <w:tcBorders>
              <w:top w:val="nil"/>
              <w:left w:val="nil"/>
              <w:bottom w:val="nil"/>
              <w:right w:val="nil"/>
            </w:tcBorders>
            <w:shd w:val="clear" w:color="auto" w:fill="auto"/>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2</w:t>
            </w:r>
          </w:p>
        </w:tc>
        <w:tc>
          <w:tcPr>
            <w:tcW w:w="1117" w:type="dxa"/>
            <w:tcBorders>
              <w:top w:val="nil"/>
              <w:left w:val="nil"/>
              <w:bottom w:val="nil"/>
              <w:right w:val="nil"/>
            </w:tcBorders>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4</w:t>
            </w:r>
          </w:p>
        </w:tc>
      </w:tr>
      <w:tr w:rsidR="00985F66" w:rsidRPr="00AA3F66" w:rsidTr="006E42D0">
        <w:trPr>
          <w:trHeight w:val="329"/>
          <w:jc w:val="center"/>
        </w:trPr>
        <w:tc>
          <w:tcPr>
            <w:tcW w:w="4602" w:type="dxa"/>
            <w:tcBorders>
              <w:top w:val="nil"/>
              <w:left w:val="nil"/>
              <w:right w:val="nil"/>
            </w:tcBorders>
            <w:shd w:val="clear" w:color="auto" w:fill="auto"/>
          </w:tcPr>
          <w:p w:rsidR="00985F66" w:rsidRPr="00AA3F66" w:rsidRDefault="00985F66" w:rsidP="006E42D0">
            <w:pPr>
              <w:pStyle w:val="a0"/>
              <w:jc w:val="left"/>
              <w:rPr>
                <w:rFonts w:ascii="Times New Roman" w:hAnsi="Times New Roman"/>
                <w:sz w:val="20"/>
                <w:szCs w:val="20"/>
                <w:lang w:val="bg-BG"/>
              </w:rPr>
            </w:pPr>
            <w:r w:rsidRPr="00AA3F66">
              <w:rPr>
                <w:rFonts w:ascii="Times New Roman" w:hAnsi="Times New Roman"/>
                <w:sz w:val="20"/>
                <w:szCs w:val="20"/>
                <w:lang w:val="bg-BG"/>
              </w:rPr>
              <w:t xml:space="preserve">   Държавен дълг </w:t>
            </w:r>
            <w:r w:rsidR="00367094" w:rsidRPr="00AA3F66">
              <w:rPr>
                <w:rFonts w:ascii="Times New Roman" w:hAnsi="Times New Roman"/>
                <w:sz w:val="20"/>
                <w:szCs w:val="20"/>
                <w:lang w:val="bg-BG"/>
              </w:rPr>
              <w:t xml:space="preserve">(% от БВП, </w:t>
            </w:r>
            <w:r w:rsidRPr="00AA3F66">
              <w:rPr>
                <w:rFonts w:ascii="Times New Roman" w:hAnsi="Times New Roman"/>
                <w:sz w:val="20"/>
                <w:szCs w:val="20"/>
                <w:lang w:val="bg-BG"/>
              </w:rPr>
              <w:t>пр.п.</w:t>
            </w:r>
            <w:r w:rsidR="00367094" w:rsidRPr="00AA3F66">
              <w:rPr>
                <w:rFonts w:ascii="Times New Roman" w:hAnsi="Times New Roman"/>
                <w:sz w:val="20"/>
                <w:szCs w:val="20"/>
                <w:lang w:val="bg-BG"/>
              </w:rPr>
              <w:t>)</w:t>
            </w:r>
          </w:p>
        </w:tc>
        <w:tc>
          <w:tcPr>
            <w:tcW w:w="1125" w:type="dxa"/>
            <w:tcBorders>
              <w:top w:val="nil"/>
              <w:left w:val="nil"/>
              <w:right w:val="nil"/>
            </w:tcBorders>
            <w:shd w:val="clear" w:color="auto" w:fill="auto"/>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0</w:t>
            </w:r>
          </w:p>
        </w:tc>
        <w:tc>
          <w:tcPr>
            <w:tcW w:w="1119" w:type="dxa"/>
            <w:tcBorders>
              <w:top w:val="nil"/>
              <w:left w:val="nil"/>
              <w:right w:val="nil"/>
            </w:tcBorders>
            <w:shd w:val="clear" w:color="auto" w:fill="auto"/>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4</w:t>
            </w:r>
          </w:p>
        </w:tc>
        <w:tc>
          <w:tcPr>
            <w:tcW w:w="1119" w:type="dxa"/>
            <w:tcBorders>
              <w:top w:val="nil"/>
              <w:left w:val="nil"/>
              <w:right w:val="nil"/>
            </w:tcBorders>
            <w:shd w:val="clear" w:color="auto" w:fill="auto"/>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0,</w:t>
            </w:r>
            <w:r w:rsidR="00985F66" w:rsidRPr="00AA3F66">
              <w:rPr>
                <w:rFonts w:ascii="Times New Roman" w:hAnsi="Times New Roman"/>
                <w:sz w:val="20"/>
                <w:szCs w:val="20"/>
                <w:lang w:val="bg-BG"/>
              </w:rPr>
              <w:t>6</w:t>
            </w:r>
          </w:p>
        </w:tc>
        <w:tc>
          <w:tcPr>
            <w:tcW w:w="1117" w:type="dxa"/>
            <w:tcBorders>
              <w:top w:val="nil"/>
              <w:left w:val="nil"/>
              <w:right w:val="nil"/>
            </w:tcBorders>
          </w:tcPr>
          <w:p w:rsidR="00985F66" w:rsidRPr="00AA3F66" w:rsidRDefault="00367094" w:rsidP="006E42D0">
            <w:pPr>
              <w:pStyle w:val="a0"/>
              <w:jc w:val="right"/>
              <w:rPr>
                <w:rFonts w:ascii="Times New Roman" w:hAnsi="Times New Roman"/>
                <w:sz w:val="20"/>
                <w:szCs w:val="20"/>
                <w:lang w:val="bg-BG"/>
              </w:rPr>
            </w:pPr>
            <w:r w:rsidRPr="00AA3F66">
              <w:rPr>
                <w:rFonts w:ascii="Times New Roman" w:hAnsi="Times New Roman"/>
                <w:sz w:val="20"/>
                <w:szCs w:val="20"/>
                <w:lang w:val="bg-BG"/>
              </w:rPr>
              <w:t>1,</w:t>
            </w:r>
            <w:r w:rsidR="00985F66" w:rsidRPr="00AA3F66">
              <w:rPr>
                <w:rFonts w:ascii="Times New Roman" w:hAnsi="Times New Roman"/>
                <w:sz w:val="20"/>
                <w:szCs w:val="20"/>
                <w:lang w:val="bg-BG"/>
              </w:rPr>
              <w:t>1</w:t>
            </w:r>
          </w:p>
        </w:tc>
      </w:tr>
    </w:tbl>
    <w:p w:rsidR="008B166A" w:rsidRPr="00AA3F66" w:rsidRDefault="00367094" w:rsidP="00367094">
      <w:pPr>
        <w:spacing w:before="120"/>
        <w:jc w:val="right"/>
        <w:rPr>
          <w:sz w:val="18"/>
          <w:szCs w:val="18"/>
        </w:rPr>
      </w:pPr>
      <w:r w:rsidRPr="00AA3F66">
        <w:rPr>
          <w:sz w:val="18"/>
          <w:szCs w:val="18"/>
        </w:rPr>
        <w:t>Източник: ИАП</w:t>
      </w:r>
    </w:p>
    <w:p w:rsidR="00E46B2B" w:rsidRPr="00AA3F66" w:rsidRDefault="001A0295" w:rsidP="00A23D73">
      <w:pPr>
        <w:pStyle w:val="Heading3"/>
        <w:ind w:left="709" w:hanging="567"/>
        <w:jc w:val="both"/>
      </w:pPr>
      <w:r w:rsidRPr="00AA3F66">
        <w:t>Ч</w:t>
      </w:r>
      <w:r w:rsidR="00E46B2B" w:rsidRPr="00AA3F66">
        <w:t>увствителност на прогнозите към алтернативния сценарий</w:t>
      </w:r>
    </w:p>
    <w:p w:rsidR="00985F66" w:rsidRPr="00AA3F66" w:rsidRDefault="00985F66" w:rsidP="00985F66">
      <w:pPr>
        <w:rPr>
          <w:rFonts w:eastAsia="Batang"/>
          <w:bCs/>
        </w:rPr>
      </w:pPr>
      <w:r w:rsidRPr="00AA3F66">
        <w:rPr>
          <w:rFonts w:eastAsia="Batang"/>
          <w:bCs/>
        </w:rPr>
        <w:t>Анализът на чувствителността представя промяната върху основни бюджетни параметри, която би настъпила при реализиране на алтернативния макроикономически сценарий.</w:t>
      </w:r>
    </w:p>
    <w:p w:rsidR="00985F66" w:rsidRPr="00AA3F66" w:rsidRDefault="00985F66" w:rsidP="00985F66">
      <w:pPr>
        <w:rPr>
          <w:rFonts w:eastAsia="Batang"/>
          <w:bCs/>
          <w:color w:val="FF0000"/>
        </w:rPr>
      </w:pPr>
      <w:r w:rsidRPr="00AA3F66">
        <w:rPr>
          <w:rFonts w:eastAsia="Batang"/>
          <w:bCs/>
        </w:rPr>
        <w:t xml:space="preserve">При алтернативния сценарий БВП по текущи цени е по-нисък в периода 2024-2026 г., което има отрицателен ефект върху данъчните постъпления и съответно общите бюджетни приходи. Принос за понижението спрямо базисния сценарий имат по-ниските постъпления </w:t>
      </w:r>
      <w:r w:rsidRPr="00AA3F66">
        <w:rPr>
          <w:noProof/>
        </w:rPr>
        <w:t>от корпоративен данък и социалноосигурителни вноски</w:t>
      </w:r>
      <w:r w:rsidRPr="00AA3F66">
        <w:rPr>
          <w:rFonts w:eastAsia="Batang"/>
          <w:bCs/>
        </w:rPr>
        <w:t xml:space="preserve">. Ограниченото потребление на домакинствата ще се отрази и в по-ниски приходи от ДДС през 2025 </w:t>
      </w:r>
      <w:r w:rsidR="002B1C4C" w:rsidRPr="00AA3F66">
        <w:rPr>
          <w:rFonts w:eastAsia="Batang"/>
          <w:bCs/>
        </w:rPr>
        <w:t xml:space="preserve">г. </w:t>
      </w:r>
      <w:r w:rsidRPr="00AA3F66">
        <w:rPr>
          <w:rFonts w:eastAsia="Batang"/>
          <w:bCs/>
        </w:rPr>
        <w:t xml:space="preserve">и 2026 г. Намалението на общите приходи спрямо базисния сценарий e </w:t>
      </w:r>
      <w:r w:rsidRPr="00AA3F66">
        <w:rPr>
          <w:noProof/>
        </w:rPr>
        <w:t xml:space="preserve">оценено на 0,4% през 2024 г. </w:t>
      </w:r>
      <w:r w:rsidRPr="00AA3F66">
        <w:rPr>
          <w:rFonts w:eastAsia="Batang"/>
          <w:bCs/>
        </w:rPr>
        <w:t xml:space="preserve">и при натрупването на ефектите през oтделните години достига до 0,8% през 2026 г. В резултат от изменението в приходите и по-ниското номинално ниво на БВП, бюджетният баланс би се влошил с </w:t>
      </w:r>
      <w:r w:rsidRPr="00AA3F66">
        <w:rPr>
          <w:noProof/>
        </w:rPr>
        <w:t>между 0,2 и 0,4 пр.п. в периода 2024-2026 г</w:t>
      </w:r>
      <w:r w:rsidRPr="00AA3F66">
        <w:rPr>
          <w:rFonts w:eastAsia="Batang"/>
          <w:bCs/>
        </w:rPr>
        <w:t>.</w:t>
      </w:r>
    </w:p>
    <w:p w:rsidR="00985F66" w:rsidRPr="00AA3F66" w:rsidRDefault="00985F66" w:rsidP="006C3E68">
      <w:pPr>
        <w:rPr>
          <w:rFonts w:eastAsia="Batang"/>
          <w:bCs/>
        </w:rPr>
      </w:pPr>
      <w:r w:rsidRPr="00AA3F66">
        <w:rPr>
          <w:rFonts w:eastAsia="Batang"/>
          <w:bCs/>
        </w:rPr>
        <w:t>Промяната в допусканията се отразява в повишение на държавния дълг, като процент от БВП, поради малко по-високите бюджетни дефицити и по-ниското равнище на БВП по текущи цени</w:t>
      </w:r>
      <w:r w:rsidR="00003C5F" w:rsidRPr="00AA3F66">
        <w:rPr>
          <w:rFonts w:eastAsia="Batang"/>
          <w:bCs/>
        </w:rPr>
        <w:t>,</w:t>
      </w:r>
      <w:r w:rsidRPr="00AA3F66">
        <w:rPr>
          <w:rFonts w:eastAsia="Batang"/>
          <w:bCs/>
        </w:rPr>
        <w:t xml:space="preserve"> като разликата е от 0,4 пр.п. през 2024 до 1,1 пр.п. през 2026 г.</w:t>
      </w:r>
    </w:p>
    <w:p w:rsidR="00911809" w:rsidRPr="00AA3F66" w:rsidRDefault="00E36533" w:rsidP="00DE2BDB">
      <w:pPr>
        <w:pStyle w:val="Heading2"/>
      </w:pPr>
      <w:bookmarkStart w:id="531" w:name="_Toc151557316"/>
      <w:bookmarkStart w:id="532" w:name="_Toc464224821"/>
      <w:bookmarkStart w:id="533" w:name="_Toc464225471"/>
      <w:bookmarkStart w:id="534" w:name="_Toc464459018"/>
      <w:bookmarkStart w:id="535" w:name="_Toc464459766"/>
      <w:bookmarkStart w:id="536" w:name="_Toc464460719"/>
      <w:bookmarkStart w:id="537" w:name="_Toc464463118"/>
      <w:bookmarkStart w:id="538" w:name="_Toc464464947"/>
      <w:bookmarkStart w:id="539" w:name="_Toc464465454"/>
      <w:bookmarkStart w:id="540" w:name="_Toc464465642"/>
      <w:bookmarkStart w:id="541" w:name="_Toc464466465"/>
      <w:bookmarkStart w:id="542" w:name="_Toc464466709"/>
      <w:bookmarkStart w:id="543" w:name="_Toc464645030"/>
      <w:bookmarkStart w:id="544" w:name="_Toc465205578"/>
      <w:r w:rsidRPr="00AA3F66">
        <w:t>П</w:t>
      </w:r>
      <w:r w:rsidR="00911809" w:rsidRPr="00AA3F66">
        <w:t>роцедури и качество на публичните финанси</w:t>
      </w:r>
      <w:bookmarkEnd w:id="531"/>
    </w:p>
    <w:p w:rsidR="00724B97" w:rsidRPr="00AA3F66" w:rsidRDefault="00CA514D" w:rsidP="00A23D73">
      <w:pPr>
        <w:pStyle w:val="Heading3"/>
        <w:ind w:left="709" w:hanging="567"/>
        <w:jc w:val="both"/>
      </w:pPr>
      <w:bookmarkStart w:id="545" w:name="_Toc465070529"/>
      <w:bookmarkStart w:id="546" w:name="_Toc465205579"/>
      <w:bookmarkEnd w:id="532"/>
      <w:bookmarkEnd w:id="533"/>
      <w:bookmarkEnd w:id="534"/>
      <w:bookmarkEnd w:id="535"/>
      <w:bookmarkEnd w:id="536"/>
      <w:bookmarkEnd w:id="537"/>
      <w:bookmarkEnd w:id="538"/>
      <w:bookmarkEnd w:id="539"/>
      <w:bookmarkEnd w:id="540"/>
      <w:bookmarkEnd w:id="541"/>
      <w:bookmarkEnd w:id="542"/>
      <w:bookmarkEnd w:id="543"/>
      <w:bookmarkEnd w:id="544"/>
      <w:r w:rsidRPr="00AA3F66">
        <w:t xml:space="preserve">Бюджетна процедура за </w:t>
      </w:r>
      <w:r w:rsidR="0098294A" w:rsidRPr="00AA3F66">
        <w:t>2024</w:t>
      </w:r>
      <w:r w:rsidR="00AA3035" w:rsidRPr="00AA3F66">
        <w:t> г.</w:t>
      </w:r>
      <w:bookmarkEnd w:id="545"/>
      <w:bookmarkEnd w:id="546"/>
    </w:p>
    <w:p w:rsidR="00876B7F" w:rsidRPr="00AA3F66" w:rsidRDefault="00876B7F" w:rsidP="00876B7F">
      <w:pPr>
        <w:spacing w:after="120"/>
        <w:rPr>
          <w:rFonts w:eastAsia="Batang"/>
        </w:rPr>
      </w:pPr>
      <w:r w:rsidRPr="00AA3F66">
        <w:rPr>
          <w:rFonts w:eastAsia="Batang"/>
        </w:rPr>
        <w:t>Бюджетирането е постоянен процес, но етапите и стъпките за неговото реализиране търпят своето развитие в зависимост от много фактори – организационни, икономически, политически, законови и други, които предопределят необходимостта от разработването на график, с който да се организира процесът по планирането и съставянето на бюджетните документи.</w:t>
      </w:r>
    </w:p>
    <w:p w:rsidR="00876B7F" w:rsidRPr="00AA3F66" w:rsidRDefault="00876B7F" w:rsidP="00876B7F">
      <w:pPr>
        <w:spacing w:after="120"/>
        <w:rPr>
          <w:rFonts w:eastAsia="Batang"/>
        </w:rPr>
      </w:pPr>
      <w:r w:rsidRPr="00AA3F66">
        <w:rPr>
          <w:rFonts w:eastAsia="Batang"/>
        </w:rPr>
        <w:t xml:space="preserve">Съгласно Закона за публичните финанси бюджетната процедура включва етапите, сроковете, разпределението на отговорностите и изискванията за съставянето както на средносрочната бюджетна прогноза, така и на проекта на държавния бюджет. </w:t>
      </w:r>
    </w:p>
    <w:p w:rsidR="00876B7F" w:rsidRPr="00AA3F66" w:rsidRDefault="00876B7F" w:rsidP="00876B7F">
      <w:pPr>
        <w:spacing w:after="120"/>
        <w:rPr>
          <w:rFonts w:eastAsia="Batang"/>
        </w:rPr>
      </w:pPr>
      <w:r w:rsidRPr="00AA3F66">
        <w:rPr>
          <w:rFonts w:eastAsia="Batang"/>
        </w:rPr>
        <w:t xml:space="preserve">Бюджетната процедура за 2024 г. беше изготвена съгласно правилата на ЗПФ и отчита както променящите се изисквания към всички отговорни институции, така и изискванията към България като държава членка в рамките на т.нар. Европейски семестър – графикът, чрез който се осъществява съгласуваност на националните икономически и бюджетни политики в рамките на Европейския съюз. </w:t>
      </w:r>
    </w:p>
    <w:p w:rsidR="00876B7F" w:rsidRPr="00AA3F66" w:rsidRDefault="00876B7F" w:rsidP="00876B7F">
      <w:pPr>
        <w:spacing w:after="120"/>
        <w:rPr>
          <w:rFonts w:eastAsia="Batang"/>
        </w:rPr>
      </w:pPr>
      <w:r w:rsidRPr="00AA3F66">
        <w:rPr>
          <w:rFonts w:eastAsia="Batang"/>
          <w:b/>
        </w:rPr>
        <w:t>Бюджетната процедура за 2024 г.</w:t>
      </w:r>
      <w:r w:rsidRPr="00AA3F66">
        <w:rPr>
          <w:rFonts w:eastAsia="Batang"/>
        </w:rPr>
        <w:t xml:space="preserve"> беше одобрена с Решение № 70 на Министерския съвет от 27 януари 2023 г. с цел създаване на необходимата организация и координация между отделните участници в бюджетния процес, като бяха определени отговорностите на всички институции (бюджетни организации), чиито бюджети са част от консолидираната фискална програма, а също така и на други юридически лица, които попадат в обхвата на сектор „Държавно управление“. С бюджетната процедура за 2024 г. продължи тенденцията Министерският съвет да определя, освен ПРБ по бюджетите на Министерския съвет, на министерствата и на държавните агенции, и останалите ПРБ, чиито бюджети се включват в държавния бюджет, с изключение на бюджетите на Народното събрание и на съдебната власт, да прилагат програмен формат на бюджет по утвърдени от правителството области на политики/функционални области и бюджетни програми. Тъй като ЗПФ изисква с държавния бюджет разходите по бюджета на Народното събрание да се приемат и по функционални области, Народното събрание също из</w:t>
      </w:r>
      <w:r w:rsidR="006827E4">
        <w:rPr>
          <w:rFonts w:eastAsia="Batang"/>
        </w:rPr>
        <w:t>г</w:t>
      </w:r>
      <w:r w:rsidRPr="00AA3F66">
        <w:rPr>
          <w:rFonts w:eastAsia="Batang"/>
        </w:rPr>
        <w:t>о</w:t>
      </w:r>
      <w:r w:rsidR="006827E4">
        <w:rPr>
          <w:rFonts w:eastAsia="Batang"/>
        </w:rPr>
        <w:t>т</w:t>
      </w:r>
      <w:r w:rsidRPr="00AA3F66">
        <w:rPr>
          <w:rFonts w:eastAsia="Batang"/>
        </w:rPr>
        <w:t>вя бюджет в програмен формат, респективно организира самостоятелно неговото изпълнение.</w:t>
      </w:r>
    </w:p>
    <w:p w:rsidR="00876B7F" w:rsidRPr="00AA3F66" w:rsidRDefault="00876B7F" w:rsidP="00876B7F">
      <w:pPr>
        <w:spacing w:after="120"/>
        <w:rPr>
          <w:rFonts w:eastAsia="Batang"/>
        </w:rPr>
      </w:pPr>
      <w:r w:rsidRPr="00AA3F66">
        <w:rPr>
          <w:rFonts w:eastAsia="Batang"/>
          <w:b/>
        </w:rPr>
        <w:t>Първи етап на процедурата:</w:t>
      </w:r>
      <w:r w:rsidRPr="00AA3F66">
        <w:rPr>
          <w:rFonts w:eastAsia="Batang"/>
        </w:rPr>
        <w:t xml:space="preserve"> </w:t>
      </w:r>
    </w:p>
    <w:p w:rsidR="00876B7F" w:rsidRPr="00AA3F66" w:rsidRDefault="00876B7F" w:rsidP="00876B7F">
      <w:pPr>
        <w:spacing w:after="120"/>
        <w:rPr>
          <w:rFonts w:eastAsia="Batang"/>
        </w:rPr>
      </w:pPr>
      <w:r w:rsidRPr="00AA3F66">
        <w:rPr>
          <w:rFonts w:eastAsia="Batang"/>
        </w:rPr>
        <w:t xml:space="preserve">Стартирането на бюджетната процедура за 2024 г. се осъществи в условията на нереализиран втори етап на бюджетната процедура за 2023 г., съгласно който следваше Бюджет 2023 да е база за подготовката на параметрите и допусканията при изготвянето на СБП за периода 2024-2026 г. Подготовката на Бюджет 2023 беше повлияна от политическия цикъл, свързан с провеждането на предсрочни парламентарни избори в края на 2022 г. и разглеждането и одобряването на законопроекта за държавния бюджет на Република България за 2023 г. и на актуализираната средносрочна бюджетна прогноза за 2023-2025 г. не се осъществиха в рамките на предвидените срокове. </w:t>
      </w:r>
    </w:p>
    <w:p w:rsidR="00876B7F" w:rsidRPr="00AA3F66" w:rsidRDefault="00876B7F" w:rsidP="00876B7F">
      <w:pPr>
        <w:spacing w:after="120"/>
        <w:rPr>
          <w:rFonts w:eastAsia="Batang"/>
        </w:rPr>
      </w:pPr>
      <w:r w:rsidRPr="00AA3F66">
        <w:rPr>
          <w:rFonts w:eastAsia="Batang"/>
        </w:rPr>
        <w:t xml:space="preserve">Въпреки това, министърът на финансите изготви предварителна оценка на основни макроикономически показатели за периода 2023-2026 г., а в съответствие с изискванията на </w:t>
      </w:r>
      <w:hyperlink r:id="rId36" w:history="1">
        <w:r w:rsidRPr="00AA3F66">
          <w:rPr>
            <w:i/>
          </w:rPr>
          <w:t>БЮ № 1/10.03.2023 г. - Указания за подготовката и представянето на бюджетните прогнози на първостепенните разпоредители с бюджет за периода 2024-2026 г.</w:t>
        </w:r>
      </w:hyperlink>
      <w:r w:rsidRPr="00AA3F66">
        <w:rPr>
          <w:rFonts w:eastAsia="Batang"/>
          <w:i/>
        </w:rPr>
        <w:t xml:space="preserve"> </w:t>
      </w:r>
      <w:r w:rsidRPr="00986333">
        <w:rPr>
          <w:rFonts w:eastAsia="Batang"/>
        </w:rPr>
        <w:t>ПРБ представиха в Министерството на финансите бюджетните си прогнози за периода 2024-2026 г.</w:t>
      </w:r>
      <w:r w:rsidRPr="00AA3F66">
        <w:rPr>
          <w:rFonts w:eastAsia="Batang"/>
          <w:i/>
        </w:rPr>
        <w:t xml:space="preserve"> </w:t>
      </w:r>
      <w:r w:rsidRPr="00AA3F66">
        <w:rPr>
          <w:rFonts w:eastAsia="Batang"/>
        </w:rPr>
        <w:t>При липсата на одобрен Бюджет 2022 насоките към ПРБ бяха да разработват бюджетните си прогнози на базата на основните допускания, таваните на разходите/бюджетните взаимоотношения и други параметри, включени в Решение № 268 на Министерския съвет от 2022 г. за одобряване Средносрочна бюджетна прогноза за периода 2023-2025 г., като отчетат влезли в сила нормативни актове или други актове на Министерския съвет, изпълнението на целите и мерките на Н</w:t>
      </w:r>
      <w:r w:rsidR="000D6A98" w:rsidRPr="00AA3F66">
        <w:rPr>
          <w:rFonts w:eastAsia="Batang"/>
        </w:rPr>
        <w:t>ПР, Конвергентната програма</w:t>
      </w:r>
      <w:r w:rsidRPr="00AA3F66">
        <w:rPr>
          <w:rFonts w:eastAsia="Batang"/>
        </w:rPr>
        <w:t xml:space="preserve">, Националния план за въвеждане на еврото. </w:t>
      </w:r>
    </w:p>
    <w:p w:rsidR="00876B7F" w:rsidRPr="00AA3F66" w:rsidRDefault="00876B7F" w:rsidP="00876B7F">
      <w:pPr>
        <w:spacing w:after="120"/>
        <w:rPr>
          <w:rFonts w:eastAsia="Batang"/>
        </w:rPr>
      </w:pPr>
      <w:r w:rsidRPr="00AA3F66">
        <w:rPr>
          <w:rFonts w:eastAsia="Batang"/>
        </w:rPr>
        <w:t xml:space="preserve">На базата на представените от ПРБ прогнози и направените от МФ оценки и разчети беше разработен проекта на Средносрочна бюджетна прогноза за периода 2024-2026 г., одобрена от Министерския съвет с </w:t>
      </w:r>
      <w:hyperlink r:id="rId37" w:history="1">
        <w:r w:rsidRPr="00AA3F66">
          <w:t xml:space="preserve">Решение № 348 от 5 май 2023 г. </w:t>
        </w:r>
      </w:hyperlink>
      <w:r w:rsidRPr="00AA3F66">
        <w:rPr>
          <w:rFonts w:eastAsia="Batang"/>
        </w:rPr>
        <w:t>Бяха приети и стандарти за делегираните от държавата дейности с натурални и стойностни показатели през 2024 г. (с РМС № 346 от 5 май 2023 г.), а с РМС № 478 от 14 юли 2023 г. за държавните инвестиционни заеми и държавните гаранции беше решено да не се одобряват нови инвестиционни проекти, за чието финансиране да се сключват договори за държавни заеми през 2024 г. и такива, за които да се издава държавна гаранция по заеми за финансирането им през 2024 г.</w:t>
      </w:r>
    </w:p>
    <w:p w:rsidR="00876B7F" w:rsidRPr="00AA3F66" w:rsidRDefault="00876B7F" w:rsidP="00876B7F">
      <w:pPr>
        <w:spacing w:after="120"/>
        <w:rPr>
          <w:rFonts w:eastAsia="Batang"/>
        </w:rPr>
      </w:pPr>
      <w:bookmarkStart w:id="547" w:name="_Ref61346975"/>
      <w:r w:rsidRPr="00AA3F66">
        <w:rPr>
          <w:rFonts w:eastAsia="Batang"/>
        </w:rPr>
        <w:t xml:space="preserve">Съгласно сроковете в бюджетната процедура Министерството на финансите разработи Конвергентната програма на Република България (2023-2026 г.) </w:t>
      </w:r>
      <w:bookmarkEnd w:id="547"/>
      <w:r w:rsidRPr="00AA3F66">
        <w:rPr>
          <w:rFonts w:eastAsia="Batang"/>
        </w:rPr>
        <w:t>въз основа на правилата на Пакта за стабилност и растеж – нормативната рамка за координация на националните фискални политики на държавите-членки на Европейския съюз (ЕС) и съгласно Правилника за прилагане („Code of Conduct“).</w:t>
      </w:r>
    </w:p>
    <w:p w:rsidR="00876B7F" w:rsidRPr="00AA3F66" w:rsidRDefault="00876B7F" w:rsidP="00876B7F">
      <w:pPr>
        <w:spacing w:after="120"/>
        <w:rPr>
          <w:rFonts w:eastAsia="Batang"/>
        </w:rPr>
      </w:pPr>
      <w:r w:rsidRPr="00AA3F66">
        <w:rPr>
          <w:rFonts w:eastAsia="Batang"/>
        </w:rPr>
        <w:t>С решението за одобряване на законопроекта за държавния бюджет за 2023 г. и на актуализираната средносрочна бюджетна прогноза за периода 2023-2025 г. бяха отменени точки 2.1.28 и 2.1.29 от бюджетната процедура за 2024 г. относно привеждане на прогнозите на ПРБ в съответствие с приети решения за параметри и допускания от одобрената средносрочна бюджетна прогноза за периода 2024-2026 г., тъй като с предложената от редовното правителство бюджетна рамка за периода 2023-2025 г. се промениха параметрите, допусканията и разходните тавани, одобрени от служебното правителство със средносрочната бюджетна прогноза за периода 2024-2026 г.</w:t>
      </w:r>
    </w:p>
    <w:p w:rsidR="00876B7F" w:rsidRPr="00AA3F66" w:rsidRDefault="00876B7F" w:rsidP="00876B7F">
      <w:pPr>
        <w:spacing w:after="120"/>
        <w:rPr>
          <w:rFonts w:eastAsia="Batang"/>
          <w:b/>
        </w:rPr>
      </w:pPr>
      <w:r w:rsidRPr="00AA3F66">
        <w:rPr>
          <w:rFonts w:eastAsia="Batang"/>
          <w:b/>
        </w:rPr>
        <w:t>Втори етап на процедурата:</w:t>
      </w:r>
    </w:p>
    <w:p w:rsidR="00876B7F" w:rsidRPr="00AA3F66" w:rsidRDefault="00876B7F" w:rsidP="00876B7F">
      <w:pPr>
        <w:spacing w:after="120"/>
        <w:rPr>
          <w:rFonts w:eastAsia="Batang"/>
        </w:rPr>
      </w:pPr>
      <w:r w:rsidRPr="00AA3F66">
        <w:rPr>
          <w:rFonts w:eastAsia="Batang"/>
        </w:rPr>
        <w:t>Основните процеси и бюджетни документи през втория етап на бюджетната процедура за 2024 г. са свързани с изготвянето на законопроекта на държавния бюджет на Република България за 2024 г. и АСБП за периода 2024-2026 г. като мотиви към него.</w:t>
      </w:r>
    </w:p>
    <w:p w:rsidR="00876B7F" w:rsidRPr="00AA3F66" w:rsidRDefault="00876B7F" w:rsidP="00876B7F">
      <w:pPr>
        <w:spacing w:after="120"/>
        <w:rPr>
          <w:rFonts w:eastAsia="Batang"/>
          <w:i/>
        </w:rPr>
      </w:pPr>
      <w:r w:rsidRPr="00AA3F66">
        <w:rPr>
          <w:rFonts w:eastAsia="Batang"/>
        </w:rPr>
        <w:t xml:space="preserve">След като в края на м. юли 2023 г. Народното събрание прие Закона за държавния бюджет на Република България за 2023 г., той заедно с АСБП за периода 2023-2025 г. се превърнаха в база за разработването на Бюджет 2024 и вторият етап на бюджетната процедура за 2024 г. стартира с </w:t>
      </w:r>
      <w:hyperlink r:id="rId38" w:history="1">
        <w:r w:rsidRPr="00AA3F66">
          <w:rPr>
            <w:i/>
          </w:rPr>
          <w:t>БЮ № 4/01.09.2023 г. - Указания за подготовката и представянето на проектобюджетите на първостепенните разпоредители с бюджет за 2024 г. и на актуализираните им бюджетни прогнози за 2025</w:t>
        </w:r>
        <w:r w:rsidR="002B1C4C" w:rsidRPr="00AA3F66">
          <w:rPr>
            <w:i/>
          </w:rPr>
          <w:t xml:space="preserve"> г.</w:t>
        </w:r>
        <w:r w:rsidRPr="00AA3F66">
          <w:rPr>
            <w:i/>
          </w:rPr>
          <w:t xml:space="preserve"> и 2026 г.</w:t>
        </w:r>
      </w:hyperlink>
    </w:p>
    <w:p w:rsidR="00876B7F" w:rsidRPr="00AA3F66" w:rsidRDefault="00876B7F" w:rsidP="00876B7F">
      <w:pPr>
        <w:spacing w:after="120"/>
        <w:rPr>
          <w:rFonts w:eastAsia="Batang"/>
        </w:rPr>
      </w:pPr>
      <w:r w:rsidRPr="00AA3F66">
        <w:rPr>
          <w:rFonts w:eastAsia="Batang"/>
        </w:rPr>
        <w:t xml:space="preserve">В рамките на този етап ПРБ представиха в МФ проектобюджетите си за 2024 г. и актуализираните си бюджетни прогнози за 2025 </w:t>
      </w:r>
      <w:r w:rsidR="002B1C4C" w:rsidRPr="00AA3F66">
        <w:rPr>
          <w:rFonts w:eastAsia="Batang"/>
        </w:rPr>
        <w:t xml:space="preserve">г. </w:t>
      </w:r>
      <w:r w:rsidRPr="00AA3F66">
        <w:rPr>
          <w:rFonts w:eastAsia="Batang"/>
        </w:rPr>
        <w:t>и 2026 г.</w:t>
      </w:r>
    </w:p>
    <w:p w:rsidR="00876B7F" w:rsidRPr="00AA3F66" w:rsidRDefault="00876B7F" w:rsidP="00876B7F">
      <w:pPr>
        <w:spacing w:after="120"/>
        <w:rPr>
          <w:rFonts w:eastAsia="Batang"/>
        </w:rPr>
      </w:pPr>
      <w:r w:rsidRPr="00AA3F66">
        <w:rPr>
          <w:rFonts w:eastAsia="Batang"/>
        </w:rPr>
        <w:t xml:space="preserve">Министерството на финансите на база оценки на основните макроикономически показатели за периода 2023-2026 г. и след извършени анализи и оценки и проведени съгласувания с ПРБ разработи рамката на Бюджет 2024 в съответствие с целите на фискалната политика и изискванията на Закона за публичните финанси. </w:t>
      </w:r>
    </w:p>
    <w:p w:rsidR="00876B7F" w:rsidRPr="00AA3F66" w:rsidRDefault="00876B7F" w:rsidP="00876B7F">
      <w:pPr>
        <w:spacing w:after="120"/>
        <w:rPr>
          <w:rFonts w:eastAsia="Batang"/>
        </w:rPr>
      </w:pPr>
      <w:r w:rsidRPr="00AA3F66">
        <w:rPr>
          <w:rFonts w:eastAsia="Batang"/>
        </w:rPr>
        <w:t>Разработването на основните параметри на Бюджет 2024 и актуализираната средносрочна бюджетна прогноза за периода 2024-2026 г. е в унисон със заложената от правителството съгласно Програмата за управление на Република България (Управленската програма) за периода юни 2023 г. – декември 2024 г. законодателна мярка одобряването от Министерския съвет и внасянето в Народното събрание на проект на Закон за държавния бюджет на Република България за 2024 г. да стане при спазване на изискването за дефицит до 3% от БВП с цел осигуряване на фискалната устойчивост и предвидимост и спазване на Маастрихтските критерии.</w:t>
      </w:r>
    </w:p>
    <w:p w:rsidR="00876B7F" w:rsidRPr="00AA3F66" w:rsidRDefault="00876B7F" w:rsidP="00876B7F">
      <w:pPr>
        <w:spacing w:after="120"/>
        <w:rPr>
          <w:rFonts w:eastAsia="Batang"/>
        </w:rPr>
      </w:pPr>
      <w:r w:rsidRPr="00AA3F66">
        <w:rPr>
          <w:rFonts w:eastAsia="Batang"/>
        </w:rPr>
        <w:t xml:space="preserve">Министерският съвет разглежда и одобрява изготвените от министъра на финансите проекти на Закон за държавния бюджет на Република България за 2024 г. и на актуализирана средносрочна бюджетна прогноза за периода 2024-2026 г., която представлява мотиви към законопроекта (настоящия документ), както и на мотиви при неприемане на мотивираното становище и препоръките на Фискалния съвет относно есенната макроикономическа прогноза и/или законопроекта за държавния бюджет на Република България за 2024 г. и актуализираната средносрочна бюджетна прогноза за периода 2024-2026 г. </w:t>
      </w:r>
    </w:p>
    <w:p w:rsidR="00876B7F" w:rsidRPr="00AA3F66" w:rsidRDefault="00876B7F" w:rsidP="00876B7F">
      <w:pPr>
        <w:spacing w:after="120"/>
        <w:rPr>
          <w:rFonts w:eastAsia="Batang"/>
        </w:rPr>
      </w:pPr>
      <w:r w:rsidRPr="00AA3F66">
        <w:rPr>
          <w:rFonts w:eastAsia="Batang"/>
        </w:rPr>
        <w:t xml:space="preserve">При необходимост Министерският съвет одобрява и изменение и допълнение на решението за приемане на стандарти за делегираните от държавата дейности с натурални и стойностни показатели през 2024 г. и на решението за утвърждаване на нормативи за час програма за подготовка, създаване и разпространение на национални и регионални програми на БНР и БНТ през 2024 г. </w:t>
      </w:r>
    </w:p>
    <w:p w:rsidR="00876B7F" w:rsidRPr="00AA3F66" w:rsidRDefault="00876B7F" w:rsidP="00876B7F">
      <w:pPr>
        <w:spacing w:after="120"/>
        <w:rPr>
          <w:rFonts w:eastAsia="Batang"/>
        </w:rPr>
      </w:pPr>
      <w:r w:rsidRPr="00AA3F66">
        <w:rPr>
          <w:rFonts w:eastAsia="Batang"/>
        </w:rPr>
        <w:t>С РМС № 692 от 4 октомври 2023 г. Министерският съвет одобри максималния размер на новите държавни гаранции за 2024 г. по Закона за кредитиране на студенти и докторанти в размер до 40,0 млн. лв.</w:t>
      </w:r>
    </w:p>
    <w:p w:rsidR="00876B7F" w:rsidRPr="00AA3F66" w:rsidRDefault="00876B7F" w:rsidP="00876B7F">
      <w:pPr>
        <w:spacing w:after="120"/>
        <w:rPr>
          <w:rFonts w:eastAsia="Batang"/>
        </w:rPr>
      </w:pPr>
      <w:r w:rsidRPr="00AA3F66">
        <w:rPr>
          <w:rFonts w:eastAsia="Batang"/>
        </w:rPr>
        <w:t xml:space="preserve">Освен това, Министерството на финансите изготвя законопроектите за изменение и допълнение на данъчните закони, чиито фискални ефекти се отразяват върху разчетите и допусканията за подготовката на ЗДБРБ за 2024 г. и АСБП за периода 2024-2026 г. </w:t>
      </w:r>
    </w:p>
    <w:p w:rsidR="00876B7F" w:rsidRPr="00AA3F66" w:rsidRDefault="00876B7F" w:rsidP="00876B7F">
      <w:pPr>
        <w:spacing w:after="120"/>
        <w:rPr>
          <w:rFonts w:eastAsia="Batang"/>
        </w:rPr>
      </w:pPr>
      <w:r w:rsidRPr="00AA3F66">
        <w:rPr>
          <w:rFonts w:eastAsia="Batang"/>
        </w:rPr>
        <w:t xml:space="preserve">Съгласуването с Националното сдружение на общините в Република България на механизма за разпределяне на общата изравнителна субсидия и на целевата субсидия за капиталови разходи по общини и провеждането на консултации по предложенията на сдружението за общия размер на основните бюджетни взаимоотношения на общинските бюджети с централния бюджет и на други предложения по проекта на държавния бюджет за 2024 г. в частта му за общините също е част от втория етап. </w:t>
      </w:r>
    </w:p>
    <w:p w:rsidR="00876B7F" w:rsidRPr="00AA3F66" w:rsidRDefault="00876B7F" w:rsidP="00876B7F">
      <w:pPr>
        <w:spacing w:after="120"/>
        <w:rPr>
          <w:rFonts w:eastAsia="Batang"/>
        </w:rPr>
      </w:pPr>
      <w:r w:rsidRPr="00AA3F66">
        <w:rPr>
          <w:rFonts w:eastAsia="Batang"/>
        </w:rPr>
        <w:t xml:space="preserve">Министерският съвет също така разглежда и одобрява и подготвените от управителя на Националната здравноосигурителна каса и внесени чрез министъра на здравеопазването в Министерския съвет проекти на Закон за бюджета на Националната здравноосигурителна каса за 2024 г. и на мотиви при неприемане на мотивираното становище и препоръките на Фискалния съвет относно законопроекта, както и подготвените от управителя на Националния осигурителен институт и внесени чрез министъра на труда и социалната политика в Министерския съвет проекти на Закон за бюджета на държавното обществено осигуряване за 2024 г. и на мотиви при неприемане на мотивираното становище и препоръките на Фискалния съвет относно законопроекта. </w:t>
      </w:r>
    </w:p>
    <w:p w:rsidR="00876B7F" w:rsidRPr="00AA3F66" w:rsidRDefault="00876B7F" w:rsidP="00876B7F">
      <w:pPr>
        <w:spacing w:after="120"/>
        <w:rPr>
          <w:rFonts w:eastAsia="Batang"/>
        </w:rPr>
      </w:pPr>
      <w:r w:rsidRPr="00AA3F66">
        <w:rPr>
          <w:rFonts w:eastAsia="Batang"/>
        </w:rPr>
        <w:t xml:space="preserve">В едномесечен срок от обнародването в „Държавен вестник“ на Закона за държавния бюджет на Република България за 2024 г. Министерският съвет приема изготвения от министъра на финансите проект на Постановление за изпълнението на държавния бюджет на Република България за 2024 г. </w:t>
      </w:r>
    </w:p>
    <w:p w:rsidR="00876B7F" w:rsidRPr="00AA3F66" w:rsidRDefault="00876B7F" w:rsidP="00876B7F">
      <w:pPr>
        <w:spacing w:after="120"/>
        <w:rPr>
          <w:rFonts w:eastAsia="Batang"/>
        </w:rPr>
      </w:pPr>
      <w:r w:rsidRPr="00AA3F66">
        <w:rPr>
          <w:rFonts w:eastAsia="Batang"/>
        </w:rPr>
        <w:t xml:space="preserve">При необходимост в едномесечен срок от обнародването на Закона за държавния бюджет на Република България за 2024 г., Закона за бюджета на държавното обществено осигуряване за 2024 г., Закона за бюджета на Националната здравноосигурителна каса за 2024 г. и на данъчните закони Министерският съвет провежда заседание, на което разглежда и одобрява промени в актуализираната средносрочна бюджетна прогноза за периода 2024-2026 г. в съответствие с параметрите на приетите закони. </w:t>
      </w:r>
    </w:p>
    <w:p w:rsidR="00876B7F" w:rsidRPr="00AA3F66" w:rsidRDefault="00876B7F" w:rsidP="00876B7F">
      <w:pPr>
        <w:spacing w:after="120"/>
        <w:rPr>
          <w:rFonts w:eastAsia="Batang"/>
        </w:rPr>
      </w:pPr>
      <w:r w:rsidRPr="00AA3F66">
        <w:rPr>
          <w:rFonts w:eastAsia="Batang"/>
        </w:rPr>
        <w:t xml:space="preserve">При необходимост в едноседмичен срок от одобряването на промените в актуализираната средносрочна бюджетна прогноза за периода 2024-2026 г. първостепенните разпоредители с бюджет, които прилагат програмен формат на бюджет, актуализират програмните формати на бюджетите си и ги публикуват на интернет страниците си, с което бюджетната процедура за 2024 г. приключва. </w:t>
      </w:r>
    </w:p>
    <w:p w:rsidR="00876B7F" w:rsidRPr="00AA3F66" w:rsidRDefault="00876B7F" w:rsidP="00F26CD9">
      <w:pPr>
        <w:spacing w:after="120"/>
        <w:rPr>
          <w:rFonts w:eastAsia="Batang"/>
        </w:rPr>
      </w:pPr>
      <w:r w:rsidRPr="00AA3F66">
        <w:rPr>
          <w:rFonts w:eastAsia="Batang"/>
        </w:rPr>
        <w:t>Спазването на бюджетната процедура създава условия за прозрачност и представлява елемент на доброто управление на публичните финанси. Добросъвестното участие в бюджетния процес на всички бюджетни организации е условие за цялостния успех на процедурата и предпоставка за постигане на желаните крайни резултати от провеждането й, а именно устойчиви средносрочна бюджетна прогноза и годишен държавен бюджет.</w:t>
      </w:r>
    </w:p>
    <w:p w:rsidR="00724B97" w:rsidRPr="00AA3F66" w:rsidRDefault="00724B97" w:rsidP="00A23D73">
      <w:pPr>
        <w:pStyle w:val="Heading3"/>
        <w:ind w:left="709" w:hanging="567"/>
        <w:jc w:val="both"/>
      </w:pPr>
      <w:bookmarkStart w:id="548" w:name="_Toc465070530"/>
      <w:bookmarkStart w:id="549" w:name="_Toc465205580"/>
      <w:r w:rsidRPr="00AA3F66">
        <w:t>Фискални правила и ограничения</w:t>
      </w:r>
      <w:bookmarkEnd w:id="548"/>
      <w:bookmarkEnd w:id="549"/>
    </w:p>
    <w:p w:rsidR="00876B7F" w:rsidRPr="00AA3F66" w:rsidRDefault="00876B7F" w:rsidP="00876B7F">
      <w:pPr>
        <w:rPr>
          <w:rFonts w:eastAsia="Batang" w:cs="Times New Roman"/>
        </w:rPr>
      </w:pPr>
      <w:bookmarkStart w:id="550" w:name="_Toc465070531"/>
      <w:bookmarkStart w:id="551" w:name="_Toc465205581"/>
      <w:r w:rsidRPr="00AA3F66">
        <w:rPr>
          <w:rFonts w:eastAsia="Batang" w:cs="Times New Roman"/>
        </w:rPr>
        <w:t>Наличието на законова рамка, определяща бюджетните правила, ограниченията и процедурите за действие при наличие на отклонения от заложените цели за даден показател, е предпоставка за повишаване на предсказуемостта на провежданата фискална политика, за спазване на бюджетната и финансова дисциплина и за гарантиране устойчивостта на публичните финанси. Фискалните правила следва да имат постоянен характер, да се отнасят за значим индикатор (в най-общия случай за бюджетния баланс, дълга, разходите и приходите) и да поставят числови ограничения или цел. Изисква се също наличието на законови изисквания и процедури за корективни механизми и мерки за връщане към целта или към определеното с правилото ограничение и случаите на отклонение от целта/ограничението.</w:t>
      </w:r>
    </w:p>
    <w:p w:rsidR="00876B7F" w:rsidRPr="00AA3F66" w:rsidRDefault="00876B7F" w:rsidP="00876B7F">
      <w:pPr>
        <w:rPr>
          <w:rFonts w:eastAsia="Batang" w:cs="Times New Roman"/>
        </w:rPr>
      </w:pPr>
      <w:r w:rsidRPr="00AA3F66">
        <w:rPr>
          <w:rFonts w:eastAsia="Batang" w:cs="Times New Roman"/>
        </w:rPr>
        <w:t xml:space="preserve">По отношение на обхвата разграничаваме правила за показатели както по националната методология – за бюджетното салдо и размера на разходите по консолидираната фискална програма (на касова основа) и за държавния дълг, така и показатели съгласно европейската методология – за сектор „Държавно управление“ (за някои правила – и за съответните му подсектори) – за средносрочната бюджетна цел за структурния дефицит, за бюджетното салдо, за ръста на разходите и за консолидирания дълг за сектор „Държавно управление“. </w:t>
      </w:r>
    </w:p>
    <w:p w:rsidR="00876B7F" w:rsidRPr="00AA3F66" w:rsidRDefault="00876B7F" w:rsidP="00876B7F">
      <w:pPr>
        <w:rPr>
          <w:rFonts w:eastAsia="Batang" w:cs="Times New Roman"/>
        </w:rPr>
      </w:pPr>
      <w:r w:rsidRPr="00AA3F66">
        <w:rPr>
          <w:rFonts w:eastAsia="Batang" w:cs="Times New Roman"/>
        </w:rPr>
        <w:t xml:space="preserve">С приемането на Закона за публичните финанси и Закона за Фискален съвет и автоматични корективни механизми и на последващите им изменения и допълнения, свързани с постигане на пълно съответствие с европейското законодателство, България покри изцяло изискванията за засилване и укрепване на икономическото управление в ЕС. Правилата отговарят на международно приетите дефиниции и критерии и на изискванията за съгласуване на националното фискално планиране с превантивната и корективната част на Пакта за стабилност и растеж на ЕС. </w:t>
      </w:r>
    </w:p>
    <w:p w:rsidR="00876B7F" w:rsidRPr="00AA3F66" w:rsidRDefault="00876B7F" w:rsidP="00876B7F">
      <w:pPr>
        <w:rPr>
          <w:rFonts w:eastAsia="Batang" w:cs="Times New Roman"/>
        </w:rPr>
      </w:pPr>
      <w:r w:rsidRPr="00AA3F66">
        <w:rPr>
          <w:rFonts w:eastAsia="Batang" w:cs="Times New Roman"/>
        </w:rPr>
        <w:t xml:space="preserve">Концентрирането на фискалните правила и тяхната трайна уредба в рамките на ЗПФ оказва положително влияние не само за подобряване на координацията при изпълнението на различни политики, а и за по-доброто планиране, разработване и провеждане на фискалната политика, тъй като се гарантира тяхната дългосрочна устойчивост. </w:t>
      </w:r>
    </w:p>
    <w:p w:rsidR="00876B7F" w:rsidRPr="00AA3F66" w:rsidRDefault="00876B7F" w:rsidP="00876B7F">
      <w:pPr>
        <w:rPr>
          <w:rFonts w:eastAsia="Batang" w:cs="Times New Roman"/>
        </w:rPr>
      </w:pPr>
      <w:r w:rsidRPr="00AA3F66">
        <w:rPr>
          <w:rFonts w:eastAsia="Batang" w:cs="Times New Roman"/>
        </w:rPr>
        <w:t>Важно условие за доброто функциониране на фискалните правила са органите, които осъществяват контрол за спазването им, както и наличието на корективни механизми в случай на отклонение от поставените цели. Проследяването им се базира на универсални критерии за оценка на фискалната политика.</w:t>
      </w:r>
    </w:p>
    <w:p w:rsidR="00876B7F" w:rsidRPr="00AA3F66" w:rsidRDefault="00876B7F" w:rsidP="00876B7F">
      <w:pPr>
        <w:rPr>
          <w:rFonts w:eastAsia="Batang" w:cs="Times New Roman"/>
        </w:rPr>
      </w:pPr>
      <w:r w:rsidRPr="00AA3F66">
        <w:rPr>
          <w:rFonts w:eastAsia="Batang" w:cs="Times New Roman"/>
        </w:rPr>
        <w:t xml:space="preserve">Фискалните правила като цяло налагат ограничения върху фискалната политика на национално ниво, но някои от тях налагат числови ограничения и върху бюджетни показатели на индивидуални бюджети, като тези на общините. </w:t>
      </w:r>
    </w:p>
    <w:p w:rsidR="00876B7F" w:rsidRPr="00AA3F66" w:rsidRDefault="00876B7F" w:rsidP="00876B7F">
      <w:pPr>
        <w:rPr>
          <w:rFonts w:eastAsia="Batang" w:cs="Times New Roman"/>
        </w:rPr>
      </w:pPr>
      <w:r w:rsidRPr="00AA3F66">
        <w:rPr>
          <w:rFonts w:eastAsia="Batang" w:cs="Times New Roman"/>
        </w:rPr>
        <w:t>Правната рамка, уреждаща фискалните правила и ограничения, но също и резултатите от тяхното прилагане, са обект на периодичен преглед както от страна на правителството, така и от органите на Европейския съюз и международни финансови институции. При установяване на несъответствия на нормите, уреждащи бюджетната рамка, спрямо международно установени норми и практики в тази област, както и при неуредени обществени отношения при управлението на публичните финанси, които пораждат рискове за бюджета и за спазването на фискалните правила, правителството предприема съответните мерки за урегулиране. От приемането на ЗПФ през 2013 г. до настоящия момент са приети три (през 2016, 2017 и 2020 г.) съществени изменения и допълнения на ЗПФ, които са били свързани с прецизиране и доразвиване на уредбата с цел подобряване на процесите по управлението на публичните финанси и постигане на пълно съответствие с изискванията на Директива 2011/85/ЕС на Съвета от 8 ноември 2011 година относно изискванията за бюджетните рамки на държавите членки, създаването на условия за изпълнението на относимите регламенти, приети в края на 2011 г., както и по отношение на фискалните правила и ограничения с оглед осигуряване на адекватен отговор на предизвикателствата на COVID-19 кризата и създалата се извънредна обстановка.</w:t>
      </w:r>
    </w:p>
    <w:p w:rsidR="00876B7F" w:rsidRPr="00AA3F66" w:rsidRDefault="00876B7F" w:rsidP="00876B7F">
      <w:pPr>
        <w:rPr>
          <w:rFonts w:eastAsia="Batang" w:cs="Times New Roman"/>
        </w:rPr>
      </w:pPr>
      <w:r w:rsidRPr="00AA3F66">
        <w:rPr>
          <w:rFonts w:eastAsia="Batang" w:cs="Times New Roman"/>
        </w:rPr>
        <w:t xml:space="preserve">Спазването на фискалните правила и бюджетна дисциплина са отговорности на различни власти. Правителството отговаря за спазването на фискалните правила на национално ниво (за КФП и за сектор „Държавно управление“) при ограничени възможности за въздействие върху подсекторите (местни власти, социалноосигурителни фондове и автономни бюджети), като при налични отклонения може да компенсира само в обхвата на централното правителство. Възможни са отклонения от заложените ограничения, когато са в резултат на възникнали наложителни мерки с еднократен характер и същите не водят до трайни негативни тенденции за развитие на фискалната политика в средносрочен план. </w:t>
      </w:r>
    </w:p>
    <w:p w:rsidR="00876B7F" w:rsidRPr="00AA3F66" w:rsidRDefault="00876B7F" w:rsidP="00876B7F">
      <w:pPr>
        <w:rPr>
          <w:rFonts w:eastAsia="Batang" w:cs="Times New Roman"/>
        </w:rPr>
      </w:pPr>
      <w:r w:rsidRPr="00AA3F66">
        <w:rPr>
          <w:rFonts w:eastAsia="Batang" w:cs="Times New Roman"/>
        </w:rPr>
        <w:t>На ниво отделни бюджети законовите ангажименти на първостепенните разпоредители с бюджет изискват в рамките на управленската отговорност да се спазва бюджетна дисциплина, в т.ч. и приложимите за тях правила. Това важи и за самостоятелните бюджети, които не са част от държавния бюджет, тъй като те влияят върху параметрите на бюджетната рамка на национално ниво.</w:t>
      </w:r>
    </w:p>
    <w:p w:rsidR="00876B7F" w:rsidRPr="00AA3F66" w:rsidRDefault="00876B7F" w:rsidP="00876B7F">
      <w:pPr>
        <w:rPr>
          <w:rFonts w:eastAsia="Batang" w:cs="Times New Roman"/>
        </w:rPr>
      </w:pPr>
      <w:r w:rsidRPr="00AA3F66">
        <w:rPr>
          <w:rFonts w:eastAsia="Batang" w:cs="Times New Roman"/>
        </w:rPr>
        <w:t xml:space="preserve">Освен основните принципи, правила и процедури, относими за всички разпоредители с бюджет, натрупаните бюджетни дисбаланси на местните власти и невъзможността да се спазват правилата за общините са причина за законово уреждане на процедури за идентифициране на общини с финансови затруднения и създаване на механизми за финансово оздравяване. </w:t>
      </w:r>
    </w:p>
    <w:p w:rsidR="00876B7F" w:rsidRPr="00AA3F66" w:rsidRDefault="00876B7F" w:rsidP="00876B7F">
      <w:pPr>
        <w:rPr>
          <w:rFonts w:eastAsia="Batang" w:cs="Times New Roman"/>
        </w:rPr>
      </w:pPr>
      <w:r w:rsidRPr="00AA3F66">
        <w:rPr>
          <w:rFonts w:eastAsia="Batang" w:cs="Times New Roman"/>
        </w:rPr>
        <w:t>За периода на прилагане на промените в ЗПФ, по отношение на създадения механизъм за финансово оздравяване на общините, броят на общините, дефинирани като общини с финансови затруднения, намалява.</w:t>
      </w:r>
    </w:p>
    <w:p w:rsidR="00876B7F" w:rsidRPr="00AA3F66" w:rsidRDefault="00876B7F" w:rsidP="00876B7F">
      <w:pPr>
        <w:rPr>
          <w:rFonts w:eastAsia="Batang" w:cs="Times New Roman"/>
        </w:rPr>
      </w:pPr>
      <w:r w:rsidRPr="00AA3F66">
        <w:rPr>
          <w:rFonts w:eastAsia="Batang" w:cs="Times New Roman"/>
        </w:rPr>
        <w:t xml:space="preserve">През 2024 г. за общините, при които срокът на процедурата за финансово оздравяване е изтекъл през 2022 г., с цел изпълнение на ангажиментите им за възстановяване на безлихвените заеми, отпуснати по реда на чл. 130ж, ал. 1 от ЗПФ, продължава въведената практика за съгласуване от министъра на финансите на проектобюджетите им. </w:t>
      </w:r>
    </w:p>
    <w:p w:rsidR="00876B7F" w:rsidRPr="00AA3F66" w:rsidRDefault="00876B7F" w:rsidP="00876B7F">
      <w:pPr>
        <w:rPr>
          <w:rFonts w:eastAsia="Batang" w:cs="Times New Roman"/>
        </w:rPr>
      </w:pPr>
      <w:r w:rsidRPr="00AA3F66">
        <w:rPr>
          <w:rFonts w:eastAsia="Batang" w:cs="Times New Roman"/>
        </w:rPr>
        <w:t>В отговор на глобалните предизвикателства, свързани с овладяване и преодоляване на последствията от възникналата пандемия от COVID-19, се мобилизираха както национални, така и европейски ресурси и безпроблемното реализиране на тези проактивни антициклични мерки не следва да бъде възпрепятствано, поради което беше предвидено в националното законодателство да бъде заложена възможност за временно отклонение от ограниченията в условията на извънредни обстоятелства, което беше причина за приемането в края на 2020 г. на промени на Закона за публичните финанси. Промените осигуриха по-голяма гъвкавост по отношение на националните фискални правила при наличието на извънредни обстоятелства чрез въвеждането на норми за временно отклонение от ограниченията в съответствие с изискванията на динамичната и бързо променящата се действителност и премахване на предпоставките за проциклично въздействие; ясно дефиниране на ограниченията и допустимите отклонения; осигуряване изпълнението на мерки за ограничаване и преодоляване на последиците от възникнали извънредни ситуации и безпрепятствено усвояване на средства от европейските фондове и програми, в т.ч. и реализирането на съответни планове за възстановяване. С приемане на тези промени се осигури възможност ограниченията да са в съответствие с динамичните предизвикателства при спазване на изискванията на европейското законодателство.</w:t>
      </w:r>
    </w:p>
    <w:p w:rsidR="00876B7F" w:rsidRPr="00AA3F66" w:rsidRDefault="00876B7F" w:rsidP="00876B7F">
      <w:pPr>
        <w:rPr>
          <w:rFonts w:eastAsia="Batang" w:cs="Times New Roman"/>
        </w:rPr>
      </w:pPr>
      <w:r w:rsidRPr="00AA3F66">
        <w:rPr>
          <w:rFonts w:eastAsia="Batang" w:cs="Times New Roman"/>
        </w:rPr>
        <w:t>С приетите от Народното събрание промени в Закона за публичните финанси по отношение на фискалните правила се осигури възможност ограниченията да са в съответствие с динамичните предизвикателства при спазване на изискванията на европейското законодателство.</w:t>
      </w:r>
    </w:p>
    <w:p w:rsidR="00876B7F" w:rsidRPr="00AA3F66" w:rsidRDefault="00876B7F" w:rsidP="00876B7F">
      <w:pPr>
        <w:rPr>
          <w:rFonts w:eastAsia="Batang" w:cs="Times New Roman"/>
        </w:rPr>
      </w:pPr>
      <w:r w:rsidRPr="00AA3F66">
        <w:rPr>
          <w:rFonts w:eastAsia="Batang" w:cs="Times New Roman"/>
        </w:rPr>
        <w:t xml:space="preserve">На 26 април Европейската комисия публикува пакет от законодателни актове, с които предлага реформа на европейската рамка за икономическо управление. Тези законодателни предложения касаят Пакта за стабилност и растеж </w:t>
      </w:r>
      <w:r w:rsidR="00B02EEC">
        <w:rPr>
          <w:rFonts w:eastAsia="Batang" w:cs="Times New Roman"/>
        </w:rPr>
        <w:t xml:space="preserve">(Пакта) </w:t>
      </w:r>
      <w:r w:rsidRPr="00AA3F66">
        <w:rPr>
          <w:rFonts w:eastAsia="Batang" w:cs="Times New Roman"/>
        </w:rPr>
        <w:t>и по-конкретно Регламент 1466/97 (превантивната част на Пакта), Регламент 1467/97 (корективната част на Пакта) и Директива 2011/85, чиито разпоредби са транспонирани в Закона за публичните финанси, което би означавало, че предлаганите изменения биха имали като ефект и изменение на нормативната основа по отношение на регламентирането на публичните финанси.</w:t>
      </w:r>
    </w:p>
    <w:p w:rsidR="00876B7F" w:rsidRPr="00AA3F66" w:rsidRDefault="00876B7F" w:rsidP="00876B7F">
      <w:pPr>
        <w:rPr>
          <w:rFonts w:eastAsia="Batang" w:cs="Times New Roman"/>
        </w:rPr>
      </w:pPr>
      <w:r w:rsidRPr="00AA3F66">
        <w:rPr>
          <w:rFonts w:eastAsia="Batang" w:cs="Times New Roman"/>
        </w:rPr>
        <w:t xml:space="preserve">Целта на реформата е да улесни ефективния икономически надзор, утвърден в обща рамка, която гарантира равно третиране и многостранна координация на политиките. Рамката следва да бъде устойчива на променящите се икономически условия и несигурността, което изисква стабилни и предвидими правила и клаузи за дерогация при извънредни обстоятелства. Рамката също така следва да прилага интегриран подход, при който инструментите за надзор се допълват взаимно по отношение на Европейския семестър. Ефективното предотвратяване и коригиране на макроикономическите дисбаланси ще изисква по-добро откриване на възникващи рискове, като същевременно поставя повече акцент върху развитието на ЕС и еврозоната, както и върху имплементирането на политиките. </w:t>
      </w:r>
    </w:p>
    <w:p w:rsidR="00724B97" w:rsidRPr="00AA3F66" w:rsidRDefault="00724B97" w:rsidP="00A23D73">
      <w:pPr>
        <w:pStyle w:val="Heading3"/>
        <w:ind w:left="709" w:hanging="567"/>
        <w:jc w:val="both"/>
      </w:pPr>
      <w:r w:rsidRPr="00AA3F66">
        <w:t>Качество на публичните финанси</w:t>
      </w:r>
      <w:bookmarkEnd w:id="550"/>
      <w:bookmarkEnd w:id="551"/>
      <w:r w:rsidRPr="00AA3F66">
        <w:t xml:space="preserve"> </w:t>
      </w:r>
    </w:p>
    <w:p w:rsidR="00F05ECA" w:rsidRPr="00AA3F66" w:rsidRDefault="00F05ECA" w:rsidP="00F05ECA">
      <w:pPr>
        <w:rPr>
          <w:rFonts w:eastAsia="Batang" w:cs="Times New Roman"/>
        </w:rPr>
      </w:pPr>
      <w:r w:rsidRPr="00AA3F66">
        <w:rPr>
          <w:rFonts w:eastAsia="Batang" w:cs="Times New Roman"/>
        </w:rPr>
        <w:t>Стратегията на политиката в областта на качеството на публичните финанси следва последователните действия за институционални, нормативни и методологически промени в посока на подобряване управлението на публичните финанси.</w:t>
      </w:r>
    </w:p>
    <w:p w:rsidR="00F05ECA" w:rsidRPr="00AA3F66" w:rsidRDefault="00F05ECA" w:rsidP="00F05ECA">
      <w:pPr>
        <w:rPr>
          <w:rFonts w:eastAsia="Batang" w:cs="Times New Roman"/>
        </w:rPr>
      </w:pPr>
      <w:r w:rsidRPr="00AA3F66">
        <w:rPr>
          <w:rFonts w:eastAsia="Batang" w:cs="Times New Roman"/>
        </w:rPr>
        <w:t>Постигането на устойчива средносрочна фискална рамка и нейното реализиране са свързани с осъществяването на редица мерки за повишаване на качеството на публичните финанси, изразяващи се в подобряване на бюджетния процес, усъвършенстване на бюджетните документи, утвърждаване прилагането на добри бюджетни практики и проследяване на ефектите от провежданите секторни политики чрез мониторинг на ключовите индикатори за измерване на напредъка по отношение изпълнението на стратегическите цели на политиките и постигането на очакваните ползи/ефекти за обществото, което следва да доведе до</w:t>
      </w:r>
      <w:r w:rsidR="00BE5928" w:rsidRPr="00AA3F66">
        <w:rPr>
          <w:rFonts w:eastAsia="Batang" w:cs="Times New Roman"/>
        </w:rPr>
        <w:t xml:space="preserve"> </w:t>
      </w:r>
      <w:r w:rsidRPr="00AA3F66">
        <w:rPr>
          <w:rFonts w:eastAsia="Batang" w:cs="Times New Roman"/>
        </w:rPr>
        <w:t xml:space="preserve">постигане на по-добра обвързаност между финансирането на провежданите политики и постигнатите резултати от изпълнението им. </w:t>
      </w:r>
    </w:p>
    <w:p w:rsidR="00F05ECA" w:rsidRPr="00AA3F66" w:rsidRDefault="00F05ECA" w:rsidP="00F05ECA">
      <w:pPr>
        <w:rPr>
          <w:rFonts w:eastAsia="Batang" w:cs="Times New Roman"/>
        </w:rPr>
      </w:pPr>
      <w:r w:rsidRPr="00AA3F66">
        <w:rPr>
          <w:rFonts w:eastAsia="Batang" w:cs="Times New Roman"/>
        </w:rPr>
        <w:t xml:space="preserve">През последните години се утвърди практиката в средносрочната бюджетна прогноза и в нейната актуализация да се помества информация за ключови индикатори за измерване на степента на постигане на целите на политиките, провеждани от органите на изпълнителната власт. </w:t>
      </w:r>
    </w:p>
    <w:p w:rsidR="00F05ECA" w:rsidRPr="00AA3F66" w:rsidRDefault="00F05ECA" w:rsidP="00F05ECA">
      <w:pPr>
        <w:rPr>
          <w:rFonts w:eastAsia="Batang" w:cs="Times New Roman"/>
        </w:rPr>
      </w:pPr>
      <w:r w:rsidRPr="00AA3F66">
        <w:rPr>
          <w:rFonts w:eastAsia="Batang" w:cs="Times New Roman"/>
        </w:rPr>
        <w:t>Това допринесе за създаване на устойчива база за мониторинг и проследяване на тенденции, както и за оценка на връзката между стратегическите цели на бюджетните организации и изпълняваните от тях политики/бюджетни програми.</w:t>
      </w:r>
    </w:p>
    <w:p w:rsidR="00F05ECA" w:rsidRPr="00AA3F66" w:rsidRDefault="00F05ECA" w:rsidP="00F05ECA">
      <w:pPr>
        <w:rPr>
          <w:rFonts w:eastAsia="Batang" w:cs="Times New Roman"/>
        </w:rPr>
      </w:pPr>
      <w:r w:rsidRPr="00AA3F66">
        <w:rPr>
          <w:rFonts w:eastAsia="Batang" w:cs="Times New Roman"/>
        </w:rPr>
        <w:t>Независимо от установената трайна уредба на бюджетната рамка с приемането на Закона за публичните финанси през 2013 г., продължават усилията за усъвършенстване на нормативната база в областта на бюджета, които са съпроводени от наблюдение и анализ на прилагането на бюджетното законодателство и на бюджетните практики, както и на спазването на фискалните правила.</w:t>
      </w:r>
    </w:p>
    <w:p w:rsidR="00F05ECA" w:rsidRPr="00AA3F66" w:rsidRDefault="00F05ECA" w:rsidP="00F05ECA">
      <w:pPr>
        <w:rPr>
          <w:rFonts w:eastAsia="Batang" w:cs="Times New Roman"/>
        </w:rPr>
      </w:pPr>
      <w:r w:rsidRPr="00AA3F66">
        <w:rPr>
          <w:rFonts w:eastAsia="Batang" w:cs="Times New Roman"/>
        </w:rPr>
        <w:t>Законовата рамка за програмното бюджетиране изисква правителството да поддържа актуална програмна класификация, утвърждавана от Министерския съвет, която да съответства на функциите на централната администрация и на портфейлите на органите на изпълнителната власт, които провеждат политики, поради което програмната класификация беше актуализирана съгласно действащата към момента нормативна уредба.</w:t>
      </w:r>
    </w:p>
    <w:p w:rsidR="00F05ECA" w:rsidRPr="00AA3F66" w:rsidRDefault="00F05ECA" w:rsidP="00F05ECA">
      <w:pPr>
        <w:rPr>
          <w:rFonts w:eastAsia="Batang" w:cs="Times New Roman"/>
        </w:rPr>
      </w:pPr>
      <w:r w:rsidRPr="00AA3F66">
        <w:rPr>
          <w:rFonts w:eastAsia="Batang" w:cs="Times New Roman"/>
        </w:rPr>
        <w:t>Продължават и усилията за разширяване на обхвата на първостепенните разпоредители с бюджет, прилагащи програмен формат на бюджет. Към настоящия момент по Оперативна програма „Добро управление“ се финансира договор BG05SF0P001-3.004-0001 „Въвеждане на програмното бюджетиране в органите на съдебната власт“ с бенефициент Висшия съдебен съвет, посредством който следва законодателно да бъде регламентирано въвеждането на програмно бюджетиране в органите на съдебната власт (първо чрез норми в годишните закони за държавния бюджет, а впоследствие и чрез съответните изменения в Закона за публичните финанси).</w:t>
      </w:r>
    </w:p>
    <w:p w:rsidR="00F05ECA" w:rsidRPr="00AA3F66" w:rsidRDefault="00F05ECA" w:rsidP="00F05ECA">
      <w:pPr>
        <w:rPr>
          <w:rFonts w:eastAsia="Batang" w:cs="Times New Roman"/>
        </w:rPr>
      </w:pPr>
      <w:r w:rsidRPr="00AA3F66">
        <w:rPr>
          <w:rFonts w:eastAsia="Batang" w:cs="Times New Roman"/>
        </w:rPr>
        <w:t xml:space="preserve">Също така, специален акцент </w:t>
      </w:r>
      <w:r w:rsidR="002B5B1F" w:rsidRPr="00AA3F66">
        <w:rPr>
          <w:rFonts w:eastAsia="Batang" w:cs="Times New Roman"/>
        </w:rPr>
        <w:t xml:space="preserve">се поставя върху </w:t>
      </w:r>
      <w:r w:rsidRPr="00AA3F66">
        <w:rPr>
          <w:rFonts w:eastAsia="Batang" w:cs="Times New Roman"/>
        </w:rPr>
        <w:t xml:space="preserve"> </w:t>
      </w:r>
      <w:r w:rsidR="002B5B1F" w:rsidRPr="00AA3F66">
        <w:rPr>
          <w:rFonts w:eastAsia="Batang" w:cs="Times New Roman"/>
        </w:rPr>
        <w:t>прилагането</w:t>
      </w:r>
      <w:r w:rsidRPr="00AA3F66">
        <w:rPr>
          <w:rFonts w:eastAsia="Batang" w:cs="Times New Roman"/>
        </w:rPr>
        <w:t xml:space="preserve"> на модерни техники за бюджетиране, свързани </w:t>
      </w:r>
      <w:r w:rsidR="002B5B1F" w:rsidRPr="00AA3F66">
        <w:rPr>
          <w:rFonts w:eastAsia="Batang" w:cs="Times New Roman"/>
        </w:rPr>
        <w:t xml:space="preserve">най-вече </w:t>
      </w:r>
      <w:r w:rsidRPr="00AA3F66">
        <w:rPr>
          <w:rFonts w:eastAsia="Batang" w:cs="Times New Roman"/>
        </w:rPr>
        <w:t>със</w:t>
      </w:r>
      <w:r w:rsidR="002B5B1F" w:rsidRPr="00AA3F66">
        <w:rPr>
          <w:rFonts w:eastAsia="Batang" w:cs="Times New Roman"/>
        </w:rPr>
        <w:t xml:space="preserve"> т. нар.</w:t>
      </w:r>
      <w:r w:rsidRPr="00AA3F66">
        <w:rPr>
          <w:rFonts w:eastAsia="Batang" w:cs="Times New Roman"/>
        </w:rPr>
        <w:t xml:space="preserve"> „зелено бюджетиране“, което придоби огромна популярност в рамките на ЕС, особено предвид изпълнението на Плановете за възстановяване и устойчивост и за което страната участва в обмяна на опит с други държави по програми, финансирани на ниво ЕС. В тази връзка се планира да се разработи национална методология за зелено бюджетиране и стратегия за прилагането на зелено бюджетиране на национално ниво, като впоследствие бъдат изготвени и конкретни предложения за законодателни промени с цел внедряване на принципите на зеленото бюджетиране при разработването на годишните закони за държавния бюджет на Република България.</w:t>
      </w:r>
    </w:p>
    <w:p w:rsidR="00F05ECA" w:rsidRPr="00AA3F66" w:rsidRDefault="00F05ECA" w:rsidP="00F05ECA">
      <w:pPr>
        <w:rPr>
          <w:rFonts w:eastAsia="Batang" w:cs="Times New Roman"/>
        </w:rPr>
      </w:pPr>
      <w:r w:rsidRPr="00AA3F66">
        <w:rPr>
          <w:rFonts w:eastAsia="Batang" w:cs="Times New Roman"/>
        </w:rPr>
        <w:t xml:space="preserve">Съгласно определението на ОИСР „зеленото бюджетиране“ представлява използването на инструменти </w:t>
      </w:r>
      <w:r w:rsidR="0006583C" w:rsidRPr="00AA3F66">
        <w:rPr>
          <w:rFonts w:eastAsia="Batang" w:cs="Times New Roman"/>
        </w:rPr>
        <w:t xml:space="preserve">при разработването </w:t>
      </w:r>
      <w:r w:rsidR="00223DCD" w:rsidRPr="00AA3F66">
        <w:rPr>
          <w:rFonts w:eastAsia="Batang" w:cs="Times New Roman"/>
        </w:rPr>
        <w:t>и провеждането</w:t>
      </w:r>
      <w:r w:rsidRPr="00AA3F66">
        <w:rPr>
          <w:rFonts w:eastAsia="Batang" w:cs="Times New Roman"/>
        </w:rPr>
        <w:t xml:space="preserve"> на бюджетна</w:t>
      </w:r>
      <w:r w:rsidR="0006583C" w:rsidRPr="00AA3F66">
        <w:rPr>
          <w:rFonts w:eastAsia="Batang" w:cs="Times New Roman"/>
        </w:rPr>
        <w:t>та</w:t>
      </w:r>
      <w:r w:rsidRPr="00AA3F66">
        <w:rPr>
          <w:rFonts w:eastAsia="Batang" w:cs="Times New Roman"/>
        </w:rPr>
        <w:t xml:space="preserve"> политика за подпомагане постигане</w:t>
      </w:r>
      <w:r w:rsidR="0006583C" w:rsidRPr="00AA3F66">
        <w:rPr>
          <w:rFonts w:eastAsia="Batang" w:cs="Times New Roman"/>
        </w:rPr>
        <w:t>то</w:t>
      </w:r>
      <w:r w:rsidRPr="00AA3F66">
        <w:rPr>
          <w:rFonts w:eastAsia="Batang" w:cs="Times New Roman"/>
        </w:rPr>
        <w:t xml:space="preserve"> на целите, свързани с околната среда и климата. Това включва оценяване на въздействието върху околната среда на бюджетните и фискалните политики</w:t>
      </w:r>
      <w:r w:rsidR="00223DCD" w:rsidRPr="00AA3F66">
        <w:rPr>
          <w:rFonts w:eastAsia="Batang" w:cs="Times New Roman"/>
        </w:rPr>
        <w:t>, както</w:t>
      </w:r>
      <w:r w:rsidRPr="00AA3F66">
        <w:rPr>
          <w:rFonts w:eastAsia="Batang" w:cs="Times New Roman"/>
        </w:rPr>
        <w:t xml:space="preserve"> и оценяване на тяхната кохерентност към постигането на националните и международните ангажименти. „Зеленото бюджетиране“ също така може да допринесе за информирана дискусия по отношение на устойчивия растеж.</w:t>
      </w:r>
    </w:p>
    <w:p w:rsidR="00F05ECA" w:rsidRPr="00AA3F66" w:rsidRDefault="00F05ECA" w:rsidP="00F05ECA">
      <w:pPr>
        <w:rPr>
          <w:rFonts w:eastAsia="Batang" w:cs="Times New Roman"/>
        </w:rPr>
      </w:pPr>
      <w:r w:rsidRPr="00AA3F66">
        <w:rPr>
          <w:rFonts w:eastAsia="Batang" w:cs="Times New Roman"/>
        </w:rPr>
        <w:t>Качеството на публичните финанси се гради на основата на разработваните макроикономически и бюджетни прогнози в подкрепа на провежданата от правителството благоразумна фискална политика, като за целта е необходим коректив – независим орган, който със своите функции да насърчава устойчивостта на бюджетната рамка, в т.ч. и като следи за спазването на фискалните правила, както за наличието на корективни механизми в случаи на отклонения от поставените цели.</w:t>
      </w:r>
    </w:p>
    <w:p w:rsidR="00F05ECA" w:rsidRPr="00AA3F66" w:rsidRDefault="00F05ECA" w:rsidP="00F05ECA">
      <w:pPr>
        <w:rPr>
          <w:rFonts w:eastAsia="Batang" w:cs="Times New Roman"/>
        </w:rPr>
      </w:pPr>
      <w:r w:rsidRPr="00AA3F66">
        <w:rPr>
          <w:rFonts w:eastAsia="Batang" w:cs="Times New Roman"/>
        </w:rPr>
        <w:t>Засилената рамка за фискално управление в рамките на ЕС разшири ролята и официализира задачите на националните независими фискални институции, което намери място в националното законодателство.</w:t>
      </w:r>
    </w:p>
    <w:p w:rsidR="00F05ECA" w:rsidRPr="00AA3F66" w:rsidRDefault="00F05ECA" w:rsidP="00F05ECA">
      <w:pPr>
        <w:rPr>
          <w:rFonts w:eastAsia="Batang" w:cs="Times New Roman"/>
        </w:rPr>
      </w:pPr>
      <w:r w:rsidRPr="00AA3F66">
        <w:rPr>
          <w:rFonts w:eastAsia="Batang" w:cs="Times New Roman"/>
        </w:rPr>
        <w:t>Ефективното взаимодействие на Министерството на финансите с Фискалния съвет при подготовката на основните бюджетни документи дава своя принос за повишаване качеството и надеждността на информацията и данните на базата на анализи, оценки и препоръки на Фискалния съвет. Фискалният съвет допринася и за повишаване на отчетността и подобряване на фискалната прозрачност посредством наблюдението за спазването на числовите фискални правила и за индикиране при наличие на потенциални рискове за бюджета.</w:t>
      </w:r>
    </w:p>
    <w:p w:rsidR="00F05ECA" w:rsidRPr="00AA3F66" w:rsidRDefault="00F05ECA" w:rsidP="00F05ECA">
      <w:pPr>
        <w:rPr>
          <w:rFonts w:eastAsia="Batang" w:cs="Times New Roman"/>
        </w:rPr>
      </w:pPr>
      <w:r w:rsidRPr="00AA3F66">
        <w:rPr>
          <w:rFonts w:eastAsia="Batang" w:cs="Times New Roman"/>
        </w:rPr>
        <w:t xml:space="preserve">Присъединяването на Република България към ОИСР е кауза с високо значение за страната, тъй като дейността на тази организация обхваща почти всички аспекти на социално-икономическия живот. </w:t>
      </w:r>
    </w:p>
    <w:p w:rsidR="00F05ECA" w:rsidRPr="00AA3F66" w:rsidRDefault="00F05ECA" w:rsidP="00F05ECA">
      <w:pPr>
        <w:rPr>
          <w:rFonts w:eastAsia="Batang" w:cs="Times New Roman"/>
        </w:rPr>
      </w:pPr>
      <w:r w:rsidRPr="00AA3F66">
        <w:rPr>
          <w:rFonts w:eastAsia="Batang" w:cs="Times New Roman"/>
        </w:rPr>
        <w:t>На 10 юни 2022 г. ОИСР даде официално начало на разговорите за присъединяване на България, като одобри Пътна карта с параметрите, етапите и условията на присъединителния процес в рамките на годишната среща на Съвета на ОИСР на ниво министри. Предвид необходимостта страната ни да направи оценка на съответствието на законодателство, политики и практики с най-добрите стандарти на ОИСР и впоследствие да изработи начини за тяхното усъвършенстване в съответствие с дадените препоръки от отделните Комитети, беше идентифицирано участието на водещи и/или партниращи институции по правните инструменти на ОИСР. Изготвените самооценки бяха изпратени на Междуведомствения координационен механизъм за организация и координация на процеса на разговори и подготвителни дейности за присъединяването на Република България към ОИСР и бяха включени в Първоначалния меморандум. Също така беше направена и подготовка за участието на различните институции в комитети/работни органи на ОИСР във връзка с техническите прегледи в рамките на процеса на присъединяване.</w:t>
      </w:r>
    </w:p>
    <w:p w:rsidR="00F05ECA" w:rsidRPr="00AA3F66" w:rsidRDefault="00F05ECA" w:rsidP="00F05ECA">
      <w:pPr>
        <w:rPr>
          <w:rFonts w:eastAsia="Batang" w:cs="Times New Roman"/>
        </w:rPr>
      </w:pPr>
      <w:r w:rsidRPr="00AA3F66">
        <w:rPr>
          <w:rFonts w:eastAsia="Batang" w:cs="Times New Roman"/>
        </w:rPr>
        <w:t xml:space="preserve">През последните години България се присъедини към редица правни инструменти на ОИСР и активизира участието си във все по-голям брой комитети и работни групи на ОИСР, като усилията на страната ни са насочени към поддържането на активна позиция и внасянето на добавена стойност в тяхната работа. Към момента България участва със статут на „член“/„асоцииран член“ в дейността на 13 работни органа, в 6 други органа има статут на „участник“, а в други 19 е „гост“/„наблюдател“ Страната ни се е присъединила към 32 правни инструмента и е поискала присъединяване към още 6. </w:t>
      </w:r>
    </w:p>
    <w:p w:rsidR="00F05ECA" w:rsidRPr="00AA3F66" w:rsidRDefault="00F05ECA" w:rsidP="00F05ECA">
      <w:pPr>
        <w:rPr>
          <w:rFonts w:eastAsia="Batang" w:cs="Times New Roman"/>
        </w:rPr>
      </w:pPr>
      <w:r w:rsidRPr="00AA3F66">
        <w:rPr>
          <w:rFonts w:eastAsia="Batang" w:cs="Times New Roman"/>
        </w:rPr>
        <w:t>По отношение на управлението на публичните финанси една от ключовите препоръки на Съвета на ОИСР е по отношение на принципите за бюджетно управление „OECD Council Recommendation on Budgetary Governance (2015)“, която е заложена и в съответния правен инструмент, към който България се е присъединила, изготвила е самооценка за съответствието на законодателството, политиките и практиките.</w:t>
      </w:r>
    </w:p>
    <w:p w:rsidR="00F05ECA" w:rsidRPr="00AA3F66" w:rsidRDefault="00F05ECA" w:rsidP="00F05ECA">
      <w:pPr>
        <w:rPr>
          <w:rFonts w:eastAsia="Batang" w:cs="Times New Roman"/>
        </w:rPr>
      </w:pPr>
      <w:r w:rsidRPr="00AA3F66">
        <w:rPr>
          <w:rFonts w:eastAsia="Batang" w:cs="Times New Roman"/>
        </w:rPr>
        <w:t>Следва да се отбележи, че бюджетният преглед на България от 2019 г. „Budgeting in Bulgaria“, който е публикуван на официалната интернет страница на ОИСР в брой 2 за 2021 г. на изданието OECD Journal on Budgeting, също се базираше на оценка на степента на съответствие с насоките на Съвета на ОИСР за бюджетно управление, което представлява сравнение с утвърдени международни стандарти и най-добри практики в процеса на бюджетиране и фискално управление.</w:t>
      </w:r>
    </w:p>
    <w:p w:rsidR="00F05ECA" w:rsidRPr="00AA3F66" w:rsidRDefault="00F05ECA" w:rsidP="00F05ECA">
      <w:pPr>
        <w:rPr>
          <w:rFonts w:eastAsia="Batang" w:cs="Times New Roman"/>
        </w:rPr>
      </w:pPr>
      <w:r w:rsidRPr="00AA3F66">
        <w:rPr>
          <w:rFonts w:eastAsia="Batang" w:cs="Times New Roman"/>
        </w:rPr>
        <w:t>Също така, през м. септември т</w:t>
      </w:r>
      <w:r w:rsidR="00223DCD" w:rsidRPr="00AA3F66">
        <w:rPr>
          <w:rFonts w:eastAsia="Batang" w:cs="Times New Roman"/>
        </w:rPr>
        <w:t>ази година</w:t>
      </w:r>
      <w:r w:rsidRPr="00AA3F66">
        <w:rPr>
          <w:rFonts w:eastAsia="Batang" w:cs="Times New Roman"/>
        </w:rPr>
        <w:t xml:space="preserve"> приключи и изпълнението на проекта „Ефективност и ефикасност на публичните инвестиции“ от страна на ОИСР, чиято основна цел бе да подпомогне България в усилията й за укрепване на институционалния и административен капацитет на национално ниво по отношение на управлението на публичните инвестиции. Проектът стартира през 2022 г. с попълването на въпросници от страна на Министерството на финансите и други първостепенни разпоредители с бюджет, което имаше за цел да събере информация и мнения относно текущата рамка за управление на публичните инвестиции в България и процеса на планиране и вземане на ре</w:t>
      </w:r>
      <w:r w:rsidR="00E54684" w:rsidRPr="00AA3F66">
        <w:rPr>
          <w:rFonts w:eastAsia="Batang" w:cs="Times New Roman"/>
        </w:rPr>
        <w:t xml:space="preserve">шения в публичните инвестиции. </w:t>
      </w:r>
      <w:r w:rsidRPr="00AA3F66">
        <w:rPr>
          <w:rFonts w:eastAsia="Batang" w:cs="Times New Roman"/>
        </w:rPr>
        <w:t>Последваха и мисии за установяване на факти, което послужи като основа за подробна диагностика на състоянието на управлението на публичните инвестиции в страната.</w:t>
      </w:r>
    </w:p>
    <w:p w:rsidR="00F05ECA" w:rsidRPr="00AA3F66" w:rsidRDefault="00F05ECA" w:rsidP="00F05ECA">
      <w:pPr>
        <w:rPr>
          <w:rFonts w:eastAsia="Batang" w:cs="Times New Roman"/>
        </w:rPr>
      </w:pPr>
      <w:r w:rsidRPr="00AA3F66">
        <w:rPr>
          <w:rFonts w:eastAsia="Batang" w:cs="Times New Roman"/>
        </w:rPr>
        <w:t xml:space="preserve">Проектът завърши с представянето на доклад „Подобряване на ефективността и ефикасността на публичните инвестиции в България“. В изготвения доклад от ОИСР са направени препоръки относно дългосрочната стратегическа визия и планиране, координация между секторите, процесите на подбор, приоритизиране и оценка на проекти, относно капиталовото бюджетиране и фискалната устойчивост, укрепване на експертизата и капацитета на публичния сектор за проектиране, планиране, приоритизиране, бюджетиране и изпълнение на стабилни публични инвестиции, както </w:t>
      </w:r>
      <w:r w:rsidR="00003C5F" w:rsidRPr="00AA3F66">
        <w:rPr>
          <w:rFonts w:eastAsia="Batang" w:cs="Times New Roman"/>
        </w:rPr>
        <w:t xml:space="preserve">и </w:t>
      </w:r>
      <w:r w:rsidRPr="00AA3F66">
        <w:rPr>
          <w:rFonts w:eastAsia="Batang" w:cs="Times New Roman"/>
        </w:rPr>
        <w:t>относно оценка на риска на инвестиционни проекти, обхващащи всички етапи от жизнения цикъл на инвестицията.</w:t>
      </w:r>
    </w:p>
    <w:p w:rsidR="00F05ECA" w:rsidRPr="00AA3F66" w:rsidRDefault="00F05ECA" w:rsidP="00F05ECA">
      <w:pPr>
        <w:rPr>
          <w:rFonts w:eastAsia="Batang" w:cs="Times New Roman"/>
        </w:rPr>
      </w:pPr>
      <w:r w:rsidRPr="00AA3F66">
        <w:rPr>
          <w:rFonts w:eastAsia="Batang" w:cs="Times New Roman"/>
        </w:rPr>
        <w:t>България участва в проучването „Отворен бюджет“ (Open Budget Survey) на Международното бюджетно партньорство (International Budget Partnership) от 2006 година, когато постига 47 пункта, като с течение на времето страната ни отбелязва значително подобрение на оценката си до постигнатите 71 пункта през 2019 и 2021 г., което е средната стойност за страните-членки на ОИСР, като участва и в последното проучване от настоящата година, оценката от което ще бъде публикувана в първите месеци на 2024 г. По този начин страната остава във втората група държави в индекса с оценка между 60 и 80 (от максимални 100), като за тези страни се смята, че предоставят „значителна информация“ за бюджета.</w:t>
      </w:r>
    </w:p>
    <w:p w:rsidR="00F05ECA" w:rsidRPr="00AA3F66" w:rsidRDefault="00F05ECA" w:rsidP="00F05ECA">
      <w:pPr>
        <w:rPr>
          <w:rFonts w:eastAsia="Batang" w:cs="Times New Roman"/>
        </w:rPr>
      </w:pPr>
      <w:r w:rsidRPr="00AA3F66">
        <w:rPr>
          <w:rFonts w:eastAsia="Batang" w:cs="Times New Roman"/>
        </w:rPr>
        <w:t>Индексът „Отворен бюджет“ е единственото международно независимо сравнително изследване на бюджетната прозрачност, което оценява степента, в която правителствата на 125 страни по света осигуряват на обществото навременна и подробна информация за бюджета. Индексът покрива процедурите по съставяне, приемане, изпълнение и отчитане на бюджета и отговорностите на други институции като Сметната палата и законодателната власт в бюджетния процес.</w:t>
      </w:r>
    </w:p>
    <w:p w:rsidR="00F05ECA" w:rsidRPr="00AA3F66" w:rsidRDefault="00F05ECA" w:rsidP="00F05ECA">
      <w:pPr>
        <w:rPr>
          <w:rFonts w:eastAsia="Batang" w:cs="Times New Roman"/>
        </w:rPr>
      </w:pPr>
      <w:r w:rsidRPr="00AA3F66">
        <w:rPr>
          <w:rFonts w:eastAsia="Batang" w:cs="Times New Roman"/>
        </w:rPr>
        <w:t xml:space="preserve">Като цяло, правителството на България предоставя значителен обем информация чрез осемте вида ключови бюджетни документа, които са обект на оценката. Безспорно от съществено значение за отбелязания напредък през последните години е изготвянето и публикуването на „Бюджет за гражданите“ на различни етапи от бюджетния процес. </w:t>
      </w:r>
    </w:p>
    <w:p w:rsidR="00F05ECA" w:rsidRPr="00AA3F66" w:rsidRDefault="00F05ECA" w:rsidP="00F05ECA">
      <w:pPr>
        <w:rPr>
          <w:rFonts w:eastAsia="Batang" w:cs="Times New Roman"/>
        </w:rPr>
      </w:pPr>
      <w:r w:rsidRPr="00AA3F66">
        <w:rPr>
          <w:rFonts w:eastAsia="Batang" w:cs="Times New Roman"/>
        </w:rPr>
        <w:t>Оценката за бюджетен надзор е 61 пункта (от максимални 100), като показателят оценява функциите на законодателните и на върховните одитни институции за осигуряване на мониторинг по отношение на бюджета.</w:t>
      </w:r>
    </w:p>
    <w:p w:rsidR="00F05ECA" w:rsidRPr="00AA3F66" w:rsidRDefault="00F05ECA" w:rsidP="008603FC">
      <w:pPr>
        <w:rPr>
          <w:rFonts w:eastAsia="Batang" w:cs="Times New Roman"/>
        </w:rPr>
      </w:pPr>
      <w:r w:rsidRPr="00AA3F66">
        <w:rPr>
          <w:rFonts w:eastAsia="Batang" w:cs="Times New Roman"/>
        </w:rPr>
        <w:t>По отношение на участието на обществеността в бюджетния процес страната ни постигна оценка от 26 пункта (от максимални 100), като този показател оценява формалните възможности, предоставени на обществеността за участие в различни бюджетни инициативи.</w:t>
      </w:r>
    </w:p>
    <w:p w:rsidR="00F05ECA" w:rsidRPr="00AA3F66" w:rsidRDefault="00F05ECA" w:rsidP="008603FC">
      <w:pPr>
        <w:rPr>
          <w:rFonts w:eastAsia="Batang" w:cs="Times New Roman"/>
          <w:highlight w:val="yellow"/>
        </w:rPr>
      </w:pPr>
    </w:p>
    <w:p w:rsidR="000C51B1" w:rsidRPr="00AA3F66" w:rsidRDefault="000C51B1" w:rsidP="00E27B8D">
      <w:pPr>
        <w:rPr>
          <w:rFonts w:eastAsia="Batang" w:cs="Times New Roman"/>
        </w:rPr>
      </w:pPr>
    </w:p>
    <w:p w:rsidR="00C429D8" w:rsidRDefault="00C429D8" w:rsidP="008603FC">
      <w:pPr>
        <w:pStyle w:val="Heading1"/>
        <w:numPr>
          <w:ilvl w:val="0"/>
          <w:numId w:val="0"/>
        </w:numPr>
        <w:rPr>
          <w:color w:val="auto"/>
        </w:rPr>
        <w:sectPr w:rsidR="00C429D8" w:rsidSect="0012697B">
          <w:pgSz w:w="11906" w:h="16838" w:code="9"/>
          <w:pgMar w:top="1418" w:right="1418" w:bottom="851" w:left="1418" w:header="708" w:footer="708" w:gutter="0"/>
          <w:cols w:space="708"/>
          <w:titlePg/>
          <w:docGrid w:linePitch="360"/>
        </w:sectPr>
      </w:pPr>
      <w:bookmarkStart w:id="552" w:name="_Toc511810188"/>
    </w:p>
    <w:bookmarkStart w:id="553" w:name="_Toc151557317"/>
    <w:p w:rsidR="00D16E56" w:rsidRPr="008D2B61" w:rsidRDefault="00C45FCF" w:rsidP="00D16E56">
      <w:pPr>
        <w:pStyle w:val="Heading1"/>
      </w:pPr>
      <w:r w:rsidRPr="001E0DF0">
        <w:rPr>
          <w:noProof/>
        </w:rPr>
        <mc:AlternateContent>
          <mc:Choice Requires="wps">
            <w:drawing>
              <wp:anchor distT="0" distB="0" distL="114300" distR="114300" simplePos="0" relativeHeight="251668992" behindDoc="1" locked="0" layoutInCell="1" allowOverlap="1" wp14:anchorId="19ED7216" wp14:editId="453E83FE">
                <wp:simplePos x="0" y="0"/>
                <wp:positionH relativeFrom="page">
                  <wp:align>right</wp:align>
                </wp:positionH>
                <wp:positionV relativeFrom="paragraph">
                  <wp:posOffset>-901700</wp:posOffset>
                </wp:positionV>
                <wp:extent cx="7560860" cy="2520000"/>
                <wp:effectExtent l="0" t="0" r="2540" b="0"/>
                <wp:wrapNone/>
                <wp:docPr id="17" name="Rectangle 17"/>
                <wp:cNvGraphicFramePr/>
                <a:graphic xmlns:a="http://schemas.openxmlformats.org/drawingml/2006/main">
                  <a:graphicData uri="http://schemas.microsoft.com/office/word/2010/wordprocessingShape">
                    <wps:wsp>
                      <wps:cNvSpPr/>
                      <wps:spPr>
                        <a:xfrm>
                          <a:off x="0" y="0"/>
                          <a:ext cx="7560860" cy="2520000"/>
                        </a:xfrm>
                        <a:prstGeom prst="rect">
                          <a:avLst/>
                        </a:prstGeom>
                        <a:solidFill>
                          <a:schemeClr val="accent3">
                            <a:lumMod val="20000"/>
                            <a:lumOff val="8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973E73F" id="Rectangle 17" o:spid="_x0000_s1026" style="position:absolute;margin-left:544.15pt;margin-top:-71pt;width:595.35pt;height:198.45pt;z-index:-251647488;visibility:visible;mso-wrap-style:square;mso-height-percent:0;mso-wrap-distance-left:9pt;mso-wrap-distance-top:0;mso-wrap-distance-right:9pt;mso-wrap-distance-bottom:0;mso-position-horizontal:right;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J4qqgIAANAFAAAOAAAAZHJzL2Uyb0RvYy54bWysVN9P2zAQfp+0/8Hy+0jbUcoiUlSBmCYx&#10;QMDEs+vYTSTb59lu0+6v39lOQ8fKy7SXxL5f3913vru43GpFNsL5FkxFxycjSoThULdmVdEfzzef&#10;zinxgZmaKTCiojvh6eX844eLzpZiAg2oWjiCQYwvO1vRJgRbFoXnjdDMn4AVBpUSnGYBr25V1I51&#10;GF2rYjIanRUduNo64MJ7lF5nJZ2n+FIKHu6l9CIQVVHMLaSvS99l/BbzC1auHLNNy/s02D9koVlr&#10;EHQIdc0CI2vX/hVKt9yBBxlOOOgCpGy5SDVgNePRm2qeGmZFqgXJ8Xagyf+/sPxu8+BIW2PvZpQY&#10;prFHj8gaMyslCMqQoM76Eu2e7IPrbx6PsdqtdDr+sQ6yTaTuBlLFNhCOwtn0bHR+htxz1E2m2LRR&#10;or14dbfOh68CNImHijrET2Syza0PCImme5OI5kG19U2rVLrElyKulCMbhj1mnAsTPid3tdbfoc7y&#10;AZaVKMY3kcXnB9mkNxcjJcA/QJQhHTI0mWHqEdRAhM+ZKYP2kaJMSjqFnRLRTplHIZFdpGGSHAeM&#10;w2zHWdWwWmTx9N2sUsAYWSL+ELsPcIyJcWwg8tfbR1eRxmJwzhW9k1h2HjwSMpgwOOvWgDtWmQoD&#10;crbfk5SpiSwtod7h23OQh9JbftNi/2+ZDw/M4RTim8HNEu7xIxVgA6A/UdKA+3VMHu1xOFBLSYdT&#10;XVH/c82coER9Mzg2X8anp3ENpMvpdDbBizvULA81Zq2vAB/VGHeY5ekY7YPaH6UD/YILaBFRUcUM&#10;R+yK8uD2l6uQtw2uMC4Wi2SGo29ZuDVPlsfgkdX4vp+3L8zZfggCzs8d7DcAK9/MQraNngYW6wCy&#10;TYPyymvPN66N1P9+xcW9dHhPVq+LeP4bAAD//wMAUEsDBBQABgAIAAAAIQCyJ2Kd4gAAAAoBAAAP&#10;AAAAZHJzL2Rvd25yZXYueG1sTI/BTsMwEETvSPyDtUjcWidRIDRkU5VKvVVIFJDSmxubJMJeR7Gb&#10;Jnw97glus5rVzJtiPRnNRjW4zhJCvIyAKaqt7KhB+HjfLZ6AOS9ICm1JIczKwbq8vSlELu2F3tR4&#10;8A0LIeRygdB63+ecu7pVRril7RUF78sORvhwDg2Xg7iEcKN5EkWP3IiOQkMrerVtVf19OBuEbbaZ&#10;qyzdV59jfdxXL6+7+fijEe/vps0zMK8m//cMV/yADmVgOtkzScc0QhjiERZxmgR19eNVlAE7ISQP&#10;6Qp4WfD/E8pfAAAA//8DAFBLAQItABQABgAIAAAAIQC2gziS/gAAAOEBAAATAAAAAAAAAAAAAAAA&#10;AAAAAABbQ29udGVudF9UeXBlc10ueG1sUEsBAi0AFAAGAAgAAAAhADj9If/WAAAAlAEAAAsAAAAA&#10;AAAAAAAAAAAALwEAAF9yZWxzLy5yZWxzUEsBAi0AFAAGAAgAAAAhALGIniqqAgAA0AUAAA4AAAAA&#10;AAAAAAAAAAAALgIAAGRycy9lMm9Eb2MueG1sUEsBAi0AFAAGAAgAAAAhALInYp3iAAAACgEAAA8A&#10;AAAAAAAAAAAAAAAABAUAAGRycy9kb3ducmV2LnhtbFBLBQYAAAAABAAEAPMAAAATBgAAAAA=&#10;" fillcolor="#f8cec7 [662]" stroked="f" strokeweight="1pt">
                <w10:wrap anchorx="page"/>
              </v:rect>
            </w:pict>
          </mc:Fallback>
        </mc:AlternateContent>
      </w:r>
      <w:r w:rsidR="00D16E56" w:rsidRPr="001E0DF0">
        <w:rPr>
          <w:noProof/>
        </w:rPr>
        <mc:AlternateContent>
          <mc:Choice Requires="wps">
            <w:drawing>
              <wp:anchor distT="0" distB="0" distL="114300" distR="114300" simplePos="0" relativeHeight="251682304" behindDoc="0" locked="0" layoutInCell="1" allowOverlap="1" wp14:anchorId="0A5A847D" wp14:editId="4D996163">
                <wp:simplePos x="0" y="0"/>
                <wp:positionH relativeFrom="column">
                  <wp:posOffset>-898525</wp:posOffset>
                </wp:positionH>
                <wp:positionV relativeFrom="paragraph">
                  <wp:posOffset>1605128</wp:posOffset>
                </wp:positionV>
                <wp:extent cx="7560310" cy="0"/>
                <wp:effectExtent l="0" t="0" r="21590" b="19050"/>
                <wp:wrapNone/>
                <wp:docPr id="12" name="Straight Connector 12"/>
                <wp:cNvGraphicFramePr/>
                <a:graphic xmlns:a="http://schemas.openxmlformats.org/drawingml/2006/main">
                  <a:graphicData uri="http://schemas.microsoft.com/office/word/2010/wordprocessingShape">
                    <wps:wsp>
                      <wps:cNvCnPr/>
                      <wps:spPr>
                        <a:xfrm>
                          <a:off x="0" y="0"/>
                          <a:ext cx="7560310" cy="0"/>
                        </a:xfrm>
                        <a:prstGeom prst="line">
                          <a:avLst/>
                        </a:prstGeom>
                        <a:ln>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D03BC72" id="Straight Connector 12" o:spid="_x0000_s1026" style="position:absolute;z-index:251682304;visibility:visible;mso-wrap-style:square;mso-wrap-distance-left:9pt;mso-wrap-distance-top:0;mso-wrap-distance-right:9pt;mso-wrap-distance-bottom:0;mso-position-horizontal:absolute;mso-position-horizontal-relative:text;mso-position-vertical:absolute;mso-position-vertical-relative:text" from="-70.75pt,126.4pt" to="524.55pt,12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0450QEAAAkEAAAOAAAAZHJzL2Uyb0RvYy54bWysU8Fu3CAQvVfqPyDuXdsbNa2s9eawUXqp&#10;2lXTfADBwxoJGAR07f37DnjXidJKVaNcsAfmPd68GTY3kzXsCCFqdB1vVjVn4CT22h06/vDz7sNn&#10;zmISrhcGHXT8BJHfbN+/24y+hTUOaHoIjEhcbEff8SEl31ZVlANYEVfowdGhwmBFojAcqj6Ikdit&#10;qdZ1fV2NGHofUEKMtHs7H/Jt4VcKZPquVITETMdJWyprKOtjXqvtRrSHIPyg5VmGeIUKK7SjSxeq&#10;W5EE+xX0H1RWy4ARVVpJtBUqpSWUGqiapn5Rzf0gPJRayJzoF5vi29HKb8d9YLqn3q05c8JSj+5T&#10;EPowJLZD58hBDIwOyanRx5YAO7cP5yj6fchlTyrY/KWC2FTcPS3uwpSYpM1PH6/rq4aaIC9n1RPQ&#10;h5i+AFqWfzputMuFi1Ycv8ZEl1HqJSVvG5fXiEb3d9qYEuSRgZ0J7Cio2UJKcOkqyybss0yKMrrK&#10;xczyy186GZiZf4AiQ0hwUxSUUXzJ25x5jaPsDFOkYgHW/wae8zMUypj+D3hBlJvRpQVstcPwt9vT&#10;dJGs5vyLA3Pd2YJH7E+lscUamrfi3Plt5IF+Hhf40wve/gYAAP//AwBQSwMEFAAGAAgAAAAhALkV&#10;C2rhAAAADQEAAA8AAABkcnMvZG93bnJldi54bWxMj8FOwzAMhu9IvENkJG5b2rKhUZpO08QuXBBj&#10;Ao5ZY5puiVM16Vp4ejIJiR1tf/r9/cVytIadsPONIwHpNAGGVDnVUC1g97aZLID5IElJ4wgFfKOH&#10;ZXl9VchcuYFe8bQNNYsh5HMpQIfQ5pz7SqOVfupapHj7cp2VIY5dzVUnhxhuDc+S5J5b2VD8oGWL&#10;a43VcdtbAebj5Wlx/Pk83D23vd4MPhsP71aI25tx9Qgs4Bj+YTjrR3Uoo9Pe9aQ8MwIm6SydR1ZA&#10;Ns9iiTOSzB5SYPu/FS8Lftmi/AUAAP//AwBQSwECLQAUAAYACAAAACEAtoM4kv4AAADhAQAAEwAA&#10;AAAAAAAAAAAAAAAAAAAAW0NvbnRlbnRfVHlwZXNdLnhtbFBLAQItABQABgAIAAAAIQA4/SH/1gAA&#10;AJQBAAALAAAAAAAAAAAAAAAAAC8BAABfcmVscy8ucmVsc1BLAQItABQABgAIAAAAIQBZk0450QEA&#10;AAkEAAAOAAAAAAAAAAAAAAAAAC4CAABkcnMvZTJvRG9jLnhtbFBLAQItABQABgAIAAAAIQC5FQtq&#10;4QAAAA0BAAAPAAAAAAAAAAAAAAAAACsEAABkcnMvZG93bnJldi54bWxQSwUGAAAAAAQABADzAAAA&#10;OQUAAAAA&#10;" strokecolor="#b32c16 [3206]"/>
            </w:pict>
          </mc:Fallback>
        </mc:AlternateContent>
      </w:r>
      <w:r w:rsidR="00D16E56">
        <w:br/>
      </w:r>
      <w:bookmarkEnd w:id="552"/>
      <w:r w:rsidR="00D16E56" w:rsidRPr="00D16E56">
        <w:rPr>
          <w:color w:val="auto"/>
        </w:rPr>
        <w:t>Мотиви към предложения</w:t>
      </w:r>
      <w:r w:rsidR="00D032E4">
        <w:rPr>
          <w:color w:val="auto"/>
        </w:rPr>
        <w:t>та</w:t>
      </w:r>
      <w:r w:rsidR="00D16E56" w:rsidRPr="00D16E56">
        <w:rPr>
          <w:color w:val="auto"/>
        </w:rPr>
        <w:t xml:space="preserve"> за промяна на други з</w:t>
      </w:r>
      <w:r w:rsidR="0098294A">
        <w:rPr>
          <w:color w:val="auto"/>
        </w:rPr>
        <w:t>акони в проекта на ЗДБРБ за 2024</w:t>
      </w:r>
      <w:r w:rsidR="00D16E56" w:rsidRPr="00D16E56">
        <w:rPr>
          <w:color w:val="auto"/>
        </w:rPr>
        <w:t xml:space="preserve"> г.</w:t>
      </w:r>
      <w:bookmarkEnd w:id="553"/>
    </w:p>
    <w:p w:rsidR="00A7330A" w:rsidRDefault="00A7330A" w:rsidP="00483F24">
      <w:pPr>
        <w:rPr>
          <w:noProof/>
        </w:rPr>
      </w:pPr>
      <w:bookmarkStart w:id="554" w:name="_Toc464466466"/>
      <w:bookmarkStart w:id="555" w:name="_Toc464466710"/>
      <w:bookmarkStart w:id="556" w:name="_Toc464466739"/>
      <w:bookmarkStart w:id="557" w:name="_Toc464470250"/>
      <w:bookmarkStart w:id="558" w:name="_Toc464645031"/>
      <w:bookmarkStart w:id="559" w:name="_Toc464646384"/>
      <w:bookmarkStart w:id="560" w:name="_Toc464224822"/>
      <w:bookmarkStart w:id="561" w:name="_Toc464225472"/>
      <w:bookmarkStart w:id="562" w:name="_Toc464459019"/>
      <w:bookmarkStart w:id="563" w:name="_Toc464459767"/>
      <w:bookmarkStart w:id="564" w:name="_Toc464460720"/>
      <w:bookmarkStart w:id="565" w:name="_Toc464463119"/>
      <w:bookmarkStart w:id="566" w:name="_Toc464464948"/>
      <w:bookmarkStart w:id="567" w:name="_Toc464465455"/>
      <w:bookmarkStart w:id="568" w:name="_Toc464465643"/>
    </w:p>
    <w:p w:rsidR="00C64C1D" w:rsidRPr="00C64C1D" w:rsidRDefault="00C64C1D" w:rsidP="00C64C1D">
      <w:r w:rsidRPr="00C64C1D">
        <w:t xml:space="preserve">Предложените промени в </w:t>
      </w:r>
      <w:r w:rsidRPr="00C64C1D">
        <w:rPr>
          <w:b/>
        </w:rPr>
        <w:t>Закона за радиото и телевизията</w:t>
      </w:r>
      <w:r w:rsidRPr="00C64C1D">
        <w:t xml:space="preserve"> са във връзка с удължаването на срока за финансиране на Съвета за електронни медии, както и за финансиране на дейности със средства от държавния бюджет на БНТ и БНР.</w:t>
      </w:r>
    </w:p>
    <w:p w:rsidR="008A54B3" w:rsidRDefault="00C64C1D" w:rsidP="00C64C1D">
      <w:r>
        <w:t xml:space="preserve">Предложените промени в </w:t>
      </w:r>
      <w:r w:rsidRPr="00C64C1D">
        <w:rPr>
          <w:b/>
        </w:rPr>
        <w:t>Закона за съдебната власт</w:t>
      </w:r>
      <w:r>
        <w:rPr>
          <w:b/>
        </w:rPr>
        <w:t xml:space="preserve"> </w:t>
      </w:r>
      <w:r w:rsidRPr="00C64C1D">
        <w:t>са във връзка с изпълнение на заложените резултати по договор № BG05SFOP001-3.004-0001 „Въвеждане на програмно бюджетиране в органите на съдебната власт“ от 29.05.2020 г. с бенефициент Висшия съдебен съвет и установяване на правна норма за регламентиране прилагането на програмен формат на бюджет от ПРБ по бюджета на съдебната власт и от органите на съдебната власт.</w:t>
      </w:r>
    </w:p>
    <w:p w:rsidR="00071830" w:rsidRDefault="00206BD2" w:rsidP="008A54B3">
      <w:r w:rsidRPr="00206BD2">
        <w:t xml:space="preserve">Предложените промени в </w:t>
      </w:r>
      <w:r w:rsidRPr="00206BD2">
        <w:rPr>
          <w:b/>
        </w:rPr>
        <w:t>Закона за вероизповеданията</w:t>
      </w:r>
      <w:r w:rsidRPr="00206BD2">
        <w:t xml:space="preserve"> са във връзка с предложение на дирекция „Вероизповедания“ към администрацията на Министерския съвет за завишение на субсидията за регистрираните вероизповедания с повече от 1 на сто от самоопределилите се към съответното вероизповедание спрямо общия брой на преброените лица, при което за едно самоопределило се лице субсидията в размер, не по-малък от 10 лв. се увеличава на 15 лв. Мотивите за това са свързани с неотложните разходи във връзка с компенсирането на свещенослужителите, породено от инфлационните процеси и промяната в множество сектори на възнагражденията на служителите, което предполага и актуализация в този сектор. Такава актуализация не се е осъществявала след промените в Закона за вероизповеданията през 2019 и 2020 г.</w:t>
      </w:r>
    </w:p>
    <w:p w:rsidR="00DD3BDD" w:rsidRPr="00071830" w:rsidRDefault="00DD3BDD" w:rsidP="008A54B3">
      <w:r w:rsidRPr="00071830">
        <w:rPr>
          <w:b/>
        </w:rPr>
        <w:t xml:space="preserve">Мотиви за промяна на Закона за обществените поръчки: </w:t>
      </w:r>
    </w:p>
    <w:p w:rsidR="00DD3BDD" w:rsidRPr="00071830" w:rsidRDefault="00DD3BDD" w:rsidP="008A54B3">
      <w:pPr>
        <w:rPr>
          <w:b/>
        </w:rPr>
      </w:pPr>
      <w:r w:rsidRPr="00071830">
        <w:t>При прилагане на Закона за обществените поръчки (ЗОП) публичните възложители следва да не допускат неравнопоставеност и дискриминация при възлагането на обществени поръчки. Безспорно в приложното поле на закона попада и изпълнението на договора за обществена поръчка или рамково споразумение, като в този смисъл спазването на основните принципи на ЗОП е задължение за възложителя до приключване на договора за възлагане на обществена поръчка (аргумент - чл. 3 от ЗОП). Нормата на чл. 117а препраща към чл. 116, ал. 1, т. 1, 2 и 3 от ЗОП. В този смисъл, при изменение на цената на договор за обществена поръчка или рамково споразумение в резултат на инфлация, при която съществено са увеличени цените на основни стоки и материали, които формират стойността на договора или рамковото споразумение, се прилага ограничението по чл. 116, ал. 2 от ЗОП. Така например ако за възложителя, поради непредвидени обстоятелства, е възникнала необходимост от извършване на допълнително строителство, което не е включено в първоначалната обществена поръчка, и той се е възползвал от възможността да измени договора за обществена поръчка като възложи тези допълнителни дейности и на това основание е достигнал увеличение до 50 на сто стойността на основния договор, това означава, че същият възложител не може да се възползва от възможността да индексира цената на този договор предвид ограничението, заложено в ал. 2 на чл. 116 от ЗОП. По този начин възложителят не може да осигури спазването на принципите на равнопоставеност и недопускане на дискриминация при изпълнението на договорите за обществени поръчки, при които вече са налице изменения по реда на чл. 116, ал. 1, т. 2 и 3 от ЗОП, за които е приложимо ограничението по чл. 116, ал. 2 от ЗОП. В случай че методиката за изменение на цената на договор в резултат на инфлация не може да се приложи, тъй като е достигнато това ограничение, е налице реална опасност от невъзможност за изпълнение на голяма част от договорите за строително-монтажни работи, изпълнявани в периода 2021-2023 г. Освен това в случая е налице и потенциален риск изпълнителите по договорите да отказват и да бъдат демотивирани да сключват допълнителни споразумения за изпълнение на допълнителни дейности при условията на чл. 116 от ЗОП, тъй като по този начин ще достигнат ограничението с допълнително възлагане и няма да могат да приложат възможността за изменение на цената в резултат на инфлация. По този начин се стига до момент, в който за изпълнител например, на който е възложено допълнително строителство по реда на чл. 116, ал. 1, т. 2 или 3 от ЗОП, методиката за индексация ще е неприложима, защото той вече е достигнал ограничението по ал. 2 на същия член, в случай че това ограничение е приложимо. Дори и да са налице нормативните предпоставки за сключване на споразумение за възлагане на допълнително строителство на основание чл. 116, ал. 1, т. 2 или прилагане на хипотезата по т. 3 от ЗОП, изпълнителите ще отказват да приемат подобно изменение, съответно да подписват каквито и да е допълнителни споразумения в тази връзка, тъй като това ще повлияе на възможността им за индексация или обратното. По този начин се лишават от правен смисъл действащите разпоредби на чл. 116, ал. 1, т. 2 и 3 от ЗОП, чрез прилагането на които до момента възложителят е успявал да осигури изпълнението на сложни и специфични обекти. Ето защо законодателят следва да предостави възможност ограничението на чл. 116, ал. 2 да не се прилага, когато са налице кумулативно допълнително възлагане и изменение на цените в резултат на инфлация.</w:t>
      </w:r>
    </w:p>
    <w:p w:rsidR="00DD3BDD" w:rsidRPr="00071830" w:rsidRDefault="00DD3BDD" w:rsidP="00DD3BDD">
      <w:pPr>
        <w:rPr>
          <w:b/>
        </w:rPr>
      </w:pPr>
      <w:r w:rsidRPr="00071830">
        <w:t>Предложена е</w:t>
      </w:r>
      <w:r w:rsidRPr="00071830">
        <w:rPr>
          <w:b/>
        </w:rPr>
        <w:t xml:space="preserve"> </w:t>
      </w:r>
      <w:r w:rsidRPr="00071830">
        <w:t>промяна на</w:t>
      </w:r>
      <w:r w:rsidRPr="00071830">
        <w:rPr>
          <w:b/>
        </w:rPr>
        <w:t xml:space="preserve"> Закона за изменение и допълнение на Закона за обществените поръчки. </w:t>
      </w:r>
      <w:r w:rsidRPr="00071830">
        <w:t>С § 93 от Преходните и Заключителни разпоредби към Закона за изменение и допълнение на Закона за обществените поръчки (обн., ДВ, бр. 88 от 2023 г., в сила от 22.12.2023 г.) е предвидено, че възлагането на обществени поръчки и сключването на рамкови споразумения, за които до влизането в сила на този закон е взето решение за откриване на процедура, публикувана е обява по чл. 187, ал. 1 или е изпратена покана по чл. 191, се довършват по досегашния ред. Необходимо е тази разпоредба да бъде допълнена като се предвиди уреждане на заварените положения във връзка с изменението на чл. 111 от ЗОП по отношение на вече сключени договори. Аналогично е положението и за договори, които предстои да се сключат, но по които възлагателният процес е започнал преди влизане в сила на промените в чл. 111. Съгласно последното изменение на чл. 111, ал. 7 гаранцията по ал. 5, т. 3 може да се предостави само когато стойността на  авансово предоставените средства, съответно на гаранцията за изпълнение, е равна или по-малка от 500 000 лв. Въведено е ограничение на възможността за обезпечаване на авансово плащане по договори и/или обезпечаване на доброто изпълнение на договори за обществени поръчки чрез застраховка. Това ограничение ще постави в затруднено положение голяма част от изпълнителите по договорите за обществени поръчки. През последните години, предвид по-достъпната и гъвкава форма на застраховката, като възможност за обезпечаване на задължения по договори, голяма част от изпълнителите се възползваха от тази правна възможност, особено по отношение на договори за строителство с голяма стойност. Механизмът на банковата гаранция и резервирането на голям ресурс, необходим за издаването и обезпечаването й допълнително мотивира изпълнителите да предпочетат застраховката като форма на обезпечение. В тази връзка следва да се предвиди преходен период, през който да се даде възможност всички вече сключени договори, по които са предоставени застраховки, да продължат да се изпълняват по досегашния ред. Предвид това е необходимо изрично да бъде посочено, че и за сключени договори след 31 декември 2023 г., но при които възлагането на поръчката е започнало преди 1 януари 2024 г., предоставянето и освобождаването на гаранции по чл. 111, които обезпечават изпълнението на договора и/или авансово предоставените средства по сключени договори, се урежда по досегашния ред.</w:t>
      </w:r>
    </w:p>
    <w:p w:rsidR="00DD3BDD" w:rsidRDefault="00DD3BDD" w:rsidP="00DD3BDD">
      <w:r w:rsidRPr="00071830">
        <w:t>Към настоящия момент, след направен анализ, се установява, че най-голям ръст на инфлацията е в периода на средата на 2021 г. - до средата на 2023 г. От значение е късното приемане на методика, по която да се извърши индексацията на цената. По този начин се създаде правен вакуум, като за продължителен период от време нямаше уредба, по силата на която да се измени цената на договор за обществена поръчка, в резултат на инфлация. С предвидения текст ще се постигне равнопоставеност на правните субекти, действащи при едни и същи пазарни условия.</w:t>
      </w:r>
    </w:p>
    <w:p w:rsidR="005E4768" w:rsidRPr="00D555C0" w:rsidRDefault="005E4768" w:rsidP="005E4768">
      <w:r>
        <w:t xml:space="preserve">Предложените промени </w:t>
      </w:r>
      <w:r w:rsidRPr="00D555C0">
        <w:rPr>
          <w:b/>
        </w:rPr>
        <w:t xml:space="preserve">в </w:t>
      </w:r>
      <w:r w:rsidRPr="00C54B9C">
        <w:rPr>
          <w:b/>
        </w:rPr>
        <w:t>Закона за висшето образование</w:t>
      </w:r>
      <w:r w:rsidRPr="00CD2DF3">
        <w:t xml:space="preserve"> </w:t>
      </w:r>
      <w:r>
        <w:t>са</w:t>
      </w:r>
      <w:r w:rsidRPr="00D555C0">
        <w:t xml:space="preserve"> </w:t>
      </w:r>
      <w:r>
        <w:t xml:space="preserve">във връзка </w:t>
      </w:r>
      <w:r w:rsidRPr="00D555C0">
        <w:t>с усилията за подобряване на икономическото развитие на страната, чрез осигуряване на достъп на български граждани с доказан потенциал до образование във водещите чуждестранни институции за висше образование, както и последващото прилагане на опита им в България и популяризиране на положителния им пример.</w:t>
      </w:r>
    </w:p>
    <w:p w:rsidR="005E4768" w:rsidRPr="00D555C0" w:rsidRDefault="005E4768" w:rsidP="005E4768">
      <w:r w:rsidRPr="00D555C0">
        <w:t xml:space="preserve">В ситуацията на развитие на все по-глобално свързана икономика, целевата инвестиция в образованието на амбициозни хора в световно признати университети несъмнено е с дългосрочна възвръщаемост. България има потенциала да развива прогресивна икономическа среда, създаваща реална стойност. Придобитият международен опит и прилагането му в България ще разкрие повече възможности за подобряване на бизнес и обществената среда у нас, както и утвърждаването на страната ни като притегателна сила за млади таланти. </w:t>
      </w:r>
    </w:p>
    <w:p w:rsidR="005E4768" w:rsidRPr="00D555C0" w:rsidRDefault="005E4768" w:rsidP="005E4768">
      <w:r w:rsidRPr="00D555C0">
        <w:t>Важно е да се адресира необходимостта, споделяна от мотивирани български студенти, от по-широк набор от възможности за достъп до висше образование в най-елитните институции за висше образование в чужбина.</w:t>
      </w:r>
    </w:p>
    <w:p w:rsidR="005E4768" w:rsidRPr="00D555C0" w:rsidRDefault="005E4768" w:rsidP="005E4768">
      <w:r w:rsidRPr="00D555C0">
        <w:t>Конкретните предизвикателства, към които е насочена промяната, са свързани с необходимостта от:</w:t>
      </w:r>
    </w:p>
    <w:p w:rsidR="005E4768" w:rsidRPr="00D555C0" w:rsidRDefault="005E4768" w:rsidP="005E4768">
      <w:r w:rsidRPr="00D555C0">
        <w:t xml:space="preserve">- придобити по време на обучението в чужбина знания, умения и компетентности, както и разширен мироглед, които могат да бъдат изключително ценни за българското общество; </w:t>
      </w:r>
    </w:p>
    <w:p w:rsidR="005E4768" w:rsidRPr="00D555C0" w:rsidRDefault="005E4768" w:rsidP="005E4768">
      <w:r w:rsidRPr="00D555C0">
        <w:t>-</w:t>
      </w:r>
      <w:r>
        <w:t xml:space="preserve"> </w:t>
      </w:r>
      <w:r w:rsidRPr="00D555C0">
        <w:t xml:space="preserve">качествено образование и придобиване на чуждестранен опит като инструменти за развитието на България; </w:t>
      </w:r>
    </w:p>
    <w:p w:rsidR="005E4768" w:rsidRPr="00D555C0" w:rsidRDefault="005E4768" w:rsidP="005E4768">
      <w:r w:rsidRPr="00D555C0">
        <w:t>-</w:t>
      </w:r>
      <w:r>
        <w:t xml:space="preserve"> </w:t>
      </w:r>
      <w:r w:rsidRPr="00D555C0">
        <w:t xml:space="preserve">придобиване на висше образование зад граница, съответстващо на динамиката на пазара на труда, както на глобално, така и на национално ниво; </w:t>
      </w:r>
    </w:p>
    <w:p w:rsidR="00C64C1D" w:rsidRPr="00C64C1D" w:rsidRDefault="005E4768" w:rsidP="00C64C1D">
      <w:pPr>
        <w:rPr>
          <w:b/>
        </w:rPr>
      </w:pPr>
      <w:r w:rsidRPr="00D555C0">
        <w:t>- формиране и развитие у бенефициерите на програмата на умения, свързани с професиите на настоящето и бъдещето</w:t>
      </w:r>
      <w:r>
        <w:t>.</w:t>
      </w:r>
    </w:p>
    <w:p w:rsidR="007F773D" w:rsidRPr="00FD4F2C" w:rsidRDefault="007F773D" w:rsidP="006B367D">
      <w:pPr>
        <w:sectPr w:rsidR="007F773D" w:rsidRPr="00FD4F2C" w:rsidSect="00C429D8">
          <w:pgSz w:w="11906" w:h="16838" w:code="9"/>
          <w:pgMar w:top="1418" w:right="1418" w:bottom="851" w:left="1418" w:header="708" w:footer="708" w:gutter="0"/>
          <w:cols w:space="708"/>
          <w:titlePg/>
          <w:docGrid w:linePitch="360"/>
        </w:sectPr>
      </w:pPr>
    </w:p>
    <w:bookmarkStart w:id="569" w:name="_Toc151557318"/>
    <w:p w:rsidR="00D56DB0" w:rsidRDefault="001E0DF0" w:rsidP="00184C71">
      <w:pPr>
        <w:pStyle w:val="Heading1"/>
        <w:ind w:left="709"/>
      </w:pPr>
      <w:r w:rsidRPr="001E0DF0">
        <w:rPr>
          <w:noProof/>
        </w:rPr>
        <mc:AlternateContent>
          <mc:Choice Requires="wps">
            <w:drawing>
              <wp:anchor distT="0" distB="0" distL="114300" distR="114300" simplePos="0" relativeHeight="251635200" behindDoc="0" locked="0" layoutInCell="1" allowOverlap="1" wp14:anchorId="1039F2BA" wp14:editId="1A21824B">
                <wp:simplePos x="0" y="0"/>
                <wp:positionH relativeFrom="column">
                  <wp:posOffset>-706120</wp:posOffset>
                </wp:positionH>
                <wp:positionV relativeFrom="paragraph">
                  <wp:posOffset>749935</wp:posOffset>
                </wp:positionV>
                <wp:extent cx="10685780" cy="0"/>
                <wp:effectExtent l="0" t="0" r="20320" b="19050"/>
                <wp:wrapNone/>
                <wp:docPr id="699" name="Straight Connector 699"/>
                <wp:cNvGraphicFramePr/>
                <a:graphic xmlns:a="http://schemas.openxmlformats.org/drawingml/2006/main">
                  <a:graphicData uri="http://schemas.microsoft.com/office/word/2010/wordprocessingShape">
                    <wps:wsp>
                      <wps:cNvCnPr/>
                      <wps:spPr>
                        <a:xfrm>
                          <a:off x="0" y="0"/>
                          <a:ext cx="10685780" cy="0"/>
                        </a:xfrm>
                        <a:prstGeom prst="line">
                          <a:avLst/>
                        </a:prstGeom>
                        <a:ln>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FC91ABC" id="Straight Connector 699" o:spid="_x0000_s1026" style="position:absolute;z-index:251635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5.6pt,59.05pt" to="785.8pt,5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VGe0wEAAAwEAAAOAAAAZHJzL2Uyb0RvYy54bWysU8Fu2zAMvQ/YPwi6L3Y6LEuNOD2k6C7D&#10;FqzdB6gyFQuQREHSYufvR8mJW3QDhhW90KbE9/T4RG1uRmvYEULU6Fq+XNScgZPYaXdo+c+Huw9r&#10;zmISrhMGHbT8BJHfbN+/2wy+gSvs0XQQGJG42Ay+5X1KvqmqKHuwIi7Qg6NNhcGKRGk4VF0QA7Fb&#10;U13V9aoaMHQ+oIQYafV22uTbwq8UyPRdqQiJmZaTtlRiKPExx2q7Ec0hCN9reZYhXqHCCu3o0Jnq&#10;ViTBfgX9B5XVMmBElRYSbYVKaQmlB+pmWb/o5r4XHkovZE70s03x7Wjlt+M+MN21fHV9zZkTli7p&#10;PgWhD31iO3SOLMTA8i55NfjYEGTn9uGcRb8PufFRBZu/1BIbi7+n2V8YE5O0uKxX60+f13QP8rJZ&#10;PSF9iOkLoGX5p+VGu9y7aMTxa0x0GpVeSvKycTlGNLq708aUJE8N7ExgR0H3LaQElz5m3YR9VklZ&#10;Rle5m0l/+UsnAxPzD1DkSVZcFJRpfMm7PPMaR9UZpkjFDKz/DTzXZyiUSf0f8IwoJ6NLM9hqh+Fv&#10;p6fxIllN9RcHpr6zBY/YncrNFmto5Ipz5+eRZ/p5XuBPj3j7GwAA//8DAFBLAwQUAAYACAAAACEA&#10;68WNhN8AAAANAQAADwAAAGRycy9kb3ducmV2LnhtbEyPwU7DMAyG70i8Q2QkbluaIkZVmk4IsQsX&#10;xEDAMWtM0y1xqiZdC09PJiHB0f4//f5crWdn2RGH0HmSIJYZMKTG645aCa8vm0UBLERFWllPKOEL&#10;A6zr87NKldpP9IzHbWxZKqFQKgkmxr7kPDQGnQpL3yOl7NMPTsU0Di3Xg5pSubM8z7IVd6qjdMGo&#10;Hu8NNoft6CTY96eH4vD9sb967EezmUI+79+clJcX890tsIhz/IPhpJ/UoU5OOz+SDsxKWAgh8sSm&#10;RBQC2Am5vhErYLvfFa8r/v+L+gcAAP//AwBQSwECLQAUAAYACAAAACEAtoM4kv4AAADhAQAAEwAA&#10;AAAAAAAAAAAAAAAAAAAAW0NvbnRlbnRfVHlwZXNdLnhtbFBLAQItABQABgAIAAAAIQA4/SH/1gAA&#10;AJQBAAALAAAAAAAAAAAAAAAAAC8BAABfcmVscy8ucmVsc1BLAQItABQABgAIAAAAIQDmcVGe0wEA&#10;AAwEAAAOAAAAAAAAAAAAAAAAAC4CAABkcnMvZTJvRG9jLnhtbFBLAQItABQABgAIAAAAIQDrxY2E&#10;3wAAAA0BAAAPAAAAAAAAAAAAAAAAAC0EAABkcnMvZG93bnJldi54bWxQSwUGAAAAAAQABADzAAAA&#10;OQUAAAAA&#10;" strokecolor="#b32c16 [3206]"/>
            </w:pict>
          </mc:Fallback>
        </mc:AlternateContent>
      </w:r>
      <w:r w:rsidRPr="001E0DF0">
        <w:rPr>
          <w:noProof/>
        </w:rPr>
        <mc:AlternateContent>
          <mc:Choice Requires="wps">
            <w:drawing>
              <wp:anchor distT="0" distB="0" distL="114300" distR="114300" simplePos="0" relativeHeight="251633152" behindDoc="1" locked="0" layoutInCell="1" allowOverlap="1" wp14:anchorId="12903DFB" wp14:editId="42A68BA4">
                <wp:simplePos x="0" y="0"/>
                <wp:positionH relativeFrom="page">
                  <wp:posOffset>0</wp:posOffset>
                </wp:positionH>
                <wp:positionV relativeFrom="page">
                  <wp:posOffset>0</wp:posOffset>
                </wp:positionV>
                <wp:extent cx="10684800" cy="1652400"/>
                <wp:effectExtent l="0" t="0" r="2540" b="5080"/>
                <wp:wrapNone/>
                <wp:docPr id="698" name="Rectangle 698"/>
                <wp:cNvGraphicFramePr/>
                <a:graphic xmlns:a="http://schemas.openxmlformats.org/drawingml/2006/main">
                  <a:graphicData uri="http://schemas.microsoft.com/office/word/2010/wordprocessingShape">
                    <wps:wsp>
                      <wps:cNvSpPr/>
                      <wps:spPr>
                        <a:xfrm>
                          <a:off x="0" y="0"/>
                          <a:ext cx="10684800" cy="1652400"/>
                        </a:xfrm>
                        <a:prstGeom prst="rect">
                          <a:avLst/>
                        </a:prstGeom>
                        <a:solidFill>
                          <a:schemeClr val="accent3">
                            <a:lumMod val="20000"/>
                            <a:lumOff val="8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E0E9B6" id="Rectangle 698" o:spid="_x0000_s1026" style="position:absolute;margin-left:0;margin-top:0;width:841.3pt;height:130.1pt;z-index:-251683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T3JqwIAANMFAAAOAAAAZHJzL2Uyb0RvYy54bWysVN1P2zAQf5+0/8Hy+0jTlQIRKapATJPY&#10;QMDEs3HsJpLt82y3affX72ynoWPwMu0lue+Pn+/u/GKrFdkI5zswNS2PJpQIw6HpzKqmPx6vP51S&#10;4gMzDVNgRE13wtOLxccP572txBRaUI1wBIMYX/W2pm0ItioKz1uhmT8CKwwqJTjNArJuVTSO9Rhd&#10;q2I6mcyLHlxjHXDhPUqvspIuUnwpBQ+3UnoRiKop1hbS16Xvc/wWi3NWrRyzbceHMtg/VKFZZzDp&#10;GOqKBUbWrvsrlO64Aw8yHHHQBUjZcZF6wG7KyatuHlpmReoFwfF2hMn/v7D8++bOka6p6fwMn8ow&#10;jY90j7Axs1KCRCFC1FtfoeWDvXMD55GM/W6l0/GPnZBtgnU3wiq2gXAUlpP56ex0gvBzVJbz4+kM&#10;GQxUvPhb58MXAZpEoqYOK0h4ss2ND9l0bxLTeVBdc90plZg4LOJSObJh+MyMc2HC5+Su1vobNFmO&#10;45LTsgrFOBZZjIWN1aSxi5FSbX8kUYb0WPz0BI1jUgMxfa5MGbSPGGVUEhV2SkQ7Ze6FRIARh2ly&#10;HHMcVltmVcsakcXH71aVAsbIEvOPsYcAbyFRDlAP9tFVpM0YnXNH7xSWWxw9UmYwYXTWnQH3Vmcq&#10;jJmz/R6kDE1E6RmaHY6fg7yX3vLrDt//hvlwxxwuIs4MHpdwix+pAB8ABoqSFtyvt+TRHvcDtZT0&#10;uNg19T/XzAlK1FeDm3NWzmbxEiRmdnwyRcYdap4PNWatLwGHqsQzZnkio31Qe1I60E94g5YxK6qY&#10;4Zi7pjy4PXMZ8sHBK8bFcpnMcPstCzfmwfIYPKIa5/tx+8ScHZYg4AJ9h/0RYNWrXci20dPAch1A&#10;dmlRXnAd8MbLkcZ5uHLxNB3yyerlFi9+AwAA//8DAFBLAwQUAAYACAAAACEAJQ5HBd0AAAAGAQAA&#10;DwAAAGRycy9kb3ducmV2LnhtbEyPQWvCQBCF74X+h2UKvdWNQaKk2YgK3qRQqxBva3aaBHdnQ3aN&#10;SX99117qZeDxHu99ky0Ho1mPnWssCZhOImBIpVUNVQIOX9u3BTDnJSmpLaGAER0s8+enTKbK3ugT&#10;+72vWCghl0oBtfdtyrkrazTSTWyLFLxv2xnpg+wqrjp5C+VG8ziKEm5kQ2Ghli1uaiwv+6sRsJmv&#10;xmI+2xXHvjztivXHdjz9aCFeX4bVOzCPg/8Pwx0/oEMemM72SsoxLSA84v/u3UsWcQLsLCBOohh4&#10;nvFH/PwXAAD//wMAUEsBAi0AFAAGAAgAAAAhALaDOJL+AAAA4QEAABMAAAAAAAAAAAAAAAAAAAAA&#10;AFtDb250ZW50X1R5cGVzXS54bWxQSwECLQAUAAYACAAAACEAOP0h/9YAAACUAQAACwAAAAAAAAAA&#10;AAAAAAAvAQAAX3JlbHMvLnJlbHNQSwECLQAUAAYACAAAACEAiXU9yasCAADTBQAADgAAAAAAAAAA&#10;AAAAAAAuAgAAZHJzL2Uyb0RvYy54bWxQSwECLQAUAAYACAAAACEAJQ5HBd0AAAAGAQAADwAAAAAA&#10;AAAAAAAAAAAFBQAAZHJzL2Rvd25yZXYueG1sUEsFBgAAAAAEAAQA8wAAAA8GAAAAAA==&#10;" fillcolor="#f8cec7 [662]" stroked="f" strokeweight="1pt">
                <w10:wrap anchorx="page" anchory="page"/>
              </v:rect>
            </w:pict>
          </mc:Fallback>
        </mc:AlternateContent>
      </w:r>
      <w:r w:rsidR="00A40B97">
        <w:t xml:space="preserve"> </w:t>
      </w:r>
      <w:bookmarkStart w:id="570" w:name="_Toc465205582"/>
      <w:r w:rsidR="00D56DB0" w:rsidRPr="001E0DF0">
        <w:rPr>
          <w:color w:val="auto"/>
        </w:rPr>
        <w:t>Приложения</w:t>
      </w:r>
      <w:bookmarkEnd w:id="554"/>
      <w:bookmarkEnd w:id="555"/>
      <w:bookmarkEnd w:id="556"/>
      <w:bookmarkEnd w:id="557"/>
      <w:bookmarkEnd w:id="558"/>
      <w:bookmarkEnd w:id="559"/>
      <w:bookmarkEnd w:id="569"/>
      <w:bookmarkEnd w:id="570"/>
    </w:p>
    <w:p w:rsidR="00270AAD" w:rsidRDefault="00270AAD" w:rsidP="00DE2BDB">
      <w:pPr>
        <w:pStyle w:val="Heading2"/>
        <w:sectPr w:rsidR="00270AAD" w:rsidSect="002D7CED">
          <w:type w:val="oddPage"/>
          <w:pgSz w:w="16838" w:h="11906" w:orient="landscape" w:code="9"/>
          <w:pgMar w:top="1418" w:right="1134" w:bottom="851" w:left="1134" w:header="709" w:footer="709" w:gutter="0"/>
          <w:cols w:num="2" w:space="708"/>
          <w:titlePg/>
          <w:docGrid w:linePitch="360"/>
        </w:sectPr>
      </w:pPr>
    </w:p>
    <w:p w:rsidR="00E42934" w:rsidRPr="00AA3F66" w:rsidRDefault="00D427A3" w:rsidP="00DE2BDB">
      <w:pPr>
        <w:pStyle w:val="Heading2"/>
        <w:numPr>
          <w:ilvl w:val="0"/>
          <w:numId w:val="0"/>
        </w:numPr>
      </w:pPr>
      <w:bookmarkStart w:id="571" w:name="_ПРИЛОЖЕНИЕ_№_1:"/>
      <w:bookmarkStart w:id="572" w:name="_Toc151557319"/>
      <w:bookmarkStart w:id="573" w:name="_Toc465205583"/>
      <w:bookmarkEnd w:id="571"/>
      <w:r w:rsidRPr="00AA3F66">
        <w:t xml:space="preserve">Приложение </w:t>
      </w:r>
      <w:r w:rsidR="00574A2C" w:rsidRPr="00AA3F66">
        <w:t xml:space="preserve">№ 1: </w:t>
      </w:r>
      <w:r w:rsidR="005D4B70" w:rsidRPr="00AA3F66">
        <w:br/>
      </w:r>
      <w:r w:rsidR="00574A2C" w:rsidRPr="00AA3F66">
        <w:t>П</w:t>
      </w:r>
      <w:r w:rsidR="00E42934" w:rsidRPr="00AA3F66">
        <w:t>реглед на изпълнението на</w:t>
      </w:r>
      <w:r w:rsidR="0011358B" w:rsidRPr="00AA3F66">
        <w:t xml:space="preserve"> К</w:t>
      </w:r>
      <w:r w:rsidR="00DE6C96" w:rsidRPr="00AA3F66">
        <w:t>ФП за 2022 г., изпълнение на кфп към 30.09</w:t>
      </w:r>
      <w:r w:rsidR="0011358B" w:rsidRPr="00AA3F66">
        <w:t>.</w:t>
      </w:r>
      <w:r w:rsidR="00DE6C96" w:rsidRPr="00AA3F66">
        <w:t>2023 г. и оценка з</w:t>
      </w:r>
      <w:r w:rsidR="00E42934" w:rsidRPr="00AA3F66">
        <w:t>а изпълнението на КФП за 2023 г.</w:t>
      </w:r>
      <w:bookmarkEnd w:id="572"/>
    </w:p>
    <w:p w:rsidR="00574A2C" w:rsidRPr="00AA3F66" w:rsidRDefault="00EB33FD" w:rsidP="00EB33FD">
      <w:pPr>
        <w:pStyle w:val="Heading2"/>
        <w:spacing w:before="360"/>
        <w:ind w:left="453" w:hanging="164"/>
      </w:pPr>
      <w:bookmarkStart w:id="574" w:name="_Toc151557320"/>
      <w:bookmarkEnd w:id="560"/>
      <w:bookmarkEnd w:id="561"/>
      <w:bookmarkEnd w:id="562"/>
      <w:bookmarkEnd w:id="563"/>
      <w:bookmarkEnd w:id="564"/>
      <w:bookmarkEnd w:id="565"/>
      <w:bookmarkEnd w:id="566"/>
      <w:bookmarkEnd w:id="567"/>
      <w:bookmarkEnd w:id="568"/>
      <w:bookmarkEnd w:id="573"/>
      <w:r w:rsidRPr="00AA3F66">
        <w:t>Преглед на изпълнението на КФП за 202</w:t>
      </w:r>
      <w:r w:rsidR="00984E1B" w:rsidRPr="00AA3F66">
        <w:t>2</w:t>
      </w:r>
      <w:r w:rsidRPr="00AA3F66">
        <w:t xml:space="preserve"> г.</w:t>
      </w:r>
      <w:bookmarkEnd w:id="574"/>
    </w:p>
    <w:p w:rsidR="00F451D8" w:rsidRPr="00AA3F66" w:rsidRDefault="00647705" w:rsidP="00F451D8">
      <w:pPr>
        <w:spacing w:after="0"/>
        <w:jc w:val="right"/>
        <w:rPr>
          <w:rFonts w:eastAsia="Batang"/>
          <w:sz w:val="18"/>
          <w:szCs w:val="18"/>
        </w:rPr>
      </w:pPr>
      <w:r w:rsidRPr="00AA3F66">
        <w:rPr>
          <w:rFonts w:eastAsia="Batang"/>
          <w:sz w:val="18"/>
          <w:szCs w:val="18"/>
        </w:rPr>
        <w:t>(в млн. лв.)</w:t>
      </w:r>
    </w:p>
    <w:tbl>
      <w:tblPr>
        <w:tblW w:w="14760" w:type="dxa"/>
        <w:jc w:val="center"/>
        <w:shd w:val="clear" w:color="auto" w:fill="FFFFFF"/>
        <w:tblLayout w:type="fixed"/>
        <w:tblLook w:val="04A0" w:firstRow="1" w:lastRow="0" w:firstColumn="1" w:lastColumn="0" w:noHBand="0" w:noVBand="1"/>
      </w:tblPr>
      <w:tblGrid>
        <w:gridCol w:w="5940"/>
        <w:gridCol w:w="1621"/>
        <w:gridCol w:w="1439"/>
        <w:gridCol w:w="1260"/>
        <w:gridCol w:w="1350"/>
        <w:gridCol w:w="1620"/>
        <w:gridCol w:w="1530"/>
      </w:tblGrid>
      <w:tr w:rsidR="00F451D8" w:rsidRPr="00AA3F66" w:rsidTr="00A54B9E">
        <w:trPr>
          <w:trHeight w:val="750"/>
          <w:tblHeader/>
          <w:jc w:val="center"/>
        </w:trPr>
        <w:tc>
          <w:tcPr>
            <w:tcW w:w="5940" w:type="dxa"/>
            <w:vMerge w:val="restart"/>
            <w:tcBorders>
              <w:top w:val="single" w:sz="4" w:space="0" w:color="auto"/>
            </w:tcBorders>
            <w:shd w:val="clear" w:color="auto" w:fill="FFFFFF"/>
            <w:noWrap/>
            <w:vAlign w:val="center"/>
            <w:hideMark/>
          </w:tcPr>
          <w:p w:rsidR="00F451D8" w:rsidRPr="00AA3F66" w:rsidRDefault="00F451D8" w:rsidP="00F451D8">
            <w:pPr>
              <w:spacing w:after="0"/>
              <w:jc w:val="center"/>
              <w:rPr>
                <w:rFonts w:eastAsia="Times New Roman" w:cs="Times New Roman"/>
                <w:b/>
                <w:bCs/>
                <w:sz w:val="18"/>
                <w:szCs w:val="18"/>
                <w:lang w:eastAsia="en-US"/>
              </w:rPr>
            </w:pPr>
            <w:r w:rsidRPr="00AA3F66">
              <w:rPr>
                <w:rFonts w:eastAsia="Times New Roman" w:cs="Times New Roman"/>
                <w:b/>
                <w:bCs/>
                <w:sz w:val="18"/>
                <w:szCs w:val="18"/>
                <w:lang w:eastAsia="en-US"/>
              </w:rPr>
              <w:t>ПОКАЗАТЕЛ</w:t>
            </w:r>
          </w:p>
        </w:tc>
        <w:tc>
          <w:tcPr>
            <w:tcW w:w="1621" w:type="dxa"/>
            <w:vMerge w:val="restart"/>
            <w:tcBorders>
              <w:top w:val="single" w:sz="4" w:space="0" w:color="auto"/>
            </w:tcBorders>
            <w:shd w:val="clear" w:color="auto" w:fill="FFFFFF"/>
            <w:noWrap/>
            <w:vAlign w:val="center"/>
            <w:hideMark/>
          </w:tcPr>
          <w:p w:rsidR="00F451D8" w:rsidRPr="00AA3F66" w:rsidRDefault="00F451D8" w:rsidP="00F451D8">
            <w:pPr>
              <w:spacing w:after="0"/>
              <w:jc w:val="center"/>
              <w:rPr>
                <w:rFonts w:eastAsia="Times New Roman" w:cs="Times New Roman"/>
                <w:b/>
                <w:bCs/>
                <w:sz w:val="18"/>
                <w:szCs w:val="18"/>
                <w:lang w:eastAsia="en-US"/>
              </w:rPr>
            </w:pPr>
            <w:r w:rsidRPr="00AA3F66">
              <w:rPr>
                <w:rFonts w:eastAsia="Times New Roman" w:cs="Times New Roman"/>
                <w:b/>
                <w:bCs/>
                <w:sz w:val="18"/>
                <w:szCs w:val="18"/>
                <w:lang w:eastAsia="en-US"/>
              </w:rPr>
              <w:t xml:space="preserve">Програма </w:t>
            </w:r>
          </w:p>
          <w:p w:rsidR="00F451D8" w:rsidRPr="00AA3F66" w:rsidRDefault="00F451D8" w:rsidP="00F451D8">
            <w:pPr>
              <w:spacing w:after="0"/>
              <w:jc w:val="center"/>
              <w:rPr>
                <w:rFonts w:eastAsia="Times New Roman" w:cs="Times New Roman"/>
                <w:b/>
                <w:bCs/>
                <w:sz w:val="18"/>
                <w:szCs w:val="18"/>
                <w:lang w:eastAsia="en-US"/>
              </w:rPr>
            </w:pPr>
            <w:r w:rsidRPr="00AA3F66">
              <w:rPr>
                <w:rFonts w:eastAsia="Times New Roman" w:cs="Times New Roman"/>
                <w:b/>
                <w:bCs/>
                <w:sz w:val="18"/>
                <w:szCs w:val="18"/>
                <w:lang w:eastAsia="en-US"/>
              </w:rPr>
              <w:t xml:space="preserve">2022 г. </w:t>
            </w:r>
          </w:p>
        </w:tc>
        <w:tc>
          <w:tcPr>
            <w:tcW w:w="4049" w:type="dxa"/>
            <w:gridSpan w:val="3"/>
            <w:tcBorders>
              <w:top w:val="single" w:sz="4" w:space="0" w:color="auto"/>
            </w:tcBorders>
            <w:shd w:val="clear" w:color="auto" w:fill="F2F2F2"/>
            <w:noWrap/>
            <w:vAlign w:val="center"/>
            <w:hideMark/>
          </w:tcPr>
          <w:p w:rsidR="00F451D8" w:rsidRPr="00AA3F66" w:rsidRDefault="00F451D8" w:rsidP="00F451D8">
            <w:pPr>
              <w:spacing w:after="0"/>
              <w:jc w:val="center"/>
              <w:rPr>
                <w:rFonts w:eastAsia="Times New Roman" w:cs="Times New Roman"/>
                <w:b/>
                <w:bCs/>
                <w:sz w:val="18"/>
                <w:szCs w:val="18"/>
                <w:lang w:eastAsia="en-US"/>
              </w:rPr>
            </w:pPr>
            <w:r w:rsidRPr="00AA3F66">
              <w:rPr>
                <w:rFonts w:eastAsia="Times New Roman" w:cs="Times New Roman"/>
                <w:b/>
                <w:bCs/>
                <w:sz w:val="18"/>
                <w:szCs w:val="18"/>
                <w:lang w:eastAsia="en-US"/>
              </w:rPr>
              <w:t>Отчет 31.12.2022 г.</w:t>
            </w:r>
          </w:p>
        </w:tc>
        <w:tc>
          <w:tcPr>
            <w:tcW w:w="3150" w:type="dxa"/>
            <w:gridSpan w:val="2"/>
            <w:tcBorders>
              <w:top w:val="single" w:sz="4" w:space="0" w:color="auto"/>
            </w:tcBorders>
            <w:shd w:val="clear" w:color="auto" w:fill="FFFFFF"/>
          </w:tcPr>
          <w:p w:rsidR="00F451D8" w:rsidRPr="00AA3F66" w:rsidRDefault="00F451D8" w:rsidP="00F451D8">
            <w:pPr>
              <w:spacing w:after="0"/>
              <w:jc w:val="center"/>
              <w:rPr>
                <w:rFonts w:eastAsia="Times New Roman" w:cs="Times New Roman"/>
                <w:b/>
                <w:bCs/>
                <w:sz w:val="18"/>
                <w:szCs w:val="18"/>
                <w:lang w:eastAsia="en-US"/>
              </w:rPr>
            </w:pPr>
          </w:p>
          <w:p w:rsidR="00F451D8" w:rsidRPr="00AA3F66" w:rsidRDefault="00F451D8" w:rsidP="00F451D8">
            <w:pPr>
              <w:spacing w:after="0"/>
              <w:jc w:val="center"/>
              <w:rPr>
                <w:rFonts w:eastAsia="Times New Roman" w:cs="Times New Roman"/>
                <w:b/>
                <w:bCs/>
                <w:sz w:val="18"/>
                <w:szCs w:val="18"/>
                <w:lang w:eastAsia="en-US"/>
              </w:rPr>
            </w:pPr>
            <w:r w:rsidRPr="00AA3F66">
              <w:rPr>
                <w:rFonts w:eastAsia="Times New Roman" w:cs="Times New Roman"/>
                <w:b/>
                <w:bCs/>
                <w:sz w:val="18"/>
                <w:szCs w:val="18"/>
                <w:lang w:eastAsia="en-US"/>
              </w:rPr>
              <w:t>Отчет 2022 г.</w:t>
            </w:r>
          </w:p>
          <w:p w:rsidR="00F451D8" w:rsidRPr="00AA3F66" w:rsidRDefault="00F451D8" w:rsidP="00920083">
            <w:pPr>
              <w:spacing w:after="0"/>
              <w:jc w:val="center"/>
              <w:rPr>
                <w:rFonts w:eastAsia="Times New Roman" w:cs="Times New Roman"/>
                <w:b/>
                <w:bCs/>
                <w:sz w:val="18"/>
                <w:szCs w:val="18"/>
                <w:lang w:eastAsia="en-US"/>
              </w:rPr>
            </w:pPr>
            <w:r w:rsidRPr="00AA3F66">
              <w:rPr>
                <w:rFonts w:eastAsia="Times New Roman" w:cs="Times New Roman"/>
                <w:b/>
                <w:bCs/>
                <w:sz w:val="18"/>
                <w:szCs w:val="18"/>
                <w:lang w:eastAsia="en-US"/>
              </w:rPr>
              <w:t>на съпоставима база</w:t>
            </w:r>
            <w:r w:rsidR="00920083" w:rsidRPr="00AA3F66">
              <w:rPr>
                <w:rStyle w:val="FootnoteReference"/>
                <w:rFonts w:eastAsia="Times New Roman"/>
                <w:b/>
                <w:bCs/>
                <w:szCs w:val="18"/>
              </w:rPr>
              <w:footnoteReference w:id="52"/>
            </w:r>
          </w:p>
        </w:tc>
      </w:tr>
      <w:tr w:rsidR="00F451D8" w:rsidRPr="00AA3F66" w:rsidTr="00A54B9E">
        <w:trPr>
          <w:trHeight w:val="467"/>
          <w:tblHeader/>
          <w:jc w:val="center"/>
        </w:trPr>
        <w:tc>
          <w:tcPr>
            <w:tcW w:w="5940" w:type="dxa"/>
            <w:vMerge/>
            <w:shd w:val="clear" w:color="auto" w:fill="FFFFFF"/>
            <w:vAlign w:val="center"/>
            <w:hideMark/>
          </w:tcPr>
          <w:p w:rsidR="00F451D8" w:rsidRPr="00AA3F66" w:rsidRDefault="00F451D8" w:rsidP="00F451D8">
            <w:pPr>
              <w:spacing w:after="0"/>
              <w:jc w:val="left"/>
              <w:rPr>
                <w:rFonts w:eastAsia="Times New Roman" w:cs="Times New Roman"/>
                <w:b/>
                <w:bCs/>
                <w:sz w:val="18"/>
                <w:szCs w:val="18"/>
                <w:lang w:eastAsia="en-US"/>
              </w:rPr>
            </w:pPr>
          </w:p>
        </w:tc>
        <w:tc>
          <w:tcPr>
            <w:tcW w:w="1621" w:type="dxa"/>
            <w:vMerge/>
            <w:shd w:val="clear" w:color="auto" w:fill="FFFFFF"/>
            <w:vAlign w:val="center"/>
            <w:hideMark/>
          </w:tcPr>
          <w:p w:rsidR="00F451D8" w:rsidRPr="00AA3F66" w:rsidRDefault="00F451D8" w:rsidP="00F451D8">
            <w:pPr>
              <w:spacing w:after="0"/>
              <w:jc w:val="left"/>
              <w:rPr>
                <w:rFonts w:eastAsia="Times New Roman" w:cs="Times New Roman"/>
                <w:b/>
                <w:bCs/>
                <w:sz w:val="18"/>
                <w:szCs w:val="18"/>
                <w:lang w:eastAsia="en-US"/>
              </w:rPr>
            </w:pPr>
          </w:p>
        </w:tc>
        <w:tc>
          <w:tcPr>
            <w:tcW w:w="1439" w:type="dxa"/>
            <w:shd w:val="clear" w:color="auto" w:fill="F2F2F2"/>
            <w:noWrap/>
            <w:vAlign w:val="center"/>
            <w:hideMark/>
          </w:tcPr>
          <w:p w:rsidR="00F451D8" w:rsidRPr="00AA3F66" w:rsidRDefault="00F451D8" w:rsidP="00F451D8">
            <w:pPr>
              <w:spacing w:after="0"/>
              <w:jc w:val="center"/>
              <w:rPr>
                <w:rFonts w:eastAsia="Times New Roman" w:cs="Times New Roman"/>
                <w:b/>
                <w:bCs/>
                <w:sz w:val="18"/>
                <w:szCs w:val="18"/>
                <w:lang w:eastAsia="en-US"/>
              </w:rPr>
            </w:pPr>
            <w:r w:rsidRPr="00AA3F66">
              <w:rPr>
                <w:rFonts w:eastAsia="Times New Roman" w:cs="Times New Roman"/>
                <w:b/>
                <w:bCs/>
                <w:sz w:val="18"/>
                <w:szCs w:val="18"/>
                <w:lang w:eastAsia="en-US"/>
              </w:rPr>
              <w:t>КФП*</w:t>
            </w:r>
          </w:p>
        </w:tc>
        <w:tc>
          <w:tcPr>
            <w:tcW w:w="1260" w:type="dxa"/>
            <w:shd w:val="clear" w:color="auto" w:fill="F2F2F2"/>
            <w:vAlign w:val="center"/>
            <w:hideMark/>
          </w:tcPr>
          <w:p w:rsidR="00F451D8" w:rsidRPr="00AA3F66" w:rsidRDefault="00F451D8" w:rsidP="00F451D8">
            <w:pPr>
              <w:spacing w:after="0"/>
              <w:jc w:val="center"/>
              <w:rPr>
                <w:rFonts w:eastAsia="Times New Roman" w:cs="Times New Roman"/>
                <w:b/>
                <w:bCs/>
                <w:sz w:val="18"/>
                <w:szCs w:val="18"/>
                <w:lang w:eastAsia="en-US"/>
              </w:rPr>
            </w:pPr>
            <w:r w:rsidRPr="00AA3F66">
              <w:rPr>
                <w:rFonts w:eastAsia="Times New Roman" w:cs="Times New Roman"/>
                <w:b/>
                <w:bCs/>
                <w:sz w:val="18"/>
                <w:szCs w:val="18"/>
                <w:lang w:eastAsia="en-US"/>
              </w:rPr>
              <w:t>Национален бюджет</w:t>
            </w:r>
          </w:p>
        </w:tc>
        <w:tc>
          <w:tcPr>
            <w:tcW w:w="1350" w:type="dxa"/>
            <w:shd w:val="clear" w:color="auto" w:fill="F2F2F2"/>
            <w:vAlign w:val="center"/>
            <w:hideMark/>
          </w:tcPr>
          <w:p w:rsidR="00F451D8" w:rsidRPr="00AA3F66" w:rsidRDefault="00F451D8" w:rsidP="00920083">
            <w:pPr>
              <w:spacing w:after="0"/>
              <w:jc w:val="center"/>
              <w:rPr>
                <w:rFonts w:eastAsia="Times New Roman" w:cs="Times New Roman"/>
                <w:b/>
                <w:bCs/>
                <w:sz w:val="18"/>
                <w:szCs w:val="18"/>
                <w:lang w:eastAsia="en-US"/>
              </w:rPr>
            </w:pPr>
            <w:r w:rsidRPr="00AA3F66">
              <w:rPr>
                <w:rFonts w:eastAsia="Times New Roman" w:cs="Times New Roman"/>
                <w:b/>
                <w:bCs/>
                <w:sz w:val="18"/>
                <w:szCs w:val="18"/>
              </w:rPr>
              <w:t>ЕС</w:t>
            </w:r>
            <w:r w:rsidR="00920083" w:rsidRPr="00AA3F66">
              <w:rPr>
                <w:rStyle w:val="FootnoteReference"/>
                <w:rFonts w:eastAsia="Times New Roman"/>
                <w:b/>
                <w:bCs/>
                <w:szCs w:val="18"/>
              </w:rPr>
              <w:footnoteReference w:id="53"/>
            </w:r>
          </w:p>
        </w:tc>
        <w:tc>
          <w:tcPr>
            <w:tcW w:w="1620" w:type="dxa"/>
            <w:shd w:val="clear" w:color="auto" w:fill="FFFFFF"/>
          </w:tcPr>
          <w:p w:rsidR="00F451D8" w:rsidRPr="00AA3F66" w:rsidRDefault="00F451D8" w:rsidP="00F451D8">
            <w:pPr>
              <w:spacing w:after="0"/>
              <w:jc w:val="center"/>
              <w:rPr>
                <w:rFonts w:eastAsia="Times New Roman" w:cs="Times New Roman"/>
                <w:b/>
                <w:bCs/>
                <w:sz w:val="18"/>
                <w:szCs w:val="18"/>
                <w:lang w:eastAsia="en-US"/>
              </w:rPr>
            </w:pPr>
          </w:p>
          <w:p w:rsidR="00F451D8" w:rsidRPr="00AA3F66" w:rsidRDefault="00F451D8" w:rsidP="00F451D8">
            <w:pPr>
              <w:spacing w:after="0"/>
              <w:jc w:val="center"/>
              <w:rPr>
                <w:rFonts w:eastAsia="Times New Roman" w:cs="Times New Roman"/>
                <w:b/>
                <w:bCs/>
                <w:sz w:val="18"/>
                <w:szCs w:val="18"/>
                <w:lang w:eastAsia="en-US"/>
              </w:rPr>
            </w:pPr>
            <w:r w:rsidRPr="00AA3F66">
              <w:rPr>
                <w:rFonts w:eastAsia="Times New Roman" w:cs="Times New Roman"/>
                <w:b/>
                <w:bCs/>
                <w:sz w:val="18"/>
                <w:szCs w:val="18"/>
                <w:lang w:eastAsia="en-US"/>
              </w:rPr>
              <w:t>КФП*</w:t>
            </w:r>
          </w:p>
        </w:tc>
        <w:tc>
          <w:tcPr>
            <w:tcW w:w="1530" w:type="dxa"/>
            <w:shd w:val="clear" w:color="auto" w:fill="FFFFFF"/>
            <w:vAlign w:val="center"/>
            <w:hideMark/>
          </w:tcPr>
          <w:p w:rsidR="00F451D8" w:rsidRPr="00AA3F66" w:rsidRDefault="00F451D8" w:rsidP="00F451D8">
            <w:pPr>
              <w:spacing w:after="0"/>
              <w:jc w:val="center"/>
              <w:rPr>
                <w:rFonts w:eastAsia="Times New Roman" w:cs="Times New Roman"/>
                <w:b/>
                <w:bCs/>
                <w:sz w:val="18"/>
                <w:szCs w:val="18"/>
                <w:lang w:eastAsia="en-US"/>
              </w:rPr>
            </w:pPr>
            <w:r w:rsidRPr="00AA3F66">
              <w:rPr>
                <w:rFonts w:eastAsia="Times New Roman" w:cs="Times New Roman"/>
                <w:b/>
                <w:bCs/>
                <w:sz w:val="18"/>
                <w:szCs w:val="18"/>
                <w:lang w:eastAsia="en-US"/>
              </w:rPr>
              <w:t xml:space="preserve">спрямо Програма    </w:t>
            </w:r>
          </w:p>
          <w:p w:rsidR="00F451D8" w:rsidRPr="00AA3F66" w:rsidRDefault="00F451D8" w:rsidP="00F451D8">
            <w:pPr>
              <w:spacing w:after="0"/>
              <w:jc w:val="center"/>
              <w:rPr>
                <w:rFonts w:eastAsia="Times New Roman" w:cs="Times New Roman"/>
                <w:b/>
                <w:bCs/>
                <w:sz w:val="18"/>
                <w:szCs w:val="18"/>
                <w:lang w:eastAsia="en-US"/>
              </w:rPr>
            </w:pPr>
            <w:r w:rsidRPr="00AA3F66">
              <w:rPr>
                <w:rFonts w:eastAsia="Times New Roman" w:cs="Times New Roman"/>
                <w:b/>
                <w:bCs/>
                <w:sz w:val="18"/>
                <w:szCs w:val="18"/>
                <w:lang w:eastAsia="en-US"/>
              </w:rPr>
              <w:t>2022 г.</w:t>
            </w:r>
          </w:p>
        </w:tc>
      </w:tr>
      <w:tr w:rsidR="00F451D8" w:rsidRPr="00AA3F66" w:rsidTr="000E5583">
        <w:trPr>
          <w:trHeight w:val="80"/>
          <w:tblHeader/>
          <w:jc w:val="center"/>
        </w:trPr>
        <w:tc>
          <w:tcPr>
            <w:tcW w:w="5940" w:type="dxa"/>
            <w:tcBorders>
              <w:bottom w:val="single" w:sz="4" w:space="0" w:color="auto"/>
            </w:tcBorders>
            <w:shd w:val="clear" w:color="auto" w:fill="FFFFFF"/>
            <w:noWrap/>
            <w:vAlign w:val="center"/>
            <w:hideMark/>
          </w:tcPr>
          <w:p w:rsidR="00F451D8" w:rsidRPr="00AA3F66" w:rsidRDefault="00F451D8" w:rsidP="00F451D8">
            <w:pPr>
              <w:spacing w:after="0"/>
              <w:jc w:val="center"/>
              <w:rPr>
                <w:rFonts w:eastAsia="Times New Roman" w:cs="Times New Roman"/>
                <w:b/>
                <w:bCs/>
                <w:sz w:val="18"/>
                <w:szCs w:val="18"/>
                <w:lang w:eastAsia="en-US"/>
              </w:rPr>
            </w:pPr>
            <w:r w:rsidRPr="00AA3F66">
              <w:rPr>
                <w:rFonts w:eastAsia="Times New Roman" w:cs="Times New Roman"/>
                <w:b/>
                <w:bCs/>
                <w:sz w:val="18"/>
                <w:szCs w:val="18"/>
                <w:lang w:eastAsia="en-US"/>
              </w:rPr>
              <w:t>к.</w:t>
            </w:r>
            <w:r w:rsidRPr="00AA3F66">
              <w:rPr>
                <w:rFonts w:eastAsia="Times New Roman" w:cs="Times New Roman"/>
                <w:b/>
                <w:bCs/>
                <w:sz w:val="16"/>
                <w:szCs w:val="16"/>
                <w:lang w:eastAsia="en-US"/>
              </w:rPr>
              <w:t>1</w:t>
            </w:r>
          </w:p>
        </w:tc>
        <w:tc>
          <w:tcPr>
            <w:tcW w:w="1621" w:type="dxa"/>
            <w:tcBorders>
              <w:bottom w:val="single" w:sz="4" w:space="0" w:color="auto"/>
            </w:tcBorders>
            <w:shd w:val="clear" w:color="auto" w:fill="FFFFFF"/>
            <w:noWrap/>
            <w:vAlign w:val="center"/>
            <w:hideMark/>
          </w:tcPr>
          <w:p w:rsidR="00F451D8" w:rsidRPr="00AA3F66" w:rsidRDefault="00F451D8" w:rsidP="00F451D8">
            <w:pPr>
              <w:spacing w:after="0"/>
              <w:jc w:val="center"/>
              <w:rPr>
                <w:rFonts w:eastAsia="Times New Roman" w:cs="Times New Roman"/>
                <w:b/>
                <w:bCs/>
                <w:sz w:val="14"/>
                <w:szCs w:val="14"/>
                <w:lang w:eastAsia="en-US"/>
              </w:rPr>
            </w:pPr>
            <w:r w:rsidRPr="00AA3F66">
              <w:rPr>
                <w:rFonts w:eastAsia="Times New Roman" w:cs="Times New Roman"/>
                <w:b/>
                <w:bCs/>
                <w:sz w:val="14"/>
                <w:szCs w:val="14"/>
                <w:lang w:eastAsia="en-US"/>
              </w:rPr>
              <w:t>к.2</w:t>
            </w:r>
          </w:p>
        </w:tc>
        <w:tc>
          <w:tcPr>
            <w:tcW w:w="1439" w:type="dxa"/>
            <w:tcBorders>
              <w:bottom w:val="single" w:sz="4" w:space="0" w:color="auto"/>
            </w:tcBorders>
            <w:shd w:val="clear" w:color="auto" w:fill="F2F2F2"/>
            <w:noWrap/>
            <w:vAlign w:val="center"/>
            <w:hideMark/>
          </w:tcPr>
          <w:p w:rsidR="00F451D8" w:rsidRPr="00AA3F66" w:rsidRDefault="00F451D8" w:rsidP="00F451D8">
            <w:pPr>
              <w:spacing w:after="0"/>
              <w:jc w:val="center"/>
              <w:rPr>
                <w:rFonts w:eastAsia="Times New Roman" w:cs="Times New Roman"/>
                <w:b/>
                <w:bCs/>
                <w:sz w:val="14"/>
                <w:szCs w:val="14"/>
                <w:lang w:eastAsia="en-US"/>
              </w:rPr>
            </w:pPr>
            <w:r w:rsidRPr="00AA3F66">
              <w:rPr>
                <w:rFonts w:eastAsia="Times New Roman" w:cs="Times New Roman"/>
                <w:b/>
                <w:bCs/>
                <w:sz w:val="14"/>
                <w:szCs w:val="14"/>
                <w:lang w:eastAsia="en-US"/>
              </w:rPr>
              <w:t>к.3=к.4+к.5</w:t>
            </w:r>
          </w:p>
        </w:tc>
        <w:tc>
          <w:tcPr>
            <w:tcW w:w="1260" w:type="dxa"/>
            <w:tcBorders>
              <w:bottom w:val="single" w:sz="4" w:space="0" w:color="auto"/>
            </w:tcBorders>
            <w:shd w:val="clear" w:color="auto" w:fill="F2F2F2"/>
            <w:noWrap/>
            <w:vAlign w:val="center"/>
            <w:hideMark/>
          </w:tcPr>
          <w:p w:rsidR="00F451D8" w:rsidRPr="00AA3F66" w:rsidRDefault="00F451D8" w:rsidP="00F451D8">
            <w:pPr>
              <w:spacing w:after="0"/>
              <w:jc w:val="center"/>
              <w:rPr>
                <w:rFonts w:eastAsia="Times New Roman" w:cs="Times New Roman"/>
                <w:b/>
                <w:bCs/>
                <w:sz w:val="14"/>
                <w:szCs w:val="14"/>
                <w:lang w:eastAsia="en-US"/>
              </w:rPr>
            </w:pPr>
            <w:r w:rsidRPr="00AA3F66">
              <w:rPr>
                <w:rFonts w:eastAsia="Times New Roman" w:cs="Times New Roman"/>
                <w:b/>
                <w:bCs/>
                <w:sz w:val="14"/>
                <w:szCs w:val="14"/>
                <w:lang w:eastAsia="en-US"/>
              </w:rPr>
              <w:t>к.4</w:t>
            </w:r>
          </w:p>
        </w:tc>
        <w:tc>
          <w:tcPr>
            <w:tcW w:w="1350" w:type="dxa"/>
            <w:tcBorders>
              <w:bottom w:val="single" w:sz="4" w:space="0" w:color="auto"/>
            </w:tcBorders>
            <w:shd w:val="clear" w:color="auto" w:fill="F2F2F2"/>
            <w:noWrap/>
            <w:vAlign w:val="center"/>
            <w:hideMark/>
          </w:tcPr>
          <w:p w:rsidR="00F451D8" w:rsidRPr="00AA3F66" w:rsidRDefault="00F451D8" w:rsidP="00F451D8">
            <w:pPr>
              <w:spacing w:after="0"/>
              <w:jc w:val="center"/>
              <w:rPr>
                <w:rFonts w:eastAsia="Times New Roman" w:cs="Times New Roman"/>
                <w:b/>
                <w:bCs/>
                <w:sz w:val="14"/>
                <w:szCs w:val="14"/>
                <w:lang w:eastAsia="en-US"/>
              </w:rPr>
            </w:pPr>
            <w:r w:rsidRPr="00AA3F66">
              <w:rPr>
                <w:rFonts w:eastAsia="Times New Roman" w:cs="Times New Roman"/>
                <w:b/>
                <w:bCs/>
                <w:sz w:val="14"/>
                <w:szCs w:val="14"/>
                <w:lang w:eastAsia="en-US"/>
              </w:rPr>
              <w:t>к.5</w:t>
            </w:r>
          </w:p>
        </w:tc>
        <w:tc>
          <w:tcPr>
            <w:tcW w:w="1620" w:type="dxa"/>
            <w:tcBorders>
              <w:bottom w:val="single" w:sz="4" w:space="0" w:color="auto"/>
            </w:tcBorders>
            <w:shd w:val="clear" w:color="auto" w:fill="FFFFFF"/>
          </w:tcPr>
          <w:p w:rsidR="00F451D8" w:rsidRPr="00AA3F66" w:rsidRDefault="00F451D8" w:rsidP="00F451D8">
            <w:pPr>
              <w:spacing w:after="0"/>
              <w:jc w:val="center"/>
              <w:rPr>
                <w:rFonts w:eastAsia="Times New Roman" w:cs="Times New Roman"/>
                <w:b/>
                <w:bCs/>
                <w:sz w:val="14"/>
                <w:szCs w:val="14"/>
                <w:lang w:eastAsia="en-US"/>
              </w:rPr>
            </w:pPr>
            <w:r w:rsidRPr="00AA3F66">
              <w:rPr>
                <w:rFonts w:eastAsia="Times New Roman" w:cs="Times New Roman"/>
                <w:b/>
                <w:bCs/>
                <w:sz w:val="14"/>
                <w:szCs w:val="14"/>
                <w:lang w:eastAsia="en-US"/>
              </w:rPr>
              <w:t>К.6</w:t>
            </w:r>
          </w:p>
        </w:tc>
        <w:tc>
          <w:tcPr>
            <w:tcW w:w="1530" w:type="dxa"/>
            <w:tcBorders>
              <w:bottom w:val="single" w:sz="4" w:space="0" w:color="auto"/>
            </w:tcBorders>
            <w:shd w:val="clear" w:color="auto" w:fill="FFFFFF"/>
            <w:noWrap/>
            <w:vAlign w:val="center"/>
            <w:hideMark/>
          </w:tcPr>
          <w:p w:rsidR="00F451D8" w:rsidRPr="00AA3F66" w:rsidRDefault="00F451D8" w:rsidP="00F451D8">
            <w:pPr>
              <w:spacing w:after="0"/>
              <w:jc w:val="center"/>
              <w:rPr>
                <w:rFonts w:eastAsia="Times New Roman" w:cs="Times New Roman"/>
                <w:b/>
                <w:bCs/>
                <w:sz w:val="14"/>
                <w:szCs w:val="14"/>
                <w:lang w:eastAsia="en-US"/>
              </w:rPr>
            </w:pPr>
            <w:r w:rsidRPr="00AA3F66">
              <w:rPr>
                <w:rFonts w:eastAsia="Times New Roman" w:cs="Times New Roman"/>
                <w:b/>
                <w:bCs/>
                <w:sz w:val="14"/>
                <w:szCs w:val="14"/>
                <w:lang w:eastAsia="en-US"/>
              </w:rPr>
              <w:t>к.7=к.6:к.2</w:t>
            </w:r>
          </w:p>
        </w:tc>
      </w:tr>
      <w:tr w:rsidR="005E6E49" w:rsidRPr="00AA3F66" w:rsidTr="000E0A38">
        <w:trPr>
          <w:trHeight w:val="256"/>
          <w:jc w:val="center"/>
        </w:trPr>
        <w:tc>
          <w:tcPr>
            <w:tcW w:w="5940" w:type="dxa"/>
            <w:tcBorders>
              <w:top w:val="single" w:sz="4" w:space="0" w:color="auto"/>
            </w:tcBorders>
            <w:shd w:val="clear" w:color="auto" w:fill="FFFFFF"/>
            <w:noWrap/>
            <w:vAlign w:val="center"/>
            <w:hideMark/>
          </w:tcPr>
          <w:p w:rsidR="005E6E49" w:rsidRPr="00AA3F66" w:rsidRDefault="005E6E49" w:rsidP="005E6E49">
            <w:pPr>
              <w:spacing w:after="0"/>
              <w:jc w:val="left"/>
              <w:rPr>
                <w:rFonts w:eastAsia="Times New Roman" w:cs="Times New Roman"/>
                <w:b/>
                <w:bCs/>
                <w:sz w:val="18"/>
                <w:szCs w:val="18"/>
                <w:lang w:eastAsia="en-US"/>
              </w:rPr>
            </w:pPr>
            <w:r w:rsidRPr="00AA3F66">
              <w:rPr>
                <w:rFonts w:eastAsia="Times New Roman" w:cs="Times New Roman"/>
                <w:b/>
                <w:bCs/>
                <w:sz w:val="18"/>
                <w:szCs w:val="18"/>
                <w:lang w:eastAsia="en-US"/>
              </w:rPr>
              <w:t>ПРИХОДИ, ПОМОЩИ И ДАРЕНИЯ</w:t>
            </w:r>
          </w:p>
        </w:tc>
        <w:tc>
          <w:tcPr>
            <w:tcW w:w="1621" w:type="dxa"/>
            <w:tcBorders>
              <w:top w:val="single" w:sz="4" w:space="0" w:color="auto"/>
            </w:tcBorders>
            <w:shd w:val="clear" w:color="auto" w:fill="FFFFFF"/>
            <w:noWrap/>
          </w:tcPr>
          <w:p w:rsidR="005E6E49" w:rsidRPr="00AA3F66" w:rsidRDefault="005E6E49" w:rsidP="005E6E49">
            <w:pPr>
              <w:spacing w:after="0"/>
              <w:jc w:val="right"/>
              <w:rPr>
                <w:rFonts w:eastAsia="Times New Roman" w:cs="Times New Roman"/>
                <w:b/>
                <w:sz w:val="18"/>
                <w:szCs w:val="18"/>
                <w:lang w:eastAsia="en-US"/>
              </w:rPr>
            </w:pPr>
            <w:r w:rsidRPr="00AA3F66">
              <w:rPr>
                <w:b/>
                <w:sz w:val="18"/>
                <w:szCs w:val="18"/>
              </w:rPr>
              <w:t>59 658,7</w:t>
            </w:r>
          </w:p>
        </w:tc>
        <w:tc>
          <w:tcPr>
            <w:tcW w:w="1439" w:type="dxa"/>
            <w:tcBorders>
              <w:top w:val="single" w:sz="4" w:space="0" w:color="auto"/>
            </w:tcBorders>
            <w:shd w:val="clear" w:color="auto" w:fill="F2F2F2"/>
            <w:noWrap/>
          </w:tcPr>
          <w:p w:rsidR="005E6E49" w:rsidRPr="00AA3F66" w:rsidRDefault="005E6E49" w:rsidP="005E6E49">
            <w:pPr>
              <w:spacing w:after="0"/>
              <w:jc w:val="right"/>
              <w:rPr>
                <w:rFonts w:eastAsia="Times New Roman" w:cs="Times New Roman"/>
                <w:b/>
                <w:sz w:val="18"/>
                <w:szCs w:val="18"/>
                <w:lang w:eastAsia="en-US"/>
              </w:rPr>
            </w:pPr>
            <w:r w:rsidRPr="00AA3F66">
              <w:rPr>
                <w:b/>
                <w:sz w:val="18"/>
                <w:szCs w:val="18"/>
              </w:rPr>
              <w:t>64 788,7</w:t>
            </w:r>
          </w:p>
        </w:tc>
        <w:tc>
          <w:tcPr>
            <w:tcW w:w="1260" w:type="dxa"/>
            <w:tcBorders>
              <w:top w:val="single" w:sz="4" w:space="0" w:color="auto"/>
            </w:tcBorders>
            <w:shd w:val="clear" w:color="auto" w:fill="F2F2F2"/>
            <w:noWrap/>
          </w:tcPr>
          <w:p w:rsidR="005E6E49" w:rsidRPr="00AA3F66" w:rsidRDefault="005E6E49" w:rsidP="005E6E49">
            <w:pPr>
              <w:spacing w:after="0"/>
              <w:jc w:val="right"/>
              <w:rPr>
                <w:rFonts w:eastAsia="Times New Roman" w:cs="Times New Roman"/>
                <w:b/>
                <w:sz w:val="18"/>
                <w:szCs w:val="18"/>
                <w:lang w:eastAsia="en-US"/>
              </w:rPr>
            </w:pPr>
            <w:r w:rsidRPr="00AA3F66">
              <w:rPr>
                <w:b/>
                <w:sz w:val="18"/>
                <w:szCs w:val="18"/>
              </w:rPr>
              <w:t>58 963,3</w:t>
            </w:r>
          </w:p>
        </w:tc>
        <w:tc>
          <w:tcPr>
            <w:tcW w:w="1350" w:type="dxa"/>
            <w:tcBorders>
              <w:top w:val="single" w:sz="4" w:space="0" w:color="auto"/>
            </w:tcBorders>
            <w:shd w:val="clear" w:color="auto" w:fill="F2F2F2"/>
            <w:noWrap/>
          </w:tcPr>
          <w:p w:rsidR="005E6E49" w:rsidRPr="00AA3F66" w:rsidRDefault="005E6E49" w:rsidP="005E6E49">
            <w:pPr>
              <w:spacing w:after="0"/>
              <w:jc w:val="right"/>
              <w:rPr>
                <w:rFonts w:eastAsia="Times New Roman" w:cs="Times New Roman"/>
                <w:b/>
                <w:sz w:val="18"/>
                <w:szCs w:val="18"/>
                <w:lang w:eastAsia="en-US"/>
              </w:rPr>
            </w:pPr>
            <w:r w:rsidRPr="00AA3F66">
              <w:rPr>
                <w:b/>
                <w:sz w:val="18"/>
                <w:szCs w:val="18"/>
              </w:rPr>
              <w:t>5 825,4</w:t>
            </w:r>
          </w:p>
        </w:tc>
        <w:tc>
          <w:tcPr>
            <w:tcW w:w="1620" w:type="dxa"/>
            <w:tcBorders>
              <w:top w:val="single" w:sz="4" w:space="0" w:color="auto"/>
            </w:tcBorders>
            <w:shd w:val="clear" w:color="auto" w:fill="FFFFFF"/>
          </w:tcPr>
          <w:p w:rsidR="005E6E49" w:rsidRPr="00AA3F66" w:rsidRDefault="005E6E49" w:rsidP="005E6E49">
            <w:pPr>
              <w:spacing w:after="0"/>
              <w:jc w:val="right"/>
              <w:rPr>
                <w:rFonts w:eastAsia="Times New Roman" w:cs="Times New Roman"/>
                <w:b/>
                <w:sz w:val="18"/>
                <w:szCs w:val="18"/>
                <w:lang w:eastAsia="en-US"/>
              </w:rPr>
            </w:pPr>
            <w:r w:rsidRPr="00AA3F66">
              <w:rPr>
                <w:b/>
                <w:sz w:val="18"/>
                <w:szCs w:val="18"/>
              </w:rPr>
              <w:t>61 607,7</w:t>
            </w:r>
          </w:p>
        </w:tc>
        <w:tc>
          <w:tcPr>
            <w:tcW w:w="1530" w:type="dxa"/>
            <w:tcBorders>
              <w:top w:val="single" w:sz="4" w:space="0" w:color="auto"/>
            </w:tcBorders>
            <w:shd w:val="clear" w:color="auto" w:fill="FFFFFF"/>
            <w:noWrap/>
          </w:tcPr>
          <w:p w:rsidR="005E6E49" w:rsidRPr="00AA3F66" w:rsidRDefault="005E6E49" w:rsidP="005E6E49">
            <w:pPr>
              <w:spacing w:after="0"/>
              <w:jc w:val="right"/>
              <w:rPr>
                <w:rFonts w:eastAsia="Times New Roman" w:cs="Times New Roman"/>
                <w:b/>
                <w:sz w:val="18"/>
                <w:szCs w:val="18"/>
                <w:lang w:eastAsia="en-US"/>
              </w:rPr>
            </w:pPr>
            <w:r w:rsidRPr="00AA3F66">
              <w:rPr>
                <w:b/>
                <w:sz w:val="18"/>
                <w:szCs w:val="18"/>
              </w:rPr>
              <w:t>103,3%</w:t>
            </w:r>
          </w:p>
        </w:tc>
      </w:tr>
      <w:tr w:rsidR="005E6E49" w:rsidRPr="00AA3F66" w:rsidTr="000E0A38">
        <w:trPr>
          <w:trHeight w:val="256"/>
          <w:jc w:val="center"/>
        </w:trPr>
        <w:tc>
          <w:tcPr>
            <w:tcW w:w="5940" w:type="dxa"/>
            <w:shd w:val="clear" w:color="auto" w:fill="FFFFFF"/>
            <w:noWrap/>
            <w:vAlign w:val="center"/>
            <w:hideMark/>
          </w:tcPr>
          <w:p w:rsidR="005E6E49" w:rsidRPr="00AA3F66" w:rsidRDefault="005E6E49" w:rsidP="005E6E49">
            <w:pPr>
              <w:spacing w:after="0"/>
              <w:jc w:val="left"/>
              <w:rPr>
                <w:rFonts w:eastAsia="Times New Roman" w:cs="Times New Roman"/>
                <w:sz w:val="18"/>
                <w:szCs w:val="18"/>
                <w:lang w:eastAsia="en-US"/>
              </w:rPr>
            </w:pPr>
            <w:r w:rsidRPr="00AA3F66">
              <w:rPr>
                <w:rFonts w:eastAsia="Times New Roman" w:cs="Times New Roman"/>
                <w:sz w:val="18"/>
                <w:szCs w:val="18"/>
                <w:lang w:eastAsia="en-US"/>
              </w:rPr>
              <w:t>Данъчни приходи</w:t>
            </w:r>
          </w:p>
        </w:tc>
        <w:tc>
          <w:tcPr>
            <w:tcW w:w="1621" w:type="dxa"/>
            <w:shd w:val="clear" w:color="auto" w:fill="FFFFFF"/>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46 122,6</w:t>
            </w:r>
          </w:p>
        </w:tc>
        <w:tc>
          <w:tcPr>
            <w:tcW w:w="1439"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46 783,0</w:t>
            </w:r>
          </w:p>
        </w:tc>
        <w:tc>
          <w:tcPr>
            <w:tcW w:w="126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46 783,0</w:t>
            </w:r>
          </w:p>
        </w:tc>
        <w:tc>
          <w:tcPr>
            <w:tcW w:w="135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0,0</w:t>
            </w:r>
          </w:p>
        </w:tc>
        <w:tc>
          <w:tcPr>
            <w:tcW w:w="1620" w:type="dxa"/>
            <w:shd w:val="clear" w:color="auto" w:fill="FFFFFF"/>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46 783,0</w:t>
            </w:r>
          </w:p>
        </w:tc>
        <w:tc>
          <w:tcPr>
            <w:tcW w:w="1530" w:type="dxa"/>
            <w:shd w:val="clear" w:color="auto" w:fill="FFFFFF"/>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101,4%</w:t>
            </w:r>
          </w:p>
        </w:tc>
      </w:tr>
      <w:tr w:rsidR="005E6E49" w:rsidRPr="00AA3F66" w:rsidTr="000E5583">
        <w:trPr>
          <w:trHeight w:val="310"/>
          <w:jc w:val="center"/>
        </w:trPr>
        <w:tc>
          <w:tcPr>
            <w:tcW w:w="5940" w:type="dxa"/>
            <w:shd w:val="clear" w:color="auto" w:fill="FFFFFF"/>
            <w:noWrap/>
            <w:vAlign w:val="center"/>
            <w:hideMark/>
          </w:tcPr>
          <w:p w:rsidR="005E6E49" w:rsidRPr="00AA3F66" w:rsidRDefault="005E6E49" w:rsidP="005E6E49">
            <w:pPr>
              <w:spacing w:after="0"/>
              <w:jc w:val="left"/>
              <w:rPr>
                <w:rFonts w:eastAsia="Times New Roman" w:cs="Times New Roman"/>
                <w:sz w:val="18"/>
                <w:szCs w:val="18"/>
                <w:lang w:eastAsia="en-US"/>
              </w:rPr>
            </w:pPr>
            <w:r w:rsidRPr="00AA3F66">
              <w:rPr>
                <w:rFonts w:eastAsia="Times New Roman" w:cs="Times New Roman"/>
                <w:sz w:val="18"/>
                <w:szCs w:val="18"/>
                <w:lang w:eastAsia="en-US"/>
              </w:rPr>
              <w:t xml:space="preserve">    Преки данъци</w:t>
            </w:r>
          </w:p>
        </w:tc>
        <w:tc>
          <w:tcPr>
            <w:tcW w:w="1621" w:type="dxa"/>
            <w:shd w:val="clear" w:color="auto" w:fill="FFFFFF"/>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9 051,7</w:t>
            </w:r>
          </w:p>
        </w:tc>
        <w:tc>
          <w:tcPr>
            <w:tcW w:w="1439"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9 923,8</w:t>
            </w:r>
          </w:p>
        </w:tc>
        <w:tc>
          <w:tcPr>
            <w:tcW w:w="126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9 923,8</w:t>
            </w:r>
          </w:p>
        </w:tc>
        <w:tc>
          <w:tcPr>
            <w:tcW w:w="135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p>
        </w:tc>
        <w:tc>
          <w:tcPr>
            <w:tcW w:w="1620" w:type="dxa"/>
            <w:shd w:val="clear" w:color="auto" w:fill="FFFFFF"/>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9 923,8</w:t>
            </w:r>
          </w:p>
        </w:tc>
        <w:tc>
          <w:tcPr>
            <w:tcW w:w="1530" w:type="dxa"/>
            <w:shd w:val="clear" w:color="auto" w:fill="FFFFFF"/>
            <w:noWrap/>
            <w:hideMark/>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109,6%</w:t>
            </w:r>
          </w:p>
        </w:tc>
      </w:tr>
      <w:tr w:rsidR="005E6E49" w:rsidRPr="00AA3F66" w:rsidTr="000E5583">
        <w:trPr>
          <w:trHeight w:val="247"/>
          <w:jc w:val="center"/>
        </w:trPr>
        <w:tc>
          <w:tcPr>
            <w:tcW w:w="5940" w:type="dxa"/>
            <w:shd w:val="clear" w:color="auto" w:fill="FFFFFF"/>
            <w:noWrap/>
            <w:vAlign w:val="center"/>
            <w:hideMark/>
          </w:tcPr>
          <w:p w:rsidR="005E6E49" w:rsidRPr="00AA3F66" w:rsidRDefault="005E6E49" w:rsidP="005E6E49">
            <w:pPr>
              <w:spacing w:after="0"/>
              <w:jc w:val="left"/>
              <w:rPr>
                <w:rFonts w:eastAsia="Times New Roman" w:cs="Times New Roman"/>
                <w:sz w:val="18"/>
                <w:szCs w:val="18"/>
                <w:lang w:eastAsia="en-US"/>
              </w:rPr>
            </w:pPr>
            <w:r w:rsidRPr="00AA3F66">
              <w:rPr>
                <w:rFonts w:eastAsia="Times New Roman" w:cs="Times New Roman"/>
                <w:sz w:val="18"/>
                <w:szCs w:val="18"/>
                <w:lang w:eastAsia="en-US"/>
              </w:rPr>
              <w:t xml:space="preserve">    Косвени данъци </w:t>
            </w:r>
          </w:p>
        </w:tc>
        <w:tc>
          <w:tcPr>
            <w:tcW w:w="1621" w:type="dxa"/>
            <w:shd w:val="clear" w:color="auto" w:fill="FFFFFF"/>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22 275,1</w:t>
            </w:r>
          </w:p>
        </w:tc>
        <w:tc>
          <w:tcPr>
            <w:tcW w:w="1439"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21 541,5</w:t>
            </w:r>
          </w:p>
        </w:tc>
        <w:tc>
          <w:tcPr>
            <w:tcW w:w="126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21 541,5</w:t>
            </w:r>
          </w:p>
        </w:tc>
        <w:tc>
          <w:tcPr>
            <w:tcW w:w="135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p>
        </w:tc>
        <w:tc>
          <w:tcPr>
            <w:tcW w:w="1620" w:type="dxa"/>
            <w:shd w:val="clear" w:color="auto" w:fill="FFFFFF"/>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21 541,5</w:t>
            </w:r>
          </w:p>
        </w:tc>
        <w:tc>
          <w:tcPr>
            <w:tcW w:w="1530" w:type="dxa"/>
            <w:shd w:val="clear" w:color="auto" w:fill="FFFFFF"/>
            <w:noWrap/>
            <w:hideMark/>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96,7%</w:t>
            </w:r>
          </w:p>
        </w:tc>
      </w:tr>
      <w:tr w:rsidR="005E6E49" w:rsidRPr="00AA3F66" w:rsidTr="00F451D8">
        <w:trPr>
          <w:trHeight w:val="256"/>
          <w:jc w:val="center"/>
        </w:trPr>
        <w:tc>
          <w:tcPr>
            <w:tcW w:w="5940" w:type="dxa"/>
            <w:shd w:val="clear" w:color="auto" w:fill="FFFFFF"/>
            <w:noWrap/>
            <w:vAlign w:val="center"/>
            <w:hideMark/>
          </w:tcPr>
          <w:p w:rsidR="005E6E49" w:rsidRPr="00AA3F66" w:rsidRDefault="005E6E49" w:rsidP="005E6E49">
            <w:pPr>
              <w:spacing w:after="0"/>
              <w:jc w:val="left"/>
              <w:rPr>
                <w:rFonts w:eastAsia="Times New Roman" w:cs="Times New Roman"/>
                <w:sz w:val="18"/>
                <w:szCs w:val="18"/>
                <w:lang w:eastAsia="en-US"/>
              </w:rPr>
            </w:pPr>
            <w:r w:rsidRPr="00AA3F66">
              <w:rPr>
                <w:rFonts w:eastAsia="Times New Roman" w:cs="Times New Roman"/>
                <w:sz w:val="18"/>
                <w:szCs w:val="18"/>
                <w:lang w:eastAsia="en-US"/>
              </w:rPr>
              <w:t xml:space="preserve">    Приходи от социални и здравноосигурителни вноски</w:t>
            </w:r>
          </w:p>
        </w:tc>
        <w:tc>
          <w:tcPr>
            <w:tcW w:w="1621" w:type="dxa"/>
            <w:shd w:val="clear" w:color="auto" w:fill="FFFFFF"/>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13 393,8</w:t>
            </w:r>
          </w:p>
        </w:tc>
        <w:tc>
          <w:tcPr>
            <w:tcW w:w="1439"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13 737,7</w:t>
            </w:r>
          </w:p>
        </w:tc>
        <w:tc>
          <w:tcPr>
            <w:tcW w:w="126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13 737,7</w:t>
            </w:r>
          </w:p>
        </w:tc>
        <w:tc>
          <w:tcPr>
            <w:tcW w:w="135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p>
        </w:tc>
        <w:tc>
          <w:tcPr>
            <w:tcW w:w="1620" w:type="dxa"/>
            <w:shd w:val="clear" w:color="auto" w:fill="FFFFFF"/>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13 737,7</w:t>
            </w:r>
          </w:p>
        </w:tc>
        <w:tc>
          <w:tcPr>
            <w:tcW w:w="1530" w:type="dxa"/>
            <w:shd w:val="clear" w:color="auto" w:fill="FFFFFF"/>
            <w:noWrap/>
            <w:hideMark/>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102,6%</w:t>
            </w:r>
          </w:p>
        </w:tc>
      </w:tr>
      <w:tr w:rsidR="005E6E49" w:rsidRPr="00AA3F66" w:rsidTr="000E5583">
        <w:trPr>
          <w:trHeight w:val="292"/>
          <w:jc w:val="center"/>
        </w:trPr>
        <w:tc>
          <w:tcPr>
            <w:tcW w:w="5940" w:type="dxa"/>
            <w:shd w:val="clear" w:color="auto" w:fill="FFFFFF"/>
            <w:noWrap/>
            <w:vAlign w:val="center"/>
            <w:hideMark/>
          </w:tcPr>
          <w:p w:rsidR="005E6E49" w:rsidRPr="00AA3F66" w:rsidRDefault="005E6E49" w:rsidP="005E6E49">
            <w:pPr>
              <w:spacing w:after="0"/>
              <w:jc w:val="left"/>
              <w:rPr>
                <w:rFonts w:eastAsia="Times New Roman" w:cs="Times New Roman"/>
                <w:sz w:val="18"/>
                <w:szCs w:val="18"/>
                <w:lang w:eastAsia="en-US"/>
              </w:rPr>
            </w:pPr>
            <w:r w:rsidRPr="00AA3F66">
              <w:rPr>
                <w:rFonts w:eastAsia="Times New Roman" w:cs="Times New Roman"/>
                <w:sz w:val="18"/>
                <w:szCs w:val="18"/>
                <w:lang w:eastAsia="en-US"/>
              </w:rPr>
              <w:t xml:space="preserve">    Други данъци</w:t>
            </w:r>
          </w:p>
        </w:tc>
        <w:tc>
          <w:tcPr>
            <w:tcW w:w="1621" w:type="dxa"/>
            <w:shd w:val="clear" w:color="auto" w:fill="FFFFFF"/>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1 402,0</w:t>
            </w:r>
          </w:p>
        </w:tc>
        <w:tc>
          <w:tcPr>
            <w:tcW w:w="1439"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1 580,0</w:t>
            </w:r>
          </w:p>
        </w:tc>
        <w:tc>
          <w:tcPr>
            <w:tcW w:w="126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1 580,0</w:t>
            </w:r>
          </w:p>
        </w:tc>
        <w:tc>
          <w:tcPr>
            <w:tcW w:w="135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0,0</w:t>
            </w:r>
          </w:p>
        </w:tc>
        <w:tc>
          <w:tcPr>
            <w:tcW w:w="1620" w:type="dxa"/>
            <w:shd w:val="clear" w:color="auto" w:fill="FFFFFF"/>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1 580,0</w:t>
            </w:r>
          </w:p>
        </w:tc>
        <w:tc>
          <w:tcPr>
            <w:tcW w:w="1530" w:type="dxa"/>
            <w:shd w:val="clear" w:color="auto" w:fill="FFFFFF"/>
            <w:noWrap/>
            <w:hideMark/>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112,7%</w:t>
            </w:r>
          </w:p>
        </w:tc>
      </w:tr>
      <w:tr w:rsidR="005E6E49" w:rsidRPr="00AA3F66" w:rsidTr="00F451D8">
        <w:trPr>
          <w:trHeight w:val="256"/>
          <w:jc w:val="center"/>
        </w:trPr>
        <w:tc>
          <w:tcPr>
            <w:tcW w:w="5940" w:type="dxa"/>
            <w:shd w:val="clear" w:color="auto" w:fill="FFFFFF"/>
            <w:noWrap/>
            <w:vAlign w:val="center"/>
            <w:hideMark/>
          </w:tcPr>
          <w:p w:rsidR="005E6E49" w:rsidRPr="00AA3F66" w:rsidRDefault="005E6E49" w:rsidP="005E6E49">
            <w:pPr>
              <w:spacing w:after="0"/>
              <w:jc w:val="left"/>
              <w:rPr>
                <w:rFonts w:eastAsia="Times New Roman" w:cs="Times New Roman"/>
                <w:sz w:val="18"/>
                <w:szCs w:val="18"/>
                <w:lang w:eastAsia="en-US"/>
              </w:rPr>
            </w:pPr>
            <w:r w:rsidRPr="00AA3F66">
              <w:rPr>
                <w:rFonts w:eastAsia="Times New Roman" w:cs="Times New Roman"/>
                <w:sz w:val="18"/>
                <w:szCs w:val="18"/>
                <w:lang w:eastAsia="en-US"/>
              </w:rPr>
              <w:t>Неданъчни приходи</w:t>
            </w:r>
          </w:p>
        </w:tc>
        <w:tc>
          <w:tcPr>
            <w:tcW w:w="1621" w:type="dxa"/>
            <w:shd w:val="clear" w:color="auto" w:fill="FFFFFF"/>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7 343,3</w:t>
            </w:r>
          </w:p>
        </w:tc>
        <w:tc>
          <w:tcPr>
            <w:tcW w:w="1439"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12 000,3</w:t>
            </w:r>
          </w:p>
        </w:tc>
        <w:tc>
          <w:tcPr>
            <w:tcW w:w="126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12 008,5</w:t>
            </w:r>
          </w:p>
        </w:tc>
        <w:tc>
          <w:tcPr>
            <w:tcW w:w="135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-8,1</w:t>
            </w:r>
          </w:p>
        </w:tc>
        <w:tc>
          <w:tcPr>
            <w:tcW w:w="1620" w:type="dxa"/>
            <w:shd w:val="clear" w:color="auto" w:fill="FFFFFF"/>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8 819,3</w:t>
            </w:r>
          </w:p>
        </w:tc>
        <w:tc>
          <w:tcPr>
            <w:tcW w:w="1530" w:type="dxa"/>
            <w:shd w:val="clear" w:color="auto" w:fill="FFFFFF"/>
            <w:noWrap/>
            <w:hideMark/>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120,1%</w:t>
            </w:r>
          </w:p>
        </w:tc>
      </w:tr>
      <w:tr w:rsidR="005E6E49" w:rsidRPr="00AA3F66" w:rsidTr="00F451D8">
        <w:trPr>
          <w:trHeight w:val="256"/>
          <w:jc w:val="center"/>
        </w:trPr>
        <w:tc>
          <w:tcPr>
            <w:tcW w:w="5940" w:type="dxa"/>
            <w:shd w:val="clear" w:color="auto" w:fill="FFFFFF"/>
            <w:noWrap/>
            <w:vAlign w:val="center"/>
            <w:hideMark/>
          </w:tcPr>
          <w:p w:rsidR="005E6E49" w:rsidRPr="00AA3F66" w:rsidRDefault="005E6E49" w:rsidP="005E6E49">
            <w:pPr>
              <w:spacing w:after="0"/>
              <w:jc w:val="left"/>
              <w:rPr>
                <w:rFonts w:eastAsia="Times New Roman" w:cs="Times New Roman"/>
                <w:sz w:val="18"/>
                <w:szCs w:val="18"/>
                <w:lang w:eastAsia="en-US"/>
              </w:rPr>
            </w:pPr>
            <w:r w:rsidRPr="00AA3F66">
              <w:rPr>
                <w:rFonts w:eastAsia="Times New Roman" w:cs="Times New Roman"/>
                <w:sz w:val="18"/>
                <w:szCs w:val="18"/>
                <w:lang w:eastAsia="en-US"/>
              </w:rPr>
              <w:t>Помощи и дарения</w:t>
            </w:r>
          </w:p>
        </w:tc>
        <w:tc>
          <w:tcPr>
            <w:tcW w:w="1621" w:type="dxa"/>
            <w:shd w:val="clear" w:color="auto" w:fill="FFFFFF"/>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6 192,8</w:t>
            </w:r>
          </w:p>
        </w:tc>
        <w:tc>
          <w:tcPr>
            <w:tcW w:w="1439"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6 005,4</w:t>
            </w:r>
          </w:p>
        </w:tc>
        <w:tc>
          <w:tcPr>
            <w:tcW w:w="126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171,9</w:t>
            </w:r>
          </w:p>
        </w:tc>
        <w:tc>
          <w:tcPr>
            <w:tcW w:w="135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5 833,5</w:t>
            </w:r>
          </w:p>
        </w:tc>
        <w:tc>
          <w:tcPr>
            <w:tcW w:w="1620" w:type="dxa"/>
            <w:shd w:val="clear" w:color="auto" w:fill="FFFFFF"/>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6 005,4</w:t>
            </w:r>
          </w:p>
        </w:tc>
        <w:tc>
          <w:tcPr>
            <w:tcW w:w="1530" w:type="dxa"/>
            <w:shd w:val="clear" w:color="auto" w:fill="FFFFFF"/>
            <w:noWrap/>
            <w:hideMark/>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97,0%</w:t>
            </w:r>
          </w:p>
        </w:tc>
      </w:tr>
      <w:tr w:rsidR="005E6E49" w:rsidRPr="00AA3F66" w:rsidTr="00F451D8">
        <w:trPr>
          <w:trHeight w:val="284"/>
          <w:jc w:val="center"/>
        </w:trPr>
        <w:tc>
          <w:tcPr>
            <w:tcW w:w="5940" w:type="dxa"/>
            <w:shd w:val="clear" w:color="auto" w:fill="FFFFFF"/>
            <w:vAlign w:val="center"/>
            <w:hideMark/>
          </w:tcPr>
          <w:p w:rsidR="005E6E49" w:rsidRPr="00AA3F66" w:rsidRDefault="005E6E49" w:rsidP="005E6E49">
            <w:pPr>
              <w:spacing w:after="0"/>
              <w:rPr>
                <w:rFonts w:eastAsia="Times New Roman" w:cs="Times New Roman"/>
                <w:b/>
                <w:bCs/>
                <w:sz w:val="18"/>
                <w:szCs w:val="18"/>
                <w:lang w:eastAsia="en-US"/>
              </w:rPr>
            </w:pPr>
            <w:r w:rsidRPr="00AA3F66">
              <w:rPr>
                <w:rFonts w:eastAsia="Times New Roman" w:cs="Times New Roman"/>
                <w:b/>
                <w:bCs/>
                <w:sz w:val="18"/>
                <w:szCs w:val="18"/>
                <w:lang w:eastAsia="en-US"/>
              </w:rPr>
              <w:t>РАЗХОДИ И ВНОСКА В БЮДЖЕТА НА ЕС</w:t>
            </w:r>
          </w:p>
        </w:tc>
        <w:tc>
          <w:tcPr>
            <w:tcW w:w="1621" w:type="dxa"/>
            <w:shd w:val="clear" w:color="auto" w:fill="FFFFFF"/>
            <w:noWrap/>
          </w:tcPr>
          <w:p w:rsidR="005E6E49" w:rsidRPr="00AA3F66" w:rsidRDefault="005E6E49" w:rsidP="005E6E49">
            <w:pPr>
              <w:spacing w:after="0"/>
              <w:jc w:val="right"/>
              <w:rPr>
                <w:rFonts w:eastAsia="Times New Roman" w:cs="Times New Roman"/>
                <w:b/>
                <w:sz w:val="18"/>
                <w:szCs w:val="18"/>
                <w:lang w:eastAsia="en-US"/>
              </w:rPr>
            </w:pPr>
            <w:r w:rsidRPr="00AA3F66">
              <w:rPr>
                <w:b/>
                <w:sz w:val="18"/>
                <w:szCs w:val="18"/>
              </w:rPr>
              <w:t>65 887,1</w:t>
            </w:r>
          </w:p>
        </w:tc>
        <w:tc>
          <w:tcPr>
            <w:tcW w:w="1439" w:type="dxa"/>
            <w:shd w:val="clear" w:color="auto" w:fill="F2F2F2"/>
            <w:noWrap/>
          </w:tcPr>
          <w:p w:rsidR="005E6E49" w:rsidRPr="00AA3F66" w:rsidRDefault="005E6E49" w:rsidP="005E6E49">
            <w:pPr>
              <w:spacing w:after="0"/>
              <w:jc w:val="right"/>
              <w:rPr>
                <w:rFonts w:eastAsia="Times New Roman" w:cs="Times New Roman"/>
                <w:b/>
                <w:sz w:val="18"/>
                <w:szCs w:val="18"/>
                <w:lang w:eastAsia="en-US"/>
              </w:rPr>
            </w:pPr>
            <w:r w:rsidRPr="00AA3F66">
              <w:rPr>
                <w:b/>
                <w:sz w:val="18"/>
                <w:szCs w:val="18"/>
              </w:rPr>
              <w:t>66 112,3</w:t>
            </w:r>
          </w:p>
        </w:tc>
        <w:tc>
          <w:tcPr>
            <w:tcW w:w="1260" w:type="dxa"/>
            <w:shd w:val="clear" w:color="auto" w:fill="F2F2F2"/>
            <w:noWrap/>
          </w:tcPr>
          <w:p w:rsidR="005E6E49" w:rsidRPr="00AA3F66" w:rsidRDefault="005E6E49" w:rsidP="005E6E49">
            <w:pPr>
              <w:spacing w:after="0"/>
              <w:jc w:val="right"/>
              <w:rPr>
                <w:rFonts w:eastAsia="Times New Roman" w:cs="Times New Roman"/>
                <w:b/>
                <w:sz w:val="18"/>
                <w:szCs w:val="18"/>
                <w:lang w:eastAsia="en-US"/>
              </w:rPr>
            </w:pPr>
            <w:r w:rsidRPr="00AA3F66">
              <w:rPr>
                <w:b/>
                <w:sz w:val="18"/>
                <w:szCs w:val="18"/>
              </w:rPr>
              <w:t>62 968,5</w:t>
            </w:r>
          </w:p>
        </w:tc>
        <w:tc>
          <w:tcPr>
            <w:tcW w:w="1350" w:type="dxa"/>
            <w:shd w:val="clear" w:color="auto" w:fill="F2F2F2"/>
            <w:noWrap/>
          </w:tcPr>
          <w:p w:rsidR="005E6E49" w:rsidRPr="00AA3F66" w:rsidRDefault="005E6E49" w:rsidP="005E6E49">
            <w:pPr>
              <w:spacing w:after="0"/>
              <w:jc w:val="right"/>
              <w:rPr>
                <w:rFonts w:eastAsia="Times New Roman" w:cs="Times New Roman"/>
                <w:b/>
                <w:sz w:val="18"/>
                <w:szCs w:val="18"/>
                <w:lang w:eastAsia="en-US"/>
              </w:rPr>
            </w:pPr>
            <w:r w:rsidRPr="00AA3F66">
              <w:rPr>
                <w:b/>
                <w:sz w:val="18"/>
                <w:szCs w:val="18"/>
              </w:rPr>
              <w:t>3 143,9</w:t>
            </w:r>
          </w:p>
        </w:tc>
        <w:tc>
          <w:tcPr>
            <w:tcW w:w="1620" w:type="dxa"/>
            <w:shd w:val="clear" w:color="auto" w:fill="FFFFFF"/>
          </w:tcPr>
          <w:p w:rsidR="005E6E49" w:rsidRPr="00AA3F66" w:rsidRDefault="005E6E49" w:rsidP="005E6E49">
            <w:pPr>
              <w:spacing w:after="0"/>
              <w:jc w:val="right"/>
              <w:rPr>
                <w:rFonts w:eastAsia="Times New Roman" w:cs="Times New Roman"/>
                <w:b/>
                <w:sz w:val="18"/>
                <w:szCs w:val="18"/>
                <w:lang w:eastAsia="en-US"/>
              </w:rPr>
            </w:pPr>
            <w:r w:rsidRPr="00AA3F66">
              <w:rPr>
                <w:b/>
                <w:sz w:val="18"/>
                <w:szCs w:val="18"/>
              </w:rPr>
              <w:t>62 931,3</w:t>
            </w:r>
          </w:p>
        </w:tc>
        <w:tc>
          <w:tcPr>
            <w:tcW w:w="1530" w:type="dxa"/>
            <w:shd w:val="clear" w:color="auto" w:fill="FFFFFF"/>
            <w:noWrap/>
          </w:tcPr>
          <w:p w:rsidR="005E6E49" w:rsidRPr="00AA3F66" w:rsidRDefault="005E6E49" w:rsidP="005E6E49">
            <w:pPr>
              <w:spacing w:after="0"/>
              <w:jc w:val="right"/>
              <w:rPr>
                <w:rFonts w:eastAsia="Times New Roman" w:cs="Times New Roman"/>
                <w:b/>
                <w:sz w:val="18"/>
                <w:szCs w:val="18"/>
                <w:lang w:eastAsia="en-US"/>
              </w:rPr>
            </w:pPr>
            <w:r w:rsidRPr="00AA3F66">
              <w:rPr>
                <w:b/>
                <w:sz w:val="18"/>
                <w:szCs w:val="18"/>
              </w:rPr>
              <w:t>95,5%</w:t>
            </w:r>
          </w:p>
        </w:tc>
      </w:tr>
      <w:tr w:rsidR="005E6E49" w:rsidRPr="00AA3F66" w:rsidTr="00F451D8">
        <w:trPr>
          <w:trHeight w:val="256"/>
          <w:jc w:val="center"/>
        </w:trPr>
        <w:tc>
          <w:tcPr>
            <w:tcW w:w="5940" w:type="dxa"/>
            <w:shd w:val="clear" w:color="auto" w:fill="FFFFFF"/>
            <w:noWrap/>
            <w:vAlign w:val="center"/>
            <w:hideMark/>
          </w:tcPr>
          <w:p w:rsidR="005E6E49" w:rsidRPr="00AA3F66" w:rsidRDefault="005E6E49" w:rsidP="005E6E49">
            <w:pPr>
              <w:spacing w:after="0"/>
              <w:rPr>
                <w:rFonts w:eastAsia="Times New Roman" w:cs="Times New Roman"/>
                <w:sz w:val="18"/>
                <w:szCs w:val="18"/>
                <w:lang w:eastAsia="en-US"/>
              </w:rPr>
            </w:pPr>
            <w:r w:rsidRPr="00AA3F66">
              <w:rPr>
                <w:rFonts w:eastAsia="Times New Roman" w:cs="Times New Roman"/>
                <w:sz w:val="18"/>
                <w:szCs w:val="18"/>
                <w:lang w:eastAsia="en-US"/>
              </w:rPr>
              <w:t xml:space="preserve">  Нелихвени</w:t>
            </w:r>
          </w:p>
        </w:tc>
        <w:tc>
          <w:tcPr>
            <w:tcW w:w="1621" w:type="dxa"/>
            <w:shd w:val="clear" w:color="auto" w:fill="FFFFFF"/>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63 382,9</w:t>
            </w:r>
          </w:p>
        </w:tc>
        <w:tc>
          <w:tcPr>
            <w:tcW w:w="1439"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63 755,5</w:t>
            </w:r>
          </w:p>
        </w:tc>
        <w:tc>
          <w:tcPr>
            <w:tcW w:w="126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60 611,6</w:t>
            </w:r>
          </w:p>
        </w:tc>
        <w:tc>
          <w:tcPr>
            <w:tcW w:w="135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3 143,8</w:t>
            </w:r>
          </w:p>
        </w:tc>
        <w:tc>
          <w:tcPr>
            <w:tcW w:w="1620" w:type="dxa"/>
            <w:shd w:val="clear" w:color="auto" w:fill="FFFFFF"/>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60 574,5</w:t>
            </w:r>
          </w:p>
        </w:tc>
        <w:tc>
          <w:tcPr>
            <w:tcW w:w="1530" w:type="dxa"/>
            <w:shd w:val="clear" w:color="auto" w:fill="FFFFFF"/>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95,6%</w:t>
            </w:r>
          </w:p>
        </w:tc>
      </w:tr>
      <w:tr w:rsidR="005E6E49" w:rsidRPr="00AA3F66" w:rsidTr="00F451D8">
        <w:trPr>
          <w:trHeight w:val="256"/>
          <w:jc w:val="center"/>
        </w:trPr>
        <w:tc>
          <w:tcPr>
            <w:tcW w:w="5940" w:type="dxa"/>
            <w:shd w:val="clear" w:color="auto" w:fill="FFFFFF"/>
            <w:noWrap/>
            <w:vAlign w:val="center"/>
            <w:hideMark/>
          </w:tcPr>
          <w:p w:rsidR="005E6E49" w:rsidRPr="00AA3F66" w:rsidRDefault="005E6E49" w:rsidP="005E6E49">
            <w:pPr>
              <w:spacing w:after="0"/>
              <w:rPr>
                <w:rFonts w:eastAsia="Times New Roman" w:cs="Times New Roman"/>
                <w:sz w:val="18"/>
                <w:szCs w:val="18"/>
                <w:lang w:eastAsia="en-US"/>
              </w:rPr>
            </w:pPr>
            <w:r w:rsidRPr="00AA3F66">
              <w:rPr>
                <w:rFonts w:eastAsia="Times New Roman" w:cs="Times New Roman"/>
                <w:sz w:val="18"/>
                <w:szCs w:val="18"/>
                <w:lang w:eastAsia="en-US"/>
              </w:rPr>
              <w:t xml:space="preserve">     Текущи</w:t>
            </w:r>
          </w:p>
        </w:tc>
        <w:tc>
          <w:tcPr>
            <w:tcW w:w="1621" w:type="dxa"/>
            <w:shd w:val="clear" w:color="auto" w:fill="FFFFFF"/>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54 704,8</w:t>
            </w:r>
          </w:p>
        </w:tc>
        <w:tc>
          <w:tcPr>
            <w:tcW w:w="1439"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58 001,5</w:t>
            </w:r>
          </w:p>
        </w:tc>
        <w:tc>
          <w:tcPr>
            <w:tcW w:w="126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56 678,4</w:t>
            </w:r>
          </w:p>
        </w:tc>
        <w:tc>
          <w:tcPr>
            <w:tcW w:w="135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1 323,1</w:t>
            </w:r>
          </w:p>
        </w:tc>
        <w:tc>
          <w:tcPr>
            <w:tcW w:w="1620" w:type="dxa"/>
            <w:shd w:val="clear" w:color="auto" w:fill="FFFFFF"/>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54 820,5</w:t>
            </w:r>
          </w:p>
        </w:tc>
        <w:tc>
          <w:tcPr>
            <w:tcW w:w="1530" w:type="dxa"/>
            <w:shd w:val="clear" w:color="auto" w:fill="FFFFFF"/>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100,2%</w:t>
            </w:r>
          </w:p>
        </w:tc>
      </w:tr>
      <w:tr w:rsidR="005E6E49" w:rsidRPr="00AA3F66" w:rsidTr="00F451D8">
        <w:trPr>
          <w:trHeight w:val="226"/>
          <w:jc w:val="center"/>
        </w:trPr>
        <w:tc>
          <w:tcPr>
            <w:tcW w:w="5940" w:type="dxa"/>
            <w:shd w:val="clear" w:color="auto" w:fill="FFFFFF"/>
            <w:noWrap/>
            <w:vAlign w:val="center"/>
            <w:hideMark/>
          </w:tcPr>
          <w:p w:rsidR="005E6E49" w:rsidRPr="00AA3F66" w:rsidRDefault="005E6E49" w:rsidP="005E6E49">
            <w:pPr>
              <w:spacing w:after="0"/>
              <w:rPr>
                <w:rFonts w:eastAsia="Times New Roman" w:cs="Times New Roman"/>
                <w:sz w:val="18"/>
                <w:szCs w:val="18"/>
                <w:lang w:eastAsia="en-US"/>
              </w:rPr>
            </w:pPr>
            <w:r w:rsidRPr="00AA3F66">
              <w:rPr>
                <w:rFonts w:eastAsia="Times New Roman" w:cs="Times New Roman"/>
                <w:sz w:val="18"/>
                <w:szCs w:val="18"/>
                <w:lang w:eastAsia="en-US"/>
              </w:rPr>
              <w:t xml:space="preserve">     Капиталови**</w:t>
            </w:r>
          </w:p>
        </w:tc>
        <w:tc>
          <w:tcPr>
            <w:tcW w:w="1621" w:type="dxa"/>
            <w:shd w:val="clear" w:color="auto" w:fill="FFFFFF"/>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8 400,1</w:t>
            </w:r>
          </w:p>
        </w:tc>
        <w:tc>
          <w:tcPr>
            <w:tcW w:w="1439"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5 706,6</w:t>
            </w:r>
          </w:p>
        </w:tc>
        <w:tc>
          <w:tcPr>
            <w:tcW w:w="126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3 908,3</w:t>
            </w:r>
          </w:p>
        </w:tc>
        <w:tc>
          <w:tcPr>
            <w:tcW w:w="135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1 798,3</w:t>
            </w:r>
          </w:p>
        </w:tc>
        <w:tc>
          <w:tcPr>
            <w:tcW w:w="1620" w:type="dxa"/>
            <w:shd w:val="clear" w:color="auto" w:fill="FFFFFF"/>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5 706,6</w:t>
            </w:r>
          </w:p>
        </w:tc>
        <w:tc>
          <w:tcPr>
            <w:tcW w:w="1530" w:type="dxa"/>
            <w:shd w:val="clear" w:color="auto" w:fill="FFFFFF"/>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67,9%</w:t>
            </w:r>
          </w:p>
        </w:tc>
      </w:tr>
      <w:tr w:rsidR="005E6E49" w:rsidRPr="00AA3F66" w:rsidTr="000E5583">
        <w:trPr>
          <w:trHeight w:val="94"/>
          <w:jc w:val="center"/>
        </w:trPr>
        <w:tc>
          <w:tcPr>
            <w:tcW w:w="5940" w:type="dxa"/>
            <w:shd w:val="clear" w:color="auto" w:fill="FFFFFF"/>
            <w:noWrap/>
            <w:vAlign w:val="center"/>
            <w:hideMark/>
          </w:tcPr>
          <w:p w:rsidR="005E6E49" w:rsidRPr="00AA3F66" w:rsidRDefault="005E6E49" w:rsidP="005E6E49">
            <w:pPr>
              <w:spacing w:after="0"/>
              <w:rPr>
                <w:rFonts w:eastAsia="Times New Roman" w:cs="Times New Roman"/>
                <w:sz w:val="18"/>
                <w:szCs w:val="18"/>
                <w:lang w:eastAsia="en-US"/>
              </w:rPr>
            </w:pPr>
            <w:r w:rsidRPr="00AA3F66">
              <w:rPr>
                <w:rFonts w:eastAsia="Times New Roman" w:cs="Times New Roman"/>
                <w:sz w:val="18"/>
                <w:szCs w:val="18"/>
                <w:lang w:eastAsia="en-US"/>
              </w:rPr>
              <w:t xml:space="preserve">     Предоставени текущи и капиталови трансфери за чужбина</w:t>
            </w:r>
          </w:p>
        </w:tc>
        <w:tc>
          <w:tcPr>
            <w:tcW w:w="1621" w:type="dxa"/>
            <w:shd w:val="clear" w:color="auto" w:fill="FFFFFF"/>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19,1</w:t>
            </w:r>
          </w:p>
        </w:tc>
        <w:tc>
          <w:tcPr>
            <w:tcW w:w="1439"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47,3</w:t>
            </w:r>
          </w:p>
        </w:tc>
        <w:tc>
          <w:tcPr>
            <w:tcW w:w="126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24,9</w:t>
            </w:r>
          </w:p>
        </w:tc>
        <w:tc>
          <w:tcPr>
            <w:tcW w:w="135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22,5</w:t>
            </w:r>
          </w:p>
        </w:tc>
        <w:tc>
          <w:tcPr>
            <w:tcW w:w="1620" w:type="dxa"/>
            <w:shd w:val="clear" w:color="auto" w:fill="FFFFFF"/>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47,3</w:t>
            </w:r>
          </w:p>
        </w:tc>
        <w:tc>
          <w:tcPr>
            <w:tcW w:w="1530" w:type="dxa"/>
            <w:shd w:val="clear" w:color="auto" w:fill="FFFFFF"/>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248,2%</w:t>
            </w:r>
          </w:p>
        </w:tc>
      </w:tr>
      <w:tr w:rsidR="005E6E49" w:rsidRPr="00AA3F66" w:rsidTr="00F451D8">
        <w:trPr>
          <w:trHeight w:val="256"/>
          <w:jc w:val="center"/>
        </w:trPr>
        <w:tc>
          <w:tcPr>
            <w:tcW w:w="5940" w:type="dxa"/>
            <w:shd w:val="clear" w:color="auto" w:fill="FFFFFF"/>
            <w:noWrap/>
            <w:vAlign w:val="center"/>
            <w:hideMark/>
          </w:tcPr>
          <w:p w:rsidR="005E6E49" w:rsidRPr="00AA3F66" w:rsidRDefault="005E6E49" w:rsidP="005E6E49">
            <w:pPr>
              <w:spacing w:after="0"/>
              <w:rPr>
                <w:rFonts w:eastAsia="Times New Roman" w:cs="Times New Roman"/>
                <w:sz w:val="18"/>
                <w:szCs w:val="18"/>
                <w:lang w:eastAsia="en-US"/>
              </w:rPr>
            </w:pPr>
            <w:r w:rsidRPr="00AA3F66">
              <w:rPr>
                <w:rFonts w:eastAsia="Times New Roman" w:cs="Times New Roman"/>
                <w:sz w:val="18"/>
                <w:szCs w:val="18"/>
                <w:lang w:eastAsia="en-US"/>
              </w:rPr>
              <w:t xml:space="preserve">     Резерв за неотложни и непредвидени разходи </w:t>
            </w:r>
          </w:p>
        </w:tc>
        <w:tc>
          <w:tcPr>
            <w:tcW w:w="1621" w:type="dxa"/>
            <w:shd w:val="clear" w:color="auto" w:fill="FFFFFF"/>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258,8</w:t>
            </w:r>
          </w:p>
        </w:tc>
        <w:tc>
          <w:tcPr>
            <w:tcW w:w="1439"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p>
        </w:tc>
        <w:tc>
          <w:tcPr>
            <w:tcW w:w="126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p>
        </w:tc>
        <w:tc>
          <w:tcPr>
            <w:tcW w:w="135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p>
        </w:tc>
        <w:tc>
          <w:tcPr>
            <w:tcW w:w="1620" w:type="dxa"/>
            <w:shd w:val="clear" w:color="auto" w:fill="FFFFFF"/>
          </w:tcPr>
          <w:p w:rsidR="005E6E49" w:rsidRPr="00AA3F66" w:rsidRDefault="005E6E49" w:rsidP="005E6E49">
            <w:pPr>
              <w:spacing w:after="0"/>
              <w:jc w:val="right"/>
              <w:rPr>
                <w:rFonts w:eastAsia="Times New Roman" w:cs="Times New Roman"/>
                <w:sz w:val="18"/>
                <w:szCs w:val="18"/>
                <w:lang w:eastAsia="en-US"/>
              </w:rPr>
            </w:pPr>
          </w:p>
        </w:tc>
        <w:tc>
          <w:tcPr>
            <w:tcW w:w="1530" w:type="dxa"/>
            <w:shd w:val="clear" w:color="auto" w:fill="FFFFFF"/>
            <w:noWrap/>
          </w:tcPr>
          <w:p w:rsidR="005E6E49" w:rsidRPr="00AA3F66" w:rsidRDefault="005E6E49" w:rsidP="005E6E49">
            <w:pPr>
              <w:spacing w:after="0"/>
              <w:jc w:val="right"/>
              <w:rPr>
                <w:rFonts w:eastAsia="Times New Roman" w:cs="Times New Roman"/>
                <w:sz w:val="18"/>
                <w:szCs w:val="18"/>
                <w:lang w:eastAsia="en-US"/>
              </w:rPr>
            </w:pPr>
          </w:p>
        </w:tc>
      </w:tr>
      <w:tr w:rsidR="005E6E49" w:rsidRPr="00AA3F66" w:rsidTr="00F451D8">
        <w:trPr>
          <w:trHeight w:val="256"/>
          <w:jc w:val="center"/>
        </w:trPr>
        <w:tc>
          <w:tcPr>
            <w:tcW w:w="5940" w:type="dxa"/>
            <w:shd w:val="clear" w:color="auto" w:fill="FFFFFF"/>
            <w:noWrap/>
            <w:vAlign w:val="center"/>
          </w:tcPr>
          <w:p w:rsidR="005E6E49" w:rsidRPr="00AA3F66" w:rsidRDefault="005E6E49" w:rsidP="005E6E49">
            <w:pPr>
              <w:spacing w:after="0"/>
              <w:rPr>
                <w:rFonts w:eastAsia="Times New Roman" w:cs="Times New Roman"/>
                <w:sz w:val="18"/>
                <w:szCs w:val="18"/>
                <w:lang w:eastAsia="en-US"/>
              </w:rPr>
            </w:pPr>
            <w:r w:rsidRPr="00AA3F66">
              <w:rPr>
                <w:rFonts w:eastAsia="Times New Roman" w:cs="Times New Roman"/>
                <w:sz w:val="18"/>
                <w:szCs w:val="18"/>
                <w:lang w:eastAsia="en-US"/>
              </w:rPr>
              <w:t>Лихвени</w:t>
            </w:r>
          </w:p>
        </w:tc>
        <w:tc>
          <w:tcPr>
            <w:tcW w:w="1621" w:type="dxa"/>
            <w:shd w:val="clear" w:color="auto" w:fill="FFFFFF"/>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664,3</w:t>
            </w:r>
          </w:p>
        </w:tc>
        <w:tc>
          <w:tcPr>
            <w:tcW w:w="1439"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651,8</w:t>
            </w:r>
          </w:p>
        </w:tc>
        <w:tc>
          <w:tcPr>
            <w:tcW w:w="126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651,8</w:t>
            </w:r>
          </w:p>
        </w:tc>
        <w:tc>
          <w:tcPr>
            <w:tcW w:w="135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0,0</w:t>
            </w:r>
          </w:p>
        </w:tc>
        <w:tc>
          <w:tcPr>
            <w:tcW w:w="1620" w:type="dxa"/>
            <w:shd w:val="clear" w:color="auto" w:fill="FFFFFF"/>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651,8</w:t>
            </w:r>
          </w:p>
        </w:tc>
        <w:tc>
          <w:tcPr>
            <w:tcW w:w="1530" w:type="dxa"/>
            <w:shd w:val="clear" w:color="auto" w:fill="FFFFFF"/>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98,1%</w:t>
            </w:r>
          </w:p>
        </w:tc>
      </w:tr>
      <w:tr w:rsidR="005E6E49" w:rsidRPr="00AA3F66" w:rsidTr="00F451D8">
        <w:trPr>
          <w:trHeight w:val="241"/>
          <w:jc w:val="center"/>
        </w:trPr>
        <w:tc>
          <w:tcPr>
            <w:tcW w:w="5940" w:type="dxa"/>
            <w:shd w:val="clear" w:color="auto" w:fill="FFFFFF"/>
            <w:noWrap/>
            <w:vAlign w:val="center"/>
            <w:hideMark/>
          </w:tcPr>
          <w:p w:rsidR="005E6E49" w:rsidRPr="00AA3F66" w:rsidRDefault="005E6E49" w:rsidP="005E6E49">
            <w:pPr>
              <w:spacing w:after="0"/>
              <w:rPr>
                <w:rFonts w:eastAsia="Times New Roman" w:cs="Times New Roman"/>
                <w:sz w:val="18"/>
                <w:szCs w:val="18"/>
                <w:lang w:eastAsia="en-US"/>
              </w:rPr>
            </w:pPr>
            <w:r w:rsidRPr="00AA3F66">
              <w:rPr>
                <w:rFonts w:eastAsia="Times New Roman" w:cs="Times New Roman"/>
                <w:sz w:val="18"/>
                <w:szCs w:val="18"/>
                <w:lang w:eastAsia="en-US"/>
              </w:rPr>
              <w:t>Вноска в общия бюджет на ЕС</w:t>
            </w:r>
          </w:p>
        </w:tc>
        <w:tc>
          <w:tcPr>
            <w:tcW w:w="1621" w:type="dxa"/>
            <w:shd w:val="clear" w:color="auto" w:fill="FFFFFF"/>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1 839,9</w:t>
            </w:r>
          </w:p>
        </w:tc>
        <w:tc>
          <w:tcPr>
            <w:tcW w:w="1439"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1 705,0</w:t>
            </w:r>
          </w:p>
        </w:tc>
        <w:tc>
          <w:tcPr>
            <w:tcW w:w="126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1 705,0</w:t>
            </w:r>
          </w:p>
        </w:tc>
        <w:tc>
          <w:tcPr>
            <w:tcW w:w="135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p>
        </w:tc>
        <w:tc>
          <w:tcPr>
            <w:tcW w:w="1620" w:type="dxa"/>
            <w:shd w:val="clear" w:color="auto" w:fill="FFFFFF"/>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1 705,0</w:t>
            </w:r>
          </w:p>
        </w:tc>
        <w:tc>
          <w:tcPr>
            <w:tcW w:w="1530" w:type="dxa"/>
            <w:shd w:val="clear" w:color="auto" w:fill="FFFFFF"/>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92,7%</w:t>
            </w:r>
          </w:p>
        </w:tc>
      </w:tr>
      <w:tr w:rsidR="005E6E49" w:rsidRPr="00AA3F66" w:rsidTr="000E0A38">
        <w:trPr>
          <w:trHeight w:val="256"/>
          <w:jc w:val="center"/>
        </w:trPr>
        <w:tc>
          <w:tcPr>
            <w:tcW w:w="5940" w:type="dxa"/>
            <w:shd w:val="clear" w:color="auto" w:fill="FFFFFF"/>
            <w:vAlign w:val="center"/>
            <w:hideMark/>
          </w:tcPr>
          <w:p w:rsidR="005E6E49" w:rsidRPr="00AA3F66" w:rsidRDefault="005E6E49" w:rsidP="005E6E49">
            <w:pPr>
              <w:spacing w:after="0"/>
              <w:rPr>
                <w:rFonts w:eastAsia="Times New Roman" w:cs="Times New Roman"/>
                <w:b/>
                <w:bCs/>
                <w:sz w:val="18"/>
                <w:szCs w:val="18"/>
                <w:lang w:eastAsia="en-US"/>
              </w:rPr>
            </w:pPr>
            <w:r w:rsidRPr="00AA3F66">
              <w:rPr>
                <w:rFonts w:eastAsia="Times New Roman" w:cs="Times New Roman"/>
                <w:color w:val="000000"/>
                <w:sz w:val="18"/>
                <w:szCs w:val="18"/>
              </w:rPr>
              <w:t>Трансфери - нето</w:t>
            </w:r>
          </w:p>
        </w:tc>
        <w:tc>
          <w:tcPr>
            <w:tcW w:w="1621" w:type="dxa"/>
            <w:shd w:val="clear" w:color="auto" w:fill="FFFFFF"/>
            <w:noWrap/>
          </w:tcPr>
          <w:p w:rsidR="005E6E49" w:rsidRPr="00AA3F66" w:rsidRDefault="005E6E49" w:rsidP="005E6E49">
            <w:pPr>
              <w:spacing w:after="0"/>
              <w:jc w:val="right"/>
              <w:rPr>
                <w:rFonts w:eastAsia="Times New Roman" w:cs="Times New Roman"/>
                <w:sz w:val="18"/>
                <w:szCs w:val="18"/>
                <w:lang w:eastAsia="en-US"/>
              </w:rPr>
            </w:pPr>
          </w:p>
        </w:tc>
        <w:tc>
          <w:tcPr>
            <w:tcW w:w="1439"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p>
        </w:tc>
        <w:tc>
          <w:tcPr>
            <w:tcW w:w="126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-1 103,2</w:t>
            </w:r>
          </w:p>
        </w:tc>
        <w:tc>
          <w:tcPr>
            <w:tcW w:w="1350" w:type="dxa"/>
            <w:shd w:val="clear" w:color="auto" w:fill="F2F2F2"/>
            <w:noWrap/>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1 103,2</w:t>
            </w:r>
          </w:p>
        </w:tc>
        <w:tc>
          <w:tcPr>
            <w:tcW w:w="1620" w:type="dxa"/>
            <w:shd w:val="clear" w:color="auto" w:fill="FFFFFF"/>
          </w:tcPr>
          <w:p w:rsidR="005E6E49" w:rsidRPr="00AA3F66" w:rsidRDefault="005E6E49" w:rsidP="005E6E49">
            <w:pPr>
              <w:spacing w:after="0"/>
              <w:jc w:val="right"/>
              <w:rPr>
                <w:rFonts w:eastAsia="Times New Roman" w:cs="Times New Roman"/>
                <w:sz w:val="18"/>
                <w:szCs w:val="18"/>
                <w:lang w:eastAsia="en-US"/>
              </w:rPr>
            </w:pPr>
          </w:p>
        </w:tc>
        <w:tc>
          <w:tcPr>
            <w:tcW w:w="1530" w:type="dxa"/>
            <w:shd w:val="clear" w:color="auto" w:fill="FFFFFF"/>
            <w:noWrap/>
            <w:hideMark/>
          </w:tcPr>
          <w:p w:rsidR="005E6E49" w:rsidRPr="00AA3F66" w:rsidRDefault="005E6E49" w:rsidP="005E6E49">
            <w:pPr>
              <w:spacing w:after="0"/>
              <w:jc w:val="right"/>
              <w:rPr>
                <w:rFonts w:eastAsia="Times New Roman" w:cs="Times New Roman"/>
                <w:sz w:val="18"/>
                <w:szCs w:val="18"/>
                <w:lang w:eastAsia="en-US"/>
              </w:rPr>
            </w:pPr>
            <w:r w:rsidRPr="00AA3F66">
              <w:rPr>
                <w:sz w:val="18"/>
                <w:szCs w:val="18"/>
              </w:rPr>
              <w:t xml:space="preserve"> </w:t>
            </w:r>
          </w:p>
        </w:tc>
      </w:tr>
      <w:tr w:rsidR="005E6E49" w:rsidRPr="00AA3F66" w:rsidTr="000E0A38">
        <w:trPr>
          <w:trHeight w:val="148"/>
          <w:jc w:val="center"/>
        </w:trPr>
        <w:tc>
          <w:tcPr>
            <w:tcW w:w="5940" w:type="dxa"/>
            <w:tcBorders>
              <w:bottom w:val="single" w:sz="4" w:space="0" w:color="auto"/>
            </w:tcBorders>
            <w:shd w:val="clear" w:color="auto" w:fill="FFFFFF"/>
            <w:noWrap/>
            <w:vAlign w:val="center"/>
            <w:hideMark/>
          </w:tcPr>
          <w:p w:rsidR="005E6E49" w:rsidRPr="00AA3F66" w:rsidRDefault="005E6E49" w:rsidP="005E6E49">
            <w:pPr>
              <w:spacing w:after="0"/>
              <w:rPr>
                <w:rFonts w:eastAsia="Times New Roman" w:cs="Times New Roman"/>
                <w:b/>
                <w:bCs/>
                <w:sz w:val="18"/>
                <w:szCs w:val="18"/>
                <w:lang w:eastAsia="en-US"/>
              </w:rPr>
            </w:pPr>
            <w:r w:rsidRPr="00AA3F66">
              <w:rPr>
                <w:rFonts w:eastAsia="Times New Roman" w:cs="Times New Roman"/>
                <w:b/>
                <w:bCs/>
                <w:sz w:val="18"/>
                <w:szCs w:val="18"/>
                <w:lang w:eastAsia="en-US"/>
              </w:rPr>
              <w:t>БЮДЖЕТНО САЛДО</w:t>
            </w:r>
          </w:p>
        </w:tc>
        <w:tc>
          <w:tcPr>
            <w:tcW w:w="1621" w:type="dxa"/>
            <w:tcBorders>
              <w:bottom w:val="single" w:sz="4" w:space="0" w:color="auto"/>
            </w:tcBorders>
            <w:shd w:val="clear" w:color="auto" w:fill="FFFFFF"/>
            <w:noWrap/>
          </w:tcPr>
          <w:p w:rsidR="005E6E49" w:rsidRPr="00AA3F66" w:rsidRDefault="005E6E49" w:rsidP="005E6E49">
            <w:pPr>
              <w:spacing w:after="0"/>
              <w:jc w:val="right"/>
              <w:rPr>
                <w:rFonts w:eastAsia="Times New Roman" w:cs="Times New Roman"/>
                <w:b/>
                <w:sz w:val="18"/>
                <w:szCs w:val="18"/>
                <w:lang w:eastAsia="en-US"/>
              </w:rPr>
            </w:pPr>
            <w:r w:rsidRPr="00AA3F66">
              <w:rPr>
                <w:b/>
                <w:sz w:val="18"/>
                <w:szCs w:val="18"/>
              </w:rPr>
              <w:t>-6 228,4</w:t>
            </w:r>
          </w:p>
        </w:tc>
        <w:tc>
          <w:tcPr>
            <w:tcW w:w="1439" w:type="dxa"/>
            <w:tcBorders>
              <w:bottom w:val="single" w:sz="4" w:space="0" w:color="auto"/>
            </w:tcBorders>
            <w:shd w:val="clear" w:color="auto" w:fill="F2F2F2"/>
            <w:noWrap/>
          </w:tcPr>
          <w:p w:rsidR="005E6E49" w:rsidRPr="00AA3F66" w:rsidRDefault="005E6E49" w:rsidP="005E6E49">
            <w:pPr>
              <w:spacing w:after="0"/>
              <w:jc w:val="right"/>
              <w:rPr>
                <w:rFonts w:eastAsia="Times New Roman" w:cs="Times New Roman"/>
                <w:b/>
                <w:sz w:val="18"/>
                <w:szCs w:val="18"/>
                <w:lang w:eastAsia="en-US"/>
              </w:rPr>
            </w:pPr>
            <w:r w:rsidRPr="00AA3F66">
              <w:rPr>
                <w:b/>
                <w:sz w:val="18"/>
                <w:szCs w:val="18"/>
              </w:rPr>
              <w:t>-1 323,6</w:t>
            </w:r>
          </w:p>
        </w:tc>
        <w:tc>
          <w:tcPr>
            <w:tcW w:w="1260" w:type="dxa"/>
            <w:tcBorders>
              <w:bottom w:val="single" w:sz="4" w:space="0" w:color="auto"/>
            </w:tcBorders>
            <w:shd w:val="clear" w:color="auto" w:fill="F2F2F2"/>
            <w:noWrap/>
          </w:tcPr>
          <w:p w:rsidR="005E6E49" w:rsidRPr="00AA3F66" w:rsidRDefault="005E6E49" w:rsidP="005E6E49">
            <w:pPr>
              <w:spacing w:after="0"/>
              <w:jc w:val="right"/>
              <w:rPr>
                <w:rFonts w:eastAsia="Times New Roman" w:cs="Times New Roman"/>
                <w:b/>
                <w:sz w:val="18"/>
                <w:szCs w:val="18"/>
                <w:lang w:eastAsia="en-US"/>
              </w:rPr>
            </w:pPr>
            <w:r w:rsidRPr="00AA3F66">
              <w:rPr>
                <w:b/>
                <w:sz w:val="18"/>
                <w:szCs w:val="18"/>
              </w:rPr>
              <w:t>-5 108,4</w:t>
            </w:r>
          </w:p>
        </w:tc>
        <w:tc>
          <w:tcPr>
            <w:tcW w:w="1350" w:type="dxa"/>
            <w:tcBorders>
              <w:bottom w:val="single" w:sz="4" w:space="0" w:color="auto"/>
            </w:tcBorders>
            <w:shd w:val="clear" w:color="auto" w:fill="F2F2F2"/>
            <w:noWrap/>
          </w:tcPr>
          <w:p w:rsidR="005E6E49" w:rsidRPr="00AA3F66" w:rsidRDefault="005E6E49" w:rsidP="005E6E49">
            <w:pPr>
              <w:spacing w:after="0"/>
              <w:jc w:val="right"/>
              <w:rPr>
                <w:rFonts w:eastAsia="Times New Roman" w:cs="Times New Roman"/>
                <w:b/>
                <w:sz w:val="18"/>
                <w:szCs w:val="18"/>
                <w:lang w:eastAsia="en-US"/>
              </w:rPr>
            </w:pPr>
            <w:r w:rsidRPr="00AA3F66">
              <w:rPr>
                <w:b/>
                <w:sz w:val="18"/>
                <w:szCs w:val="18"/>
              </w:rPr>
              <w:t>3 784,8</w:t>
            </w:r>
          </w:p>
        </w:tc>
        <w:tc>
          <w:tcPr>
            <w:tcW w:w="1620" w:type="dxa"/>
            <w:tcBorders>
              <w:bottom w:val="single" w:sz="4" w:space="0" w:color="auto"/>
            </w:tcBorders>
            <w:shd w:val="clear" w:color="auto" w:fill="FFFFFF"/>
          </w:tcPr>
          <w:p w:rsidR="005E6E49" w:rsidRPr="00AA3F66" w:rsidRDefault="005E6E49" w:rsidP="005E6E49">
            <w:pPr>
              <w:spacing w:after="0"/>
              <w:jc w:val="right"/>
              <w:rPr>
                <w:rFonts w:eastAsia="Times New Roman" w:cs="Times New Roman"/>
                <w:b/>
                <w:sz w:val="18"/>
                <w:szCs w:val="18"/>
                <w:lang w:eastAsia="en-US"/>
              </w:rPr>
            </w:pPr>
            <w:r w:rsidRPr="00AA3F66">
              <w:rPr>
                <w:b/>
                <w:sz w:val="18"/>
                <w:szCs w:val="18"/>
              </w:rPr>
              <w:t>-1 323,6</w:t>
            </w:r>
          </w:p>
        </w:tc>
        <w:tc>
          <w:tcPr>
            <w:tcW w:w="1530" w:type="dxa"/>
            <w:tcBorders>
              <w:bottom w:val="single" w:sz="4" w:space="0" w:color="auto"/>
            </w:tcBorders>
            <w:shd w:val="clear" w:color="auto" w:fill="FFFFFF"/>
            <w:noWrap/>
            <w:hideMark/>
          </w:tcPr>
          <w:p w:rsidR="005E6E49" w:rsidRPr="00AA3F66" w:rsidRDefault="005E6E49" w:rsidP="005E6E49">
            <w:pPr>
              <w:spacing w:after="0"/>
              <w:jc w:val="right"/>
              <w:rPr>
                <w:rFonts w:eastAsia="Times New Roman" w:cs="Times New Roman"/>
                <w:b/>
                <w:sz w:val="18"/>
                <w:szCs w:val="18"/>
                <w:lang w:eastAsia="en-US"/>
              </w:rPr>
            </w:pPr>
            <w:r w:rsidRPr="00AA3F66">
              <w:rPr>
                <w:b/>
                <w:sz w:val="18"/>
                <w:szCs w:val="18"/>
              </w:rPr>
              <w:t xml:space="preserve"> </w:t>
            </w:r>
          </w:p>
        </w:tc>
      </w:tr>
    </w:tbl>
    <w:p w:rsidR="00F451D8" w:rsidRPr="00AA3F66" w:rsidRDefault="00F451D8" w:rsidP="00647705">
      <w:pPr>
        <w:spacing w:after="0"/>
        <w:jc w:val="right"/>
        <w:rPr>
          <w:rFonts w:eastAsia="Batang"/>
          <w:sz w:val="18"/>
          <w:szCs w:val="18"/>
        </w:rPr>
      </w:pPr>
    </w:p>
    <w:p w:rsidR="00647705" w:rsidRPr="00AA3F66" w:rsidRDefault="00647705" w:rsidP="005D49FF">
      <w:pPr>
        <w:sectPr w:rsidR="00647705" w:rsidRPr="00AA3F66" w:rsidSect="002D7CED">
          <w:headerReference w:type="even" r:id="rId39"/>
          <w:type w:val="continuous"/>
          <w:pgSz w:w="16838" w:h="11906" w:orient="landscape" w:code="9"/>
          <w:pgMar w:top="1418" w:right="1134" w:bottom="851" w:left="1134" w:header="709" w:footer="709" w:gutter="0"/>
          <w:cols w:space="708"/>
          <w:titlePg/>
          <w:docGrid w:linePitch="360"/>
        </w:sectPr>
      </w:pPr>
    </w:p>
    <w:p w:rsidR="004E2202" w:rsidRPr="00AA3F66" w:rsidRDefault="000855FB" w:rsidP="000821B9">
      <w:pPr>
        <w:spacing w:after="240"/>
        <w:jc w:val="left"/>
        <w:rPr>
          <w:rFonts w:eastAsia="Batang"/>
          <w:sz w:val="18"/>
          <w:szCs w:val="18"/>
        </w:rPr>
        <w:sectPr w:rsidR="004E2202" w:rsidRPr="00AA3F66" w:rsidSect="002D7CED">
          <w:headerReference w:type="even" r:id="rId40"/>
          <w:type w:val="continuous"/>
          <w:pgSz w:w="16838" w:h="11906" w:orient="landscape" w:code="9"/>
          <w:pgMar w:top="1418" w:right="1134" w:bottom="851" w:left="1134" w:header="709" w:footer="709" w:gutter="0"/>
          <w:cols w:space="708"/>
          <w:titlePg/>
          <w:docGrid w:linePitch="360"/>
        </w:sectPr>
      </w:pPr>
      <w:r w:rsidRPr="00AA3F66">
        <w:rPr>
          <w:rFonts w:eastAsia="Batang"/>
          <w:sz w:val="18"/>
          <w:szCs w:val="18"/>
        </w:rPr>
        <w:t>* Данните са на база на тримесечните отчети за касовото изпълнение на ПРБ; ** Вкл. нетен прираст на държавния резерв.</w:t>
      </w:r>
    </w:p>
    <w:p w:rsidR="00574A2C" w:rsidRPr="00AA3F66" w:rsidRDefault="00574A2C" w:rsidP="00FD2296">
      <w:pPr>
        <w:suppressAutoHyphens/>
        <w:autoSpaceDE w:val="0"/>
        <w:autoSpaceDN w:val="0"/>
        <w:adjustRightInd w:val="0"/>
        <w:spacing w:after="120"/>
        <w:rPr>
          <w:b/>
          <w:color w:val="943634"/>
          <w:sz w:val="22"/>
        </w:rPr>
      </w:pPr>
      <w:r w:rsidRPr="00AA3F66">
        <w:rPr>
          <w:b/>
          <w:color w:val="943634"/>
          <w:sz w:val="22"/>
        </w:rPr>
        <w:t>Изпълнение на приходите</w:t>
      </w:r>
      <w:r w:rsidR="000528F5" w:rsidRPr="00AA3F66">
        <w:rPr>
          <w:b/>
          <w:color w:val="943634"/>
          <w:sz w:val="22"/>
        </w:rPr>
        <w:t>, помощите и даренията</w:t>
      </w:r>
      <w:r w:rsidRPr="00AA3F66">
        <w:rPr>
          <w:b/>
          <w:color w:val="943634"/>
          <w:sz w:val="22"/>
        </w:rPr>
        <w:t xml:space="preserve"> по КФП</w:t>
      </w:r>
    </w:p>
    <w:p w:rsidR="005E6E49" w:rsidRPr="00AA3F66" w:rsidRDefault="005E6E49" w:rsidP="005E6E49">
      <w:pPr>
        <w:spacing w:after="120"/>
        <w:rPr>
          <w:rFonts w:cs="Times New Roman"/>
          <w:b/>
          <w:sz w:val="20"/>
          <w:szCs w:val="20"/>
        </w:rPr>
      </w:pPr>
      <w:r w:rsidRPr="00AA3F66">
        <w:rPr>
          <w:rFonts w:cs="Times New Roman"/>
          <w:b/>
          <w:sz w:val="20"/>
          <w:szCs w:val="20"/>
        </w:rPr>
        <w:t xml:space="preserve">Приходите, помощите и даренията </w:t>
      </w:r>
      <w:r w:rsidRPr="00AA3F66">
        <w:rPr>
          <w:rFonts w:cs="Times New Roman"/>
          <w:sz w:val="20"/>
          <w:szCs w:val="20"/>
        </w:rPr>
        <w:t xml:space="preserve">по консолидираната фискална програма за 2022 г. са в размер на </w:t>
      </w:r>
      <w:r w:rsidRPr="00AA3F66">
        <w:rPr>
          <w:rFonts w:cs="Times New Roman"/>
          <w:b/>
          <w:sz w:val="20"/>
          <w:szCs w:val="20"/>
        </w:rPr>
        <w:t>64 788,7 млн. лв., вкл. 3 181,0 млн. лв. приходи с еднократен извънреден характер</w:t>
      </w:r>
      <w:r w:rsidRPr="00AA3F66">
        <w:rPr>
          <w:rStyle w:val="FootnoteReference"/>
          <w:sz w:val="20"/>
          <w:szCs w:val="20"/>
        </w:rPr>
        <w:footnoteReference w:id="54"/>
      </w:r>
      <w:r w:rsidRPr="00AA3F66">
        <w:rPr>
          <w:rFonts w:cs="Times New Roman"/>
          <w:sz w:val="20"/>
          <w:szCs w:val="20"/>
        </w:rPr>
        <w:t xml:space="preserve">, които не са включени в разчетите към ЗДБРБ за 2022 г. С оглед съпоставимост на данните спрямо годишните разчети към ЗДБРБ за 2022 г., влиянието на посочените еднократни приходи, респективно разходи, следва да бъде елиминирано. На съпоставима база с разчетите към ЗДБРБ за 2022 г. приходите, помощите и даренията по КФП за 2022 г. са в размер на </w:t>
      </w:r>
      <w:r w:rsidRPr="00AA3F66">
        <w:rPr>
          <w:rFonts w:cs="Times New Roman"/>
          <w:b/>
          <w:sz w:val="20"/>
          <w:szCs w:val="20"/>
        </w:rPr>
        <w:t xml:space="preserve">61 607,7 млн. лв., което представлява превишение на разчетите към ЗДБРБ за 2022 г. с 3,3 на сто. </w:t>
      </w:r>
    </w:p>
    <w:p w:rsidR="005E6E49" w:rsidRPr="00AA3F66" w:rsidRDefault="005E6E49" w:rsidP="005E6E49">
      <w:pPr>
        <w:spacing w:before="120"/>
        <w:rPr>
          <w:rFonts w:cs="Times New Roman"/>
          <w:color w:val="969DAB" w:themeColor="text2" w:themeTint="99"/>
          <w:sz w:val="20"/>
          <w:szCs w:val="20"/>
        </w:rPr>
      </w:pPr>
      <w:r w:rsidRPr="00AA3F66">
        <w:rPr>
          <w:rFonts w:cs="Times New Roman"/>
          <w:b/>
          <w:i/>
          <w:sz w:val="20"/>
          <w:szCs w:val="20"/>
        </w:rPr>
        <w:t>Данъчно-осигурителните приходи</w:t>
      </w:r>
      <w:r w:rsidRPr="00AA3F66">
        <w:rPr>
          <w:rFonts w:cs="Times New Roman"/>
          <w:sz w:val="20"/>
          <w:szCs w:val="20"/>
        </w:rPr>
        <w:t xml:space="preserve">, отчетени по КФП са в размер на </w:t>
      </w:r>
      <w:r w:rsidRPr="00AA3F66">
        <w:rPr>
          <w:rFonts w:cs="Times New Roman"/>
          <w:b/>
          <w:i/>
          <w:sz w:val="20"/>
          <w:szCs w:val="20"/>
        </w:rPr>
        <w:t>46 783,0 млн. лв.</w:t>
      </w:r>
      <w:r w:rsidRPr="00AA3F66">
        <w:rPr>
          <w:rFonts w:cs="Times New Roman"/>
          <w:sz w:val="20"/>
          <w:szCs w:val="20"/>
        </w:rPr>
        <w:t xml:space="preserve">, което е с 1,4 на сто или 660,4 млн. лв. над заложеното в разчетите към ЗДБРБ за 2022 г., в т.ч. 343,8 млн. лв. превишение на разчета при постъпленията от социални и здравноосигурителни вноски, 219,2 млн. лв. по-високи данъчни приходи по държавния бюджет (от които 72,0 млн. лв. авансова солидарна вноска  от „Лукойл България“) и 97,4 млн. лв. над разчета по общинските бюджети (основно при имуществените данъци). В частта на данъчните приходи по държавния бюджет преизпълнение има при корпоративните данъци, ДДФЛ и митата, а приходите от ДДС и акцизи са близки до планираните за годината. </w:t>
      </w:r>
    </w:p>
    <w:p w:rsidR="005E6E49" w:rsidRPr="00AA3F66" w:rsidRDefault="005E6E49" w:rsidP="005E6E49">
      <w:pPr>
        <w:spacing w:before="120"/>
        <w:rPr>
          <w:rFonts w:cs="Times New Roman"/>
          <w:sz w:val="20"/>
          <w:szCs w:val="20"/>
        </w:rPr>
      </w:pPr>
      <w:r w:rsidRPr="00AA3F66">
        <w:rPr>
          <w:rFonts w:cs="Times New Roman"/>
          <w:sz w:val="20"/>
          <w:szCs w:val="20"/>
        </w:rPr>
        <w:t xml:space="preserve">Приходите в частта на </w:t>
      </w:r>
      <w:r w:rsidRPr="00AA3F66">
        <w:rPr>
          <w:rFonts w:cs="Times New Roman"/>
          <w:i/>
          <w:sz w:val="20"/>
          <w:szCs w:val="20"/>
        </w:rPr>
        <w:t xml:space="preserve">преките данъци </w:t>
      </w:r>
      <w:r w:rsidRPr="00AA3F66">
        <w:rPr>
          <w:rFonts w:cs="Times New Roman"/>
          <w:sz w:val="20"/>
          <w:szCs w:val="20"/>
        </w:rPr>
        <w:t xml:space="preserve">възлизат на </w:t>
      </w:r>
      <w:r w:rsidRPr="00AA3F66">
        <w:rPr>
          <w:rFonts w:cs="Times New Roman"/>
          <w:i/>
          <w:sz w:val="20"/>
          <w:szCs w:val="20"/>
        </w:rPr>
        <w:t>9 923,8 млн. лв.</w:t>
      </w:r>
      <w:r w:rsidRPr="00AA3F66">
        <w:rPr>
          <w:rFonts w:cs="Times New Roman"/>
          <w:sz w:val="20"/>
          <w:szCs w:val="20"/>
        </w:rPr>
        <w:t>, което представлява 109,6% спрямо разчета за 2022</w:t>
      </w:r>
      <w:r w:rsidRPr="00AA3F66">
        <w:rPr>
          <w:rFonts w:eastAsia="Calibri" w:cs="Times New Roman"/>
          <w:sz w:val="20"/>
          <w:szCs w:val="20"/>
        </w:rPr>
        <w:t> </w:t>
      </w:r>
      <w:r w:rsidRPr="00AA3F66">
        <w:rPr>
          <w:rFonts w:cs="Times New Roman"/>
          <w:sz w:val="20"/>
          <w:szCs w:val="20"/>
        </w:rPr>
        <w:t xml:space="preserve">година. Съпоставени с 2021 г., преките данъци нарастват с 20,2% (1 665,4 млн. лв.). </w:t>
      </w:r>
    </w:p>
    <w:p w:rsidR="005E6E49" w:rsidRPr="00AA3F66" w:rsidRDefault="005E6E49" w:rsidP="005E6E49">
      <w:pPr>
        <w:spacing w:before="120"/>
        <w:rPr>
          <w:rFonts w:cs="Times New Roman"/>
          <w:color w:val="969DAB" w:themeColor="text2" w:themeTint="99"/>
          <w:sz w:val="20"/>
          <w:szCs w:val="20"/>
        </w:rPr>
      </w:pPr>
      <w:r w:rsidRPr="00AA3F66">
        <w:rPr>
          <w:rFonts w:cs="Times New Roman"/>
          <w:sz w:val="20"/>
          <w:szCs w:val="20"/>
        </w:rPr>
        <w:t xml:space="preserve">Приходите от </w:t>
      </w:r>
      <w:r w:rsidRPr="00AA3F66">
        <w:rPr>
          <w:rFonts w:cs="Times New Roman"/>
          <w:i/>
          <w:sz w:val="20"/>
          <w:szCs w:val="20"/>
        </w:rPr>
        <w:t>косвени данъци</w:t>
      </w:r>
      <w:r w:rsidRPr="00AA3F66">
        <w:rPr>
          <w:rFonts w:cs="Times New Roman"/>
          <w:sz w:val="20"/>
          <w:szCs w:val="20"/>
        </w:rPr>
        <w:t xml:space="preserve"> са в размер на 21 541,5 млн. лв., което представлява 96,7% от предвидените в ЗДБРБ за 2022 г. Съпоставени с отчетените през 2021 г., косвените данъци нарастват с 13,5% (2 565,2 млн. лв.). </w:t>
      </w:r>
    </w:p>
    <w:p w:rsidR="005E6E49" w:rsidRPr="00AA3F66" w:rsidRDefault="005E6E49" w:rsidP="005E6E49">
      <w:pPr>
        <w:spacing w:before="120"/>
        <w:rPr>
          <w:rFonts w:cs="Times New Roman"/>
          <w:sz w:val="20"/>
          <w:szCs w:val="20"/>
        </w:rPr>
      </w:pPr>
      <w:r w:rsidRPr="00AA3F66">
        <w:rPr>
          <w:rFonts w:cs="Times New Roman"/>
          <w:sz w:val="20"/>
          <w:szCs w:val="20"/>
        </w:rPr>
        <w:t xml:space="preserve">Постъпленията от </w:t>
      </w:r>
      <w:r w:rsidRPr="00AA3F66">
        <w:rPr>
          <w:rFonts w:cs="Times New Roman"/>
          <w:i/>
          <w:sz w:val="20"/>
          <w:szCs w:val="20"/>
        </w:rPr>
        <w:t>други данъци</w:t>
      </w:r>
      <w:r w:rsidRPr="00AA3F66">
        <w:rPr>
          <w:rFonts w:cs="Times New Roman"/>
          <w:sz w:val="20"/>
          <w:szCs w:val="20"/>
        </w:rPr>
        <w:t xml:space="preserve"> (включват други данъци по ЗКПО, имуществени данъци и др.) са в размер на </w:t>
      </w:r>
      <w:r w:rsidRPr="00AA3F66">
        <w:rPr>
          <w:rFonts w:cs="Times New Roman"/>
          <w:i/>
          <w:sz w:val="20"/>
          <w:szCs w:val="20"/>
        </w:rPr>
        <w:t>1 580,0 млн. лв</w:t>
      </w:r>
      <w:r w:rsidRPr="00AA3F66">
        <w:rPr>
          <w:rFonts w:cs="Times New Roman"/>
          <w:sz w:val="20"/>
          <w:szCs w:val="20"/>
        </w:rPr>
        <w:t xml:space="preserve">., което представлява 112,7% спрямо разчетите към ЗДБРБ за 2022 г. и нарастват с 11,9% (168,5 млн. лв.) спрямо 2021 година. </w:t>
      </w:r>
    </w:p>
    <w:p w:rsidR="005E6E49" w:rsidRPr="00AA3F66" w:rsidRDefault="005E6E49" w:rsidP="005E6E49">
      <w:pPr>
        <w:spacing w:before="120"/>
        <w:rPr>
          <w:rFonts w:cs="Times New Roman"/>
          <w:color w:val="969DAB" w:themeColor="text2" w:themeTint="99"/>
          <w:sz w:val="20"/>
          <w:szCs w:val="20"/>
        </w:rPr>
      </w:pPr>
      <w:r w:rsidRPr="00AA3F66">
        <w:rPr>
          <w:rFonts w:cs="Times New Roman"/>
          <w:sz w:val="20"/>
          <w:szCs w:val="20"/>
        </w:rPr>
        <w:t xml:space="preserve">Приходите от </w:t>
      </w:r>
      <w:r w:rsidRPr="00AA3F66">
        <w:rPr>
          <w:rFonts w:cs="Times New Roman"/>
          <w:i/>
          <w:sz w:val="20"/>
          <w:szCs w:val="20"/>
        </w:rPr>
        <w:t>социалноосигурителни и здравни вноски</w:t>
      </w:r>
      <w:r w:rsidRPr="00AA3F66">
        <w:rPr>
          <w:rFonts w:cs="Times New Roman"/>
          <w:b/>
          <w:sz w:val="20"/>
          <w:szCs w:val="20"/>
        </w:rPr>
        <w:t xml:space="preserve"> </w:t>
      </w:r>
      <w:r w:rsidRPr="00AA3F66">
        <w:rPr>
          <w:rFonts w:cs="Times New Roman"/>
          <w:sz w:val="20"/>
          <w:szCs w:val="20"/>
        </w:rPr>
        <w:t xml:space="preserve">към 31.12.2022 г. са в размер на </w:t>
      </w:r>
      <w:r w:rsidRPr="00AA3F66">
        <w:rPr>
          <w:rFonts w:cs="Times New Roman"/>
          <w:i/>
          <w:sz w:val="20"/>
          <w:szCs w:val="20"/>
        </w:rPr>
        <w:t>13 737,7 млн. лв.</w:t>
      </w:r>
      <w:r w:rsidRPr="00AA3F66">
        <w:rPr>
          <w:rFonts w:cs="Times New Roman"/>
          <w:sz w:val="20"/>
          <w:szCs w:val="20"/>
        </w:rPr>
        <w:t xml:space="preserve"> или 102,6% спрямо планираните за годината, като спрямо предходната година нарастват с 1 507,6 млн. лв. (12,3%). </w:t>
      </w:r>
    </w:p>
    <w:p w:rsidR="005E6E49" w:rsidRPr="00AA3F66" w:rsidRDefault="005E6E49" w:rsidP="005E6E49">
      <w:pPr>
        <w:spacing w:before="120" w:after="120"/>
        <w:rPr>
          <w:rFonts w:cs="Times New Roman"/>
          <w:color w:val="969DAB" w:themeColor="text2" w:themeTint="99"/>
          <w:sz w:val="20"/>
          <w:szCs w:val="20"/>
        </w:rPr>
      </w:pPr>
      <w:r w:rsidRPr="00AA3F66">
        <w:rPr>
          <w:rFonts w:cs="Times New Roman"/>
          <w:b/>
          <w:bCs/>
          <w:i/>
          <w:iCs/>
          <w:sz w:val="20"/>
          <w:szCs w:val="20"/>
        </w:rPr>
        <w:t xml:space="preserve">Неданъчните приходи </w:t>
      </w:r>
      <w:r w:rsidRPr="00AA3F66">
        <w:rPr>
          <w:rFonts w:cs="Times New Roman"/>
          <w:sz w:val="20"/>
          <w:szCs w:val="20"/>
        </w:rPr>
        <w:t xml:space="preserve">са в размер на </w:t>
      </w:r>
      <w:r w:rsidRPr="00AA3F66">
        <w:rPr>
          <w:rFonts w:cs="Times New Roman"/>
          <w:b/>
          <w:sz w:val="20"/>
          <w:szCs w:val="20"/>
        </w:rPr>
        <w:t>12 000,3 млн. лв</w:t>
      </w:r>
      <w:r w:rsidRPr="00AA3F66">
        <w:rPr>
          <w:rFonts w:cs="Times New Roman"/>
          <w:sz w:val="20"/>
          <w:szCs w:val="20"/>
        </w:rPr>
        <w:t>. (вкл. 3 181,0 млн. лв. еднократни извънредни приходи), което представлява 163,4% изпълнение на годишните разчети. На съпоставима база, при елиминиране на въздействието на еднократни извънредни приходи, неданъчните приходи по КФП за 2022 г. са в размер на 8 819,3 млн. лв., което представлява преизпълнение на годишния разчет с 20,1 на сто (1 476,0 млн. лв.). Неданъчните приходи се формират основно от приходи от държавни, общински и съдебни такси, приходи и доходи от собственост, вкл. вноски от приходи от държавни и общински предприятия, приходи от концесии, приходи от продажба на квоти за емисии на парникови газове и други. В частта на неданъчните приходи най-значително преизпълнение на разчетите има при отчисленията от АЕЦ „Козлодуй“ за двата т. нар. „ядрени“ фонда – Фонд „Радиоактивни отпадъци“ и Фонд „Извеждане от експлоатация на ядрени съоръжения“. Отчисленията за двата фонда са с 511,6 млн. лв. по-високи от планираните, което се дължи на високите цени на електроенергията на свободния пазар. Подобна е и ситуацията с приходите от продажба на квоти за парникови газове, които са със 163,3 млн. лв. над заложените в годишния разчет и отново са свързани с волатилните условия на свободния пазар на електричество.</w:t>
      </w:r>
    </w:p>
    <w:p w:rsidR="005E6E49" w:rsidRPr="00AA3F66" w:rsidRDefault="005E6E49" w:rsidP="001B410F">
      <w:pPr>
        <w:spacing w:after="120"/>
        <w:rPr>
          <w:rFonts w:cs="Times New Roman"/>
          <w:sz w:val="20"/>
          <w:szCs w:val="20"/>
        </w:rPr>
      </w:pPr>
      <w:r w:rsidRPr="00AA3F66">
        <w:rPr>
          <w:rFonts w:cs="Times New Roman"/>
          <w:sz w:val="20"/>
          <w:szCs w:val="20"/>
        </w:rPr>
        <w:t xml:space="preserve">Постъпленията от </w:t>
      </w:r>
      <w:r w:rsidRPr="00AA3F66">
        <w:rPr>
          <w:rFonts w:cs="Times New Roman"/>
          <w:b/>
          <w:i/>
          <w:sz w:val="20"/>
          <w:szCs w:val="20"/>
        </w:rPr>
        <w:t>помощи и дарения</w:t>
      </w:r>
      <w:r w:rsidRPr="00AA3F66">
        <w:rPr>
          <w:rFonts w:cs="Times New Roman"/>
          <w:sz w:val="20"/>
          <w:szCs w:val="20"/>
        </w:rPr>
        <w:t xml:space="preserve"> от страната и чужбина (основно помощи от фондовете на ЕС) са в размер на </w:t>
      </w:r>
      <w:r w:rsidRPr="00AA3F66">
        <w:rPr>
          <w:rFonts w:cs="Times New Roman"/>
          <w:b/>
          <w:sz w:val="20"/>
          <w:szCs w:val="20"/>
        </w:rPr>
        <w:t>6 005,4 млн. лв.</w:t>
      </w:r>
      <w:r w:rsidRPr="00AA3F66">
        <w:rPr>
          <w:rFonts w:cs="Times New Roman"/>
          <w:sz w:val="20"/>
          <w:szCs w:val="20"/>
        </w:rPr>
        <w:t>, или 97,0% от разчета за 2022 година. Постъпленията са по-ниски от разчетените със ЗДБРБ за 2022 г. със 187,3 млн. лв., което се дължи на по-ниското усвояване на разходите по сметките за средства от ЕС, респективно по-ниския размер на възстановените средства от ЕК.</w:t>
      </w:r>
    </w:p>
    <w:p w:rsidR="00613368" w:rsidRPr="00AA3F66" w:rsidRDefault="00613368" w:rsidP="00613368">
      <w:pPr>
        <w:pStyle w:val="Caption"/>
        <w:spacing w:after="0"/>
        <w:ind w:left="0" w:firstLine="0"/>
        <w:rPr>
          <w:rFonts w:eastAsia="Times New Roman"/>
          <w:sz w:val="20"/>
          <w:szCs w:val="20"/>
        </w:rPr>
      </w:pPr>
      <w:r w:rsidRPr="00AA3F66">
        <w:rPr>
          <w:sz w:val="20"/>
          <w:szCs w:val="20"/>
        </w:rPr>
        <w:t xml:space="preserve">Граф.: Данъчно-осигурителни приходи по КФП за </w:t>
      </w:r>
      <w:r w:rsidR="00F451D8" w:rsidRPr="00AA3F66">
        <w:rPr>
          <w:sz w:val="20"/>
          <w:szCs w:val="20"/>
        </w:rPr>
        <w:t>2021 г. и 2022</w:t>
      </w:r>
      <w:r w:rsidRPr="00AA3F66">
        <w:rPr>
          <w:sz w:val="20"/>
          <w:szCs w:val="20"/>
        </w:rPr>
        <w:t> г.</w:t>
      </w:r>
    </w:p>
    <w:p w:rsidR="00613368" w:rsidRPr="00AA3F66" w:rsidRDefault="005677CF" w:rsidP="005677CF">
      <w:pPr>
        <w:spacing w:after="0"/>
        <w:ind w:firstLine="709"/>
        <w:rPr>
          <w:sz w:val="20"/>
          <w:szCs w:val="20"/>
        </w:rPr>
      </w:pPr>
      <w:r w:rsidRPr="00AA3F66">
        <w:rPr>
          <w:sz w:val="20"/>
          <w:szCs w:val="20"/>
        </w:rPr>
        <w:t>(млн. лв.)</w:t>
      </w:r>
    </w:p>
    <w:p w:rsidR="005677CF" w:rsidRPr="00AA3F66" w:rsidRDefault="005677CF" w:rsidP="005677CF">
      <w:pPr>
        <w:tabs>
          <w:tab w:val="num" w:pos="540"/>
          <w:tab w:val="num" w:pos="1080"/>
        </w:tabs>
        <w:spacing w:after="120"/>
        <w:jc w:val="center"/>
        <w:rPr>
          <w:noProof/>
          <w:color w:val="4F81BD"/>
        </w:rPr>
      </w:pPr>
    </w:p>
    <w:p w:rsidR="00D8495B" w:rsidRPr="00AA3F66" w:rsidRDefault="002C776D" w:rsidP="001E226A">
      <w:pPr>
        <w:tabs>
          <w:tab w:val="num" w:pos="540"/>
          <w:tab w:val="num" w:pos="1080"/>
        </w:tabs>
        <w:spacing w:after="120"/>
        <w:jc w:val="left"/>
        <w:rPr>
          <w:noProof/>
          <w:color w:val="4F81BD"/>
        </w:rPr>
      </w:pPr>
      <w:r w:rsidRPr="00AA3F66">
        <w:rPr>
          <w:noProof/>
          <w:color w:val="4F81BD"/>
        </w:rPr>
        <w:drawing>
          <wp:inline distT="0" distB="0" distL="0" distR="0" wp14:anchorId="0A47FB08" wp14:editId="06761D54">
            <wp:extent cx="4276725" cy="2371725"/>
            <wp:effectExtent l="0" t="0" r="9525" b="9525"/>
            <wp:docPr id="679" name="Picture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276725" cy="2371725"/>
                    </a:xfrm>
                    <a:prstGeom prst="rect">
                      <a:avLst/>
                    </a:prstGeom>
                    <a:noFill/>
                  </pic:spPr>
                </pic:pic>
              </a:graphicData>
            </a:graphic>
          </wp:inline>
        </w:drawing>
      </w:r>
    </w:p>
    <w:p w:rsidR="009D508B" w:rsidRPr="00AA3F66" w:rsidRDefault="0083793D" w:rsidP="001E226A">
      <w:pPr>
        <w:autoSpaceDE w:val="0"/>
        <w:autoSpaceDN w:val="0"/>
        <w:adjustRightInd w:val="0"/>
        <w:spacing w:after="0"/>
        <w:ind w:right="200" w:firstLine="5098"/>
        <w:jc w:val="right"/>
        <w:rPr>
          <w:rFonts w:eastAsia="Batang" w:cs="Times New Roman"/>
          <w:bCs/>
          <w:sz w:val="18"/>
          <w:szCs w:val="18"/>
        </w:rPr>
      </w:pPr>
      <w:r w:rsidRPr="00AA3F66">
        <w:rPr>
          <w:rFonts w:eastAsia="Batang" w:cs="Times New Roman"/>
          <w:bCs/>
          <w:sz w:val="18"/>
          <w:szCs w:val="18"/>
        </w:rPr>
        <w:t>Източник: МФ</w:t>
      </w:r>
    </w:p>
    <w:p w:rsidR="00574A2C" w:rsidRPr="00AA3F66" w:rsidRDefault="00574A2C" w:rsidP="00574A2C">
      <w:pPr>
        <w:autoSpaceDE w:val="0"/>
        <w:autoSpaceDN w:val="0"/>
        <w:adjustRightInd w:val="0"/>
        <w:spacing w:after="120" w:line="276" w:lineRule="auto"/>
        <w:rPr>
          <w:rFonts w:eastAsia="Batang"/>
          <w:b/>
          <w:bCs/>
          <w:color w:val="943634"/>
          <w:sz w:val="22"/>
        </w:rPr>
      </w:pPr>
      <w:r w:rsidRPr="00AA3F66">
        <w:rPr>
          <w:rFonts w:eastAsia="Batang"/>
          <w:b/>
          <w:bCs/>
          <w:color w:val="943634"/>
          <w:sz w:val="22"/>
        </w:rPr>
        <w:t>Изпълнение на разходите</w:t>
      </w:r>
    </w:p>
    <w:p w:rsidR="00964F99" w:rsidRPr="00AA3F66" w:rsidRDefault="00964F99" w:rsidP="00964F99">
      <w:pPr>
        <w:spacing w:before="120" w:after="120"/>
        <w:rPr>
          <w:rFonts w:cs="Times New Roman"/>
          <w:sz w:val="20"/>
          <w:szCs w:val="20"/>
        </w:rPr>
      </w:pPr>
      <w:r w:rsidRPr="00AA3F66">
        <w:rPr>
          <w:rFonts w:cs="Times New Roman"/>
          <w:b/>
          <w:sz w:val="20"/>
          <w:szCs w:val="20"/>
        </w:rPr>
        <w:t xml:space="preserve">Разходите </w:t>
      </w:r>
      <w:r w:rsidRPr="00AA3F66">
        <w:rPr>
          <w:rFonts w:cs="Times New Roman"/>
          <w:sz w:val="20"/>
          <w:szCs w:val="20"/>
        </w:rPr>
        <w:t>по консолидираната фискална програма</w:t>
      </w:r>
      <w:r w:rsidRPr="00AA3F66">
        <w:rPr>
          <w:rFonts w:cs="Times New Roman"/>
          <w:b/>
          <w:sz w:val="20"/>
          <w:szCs w:val="20"/>
        </w:rPr>
        <w:t xml:space="preserve"> </w:t>
      </w:r>
      <w:r w:rsidRPr="00AA3F66">
        <w:rPr>
          <w:rFonts w:cs="Times New Roman"/>
          <w:sz w:val="20"/>
          <w:szCs w:val="20"/>
        </w:rPr>
        <w:t xml:space="preserve">(вкл. вноската на Република България в общия бюджет на ЕС) за 2022 г. възлизат на </w:t>
      </w:r>
      <w:r w:rsidRPr="00AA3F66">
        <w:rPr>
          <w:rFonts w:cs="Times New Roman"/>
          <w:b/>
          <w:sz w:val="20"/>
          <w:szCs w:val="20"/>
        </w:rPr>
        <w:t>66 112,3 млн. лв., вкл. 3 181,0 млн. лв. разходи с еднократен извънреден характер, които не са включени в разчетите към ЗДБРБ за 2022 г.</w:t>
      </w:r>
      <w:r w:rsidRPr="00AA3F66">
        <w:rPr>
          <w:rFonts w:cs="Times New Roman"/>
          <w:sz w:val="20"/>
          <w:szCs w:val="20"/>
        </w:rPr>
        <w:t xml:space="preserve"> На съпоставима база с разчетите към ЗДБРБ за 2022 г. разходите по КФП са в размер на 62 931,3 млн. лв., което представлява 95,5% от разчета към ЗДБРБ за 2022 г.</w:t>
      </w:r>
    </w:p>
    <w:p w:rsidR="00964F99" w:rsidRPr="00AA3F66" w:rsidRDefault="00964F99" w:rsidP="00964F99">
      <w:pPr>
        <w:spacing w:before="120" w:after="120"/>
        <w:rPr>
          <w:rFonts w:cs="Times New Roman"/>
          <w:sz w:val="20"/>
          <w:szCs w:val="20"/>
        </w:rPr>
      </w:pPr>
      <w:r w:rsidRPr="00AA3F66">
        <w:rPr>
          <w:rFonts w:cs="Times New Roman"/>
          <w:sz w:val="20"/>
          <w:szCs w:val="20"/>
        </w:rPr>
        <w:t xml:space="preserve">На съпоставима база разходите по КФП са по-ниски от планираните, като забавяне има при усвояването на разходите по сметките за средства от ЕС - основно по Плана за възстановяване и устойчивост (ПВУ) и някои оперативни програми и проекти по програмен период 2021-2027 г. По-ниско от планираното е и усвояването на капиталовите разходи по държавния бюджет. </w:t>
      </w:r>
    </w:p>
    <w:p w:rsidR="00964F99" w:rsidRPr="00AA3F66" w:rsidRDefault="00964F99" w:rsidP="00964F99">
      <w:pPr>
        <w:spacing w:before="120" w:after="0"/>
        <w:rPr>
          <w:rFonts w:cs="Times New Roman"/>
          <w:sz w:val="20"/>
          <w:szCs w:val="20"/>
        </w:rPr>
      </w:pPr>
      <w:r w:rsidRPr="00AA3F66">
        <w:rPr>
          <w:rFonts w:cs="Times New Roman"/>
          <w:b/>
          <w:sz w:val="20"/>
          <w:szCs w:val="20"/>
        </w:rPr>
        <w:t>Нелихвените разходи</w:t>
      </w:r>
      <w:r w:rsidRPr="00AA3F66">
        <w:rPr>
          <w:rFonts w:cs="Times New Roman"/>
          <w:sz w:val="20"/>
          <w:szCs w:val="20"/>
        </w:rPr>
        <w:t xml:space="preserve"> за 2022 г. са в размер на 63 755,5 млн. лв., вкл. разходите с еднократен извънреден характер, които не са включени в разчетите към ЗДБРБ за 2022 г. На съпоставима база с разчетите към ЗДБРБ за 2022 г. нелихвените разходи са в размер на 60 574,5 млн. лв., което представлява 95,6% от годишния разчет. </w:t>
      </w:r>
      <w:r w:rsidRPr="00AA3F66">
        <w:rPr>
          <w:rFonts w:cs="Times New Roman"/>
          <w:i/>
          <w:sz w:val="20"/>
          <w:szCs w:val="20"/>
        </w:rPr>
        <w:t>Текущите нелихвени разходи</w:t>
      </w:r>
      <w:r w:rsidRPr="00AA3F66">
        <w:rPr>
          <w:rFonts w:cs="Times New Roman"/>
          <w:sz w:val="20"/>
          <w:szCs w:val="20"/>
        </w:rPr>
        <w:t xml:space="preserve"> (намалени с разходите с еднократен извънреден характер) са в размер на </w:t>
      </w:r>
      <w:r w:rsidRPr="00AA3F66">
        <w:rPr>
          <w:rFonts w:cs="Times New Roman"/>
          <w:i/>
          <w:sz w:val="20"/>
          <w:szCs w:val="20"/>
        </w:rPr>
        <w:t>54 820,5</w:t>
      </w:r>
      <w:r w:rsidRPr="00AA3F66">
        <w:rPr>
          <w:rFonts w:cs="Times New Roman"/>
          <w:sz w:val="20"/>
          <w:szCs w:val="20"/>
        </w:rPr>
        <w:t xml:space="preserve"> </w:t>
      </w:r>
      <w:r w:rsidRPr="00AA3F66">
        <w:rPr>
          <w:rFonts w:cs="Times New Roman"/>
          <w:i/>
          <w:sz w:val="20"/>
          <w:szCs w:val="20"/>
        </w:rPr>
        <w:t>млн. лева</w:t>
      </w:r>
      <w:r w:rsidRPr="00AA3F66">
        <w:rPr>
          <w:rFonts w:cs="Times New Roman"/>
          <w:sz w:val="20"/>
          <w:szCs w:val="20"/>
        </w:rPr>
        <w:t xml:space="preserve">. </w:t>
      </w:r>
      <w:r w:rsidRPr="00AA3F66">
        <w:rPr>
          <w:rFonts w:cs="Times New Roman"/>
          <w:i/>
          <w:sz w:val="20"/>
          <w:szCs w:val="20"/>
        </w:rPr>
        <w:t xml:space="preserve">Капиталовите разходи (вкл. нетния прираст на държавния резерв) </w:t>
      </w:r>
      <w:r w:rsidRPr="00AA3F66">
        <w:rPr>
          <w:rFonts w:cs="Times New Roman"/>
          <w:sz w:val="20"/>
          <w:szCs w:val="20"/>
        </w:rPr>
        <w:t xml:space="preserve">възлизат на </w:t>
      </w:r>
      <w:r w:rsidRPr="00AA3F66">
        <w:rPr>
          <w:rFonts w:cs="Times New Roman"/>
          <w:i/>
          <w:sz w:val="20"/>
          <w:szCs w:val="20"/>
        </w:rPr>
        <w:t>5 706,6 млн. лева</w:t>
      </w:r>
      <w:r w:rsidRPr="00AA3F66">
        <w:rPr>
          <w:rFonts w:cs="Times New Roman"/>
          <w:sz w:val="20"/>
          <w:szCs w:val="20"/>
        </w:rPr>
        <w:t xml:space="preserve">. </w:t>
      </w:r>
      <w:r w:rsidRPr="00AA3F66">
        <w:rPr>
          <w:rFonts w:cs="Times New Roman"/>
          <w:i/>
          <w:sz w:val="20"/>
          <w:szCs w:val="20"/>
        </w:rPr>
        <w:t>Предоставените текущи и капиталови трансфери за чужбина</w:t>
      </w:r>
      <w:r w:rsidRPr="00AA3F66">
        <w:rPr>
          <w:rFonts w:cs="Times New Roman"/>
          <w:sz w:val="20"/>
          <w:szCs w:val="20"/>
        </w:rPr>
        <w:t xml:space="preserve"> са в размер на </w:t>
      </w:r>
      <w:r w:rsidRPr="00AA3F66">
        <w:rPr>
          <w:rFonts w:cs="Times New Roman"/>
          <w:i/>
          <w:sz w:val="20"/>
          <w:szCs w:val="20"/>
        </w:rPr>
        <w:t>47,3 млн. лева</w:t>
      </w:r>
      <w:r w:rsidRPr="00AA3F66">
        <w:rPr>
          <w:rFonts w:cs="Times New Roman"/>
          <w:sz w:val="20"/>
          <w:szCs w:val="20"/>
        </w:rPr>
        <w:t xml:space="preserve">. </w:t>
      </w:r>
    </w:p>
    <w:p w:rsidR="00964F99" w:rsidRPr="00AA3F66" w:rsidRDefault="00964F99" w:rsidP="00964F99">
      <w:pPr>
        <w:spacing w:before="120" w:after="0"/>
        <w:rPr>
          <w:rFonts w:cs="Times New Roman"/>
          <w:sz w:val="20"/>
          <w:szCs w:val="20"/>
        </w:rPr>
      </w:pPr>
      <w:r w:rsidRPr="00AA3F66">
        <w:rPr>
          <w:rFonts w:cs="Times New Roman"/>
          <w:b/>
          <w:sz w:val="20"/>
          <w:szCs w:val="20"/>
        </w:rPr>
        <w:t>Лихвените плащания</w:t>
      </w:r>
      <w:r w:rsidRPr="00AA3F66">
        <w:rPr>
          <w:rFonts w:cs="Times New Roman"/>
          <w:sz w:val="20"/>
          <w:szCs w:val="20"/>
        </w:rPr>
        <w:t xml:space="preserve"> са в размер на 651,8 млн. лв. (98,1% от планираните за 2022 г.).</w:t>
      </w:r>
    </w:p>
    <w:p w:rsidR="00964F99" w:rsidRPr="00AA3F66" w:rsidRDefault="00964F99" w:rsidP="00964F99">
      <w:pPr>
        <w:spacing w:before="120" w:after="0"/>
        <w:rPr>
          <w:rFonts w:eastAsia="Times New Roman" w:cs="Times New Roman"/>
          <w:b/>
          <w:i/>
          <w:sz w:val="20"/>
          <w:szCs w:val="20"/>
          <w:u w:val="single"/>
        </w:rPr>
      </w:pPr>
      <w:r w:rsidRPr="00AA3F66">
        <w:rPr>
          <w:rFonts w:cs="Times New Roman"/>
          <w:b/>
          <w:sz w:val="20"/>
          <w:szCs w:val="20"/>
        </w:rPr>
        <w:t>Частта от вноската на Република България в общия бюджет на ЕС</w:t>
      </w:r>
      <w:r w:rsidRPr="00AA3F66">
        <w:rPr>
          <w:rFonts w:cs="Times New Roman"/>
          <w:sz w:val="20"/>
          <w:szCs w:val="20"/>
        </w:rPr>
        <w:t xml:space="preserve">, изплатена  към 31 декември 2022 г. от централния бюджет, възлиза на </w:t>
      </w:r>
      <w:r w:rsidRPr="00AA3F66">
        <w:rPr>
          <w:rFonts w:cs="Times New Roman"/>
          <w:b/>
          <w:sz w:val="20"/>
          <w:szCs w:val="20"/>
        </w:rPr>
        <w:t>1 705,0 млн. лв</w:t>
      </w:r>
      <w:r w:rsidRPr="00AA3F66">
        <w:rPr>
          <w:rFonts w:cs="Times New Roman"/>
          <w:sz w:val="20"/>
          <w:szCs w:val="20"/>
        </w:rPr>
        <w:t>., което е в изпълнение на действащото към момента законодателство в областта на собствените ресурси на ЕС.</w:t>
      </w:r>
    </w:p>
    <w:p w:rsidR="00964F99" w:rsidRPr="00AA3F66" w:rsidRDefault="00964F99" w:rsidP="00F36BF9">
      <w:pPr>
        <w:spacing w:after="0"/>
        <w:rPr>
          <w:rFonts w:eastAsia="Calibri" w:cs="Times New Roman"/>
          <w:b/>
          <w:sz w:val="20"/>
          <w:szCs w:val="20"/>
          <w:lang w:eastAsia="en-US"/>
        </w:rPr>
      </w:pPr>
    </w:p>
    <w:p w:rsidR="00DB7108" w:rsidRPr="00AA3F66" w:rsidRDefault="00574A2C" w:rsidP="00F36BF9">
      <w:pPr>
        <w:spacing w:after="0"/>
        <w:rPr>
          <w:rFonts w:eastAsia="Times New Roman"/>
          <w:sz w:val="20"/>
          <w:szCs w:val="20"/>
        </w:rPr>
      </w:pPr>
      <w:r w:rsidRPr="00AA3F66">
        <w:rPr>
          <w:rStyle w:val="CaptionChar"/>
          <w:sz w:val="20"/>
          <w:szCs w:val="20"/>
        </w:rPr>
        <w:t>Г</w:t>
      </w:r>
      <w:r w:rsidR="008F74EC" w:rsidRPr="00AA3F66">
        <w:rPr>
          <w:rStyle w:val="CaptionChar"/>
          <w:sz w:val="20"/>
          <w:szCs w:val="20"/>
        </w:rPr>
        <w:t>раф.</w:t>
      </w:r>
      <w:r w:rsidRPr="00AA3F66">
        <w:rPr>
          <w:rStyle w:val="CaptionChar"/>
          <w:sz w:val="20"/>
          <w:szCs w:val="20"/>
        </w:rPr>
        <w:t xml:space="preserve">: Основни разходни показатели по КФП за </w:t>
      </w:r>
      <w:r w:rsidR="00510898" w:rsidRPr="00AA3F66">
        <w:rPr>
          <w:rStyle w:val="CaptionChar"/>
          <w:sz w:val="20"/>
          <w:szCs w:val="20"/>
        </w:rPr>
        <w:t>2021 г. и 2022</w:t>
      </w:r>
      <w:r w:rsidRPr="00AA3F66">
        <w:rPr>
          <w:rStyle w:val="CaptionChar"/>
          <w:sz w:val="20"/>
          <w:szCs w:val="20"/>
        </w:rPr>
        <w:t> г</w:t>
      </w:r>
      <w:r w:rsidRPr="00AA3F66">
        <w:rPr>
          <w:rFonts w:eastAsia="Times New Roman"/>
          <w:sz w:val="20"/>
          <w:szCs w:val="20"/>
        </w:rPr>
        <w:t>.</w:t>
      </w:r>
      <w:r w:rsidR="009C2619" w:rsidRPr="00AA3F66">
        <w:rPr>
          <w:rFonts w:eastAsia="Times New Roman"/>
          <w:sz w:val="20"/>
          <w:szCs w:val="20"/>
        </w:rPr>
        <w:t xml:space="preserve"> </w:t>
      </w:r>
    </w:p>
    <w:p w:rsidR="007B6CD3" w:rsidRPr="00AA3F66" w:rsidRDefault="00CD21FF" w:rsidP="007B6CD3">
      <w:pPr>
        <w:spacing w:after="0"/>
        <w:ind w:firstLine="630"/>
        <w:rPr>
          <w:sz w:val="20"/>
          <w:szCs w:val="20"/>
        </w:rPr>
      </w:pPr>
      <w:r w:rsidRPr="00AA3F66">
        <w:rPr>
          <w:sz w:val="20"/>
          <w:szCs w:val="20"/>
        </w:rPr>
        <w:t>(млн. лв.)</w:t>
      </w:r>
    </w:p>
    <w:p w:rsidR="002C776D" w:rsidRPr="00AA3F66" w:rsidRDefault="002C776D" w:rsidP="00B04BBC">
      <w:pPr>
        <w:spacing w:after="0"/>
        <w:rPr>
          <w:sz w:val="20"/>
          <w:szCs w:val="20"/>
        </w:rPr>
      </w:pPr>
    </w:p>
    <w:p w:rsidR="00B04BBC" w:rsidRPr="00AA3F66" w:rsidRDefault="002C776D" w:rsidP="001E226A">
      <w:pPr>
        <w:spacing w:after="0"/>
        <w:jc w:val="left"/>
        <w:rPr>
          <w:sz w:val="20"/>
          <w:szCs w:val="20"/>
        </w:rPr>
      </w:pPr>
      <w:r w:rsidRPr="00AA3F66">
        <w:rPr>
          <w:noProof/>
          <w:sz w:val="20"/>
          <w:szCs w:val="20"/>
        </w:rPr>
        <w:drawing>
          <wp:inline distT="0" distB="0" distL="0" distR="0" wp14:anchorId="7C4FD490" wp14:editId="1D9A893B">
            <wp:extent cx="4218940" cy="2414270"/>
            <wp:effectExtent l="0" t="0" r="0" b="5080"/>
            <wp:docPr id="680" name="Picture 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218940" cy="2414270"/>
                    </a:xfrm>
                    <a:prstGeom prst="rect">
                      <a:avLst/>
                    </a:prstGeom>
                    <a:noFill/>
                  </pic:spPr>
                </pic:pic>
              </a:graphicData>
            </a:graphic>
          </wp:inline>
        </w:drawing>
      </w:r>
    </w:p>
    <w:p w:rsidR="00CD21FF" w:rsidRPr="00AA3F66" w:rsidRDefault="00CD21FF" w:rsidP="007B6CD3">
      <w:pPr>
        <w:spacing w:after="0"/>
        <w:rPr>
          <w:rFonts w:eastAsia="Times New Roman"/>
          <w:sz w:val="20"/>
          <w:szCs w:val="20"/>
        </w:rPr>
      </w:pPr>
    </w:p>
    <w:p w:rsidR="00A54B9E" w:rsidRPr="00AA3F66" w:rsidRDefault="00A54B9E" w:rsidP="001E226A">
      <w:pPr>
        <w:autoSpaceDE w:val="0"/>
        <w:autoSpaceDN w:val="0"/>
        <w:adjustRightInd w:val="0"/>
        <w:spacing w:after="0"/>
        <w:ind w:right="200"/>
        <w:jc w:val="right"/>
        <w:rPr>
          <w:rFonts w:eastAsia="Batang" w:cs="Times New Roman"/>
          <w:bCs/>
          <w:sz w:val="18"/>
          <w:szCs w:val="18"/>
        </w:rPr>
      </w:pPr>
      <w:r w:rsidRPr="00AA3F66">
        <w:rPr>
          <w:rFonts w:eastAsia="Batang" w:cs="Times New Roman"/>
          <w:bCs/>
          <w:sz w:val="18"/>
          <w:szCs w:val="18"/>
        </w:rPr>
        <w:t>Източник: МФ</w:t>
      </w:r>
    </w:p>
    <w:p w:rsidR="00A54B9E" w:rsidRPr="00AA3F66" w:rsidRDefault="00FA39BE" w:rsidP="00A54B9E">
      <w:pPr>
        <w:spacing w:after="0"/>
        <w:rPr>
          <w:rFonts w:eastAsia="Times New Roman" w:cs="Times New Roman"/>
          <w:bCs/>
          <w:iCs/>
          <w:sz w:val="16"/>
          <w:szCs w:val="16"/>
        </w:rPr>
      </w:pPr>
      <w:r w:rsidRPr="00AA3F66">
        <w:rPr>
          <w:rFonts w:eastAsia="Times New Roman" w:cs="Times New Roman"/>
          <w:bCs/>
          <w:iCs/>
          <w:sz w:val="16"/>
          <w:szCs w:val="16"/>
        </w:rPr>
        <w:t xml:space="preserve">*   Вкл. </w:t>
      </w:r>
      <w:r w:rsidR="00A54B9E" w:rsidRPr="00AA3F66">
        <w:rPr>
          <w:rFonts w:eastAsia="Times New Roman" w:cs="Times New Roman"/>
          <w:bCs/>
          <w:iCs/>
          <w:sz w:val="16"/>
          <w:szCs w:val="16"/>
        </w:rPr>
        <w:t>Предоставени текущи и капиталови трансфери за чужбина</w:t>
      </w:r>
    </w:p>
    <w:p w:rsidR="00A54B9E" w:rsidRPr="00AA3F66" w:rsidRDefault="00FA39BE" w:rsidP="00A54B9E">
      <w:pPr>
        <w:autoSpaceDE w:val="0"/>
        <w:autoSpaceDN w:val="0"/>
        <w:adjustRightInd w:val="0"/>
        <w:spacing w:after="120" w:line="276" w:lineRule="auto"/>
        <w:jc w:val="left"/>
        <w:rPr>
          <w:rFonts w:eastAsia="Batang"/>
          <w:b/>
          <w:bCs/>
          <w:i/>
          <w:color w:val="943634"/>
          <w:sz w:val="22"/>
        </w:rPr>
      </w:pPr>
      <w:r w:rsidRPr="00AA3F66">
        <w:rPr>
          <w:rFonts w:eastAsia="Times New Roman" w:cs="Times New Roman"/>
          <w:bCs/>
          <w:iCs/>
          <w:sz w:val="16"/>
          <w:szCs w:val="16"/>
        </w:rPr>
        <w:t xml:space="preserve">** Вкл. </w:t>
      </w:r>
      <w:r w:rsidR="00A54B9E" w:rsidRPr="00AA3F66">
        <w:rPr>
          <w:rFonts w:eastAsia="Times New Roman" w:cs="Times New Roman"/>
          <w:bCs/>
          <w:iCs/>
          <w:sz w:val="16"/>
          <w:szCs w:val="16"/>
        </w:rPr>
        <w:t>Нетен прираст на държавния резерв</w:t>
      </w:r>
    </w:p>
    <w:p w:rsidR="005E5FDF" w:rsidRPr="00AA3F66" w:rsidRDefault="005E5FDF" w:rsidP="00E64CE8">
      <w:pPr>
        <w:autoSpaceDE w:val="0"/>
        <w:autoSpaceDN w:val="0"/>
        <w:adjustRightInd w:val="0"/>
        <w:spacing w:after="120" w:line="276" w:lineRule="auto"/>
        <w:jc w:val="left"/>
        <w:rPr>
          <w:rFonts w:eastAsia="Batang"/>
          <w:b/>
          <w:bCs/>
          <w:i/>
          <w:color w:val="943634"/>
          <w:sz w:val="22"/>
        </w:rPr>
      </w:pPr>
    </w:p>
    <w:p w:rsidR="00574A2C" w:rsidRPr="00AA3F66" w:rsidRDefault="00574A2C" w:rsidP="00E64CE8">
      <w:pPr>
        <w:autoSpaceDE w:val="0"/>
        <w:autoSpaceDN w:val="0"/>
        <w:adjustRightInd w:val="0"/>
        <w:spacing w:after="120" w:line="276" w:lineRule="auto"/>
        <w:jc w:val="left"/>
        <w:rPr>
          <w:rFonts w:eastAsia="Batang"/>
          <w:b/>
          <w:bCs/>
          <w:i/>
          <w:color w:val="943634"/>
          <w:sz w:val="22"/>
        </w:rPr>
      </w:pPr>
      <w:r w:rsidRPr="00AA3F66">
        <w:rPr>
          <w:rFonts w:eastAsia="Batang"/>
          <w:b/>
          <w:bCs/>
          <w:i/>
          <w:color w:val="943634"/>
          <w:sz w:val="22"/>
        </w:rPr>
        <w:t>Разходи по държавния бюджет, бюджетите на социалноосигурителните фондове и бюджетите на общините</w:t>
      </w:r>
    </w:p>
    <w:p w:rsidR="00574A2C" w:rsidRPr="00AA3F66" w:rsidRDefault="00574A2C" w:rsidP="00B21B45">
      <w:pPr>
        <w:numPr>
          <w:ilvl w:val="0"/>
          <w:numId w:val="2"/>
        </w:numPr>
        <w:autoSpaceDE w:val="0"/>
        <w:autoSpaceDN w:val="0"/>
        <w:adjustRightInd w:val="0"/>
        <w:spacing w:after="120" w:line="276" w:lineRule="auto"/>
        <w:ind w:left="426" w:hanging="426"/>
        <w:rPr>
          <w:rFonts w:eastAsia="Batang"/>
          <w:b/>
          <w:bCs/>
          <w:color w:val="943634"/>
          <w:sz w:val="22"/>
        </w:rPr>
      </w:pPr>
      <w:r w:rsidRPr="00AA3F66">
        <w:rPr>
          <w:rFonts w:eastAsia="Batang"/>
          <w:b/>
          <w:bCs/>
          <w:color w:val="943634"/>
          <w:sz w:val="22"/>
        </w:rPr>
        <w:t>Държавен бюджет</w:t>
      </w:r>
    </w:p>
    <w:p w:rsidR="00964F99" w:rsidRPr="00AA3F66" w:rsidRDefault="00964F99" w:rsidP="00964F99">
      <w:pPr>
        <w:pStyle w:val="BodyTextIndent"/>
        <w:ind w:left="0"/>
        <w:rPr>
          <w:sz w:val="20"/>
          <w:szCs w:val="20"/>
        </w:rPr>
      </w:pPr>
      <w:r w:rsidRPr="00AA3F66">
        <w:rPr>
          <w:sz w:val="20"/>
          <w:szCs w:val="20"/>
        </w:rPr>
        <w:t xml:space="preserve">Общият размер на </w:t>
      </w:r>
      <w:r w:rsidRPr="00AA3F66">
        <w:rPr>
          <w:b/>
          <w:sz w:val="20"/>
          <w:szCs w:val="20"/>
        </w:rPr>
        <w:t>разходите</w:t>
      </w:r>
      <w:r w:rsidRPr="00AA3F66">
        <w:rPr>
          <w:sz w:val="20"/>
          <w:szCs w:val="20"/>
        </w:rPr>
        <w:t xml:space="preserve"> по държавния бюджет (вкл. трансферите за др. бюджети и вноската в бюджета на ЕС) за 2022 г. е </w:t>
      </w:r>
      <w:r w:rsidRPr="00AA3F66">
        <w:rPr>
          <w:b/>
          <w:sz w:val="20"/>
          <w:szCs w:val="20"/>
        </w:rPr>
        <w:t>40 641,1 млн. лв.</w:t>
      </w:r>
      <w:r w:rsidRPr="00AA3F66">
        <w:rPr>
          <w:sz w:val="20"/>
          <w:szCs w:val="20"/>
        </w:rPr>
        <w:t xml:space="preserve"> или 97,4% от предвидените със ЗДБРБ за 2022 година.</w:t>
      </w:r>
    </w:p>
    <w:p w:rsidR="00964F99" w:rsidRPr="00AA3F66" w:rsidRDefault="00964F99" w:rsidP="00964F99">
      <w:pPr>
        <w:spacing w:before="120" w:after="0"/>
        <w:rPr>
          <w:rFonts w:eastAsia="Times New Roman" w:cs="Times New Roman"/>
          <w:bCs/>
          <w:sz w:val="20"/>
          <w:szCs w:val="20"/>
        </w:rPr>
      </w:pPr>
      <w:r w:rsidRPr="00AA3F66">
        <w:rPr>
          <w:rFonts w:eastAsia="Times New Roman" w:cs="Times New Roman"/>
          <w:b/>
          <w:bCs/>
          <w:i/>
          <w:sz w:val="20"/>
          <w:szCs w:val="20"/>
        </w:rPr>
        <w:t>Нелихвените разходи</w:t>
      </w:r>
      <w:r w:rsidRPr="00AA3F66">
        <w:rPr>
          <w:rFonts w:eastAsia="Times New Roman" w:cs="Times New Roman"/>
          <w:bCs/>
          <w:sz w:val="20"/>
          <w:szCs w:val="20"/>
        </w:rPr>
        <w:t xml:space="preserve"> по държавния бюджет (без трансферите за др. бюджети) за 2022</w:t>
      </w:r>
      <w:r w:rsidRPr="00AA3F66">
        <w:rPr>
          <w:rFonts w:eastAsia="Times New Roman" w:cs="Times New Roman"/>
          <w:sz w:val="20"/>
          <w:szCs w:val="20"/>
        </w:rPr>
        <w:t xml:space="preserve"> г. </w:t>
      </w:r>
      <w:r w:rsidRPr="00AA3F66">
        <w:rPr>
          <w:rFonts w:eastAsia="Times New Roman" w:cs="Times New Roman"/>
          <w:bCs/>
          <w:sz w:val="20"/>
          <w:szCs w:val="20"/>
        </w:rPr>
        <w:t xml:space="preserve">са в размер на </w:t>
      </w:r>
      <w:r w:rsidRPr="00AA3F66">
        <w:rPr>
          <w:rFonts w:eastAsia="Times New Roman" w:cs="Times New Roman"/>
          <w:b/>
          <w:bCs/>
          <w:i/>
          <w:sz w:val="20"/>
          <w:szCs w:val="20"/>
        </w:rPr>
        <w:t>17 840,4 млн. лв</w:t>
      </w:r>
      <w:r w:rsidRPr="00AA3F66">
        <w:rPr>
          <w:rFonts w:eastAsia="Times New Roman" w:cs="Times New Roman"/>
          <w:bCs/>
          <w:i/>
          <w:sz w:val="20"/>
          <w:szCs w:val="20"/>
        </w:rPr>
        <w:t>.,</w:t>
      </w:r>
      <w:r w:rsidRPr="00AA3F66">
        <w:rPr>
          <w:rFonts w:eastAsia="Times New Roman" w:cs="Times New Roman"/>
          <w:bCs/>
          <w:sz w:val="20"/>
          <w:szCs w:val="20"/>
        </w:rPr>
        <w:t xml:space="preserve"> което представлява 86,8% от годишния разчет.</w:t>
      </w:r>
      <w:r w:rsidRPr="00AA3F66">
        <w:rPr>
          <w:rFonts w:eastAsia="Times New Roman" w:cs="Times New Roman"/>
          <w:bCs/>
          <w:color w:val="0070C0"/>
          <w:sz w:val="20"/>
          <w:szCs w:val="20"/>
        </w:rPr>
        <w:t xml:space="preserve"> </w:t>
      </w:r>
      <w:r w:rsidRPr="00AA3F66">
        <w:rPr>
          <w:rFonts w:eastAsia="Times New Roman" w:cs="Times New Roman"/>
          <w:bCs/>
          <w:sz w:val="20"/>
          <w:szCs w:val="20"/>
        </w:rPr>
        <w:t xml:space="preserve">Съпоставени с данните за 2021 г., нелихвените разходи нарастват с 3 416,1 млн. лв. (23,7%). </w:t>
      </w:r>
    </w:p>
    <w:p w:rsidR="00964F99" w:rsidRPr="00AA3F66" w:rsidRDefault="00964F99" w:rsidP="00964F99">
      <w:pPr>
        <w:spacing w:before="120" w:after="120"/>
        <w:rPr>
          <w:rFonts w:eastAsia="Times New Roman" w:cs="Times New Roman"/>
          <w:bCs/>
          <w:sz w:val="20"/>
          <w:szCs w:val="20"/>
        </w:rPr>
      </w:pPr>
      <w:r w:rsidRPr="00AA3F66">
        <w:rPr>
          <w:rFonts w:eastAsia="Times New Roman" w:cs="Times New Roman"/>
          <w:bCs/>
          <w:sz w:val="20"/>
          <w:szCs w:val="20"/>
        </w:rPr>
        <w:t>Разходите за</w:t>
      </w:r>
      <w:r w:rsidRPr="00AA3F66">
        <w:rPr>
          <w:rFonts w:eastAsia="Times New Roman" w:cs="Times New Roman"/>
          <w:bCs/>
          <w:i/>
          <w:sz w:val="20"/>
          <w:szCs w:val="20"/>
        </w:rPr>
        <w:t xml:space="preserve"> персонал</w:t>
      </w:r>
      <w:r w:rsidRPr="00AA3F66">
        <w:rPr>
          <w:rFonts w:eastAsia="Times New Roman" w:cs="Times New Roman"/>
          <w:bCs/>
          <w:sz w:val="20"/>
          <w:szCs w:val="20"/>
        </w:rPr>
        <w:t xml:space="preserve"> (заплати и </w:t>
      </w:r>
      <w:r w:rsidRPr="00AA3F66">
        <w:rPr>
          <w:rFonts w:eastAsia="Times New Roman" w:cs="Times New Roman"/>
          <w:bCs/>
          <w:noProof/>
          <w:sz w:val="20"/>
          <w:szCs w:val="20"/>
        </w:rPr>
        <w:t>възнаграждения</w:t>
      </w:r>
      <w:r w:rsidRPr="00AA3F66">
        <w:rPr>
          <w:rFonts w:eastAsia="Times New Roman" w:cs="Times New Roman"/>
          <w:bCs/>
          <w:sz w:val="20"/>
          <w:szCs w:val="20"/>
        </w:rPr>
        <w:t xml:space="preserve">, други възнаграждения и плащания за персонала и осигурителни вноски) са в общ размер на 7 385,4 млн. лв. Разходите за </w:t>
      </w:r>
      <w:r w:rsidRPr="00AA3F66">
        <w:rPr>
          <w:rFonts w:eastAsia="Times New Roman" w:cs="Times New Roman"/>
          <w:bCs/>
          <w:i/>
          <w:sz w:val="20"/>
          <w:szCs w:val="20"/>
        </w:rPr>
        <w:t>издръжка</w:t>
      </w:r>
      <w:r w:rsidRPr="00AA3F66">
        <w:rPr>
          <w:rFonts w:eastAsia="Times New Roman" w:cs="Times New Roman"/>
          <w:bCs/>
          <w:sz w:val="20"/>
          <w:szCs w:val="20"/>
        </w:rPr>
        <w:t xml:space="preserve"> (вкл. разходи за членски внос и участие в нетърговски организации и дейности и платени данъци, такси и административни санкции) са в размер на 3 793,6 млн. лв. </w:t>
      </w:r>
      <w:r w:rsidRPr="00AA3F66">
        <w:rPr>
          <w:rFonts w:eastAsia="Times New Roman" w:cs="Times New Roman"/>
          <w:bCs/>
          <w:i/>
          <w:sz w:val="20"/>
          <w:szCs w:val="20"/>
        </w:rPr>
        <w:t>Социалните разходи</w:t>
      </w:r>
      <w:r w:rsidRPr="00AA3F66">
        <w:rPr>
          <w:rFonts w:eastAsia="Times New Roman" w:cs="Times New Roman"/>
          <w:bCs/>
          <w:sz w:val="20"/>
          <w:szCs w:val="20"/>
        </w:rPr>
        <w:t xml:space="preserve"> (вкл. разходите за стипендии) са в размер на 1 659,4 млн. лв. и са основно разходи по бюджета на МТСП за помощи по Закона за социално подпомагане, Закона за хората с увреждания, Закона за семейните помощи за деца и др. </w:t>
      </w:r>
      <w:r w:rsidRPr="00AA3F66">
        <w:rPr>
          <w:rFonts w:eastAsia="Times New Roman" w:cs="Times New Roman"/>
          <w:bCs/>
          <w:i/>
          <w:sz w:val="20"/>
          <w:szCs w:val="20"/>
        </w:rPr>
        <w:t>Предоставените текущи и капиталови трансфери за чужбина</w:t>
      </w:r>
      <w:r w:rsidRPr="00AA3F66">
        <w:rPr>
          <w:rFonts w:eastAsia="Times New Roman" w:cs="Times New Roman"/>
          <w:bCs/>
          <w:sz w:val="20"/>
          <w:szCs w:val="20"/>
        </w:rPr>
        <w:t xml:space="preserve"> са в размер на 23,4</w:t>
      </w:r>
      <w:r w:rsidRPr="00AA3F66">
        <w:rPr>
          <w:rFonts w:eastAsia="Calibri" w:cs="Times New Roman"/>
          <w:b/>
          <w:sz w:val="20"/>
          <w:szCs w:val="20"/>
        </w:rPr>
        <w:t> </w:t>
      </w:r>
      <w:r w:rsidRPr="00AA3F66">
        <w:rPr>
          <w:rFonts w:eastAsia="Times New Roman" w:cs="Times New Roman"/>
          <w:bCs/>
          <w:sz w:val="20"/>
          <w:szCs w:val="20"/>
        </w:rPr>
        <w:t xml:space="preserve">млн. лв. Разходите за </w:t>
      </w:r>
      <w:r w:rsidRPr="00AA3F66">
        <w:rPr>
          <w:rFonts w:eastAsia="Times New Roman" w:cs="Times New Roman"/>
          <w:bCs/>
          <w:i/>
          <w:sz w:val="20"/>
          <w:szCs w:val="20"/>
        </w:rPr>
        <w:t>субсидии</w:t>
      </w:r>
      <w:r w:rsidRPr="00AA3F66">
        <w:rPr>
          <w:rFonts w:eastAsia="Times New Roman" w:cs="Times New Roman"/>
          <w:bCs/>
          <w:sz w:val="20"/>
          <w:szCs w:val="20"/>
        </w:rPr>
        <w:t xml:space="preserve"> са в размер на 2 548,3 млн. лв., като включват: разходи за субсидии по бюджета на Министерство</w:t>
      </w:r>
      <w:r w:rsidR="00335720" w:rsidRPr="00AA3F66">
        <w:rPr>
          <w:rFonts w:eastAsia="Times New Roman" w:cs="Times New Roman"/>
          <w:bCs/>
          <w:sz w:val="20"/>
          <w:szCs w:val="20"/>
        </w:rPr>
        <w:t>то</w:t>
      </w:r>
      <w:r w:rsidRPr="00AA3F66">
        <w:rPr>
          <w:rFonts w:eastAsia="Times New Roman" w:cs="Times New Roman"/>
          <w:bCs/>
          <w:sz w:val="20"/>
          <w:szCs w:val="20"/>
        </w:rPr>
        <w:t xml:space="preserve"> на енергетиката в размер на 499,0 млн. лв. (в т.ч. 49,0 млн. лв. за финансиране от Фонд „Радиоактивни отпадъци” и Фонд „Извеждане от експлоатация на ядрени съоръжения” на извършваните от ДП „Радиоактивни отпадъци“ дейности и 450,0 млн. лв. за покриване на високите цени на енергията по приети от МС програми); 196,2</w:t>
      </w:r>
      <w:r w:rsidRPr="00AA3F66">
        <w:rPr>
          <w:rFonts w:eastAsia="Times New Roman" w:cs="Times New Roman"/>
          <w:sz w:val="20"/>
          <w:szCs w:val="20"/>
        </w:rPr>
        <w:t xml:space="preserve"> </w:t>
      </w:r>
      <w:r w:rsidRPr="00AA3F66">
        <w:rPr>
          <w:rFonts w:eastAsia="Times New Roman" w:cs="Times New Roman"/>
          <w:bCs/>
          <w:sz w:val="20"/>
          <w:szCs w:val="20"/>
        </w:rPr>
        <w:t xml:space="preserve">млн. лв. са за </w:t>
      </w:r>
      <w:r w:rsidRPr="00AA3F66">
        <w:rPr>
          <w:rFonts w:eastAsia="Times New Roman" w:cs="Times New Roman"/>
          <w:sz w:val="20"/>
          <w:szCs w:val="20"/>
        </w:rPr>
        <w:t>„БДЖ – Пътнически превози” ЕООД</w:t>
      </w:r>
      <w:r w:rsidRPr="00AA3F66">
        <w:rPr>
          <w:rFonts w:eastAsia="Times New Roman" w:cs="Times New Roman"/>
          <w:bCs/>
          <w:sz w:val="20"/>
          <w:szCs w:val="20"/>
        </w:rPr>
        <w:t xml:space="preserve">; 280,4 млн. лв. за Национална компания „Железопътна инфраструктура” (в т.ч. 1,6 млн. лв. за предотвратяване на последици от стихийни бедствия – ПМС № 154, ПМС № 188, ПМС № 387 от 2022 г.) </w:t>
      </w:r>
      <w:r w:rsidRPr="00AA3F66">
        <w:rPr>
          <w:rFonts w:eastAsia="Times New Roman" w:cs="Times New Roman"/>
          <w:sz w:val="20"/>
          <w:szCs w:val="20"/>
        </w:rPr>
        <w:t>и 89,8 млн. лв. за „Български пощи” ЕАД (в т.ч. 65,9 млн. лв. за извършване на универсална пощенска услуга и 23,8 млн. лв. за разпространение на периодични печатни издания - вестници и списания). За</w:t>
      </w:r>
      <w:r w:rsidRPr="00AA3F66">
        <w:rPr>
          <w:rFonts w:eastAsia="Times New Roman" w:cs="Times New Roman"/>
          <w:bCs/>
          <w:sz w:val="20"/>
          <w:szCs w:val="20"/>
        </w:rPr>
        <w:t xml:space="preserve"> </w:t>
      </w:r>
      <w:r w:rsidRPr="00AA3F66">
        <w:rPr>
          <w:rFonts w:eastAsia="Times New Roman" w:cs="Times New Roman"/>
          <w:sz w:val="20"/>
          <w:szCs w:val="20"/>
        </w:rPr>
        <w:t>2022</w:t>
      </w:r>
      <w:r w:rsidRPr="00AA3F66">
        <w:rPr>
          <w:rFonts w:eastAsia="Calibri" w:cs="Times New Roman"/>
          <w:b/>
          <w:sz w:val="20"/>
          <w:szCs w:val="20"/>
        </w:rPr>
        <w:t> </w:t>
      </w:r>
      <w:r w:rsidRPr="00AA3F66">
        <w:rPr>
          <w:rFonts w:eastAsia="Times New Roman" w:cs="Times New Roman"/>
          <w:bCs/>
          <w:sz w:val="20"/>
          <w:szCs w:val="20"/>
        </w:rPr>
        <w:t>г. ДФ „Земеделие“ e изплатил субсидии в общ размер на 883,2 млн. лв., от които 731,0 млн. лв. държавна помощ; 70,1 млн. лв. преходна национална помощ за тютюн; 73,9 млн. лв. преходна национална помощ за сектор „Животновъдство“ и 7,0 млн. лв. средства за ДДС по схеми „Училищен плод“ и „Училищно мляко“. От общо отчетените средства за държавни помощи през 2022 г. ДФ „Земеделие“ е изплатил 143,5 млн. лв. помощ в подкрепа осигуряването на ликвидност на земеделски стопани, отглеждащи едри и дребни преживни животни, пчелни семейства и плодове и зеленчуци, маслодайна роза и ориз</w:t>
      </w:r>
      <w:r w:rsidRPr="00AA3F66">
        <w:rPr>
          <w:sz w:val="20"/>
          <w:szCs w:val="20"/>
        </w:rPr>
        <w:t xml:space="preserve"> </w:t>
      </w:r>
      <w:r w:rsidRPr="00AA3F66">
        <w:rPr>
          <w:rFonts w:eastAsia="Times New Roman" w:cs="Times New Roman"/>
          <w:bCs/>
          <w:sz w:val="20"/>
          <w:szCs w:val="20"/>
        </w:rPr>
        <w:t>за преодоляване на последствията от негативното икономическо въздействие от COVID-19, както и 425,4 млн. лв. помощ в подкрепа на ликвидността на земеделски стопани за преодоляване на негативното икономическо въздействие на руската агресия срещу Украйна.</w:t>
      </w:r>
    </w:p>
    <w:p w:rsidR="00964F99" w:rsidRPr="00AA3F66" w:rsidRDefault="00964F99" w:rsidP="00964F99">
      <w:pPr>
        <w:spacing w:before="120" w:after="120"/>
        <w:rPr>
          <w:rFonts w:cs="Times New Roman"/>
          <w:sz w:val="20"/>
          <w:szCs w:val="20"/>
        </w:rPr>
      </w:pPr>
      <w:r w:rsidRPr="00AA3F66">
        <w:rPr>
          <w:rFonts w:eastAsia="Times New Roman" w:cs="Times New Roman"/>
          <w:bCs/>
          <w:i/>
          <w:sz w:val="20"/>
          <w:szCs w:val="20"/>
        </w:rPr>
        <w:t>Капиталовите разходи</w:t>
      </w:r>
      <w:r w:rsidRPr="00AA3F66">
        <w:rPr>
          <w:rFonts w:eastAsia="Times New Roman" w:cs="Times New Roman"/>
          <w:bCs/>
          <w:sz w:val="20"/>
          <w:szCs w:val="20"/>
        </w:rPr>
        <w:t xml:space="preserve"> </w:t>
      </w:r>
      <w:r w:rsidRPr="00AA3F66">
        <w:rPr>
          <w:rFonts w:eastAsia="Times New Roman" w:cs="Times New Roman"/>
          <w:sz w:val="20"/>
          <w:szCs w:val="20"/>
        </w:rPr>
        <w:t>(вкл. нетния прираст на държавния резерв) по държавния бюджет</w:t>
      </w:r>
      <w:r w:rsidRPr="00AA3F66">
        <w:rPr>
          <w:rFonts w:eastAsia="Times New Roman" w:cs="Times New Roman"/>
          <w:bCs/>
          <w:sz w:val="20"/>
          <w:szCs w:val="20"/>
        </w:rPr>
        <w:t xml:space="preserve"> възлизат на 2 430,3 млн. лв. при 800,7 млн. лв. за предходната година. С</w:t>
      </w:r>
      <w:r w:rsidRPr="00AA3F66">
        <w:rPr>
          <w:rFonts w:cs="Times New Roman"/>
          <w:bCs/>
          <w:sz w:val="20"/>
          <w:szCs w:val="20"/>
        </w:rPr>
        <w:t>ледва да се има предвид, че през 2021 г. в капиталовите разходи е отразена извършена трансакция по възстановяване на средства по държавния бюджет от сметката за чужди средства на МРРБ в размер на 490,0 млн. лв., която по същество представлява възстановен разход и се отразява в намаление на разходите на касова основа.</w:t>
      </w:r>
    </w:p>
    <w:p w:rsidR="00964F99" w:rsidRPr="00AA3F66" w:rsidRDefault="00964F99" w:rsidP="00964F99">
      <w:pPr>
        <w:autoSpaceDE w:val="0"/>
        <w:autoSpaceDN w:val="0"/>
        <w:adjustRightInd w:val="0"/>
        <w:spacing w:after="120"/>
        <w:rPr>
          <w:rFonts w:eastAsia="Batang" w:cs="Times New Roman"/>
          <w:bCs/>
          <w:sz w:val="20"/>
          <w:szCs w:val="20"/>
        </w:rPr>
      </w:pPr>
      <w:r w:rsidRPr="00AA3F66">
        <w:rPr>
          <w:rFonts w:eastAsia="Batang" w:cs="Times New Roman"/>
          <w:b/>
          <w:bCs/>
          <w:i/>
          <w:sz w:val="20"/>
          <w:szCs w:val="20"/>
        </w:rPr>
        <w:t xml:space="preserve">Лихвените плащания </w:t>
      </w:r>
      <w:r w:rsidRPr="00AA3F66">
        <w:rPr>
          <w:rFonts w:eastAsia="Batang" w:cs="Times New Roman"/>
          <w:bCs/>
          <w:sz w:val="20"/>
          <w:szCs w:val="20"/>
        </w:rPr>
        <w:t xml:space="preserve">по държавния бюджет за 2022 г. са в общ размер на </w:t>
      </w:r>
      <w:r w:rsidRPr="00AA3F66">
        <w:rPr>
          <w:rFonts w:cs="Times New Roman"/>
          <w:b/>
          <w:i/>
          <w:sz w:val="20"/>
          <w:szCs w:val="20"/>
        </w:rPr>
        <w:t>611,6 млн. лв</w:t>
      </w:r>
      <w:r w:rsidRPr="00AA3F66">
        <w:rPr>
          <w:rFonts w:cs="Times New Roman"/>
          <w:i/>
          <w:sz w:val="20"/>
          <w:szCs w:val="20"/>
        </w:rPr>
        <w:t>.</w:t>
      </w:r>
      <w:r w:rsidRPr="00AA3F66">
        <w:rPr>
          <w:rFonts w:cs="Times New Roman"/>
          <w:sz w:val="20"/>
          <w:szCs w:val="20"/>
        </w:rPr>
        <w:t xml:space="preserve"> или  97,1% от предвидените в годишните разчети.</w:t>
      </w:r>
    </w:p>
    <w:p w:rsidR="00964F99" w:rsidRPr="00AA3F66" w:rsidRDefault="00964F99" w:rsidP="00964F99">
      <w:pPr>
        <w:autoSpaceDE w:val="0"/>
        <w:autoSpaceDN w:val="0"/>
        <w:adjustRightInd w:val="0"/>
        <w:spacing w:after="120"/>
        <w:rPr>
          <w:rFonts w:eastAsia="Batang" w:cs="Times New Roman"/>
          <w:bCs/>
          <w:sz w:val="20"/>
          <w:szCs w:val="20"/>
        </w:rPr>
      </w:pPr>
      <w:r w:rsidRPr="00AA3F66">
        <w:rPr>
          <w:rFonts w:eastAsia="Batang" w:cs="Times New Roman"/>
          <w:bCs/>
          <w:sz w:val="20"/>
          <w:szCs w:val="20"/>
        </w:rPr>
        <w:t xml:space="preserve">Нетният размер на </w:t>
      </w:r>
      <w:r w:rsidRPr="00AA3F66">
        <w:rPr>
          <w:rFonts w:eastAsia="Batang" w:cs="Times New Roman"/>
          <w:b/>
          <w:bCs/>
          <w:sz w:val="20"/>
          <w:szCs w:val="20"/>
        </w:rPr>
        <w:t xml:space="preserve">трансферите </w:t>
      </w:r>
      <w:r w:rsidRPr="00AA3F66">
        <w:rPr>
          <w:rFonts w:eastAsia="Batang" w:cs="Times New Roman"/>
          <w:bCs/>
          <w:sz w:val="20"/>
          <w:szCs w:val="20"/>
        </w:rPr>
        <w:t xml:space="preserve">по държавния бюджет за 2022 г. е </w:t>
      </w:r>
      <w:r w:rsidRPr="00AA3F66">
        <w:rPr>
          <w:rFonts w:eastAsia="Batang" w:cs="Times New Roman"/>
          <w:b/>
          <w:bCs/>
          <w:sz w:val="20"/>
          <w:szCs w:val="20"/>
        </w:rPr>
        <w:t>20 484,1 млн. лева.</w:t>
      </w:r>
    </w:p>
    <w:p w:rsidR="00207518" w:rsidRPr="00AA3F66" w:rsidRDefault="00574A2C" w:rsidP="008F0A44">
      <w:pPr>
        <w:numPr>
          <w:ilvl w:val="0"/>
          <w:numId w:val="2"/>
        </w:numPr>
        <w:autoSpaceDE w:val="0"/>
        <w:autoSpaceDN w:val="0"/>
        <w:adjustRightInd w:val="0"/>
        <w:spacing w:after="120" w:line="276" w:lineRule="auto"/>
        <w:ind w:left="426" w:hanging="426"/>
        <w:rPr>
          <w:rFonts w:eastAsia="Batang"/>
          <w:b/>
          <w:bCs/>
          <w:color w:val="943634"/>
          <w:sz w:val="22"/>
        </w:rPr>
      </w:pPr>
      <w:r w:rsidRPr="00AA3F66">
        <w:rPr>
          <w:rFonts w:eastAsia="Batang"/>
          <w:b/>
          <w:bCs/>
          <w:color w:val="943634"/>
          <w:sz w:val="22"/>
        </w:rPr>
        <w:t>Разходи по бюджетите на социалноосигурителните фондове</w:t>
      </w:r>
    </w:p>
    <w:p w:rsidR="00964F99" w:rsidRPr="00AA3F66" w:rsidRDefault="00964F99" w:rsidP="004E2202">
      <w:pPr>
        <w:autoSpaceDE w:val="0"/>
        <w:autoSpaceDN w:val="0"/>
        <w:adjustRightInd w:val="0"/>
        <w:spacing w:after="120"/>
        <w:rPr>
          <w:rFonts w:eastAsia="Batang" w:cs="Times New Roman"/>
          <w:bCs/>
          <w:sz w:val="20"/>
          <w:szCs w:val="20"/>
        </w:rPr>
      </w:pPr>
      <w:r w:rsidRPr="00AA3F66">
        <w:rPr>
          <w:rFonts w:eastAsia="Batang" w:cs="Times New Roman"/>
          <w:bCs/>
          <w:sz w:val="20"/>
          <w:szCs w:val="20"/>
        </w:rPr>
        <w:t>Извършените разходи по бюджетите на социалноосигурителните фондове за 2022 г. са в размер на 24 411,2 млн. лв., което представлява 99,9% от разчета за годината, в т.ч. пенсии, помощи и обезщетения по КСО в размер на 18 006,0 млн. лв. и здравноосигурителни плащания в размер на 5 807,2 млн. лева.</w:t>
      </w:r>
    </w:p>
    <w:p w:rsidR="00574A2C" w:rsidRPr="00AA3F66" w:rsidRDefault="00574A2C" w:rsidP="008F0A44">
      <w:pPr>
        <w:numPr>
          <w:ilvl w:val="0"/>
          <w:numId w:val="2"/>
        </w:numPr>
        <w:autoSpaceDE w:val="0"/>
        <w:autoSpaceDN w:val="0"/>
        <w:adjustRightInd w:val="0"/>
        <w:spacing w:after="120" w:line="276" w:lineRule="auto"/>
        <w:ind w:left="426" w:hanging="426"/>
        <w:rPr>
          <w:rFonts w:eastAsia="Batang"/>
          <w:b/>
          <w:bCs/>
          <w:color w:val="943634"/>
          <w:sz w:val="22"/>
        </w:rPr>
      </w:pPr>
      <w:r w:rsidRPr="00AA3F66">
        <w:rPr>
          <w:rFonts w:eastAsia="Batang"/>
          <w:b/>
          <w:bCs/>
          <w:color w:val="943634"/>
          <w:sz w:val="22"/>
        </w:rPr>
        <w:t>Разходи по бюджетите на общините</w:t>
      </w:r>
    </w:p>
    <w:p w:rsidR="00964F99" w:rsidRPr="00AA3F66" w:rsidRDefault="00964F99" w:rsidP="00964F99">
      <w:pPr>
        <w:autoSpaceDE w:val="0"/>
        <w:autoSpaceDN w:val="0"/>
        <w:adjustRightInd w:val="0"/>
        <w:spacing w:after="120"/>
        <w:rPr>
          <w:rFonts w:eastAsia="Batang" w:cs="Times New Roman"/>
          <w:bCs/>
          <w:sz w:val="20"/>
          <w:szCs w:val="20"/>
        </w:rPr>
      </w:pPr>
      <w:r w:rsidRPr="00AA3F66">
        <w:rPr>
          <w:rFonts w:eastAsia="Batang" w:cs="Times New Roman"/>
          <w:bCs/>
          <w:sz w:val="20"/>
          <w:szCs w:val="20"/>
        </w:rPr>
        <w:t>Извършените разходи по общинските бюджети, включително и за сметка на предоставените трансфери от други бюджети</w:t>
      </w:r>
      <w:r w:rsidR="00003C5F" w:rsidRPr="00AA3F66">
        <w:rPr>
          <w:rFonts w:eastAsia="Batang" w:cs="Times New Roman"/>
          <w:bCs/>
          <w:sz w:val="20"/>
          <w:szCs w:val="20"/>
        </w:rPr>
        <w:t>,</w:t>
      </w:r>
      <w:r w:rsidRPr="00AA3F66">
        <w:rPr>
          <w:rFonts w:eastAsia="Batang" w:cs="Times New Roman"/>
          <w:bCs/>
          <w:sz w:val="20"/>
          <w:szCs w:val="20"/>
        </w:rPr>
        <w:t xml:space="preserve"> са в размер на 10 332,3 млн. лв. или 124,3% спрямо разчетите към ЗДБРБ за 2022 година. </w:t>
      </w:r>
    </w:p>
    <w:p w:rsidR="00964F99" w:rsidRPr="00AA3F66" w:rsidRDefault="00964F99" w:rsidP="00964F99">
      <w:pPr>
        <w:autoSpaceDE w:val="0"/>
        <w:autoSpaceDN w:val="0"/>
        <w:adjustRightInd w:val="0"/>
        <w:spacing w:after="120"/>
        <w:rPr>
          <w:rFonts w:eastAsia="Batang" w:cs="Times New Roman"/>
          <w:bCs/>
          <w:sz w:val="20"/>
          <w:szCs w:val="20"/>
        </w:rPr>
      </w:pPr>
      <w:r w:rsidRPr="00AA3F66">
        <w:rPr>
          <w:rFonts w:eastAsia="Batang" w:cs="Times New Roman"/>
          <w:bCs/>
          <w:sz w:val="20"/>
          <w:szCs w:val="20"/>
        </w:rPr>
        <w:t>Текущите нелихвени разходи възлизат на 9 030,8 млн. лв. (125,6% спрямо годишния разчет), а капиталовите разходи са в размер на 1 266,0 млн. лв. или 116,1% спрямо разчета за годината. Лихвените плащания са в размер на 35,4 млн. лв. или 102,3% спрямо разчета за годината.</w:t>
      </w:r>
    </w:p>
    <w:p w:rsidR="00AD5FB7" w:rsidRPr="00AA3F66" w:rsidRDefault="00AD5FB7" w:rsidP="00AD5FB7">
      <w:pPr>
        <w:numPr>
          <w:ilvl w:val="0"/>
          <w:numId w:val="2"/>
        </w:numPr>
        <w:autoSpaceDE w:val="0"/>
        <w:autoSpaceDN w:val="0"/>
        <w:adjustRightInd w:val="0"/>
        <w:spacing w:after="120" w:line="276" w:lineRule="auto"/>
        <w:ind w:left="426" w:hanging="426"/>
        <w:rPr>
          <w:rFonts w:eastAsia="Batang"/>
          <w:b/>
          <w:bCs/>
          <w:color w:val="943634"/>
          <w:sz w:val="22"/>
        </w:rPr>
      </w:pPr>
      <w:r w:rsidRPr="00AA3F66">
        <w:rPr>
          <w:rFonts w:eastAsia="Batang"/>
          <w:b/>
          <w:bCs/>
          <w:color w:val="943634"/>
          <w:sz w:val="22"/>
        </w:rPr>
        <w:t xml:space="preserve">Бюджетно салдо по консолидираната фискална програма за </w:t>
      </w:r>
      <w:r w:rsidR="00C41313" w:rsidRPr="00AA3F66">
        <w:rPr>
          <w:rFonts w:eastAsia="Batang"/>
          <w:b/>
          <w:bCs/>
          <w:color w:val="943634"/>
          <w:sz w:val="22"/>
        </w:rPr>
        <w:t xml:space="preserve"> </w:t>
      </w:r>
      <w:r w:rsidR="00011239" w:rsidRPr="00AA3F66">
        <w:rPr>
          <w:rFonts w:eastAsia="Batang"/>
          <w:b/>
          <w:bCs/>
          <w:color w:val="943634"/>
          <w:sz w:val="22"/>
        </w:rPr>
        <w:t>2022</w:t>
      </w:r>
      <w:r w:rsidRPr="00AA3F66">
        <w:rPr>
          <w:rFonts w:eastAsia="Batang"/>
          <w:b/>
          <w:bCs/>
          <w:color w:val="943634"/>
          <w:sz w:val="22"/>
        </w:rPr>
        <w:t xml:space="preserve"> г.</w:t>
      </w:r>
    </w:p>
    <w:p w:rsidR="00964F99" w:rsidRPr="00AA3F66" w:rsidRDefault="00964F99" w:rsidP="00964F99">
      <w:pPr>
        <w:spacing w:before="120" w:after="120"/>
        <w:rPr>
          <w:rFonts w:eastAsia="Batang" w:cs="Times New Roman"/>
          <w:bCs/>
          <w:sz w:val="20"/>
          <w:szCs w:val="20"/>
        </w:rPr>
      </w:pPr>
      <w:r w:rsidRPr="00AA3F66">
        <w:rPr>
          <w:rFonts w:eastAsia="Batang" w:cs="Times New Roman"/>
          <w:b/>
          <w:bCs/>
          <w:sz w:val="20"/>
          <w:szCs w:val="20"/>
        </w:rPr>
        <w:t>Бюджетното салдо по КФП</w:t>
      </w:r>
      <w:r w:rsidRPr="00AA3F66">
        <w:rPr>
          <w:rFonts w:eastAsia="Batang" w:cs="Times New Roman"/>
          <w:bCs/>
          <w:sz w:val="20"/>
          <w:szCs w:val="20"/>
        </w:rPr>
        <w:t xml:space="preserve"> за 2022 г. е </w:t>
      </w:r>
      <w:r w:rsidRPr="00AA3F66">
        <w:rPr>
          <w:rFonts w:eastAsia="Batang" w:cs="Times New Roman"/>
          <w:b/>
          <w:bCs/>
          <w:sz w:val="20"/>
          <w:szCs w:val="20"/>
        </w:rPr>
        <w:t xml:space="preserve">отрицателно </w:t>
      </w:r>
      <w:r w:rsidRPr="00AA3F66">
        <w:rPr>
          <w:rFonts w:eastAsia="Batang" w:cs="Times New Roman"/>
          <w:bCs/>
          <w:sz w:val="20"/>
          <w:szCs w:val="20"/>
        </w:rPr>
        <w:t xml:space="preserve">в размер на </w:t>
      </w:r>
      <w:r w:rsidRPr="00AA3F66">
        <w:rPr>
          <w:rFonts w:eastAsia="Batang" w:cs="Times New Roman"/>
          <w:b/>
          <w:bCs/>
          <w:sz w:val="20"/>
          <w:szCs w:val="20"/>
        </w:rPr>
        <w:t>1 323,6 млн. лв.</w:t>
      </w:r>
      <w:r w:rsidR="0063704A" w:rsidRPr="00AA3F66">
        <w:rPr>
          <w:rFonts w:eastAsia="Batang" w:cs="Times New Roman"/>
          <w:bCs/>
          <w:sz w:val="20"/>
          <w:szCs w:val="20"/>
        </w:rPr>
        <w:t xml:space="preserve"> (0,8</w:t>
      </w:r>
      <w:r w:rsidRPr="00AA3F66">
        <w:rPr>
          <w:rFonts w:eastAsia="Batang" w:cs="Times New Roman"/>
          <w:bCs/>
          <w:sz w:val="20"/>
          <w:szCs w:val="20"/>
        </w:rPr>
        <w:t xml:space="preserve">% от БВП), и се формира от дефицит по националния бюджет в размер на 5 108,4 млн. лв. и излишък по европейските средства в размер на 3 784,8 млн. лева. </w:t>
      </w:r>
    </w:p>
    <w:p w:rsidR="00964F99" w:rsidRPr="00AA3F66" w:rsidRDefault="00964F99" w:rsidP="00964F99">
      <w:pPr>
        <w:spacing w:before="120" w:after="120"/>
        <w:rPr>
          <w:rFonts w:cs="Times New Roman"/>
          <w:sz w:val="20"/>
          <w:szCs w:val="20"/>
        </w:rPr>
      </w:pPr>
      <w:r w:rsidRPr="00AA3F66">
        <w:rPr>
          <w:rFonts w:cs="Times New Roman"/>
          <w:b/>
          <w:sz w:val="20"/>
          <w:szCs w:val="20"/>
        </w:rPr>
        <w:t>Общият размер на касовите постъпления от ЕС</w:t>
      </w:r>
      <w:r w:rsidRPr="00AA3F66">
        <w:rPr>
          <w:rFonts w:cs="Times New Roman"/>
          <w:sz w:val="20"/>
          <w:szCs w:val="20"/>
        </w:rPr>
        <w:t xml:space="preserve"> (от Структурните и Кохезионния фондове, от Механизма за възстановяване и устойчивост, от ЕЗФРСР и ЕФР, от средства за директни плащания и плащания по пазарни мерки и др.) за 2022 г. е 7 590,0 млн. лв. Нетните постъпления от ЕС към 31.12.2022 г. (касови постъпления от ЕС, намалени с вноската в общия бюджет на ЕС) са положителни в размер на 5 884,9 млн. лева.</w:t>
      </w:r>
    </w:p>
    <w:p w:rsidR="00964F99" w:rsidRPr="00AA3F66" w:rsidRDefault="00964F99" w:rsidP="00964F99">
      <w:pPr>
        <w:spacing w:before="120" w:after="120"/>
        <w:rPr>
          <w:rFonts w:cs="Times New Roman"/>
          <w:sz w:val="20"/>
          <w:szCs w:val="20"/>
        </w:rPr>
      </w:pPr>
      <w:r w:rsidRPr="00AA3F66">
        <w:rPr>
          <w:rFonts w:cs="Times New Roman"/>
          <w:sz w:val="20"/>
          <w:szCs w:val="20"/>
        </w:rPr>
        <w:t xml:space="preserve">Размерът на </w:t>
      </w:r>
      <w:r w:rsidRPr="00AA3F66">
        <w:rPr>
          <w:rFonts w:cs="Times New Roman"/>
          <w:b/>
          <w:sz w:val="20"/>
          <w:szCs w:val="20"/>
        </w:rPr>
        <w:t>фискалния резерв</w:t>
      </w:r>
      <w:r w:rsidRPr="00AA3F66">
        <w:rPr>
          <w:rFonts w:cs="Times New Roman"/>
          <w:b/>
          <w:sz w:val="20"/>
          <w:szCs w:val="20"/>
          <w:vertAlign w:val="superscript"/>
        </w:rPr>
        <w:footnoteReference w:id="55"/>
      </w:r>
      <w:r w:rsidRPr="00AA3F66">
        <w:rPr>
          <w:rFonts w:cs="Times New Roman"/>
          <w:sz w:val="20"/>
          <w:szCs w:val="20"/>
          <w:vertAlign w:val="superscript"/>
        </w:rPr>
        <w:t xml:space="preserve"> </w:t>
      </w:r>
      <w:r w:rsidRPr="00AA3F66">
        <w:rPr>
          <w:rFonts w:cs="Times New Roman"/>
          <w:sz w:val="20"/>
          <w:szCs w:val="20"/>
        </w:rPr>
        <w:t>към 31.12.</w:t>
      </w:r>
      <w:r w:rsidRPr="00AA3F66">
        <w:rPr>
          <w:sz w:val="20"/>
          <w:szCs w:val="20"/>
        </w:rPr>
        <w:t xml:space="preserve"> </w:t>
      </w:r>
      <w:r w:rsidRPr="00AA3F66">
        <w:rPr>
          <w:rFonts w:cs="Times New Roman"/>
          <w:sz w:val="20"/>
          <w:szCs w:val="20"/>
        </w:rPr>
        <w:t xml:space="preserve">2022 г. е </w:t>
      </w:r>
      <w:r w:rsidRPr="00AA3F66">
        <w:rPr>
          <w:rFonts w:cs="Times New Roman"/>
          <w:b/>
          <w:sz w:val="20"/>
          <w:szCs w:val="20"/>
        </w:rPr>
        <w:t>13,4 млрд. лв</w:t>
      </w:r>
      <w:r w:rsidRPr="00AA3F66">
        <w:rPr>
          <w:rFonts w:cs="Times New Roman"/>
          <w:sz w:val="20"/>
          <w:szCs w:val="20"/>
        </w:rPr>
        <w:t>., в т.ч. 12,1 млрд. лв. депозити на фискалния резерв в БНБ и банки и 1,3 млрд. лв. вземания от фондовете на Европейския съюз за сертифицирани разходи, аванси и други.</w:t>
      </w:r>
    </w:p>
    <w:p w:rsidR="00B231B6" w:rsidRPr="00AA3F66" w:rsidRDefault="00B231B6" w:rsidP="00222428">
      <w:pPr>
        <w:spacing w:before="120" w:after="120"/>
        <w:rPr>
          <w:rFonts w:eastAsia="Batang" w:cs="Times New Roman"/>
          <w:b/>
          <w:bCs/>
          <w:sz w:val="20"/>
          <w:szCs w:val="20"/>
          <w:highlight w:val="yellow"/>
        </w:rPr>
      </w:pPr>
    </w:p>
    <w:p w:rsidR="00222428" w:rsidRPr="00AA3F66" w:rsidRDefault="00222428" w:rsidP="004E2202">
      <w:pPr>
        <w:spacing w:before="120" w:after="120"/>
        <w:rPr>
          <w:rFonts w:eastAsia="Batang" w:cs="Times New Roman"/>
          <w:b/>
          <w:bCs/>
          <w:sz w:val="20"/>
          <w:szCs w:val="20"/>
        </w:rPr>
      </w:pPr>
    </w:p>
    <w:p w:rsidR="00E979B7" w:rsidRPr="00AA3F66" w:rsidRDefault="00E979B7" w:rsidP="004E2202">
      <w:pPr>
        <w:spacing w:before="120" w:after="120"/>
        <w:rPr>
          <w:rFonts w:eastAsia="Batang" w:cs="Times New Roman"/>
          <w:b/>
          <w:bCs/>
          <w:sz w:val="20"/>
          <w:szCs w:val="20"/>
        </w:rPr>
      </w:pPr>
    </w:p>
    <w:p w:rsidR="00E979B7" w:rsidRPr="00AA3F66" w:rsidRDefault="00E979B7" w:rsidP="004E2202">
      <w:pPr>
        <w:spacing w:before="120" w:after="120"/>
        <w:rPr>
          <w:rFonts w:eastAsia="Batang" w:cs="Times New Roman"/>
          <w:b/>
          <w:bCs/>
          <w:sz w:val="20"/>
          <w:szCs w:val="20"/>
        </w:rPr>
      </w:pPr>
    </w:p>
    <w:p w:rsidR="00B231B6" w:rsidRPr="00AA3F66" w:rsidRDefault="00B231B6" w:rsidP="004E2202">
      <w:pPr>
        <w:spacing w:before="120" w:after="120"/>
        <w:rPr>
          <w:rFonts w:eastAsia="Batang" w:cs="Times New Roman"/>
          <w:b/>
          <w:bCs/>
          <w:sz w:val="20"/>
          <w:szCs w:val="20"/>
        </w:rPr>
      </w:pPr>
    </w:p>
    <w:p w:rsidR="00B231B6" w:rsidRPr="00AA3F66" w:rsidRDefault="00B231B6" w:rsidP="004E2202">
      <w:pPr>
        <w:spacing w:before="120" w:after="120"/>
        <w:rPr>
          <w:rFonts w:eastAsia="Batang" w:cs="Times New Roman"/>
          <w:b/>
          <w:bCs/>
          <w:sz w:val="20"/>
          <w:szCs w:val="20"/>
        </w:rPr>
      </w:pPr>
    </w:p>
    <w:p w:rsidR="00B231B6" w:rsidRPr="00AA3F66" w:rsidRDefault="00B231B6" w:rsidP="004E2202">
      <w:pPr>
        <w:spacing w:before="120" w:after="120"/>
        <w:rPr>
          <w:rFonts w:eastAsia="Batang" w:cs="Times New Roman"/>
          <w:b/>
          <w:bCs/>
          <w:sz w:val="20"/>
          <w:szCs w:val="20"/>
        </w:rPr>
      </w:pPr>
    </w:p>
    <w:p w:rsidR="00B231B6" w:rsidRPr="00AA3F66" w:rsidRDefault="00B231B6" w:rsidP="00587993">
      <w:pPr>
        <w:rPr>
          <w:rFonts w:eastAsia="Calibri" w:cs="Times New Roman"/>
          <w:sz w:val="20"/>
          <w:szCs w:val="20"/>
        </w:rPr>
      </w:pPr>
    </w:p>
    <w:p w:rsidR="00510898" w:rsidRPr="00AA3F66" w:rsidRDefault="00510898" w:rsidP="00587993">
      <w:pPr>
        <w:rPr>
          <w:rFonts w:eastAsia="Calibri" w:cs="Times New Roman"/>
          <w:sz w:val="20"/>
          <w:szCs w:val="20"/>
        </w:rPr>
      </w:pPr>
    </w:p>
    <w:p w:rsidR="00510898" w:rsidRPr="00AA3F66" w:rsidRDefault="00510898" w:rsidP="00587993">
      <w:pPr>
        <w:rPr>
          <w:rFonts w:eastAsia="Calibri" w:cs="Times New Roman"/>
          <w:sz w:val="20"/>
          <w:szCs w:val="20"/>
        </w:rPr>
      </w:pPr>
    </w:p>
    <w:p w:rsidR="00D846E2" w:rsidRPr="00AA3F66" w:rsidRDefault="00D846E2" w:rsidP="003C5AC6">
      <w:pPr>
        <w:tabs>
          <w:tab w:val="num" w:pos="0"/>
          <w:tab w:val="left" w:pos="540"/>
          <w:tab w:val="center" w:pos="4153"/>
          <w:tab w:val="right" w:pos="8306"/>
        </w:tabs>
        <w:rPr>
          <w:rFonts w:cs="Times New Roman"/>
          <w:sz w:val="22"/>
        </w:rPr>
        <w:sectPr w:rsidR="00D846E2" w:rsidRPr="00AA3F66" w:rsidSect="002D7CED">
          <w:headerReference w:type="default" r:id="rId43"/>
          <w:type w:val="continuous"/>
          <w:pgSz w:w="16838" w:h="11906" w:orient="landscape" w:code="9"/>
          <w:pgMar w:top="1418" w:right="1134" w:bottom="851" w:left="1276" w:header="709" w:footer="709" w:gutter="0"/>
          <w:cols w:num="2" w:space="708"/>
          <w:titlePg/>
          <w:docGrid w:linePitch="360"/>
        </w:sectPr>
      </w:pPr>
    </w:p>
    <w:p w:rsidR="00574A2C" w:rsidRPr="00AA3F66" w:rsidRDefault="00471B1C" w:rsidP="001622AA">
      <w:pPr>
        <w:pStyle w:val="Heading2"/>
        <w:spacing w:before="360" w:after="240"/>
        <w:ind w:left="446" w:hanging="158"/>
      </w:pPr>
      <w:bookmarkStart w:id="575" w:name="_Toc465205585"/>
      <w:bookmarkStart w:id="576" w:name="_Toc465206050"/>
      <w:bookmarkStart w:id="577" w:name="_Toc151557321"/>
      <w:r w:rsidRPr="00AA3F66">
        <w:t>И</w:t>
      </w:r>
      <w:r w:rsidR="00574A2C" w:rsidRPr="00AA3F66">
        <w:t>зпълнение</w:t>
      </w:r>
      <w:r w:rsidR="005509C2" w:rsidRPr="00AA3F66">
        <w:t xml:space="preserve"> </w:t>
      </w:r>
      <w:r w:rsidR="00574A2C" w:rsidRPr="00AA3F66">
        <w:t xml:space="preserve">на КФП </w:t>
      </w:r>
      <w:bookmarkEnd w:id="575"/>
      <w:bookmarkEnd w:id="576"/>
      <w:r w:rsidR="009E0D8A" w:rsidRPr="00AA3F66">
        <w:t>към 30.09</w:t>
      </w:r>
      <w:r w:rsidR="006372EC" w:rsidRPr="00AA3F66">
        <w:t>.</w:t>
      </w:r>
      <w:r w:rsidR="00AD73A7" w:rsidRPr="00AA3F66">
        <w:t>2023</w:t>
      </w:r>
      <w:r w:rsidR="005509C2" w:rsidRPr="00AA3F66">
        <w:t xml:space="preserve"> Г.</w:t>
      </w:r>
      <w:bookmarkEnd w:id="577"/>
    </w:p>
    <w:p w:rsidR="00046129" w:rsidRPr="00AA3F66" w:rsidRDefault="003C0431" w:rsidP="005677CF">
      <w:pPr>
        <w:autoSpaceDE w:val="0"/>
        <w:autoSpaceDN w:val="0"/>
        <w:adjustRightInd w:val="0"/>
        <w:spacing w:after="0"/>
        <w:ind w:firstLine="1134"/>
        <w:jc w:val="right"/>
        <w:rPr>
          <w:rFonts w:eastAsia="Times New Roman" w:cs="Calibri"/>
          <w:bCs/>
          <w:sz w:val="18"/>
          <w:szCs w:val="18"/>
        </w:rPr>
      </w:pPr>
      <w:r w:rsidRPr="00AA3F66">
        <w:rPr>
          <w:rFonts w:eastAsia="Times New Roman" w:cs="Calibri"/>
          <w:bCs/>
          <w:sz w:val="18"/>
          <w:szCs w:val="18"/>
        </w:rPr>
        <w:t>(в млн. лв.)</w:t>
      </w:r>
    </w:p>
    <w:tbl>
      <w:tblPr>
        <w:tblW w:w="4989" w:type="pct"/>
        <w:tblCellMar>
          <w:left w:w="70" w:type="dxa"/>
          <w:right w:w="70" w:type="dxa"/>
        </w:tblCellMar>
        <w:tblLook w:val="04A0" w:firstRow="1" w:lastRow="0" w:firstColumn="1" w:lastColumn="0" w:noHBand="0" w:noVBand="1"/>
      </w:tblPr>
      <w:tblGrid>
        <w:gridCol w:w="6094"/>
        <w:gridCol w:w="1838"/>
        <w:gridCol w:w="1492"/>
        <w:gridCol w:w="2093"/>
        <w:gridCol w:w="1588"/>
        <w:gridCol w:w="1433"/>
      </w:tblGrid>
      <w:tr w:rsidR="00587993" w:rsidRPr="00AA3F66" w:rsidTr="00BF5E98">
        <w:trPr>
          <w:trHeight w:val="295"/>
          <w:tblHeader/>
        </w:trPr>
        <w:tc>
          <w:tcPr>
            <w:tcW w:w="2096" w:type="pct"/>
            <w:vMerge w:val="restart"/>
            <w:tcBorders>
              <w:top w:val="single" w:sz="4" w:space="0" w:color="auto"/>
              <w:left w:val="nil"/>
              <w:bottom w:val="nil"/>
              <w:right w:val="nil"/>
            </w:tcBorders>
            <w:shd w:val="clear" w:color="auto" w:fill="auto"/>
            <w:noWrap/>
            <w:vAlign w:val="center"/>
            <w:hideMark/>
          </w:tcPr>
          <w:p w:rsidR="00587993" w:rsidRPr="00AA3F66" w:rsidRDefault="00587993" w:rsidP="00587993">
            <w:pPr>
              <w:spacing w:after="0"/>
              <w:jc w:val="center"/>
              <w:rPr>
                <w:rFonts w:eastAsia="Times New Roman" w:cs="Times New Roman"/>
                <w:b/>
                <w:bCs/>
                <w:color w:val="000000"/>
                <w:sz w:val="18"/>
                <w:szCs w:val="18"/>
              </w:rPr>
            </w:pPr>
            <w:r w:rsidRPr="00AA3F66">
              <w:rPr>
                <w:rFonts w:eastAsia="Times New Roman" w:cs="Times New Roman"/>
                <w:b/>
                <w:bCs/>
                <w:color w:val="000000"/>
                <w:sz w:val="18"/>
                <w:szCs w:val="18"/>
              </w:rPr>
              <w:t>ПОКАЗАТЕЛ</w:t>
            </w:r>
          </w:p>
        </w:tc>
        <w:tc>
          <w:tcPr>
            <w:tcW w:w="632" w:type="pct"/>
            <w:vMerge w:val="restart"/>
            <w:tcBorders>
              <w:top w:val="single" w:sz="4" w:space="0" w:color="auto"/>
              <w:left w:val="nil"/>
              <w:bottom w:val="nil"/>
              <w:right w:val="nil"/>
            </w:tcBorders>
            <w:shd w:val="clear" w:color="auto" w:fill="auto"/>
            <w:vAlign w:val="center"/>
            <w:hideMark/>
          </w:tcPr>
          <w:p w:rsidR="00587993" w:rsidRPr="00AA3F66" w:rsidRDefault="00587993" w:rsidP="00587993">
            <w:pPr>
              <w:spacing w:after="0"/>
              <w:jc w:val="center"/>
              <w:rPr>
                <w:rFonts w:eastAsia="Times New Roman" w:cs="Times New Roman"/>
                <w:b/>
                <w:bCs/>
                <w:color w:val="000000"/>
                <w:sz w:val="18"/>
                <w:szCs w:val="18"/>
              </w:rPr>
            </w:pPr>
          </w:p>
          <w:p w:rsidR="006372EC" w:rsidRPr="00AA3F66" w:rsidRDefault="006372EC" w:rsidP="00587993">
            <w:pPr>
              <w:spacing w:after="0"/>
              <w:jc w:val="center"/>
              <w:rPr>
                <w:rFonts w:eastAsia="Times New Roman" w:cs="Times New Roman"/>
                <w:b/>
                <w:bCs/>
                <w:color w:val="000000"/>
                <w:sz w:val="18"/>
                <w:szCs w:val="18"/>
              </w:rPr>
            </w:pPr>
            <w:r w:rsidRPr="00AA3F66">
              <w:rPr>
                <w:rFonts w:eastAsia="Times New Roman" w:cs="Times New Roman"/>
                <w:b/>
                <w:bCs/>
                <w:color w:val="000000"/>
                <w:sz w:val="18"/>
                <w:szCs w:val="18"/>
              </w:rPr>
              <w:t xml:space="preserve">Програма </w:t>
            </w:r>
          </w:p>
          <w:p w:rsidR="00587993" w:rsidRPr="00AA3F66" w:rsidRDefault="006372EC" w:rsidP="00587993">
            <w:pPr>
              <w:spacing w:after="0"/>
              <w:jc w:val="center"/>
              <w:rPr>
                <w:rFonts w:eastAsia="Times New Roman" w:cs="Times New Roman"/>
                <w:b/>
                <w:bCs/>
                <w:color w:val="000000"/>
                <w:sz w:val="18"/>
                <w:szCs w:val="18"/>
              </w:rPr>
            </w:pPr>
            <w:r w:rsidRPr="00AA3F66">
              <w:rPr>
                <w:rFonts w:eastAsia="Times New Roman" w:cs="Times New Roman"/>
                <w:b/>
                <w:bCs/>
                <w:color w:val="000000"/>
                <w:sz w:val="18"/>
                <w:szCs w:val="18"/>
              </w:rPr>
              <w:t>2023 г.</w:t>
            </w:r>
            <w:r w:rsidRPr="00AA3F66">
              <w:rPr>
                <w:rFonts w:eastAsia="Times New Roman" w:cs="Times New Roman"/>
                <w:b/>
                <w:bCs/>
                <w:color w:val="000000"/>
                <w:sz w:val="18"/>
                <w:szCs w:val="18"/>
                <w:vertAlign w:val="superscript"/>
              </w:rPr>
              <w:t xml:space="preserve"> </w:t>
            </w:r>
            <w:r w:rsidRPr="00AA3F66">
              <w:rPr>
                <w:rFonts w:eastAsia="Times New Roman" w:cs="Times New Roman"/>
                <w:b/>
                <w:bCs/>
                <w:color w:val="000000"/>
                <w:sz w:val="18"/>
                <w:szCs w:val="18"/>
                <w:vertAlign w:val="superscript"/>
              </w:rPr>
              <w:footnoteReference w:id="56"/>
            </w:r>
            <w:r w:rsidR="00587993" w:rsidRPr="00AA3F66">
              <w:rPr>
                <w:rFonts w:eastAsia="Times New Roman" w:cs="Times New Roman"/>
                <w:b/>
                <w:bCs/>
                <w:color w:val="000000"/>
                <w:sz w:val="18"/>
                <w:szCs w:val="18"/>
              </w:rPr>
              <w:br/>
            </w:r>
          </w:p>
        </w:tc>
        <w:tc>
          <w:tcPr>
            <w:tcW w:w="1779" w:type="pct"/>
            <w:gridSpan w:val="3"/>
            <w:tcBorders>
              <w:top w:val="single" w:sz="4" w:space="0" w:color="auto"/>
              <w:left w:val="nil"/>
              <w:right w:val="nil"/>
            </w:tcBorders>
            <w:shd w:val="clear" w:color="auto" w:fill="F2F2F2"/>
            <w:noWrap/>
            <w:vAlign w:val="center"/>
            <w:hideMark/>
          </w:tcPr>
          <w:p w:rsidR="00587993" w:rsidRPr="00AA3F66" w:rsidRDefault="00587993" w:rsidP="00587993">
            <w:pPr>
              <w:spacing w:after="0"/>
              <w:jc w:val="center"/>
              <w:rPr>
                <w:rFonts w:eastAsia="Times New Roman" w:cs="Times New Roman"/>
                <w:b/>
                <w:bCs/>
                <w:color w:val="000000"/>
                <w:sz w:val="18"/>
                <w:szCs w:val="18"/>
              </w:rPr>
            </w:pPr>
            <w:r w:rsidRPr="00AA3F66">
              <w:rPr>
                <w:rFonts w:eastAsia="Times New Roman" w:cs="Times New Roman"/>
                <w:b/>
                <w:bCs/>
                <w:color w:val="000000"/>
                <w:sz w:val="18"/>
                <w:szCs w:val="18"/>
              </w:rPr>
              <w:t>Отчет</w:t>
            </w:r>
            <w:r w:rsidR="009E0D8A" w:rsidRPr="00AA3F66">
              <w:rPr>
                <w:rFonts w:eastAsia="Times New Roman" w:cs="Times New Roman"/>
                <w:b/>
                <w:bCs/>
                <w:color w:val="000000"/>
                <w:sz w:val="18"/>
                <w:szCs w:val="18"/>
              </w:rPr>
              <w:t xml:space="preserve"> 30.09</w:t>
            </w:r>
            <w:r w:rsidR="00DC6239" w:rsidRPr="00AA3F66">
              <w:rPr>
                <w:rFonts w:eastAsia="Times New Roman" w:cs="Times New Roman"/>
                <w:b/>
                <w:bCs/>
                <w:color w:val="000000"/>
                <w:sz w:val="18"/>
                <w:szCs w:val="18"/>
              </w:rPr>
              <w:t>.</w:t>
            </w:r>
            <w:r w:rsidRPr="00AA3F66">
              <w:rPr>
                <w:rFonts w:eastAsia="Times New Roman" w:cs="Times New Roman"/>
                <w:b/>
                <w:bCs/>
                <w:color w:val="000000"/>
                <w:sz w:val="18"/>
                <w:szCs w:val="18"/>
              </w:rPr>
              <w:t>2023 г.</w:t>
            </w:r>
          </w:p>
        </w:tc>
        <w:tc>
          <w:tcPr>
            <w:tcW w:w="493" w:type="pct"/>
            <w:vMerge w:val="restart"/>
            <w:tcBorders>
              <w:top w:val="single" w:sz="4" w:space="0" w:color="auto"/>
              <w:left w:val="nil"/>
              <w:bottom w:val="nil"/>
              <w:right w:val="nil"/>
            </w:tcBorders>
            <w:shd w:val="clear" w:color="auto" w:fill="auto"/>
            <w:vAlign w:val="center"/>
            <w:hideMark/>
          </w:tcPr>
          <w:p w:rsidR="00587993" w:rsidRPr="00AA3F66" w:rsidRDefault="00B12025" w:rsidP="00587993">
            <w:pPr>
              <w:spacing w:after="0"/>
              <w:jc w:val="center"/>
              <w:rPr>
                <w:rFonts w:eastAsia="Times New Roman" w:cs="Times New Roman"/>
                <w:b/>
                <w:bCs/>
                <w:color w:val="000000"/>
                <w:sz w:val="18"/>
                <w:szCs w:val="18"/>
              </w:rPr>
            </w:pPr>
            <w:r w:rsidRPr="00AA3F66">
              <w:rPr>
                <w:rFonts w:eastAsia="Times New Roman" w:cs="Times New Roman"/>
                <w:b/>
                <w:bCs/>
                <w:color w:val="000000"/>
                <w:sz w:val="18"/>
                <w:szCs w:val="18"/>
              </w:rPr>
              <w:t>Изпълнение отчет/разчет</w:t>
            </w:r>
          </w:p>
        </w:tc>
      </w:tr>
      <w:tr w:rsidR="00587993" w:rsidRPr="00AA3F66" w:rsidTr="00BF5E98">
        <w:trPr>
          <w:trHeight w:val="502"/>
          <w:tblHeader/>
        </w:trPr>
        <w:tc>
          <w:tcPr>
            <w:tcW w:w="2096" w:type="pct"/>
            <w:vMerge/>
            <w:tcBorders>
              <w:top w:val="single" w:sz="4" w:space="0" w:color="auto"/>
              <w:left w:val="nil"/>
              <w:bottom w:val="nil"/>
              <w:right w:val="nil"/>
            </w:tcBorders>
            <w:vAlign w:val="center"/>
            <w:hideMark/>
          </w:tcPr>
          <w:p w:rsidR="00587993" w:rsidRPr="00AA3F66" w:rsidRDefault="00587993" w:rsidP="00587993">
            <w:pPr>
              <w:spacing w:after="0"/>
              <w:jc w:val="left"/>
              <w:rPr>
                <w:rFonts w:eastAsia="Times New Roman" w:cs="Times New Roman"/>
                <w:b/>
                <w:bCs/>
                <w:color w:val="000000"/>
                <w:sz w:val="18"/>
                <w:szCs w:val="18"/>
              </w:rPr>
            </w:pPr>
          </w:p>
        </w:tc>
        <w:tc>
          <w:tcPr>
            <w:tcW w:w="632" w:type="pct"/>
            <w:vMerge/>
            <w:tcBorders>
              <w:top w:val="single" w:sz="4" w:space="0" w:color="auto"/>
              <w:left w:val="nil"/>
              <w:bottom w:val="nil"/>
              <w:right w:val="nil"/>
            </w:tcBorders>
            <w:vAlign w:val="center"/>
            <w:hideMark/>
          </w:tcPr>
          <w:p w:rsidR="00587993" w:rsidRPr="00AA3F66" w:rsidRDefault="00587993" w:rsidP="00587993">
            <w:pPr>
              <w:spacing w:after="0"/>
              <w:jc w:val="left"/>
              <w:rPr>
                <w:rFonts w:eastAsia="Times New Roman" w:cs="Times New Roman"/>
                <w:b/>
                <w:bCs/>
                <w:color w:val="000000"/>
                <w:sz w:val="18"/>
                <w:szCs w:val="18"/>
              </w:rPr>
            </w:pPr>
          </w:p>
        </w:tc>
        <w:tc>
          <w:tcPr>
            <w:tcW w:w="513" w:type="pct"/>
            <w:tcBorders>
              <w:left w:val="nil"/>
              <w:bottom w:val="nil"/>
              <w:right w:val="nil"/>
            </w:tcBorders>
            <w:shd w:val="clear" w:color="auto" w:fill="F2F2F2"/>
            <w:noWrap/>
            <w:vAlign w:val="center"/>
            <w:hideMark/>
          </w:tcPr>
          <w:p w:rsidR="00587993" w:rsidRPr="00AA3F66" w:rsidRDefault="00587993" w:rsidP="00587993">
            <w:pPr>
              <w:spacing w:after="0"/>
              <w:jc w:val="center"/>
              <w:rPr>
                <w:rFonts w:eastAsia="Times New Roman" w:cs="Times New Roman"/>
                <w:b/>
                <w:bCs/>
                <w:color w:val="000000"/>
                <w:sz w:val="18"/>
                <w:szCs w:val="18"/>
              </w:rPr>
            </w:pPr>
            <w:r w:rsidRPr="00AA3F66">
              <w:rPr>
                <w:rFonts w:eastAsia="Times New Roman" w:cs="Times New Roman"/>
                <w:b/>
                <w:bCs/>
                <w:color w:val="000000"/>
                <w:sz w:val="18"/>
                <w:szCs w:val="18"/>
              </w:rPr>
              <w:t>КФП*</w:t>
            </w:r>
          </w:p>
        </w:tc>
        <w:tc>
          <w:tcPr>
            <w:tcW w:w="720" w:type="pct"/>
            <w:tcBorders>
              <w:left w:val="nil"/>
              <w:bottom w:val="nil"/>
              <w:right w:val="nil"/>
            </w:tcBorders>
            <w:shd w:val="clear" w:color="auto" w:fill="F2F2F2"/>
            <w:vAlign w:val="center"/>
            <w:hideMark/>
          </w:tcPr>
          <w:p w:rsidR="00587993" w:rsidRPr="00AA3F66" w:rsidRDefault="00587993" w:rsidP="00587993">
            <w:pPr>
              <w:spacing w:after="0"/>
              <w:jc w:val="center"/>
              <w:rPr>
                <w:rFonts w:eastAsia="Times New Roman" w:cs="Times New Roman"/>
                <w:b/>
                <w:bCs/>
                <w:color w:val="000000"/>
                <w:sz w:val="18"/>
                <w:szCs w:val="18"/>
              </w:rPr>
            </w:pPr>
            <w:r w:rsidRPr="00AA3F66">
              <w:rPr>
                <w:rFonts w:eastAsia="Times New Roman" w:cs="Times New Roman"/>
                <w:b/>
                <w:bCs/>
                <w:color w:val="000000"/>
                <w:sz w:val="18"/>
                <w:szCs w:val="18"/>
              </w:rPr>
              <w:t xml:space="preserve">Национален </w:t>
            </w:r>
          </w:p>
          <w:p w:rsidR="00587993" w:rsidRPr="00AA3F66" w:rsidRDefault="00587993" w:rsidP="00587993">
            <w:pPr>
              <w:spacing w:after="0"/>
              <w:jc w:val="center"/>
              <w:rPr>
                <w:rFonts w:eastAsia="Times New Roman" w:cs="Times New Roman"/>
                <w:b/>
                <w:bCs/>
                <w:color w:val="000000"/>
                <w:sz w:val="18"/>
                <w:szCs w:val="18"/>
              </w:rPr>
            </w:pPr>
            <w:r w:rsidRPr="00AA3F66">
              <w:rPr>
                <w:rFonts w:eastAsia="Times New Roman" w:cs="Times New Roman"/>
                <w:b/>
                <w:bCs/>
                <w:color w:val="000000"/>
                <w:sz w:val="18"/>
                <w:szCs w:val="18"/>
              </w:rPr>
              <w:t>бюджет</w:t>
            </w:r>
          </w:p>
        </w:tc>
        <w:tc>
          <w:tcPr>
            <w:tcW w:w="546" w:type="pct"/>
            <w:tcBorders>
              <w:left w:val="nil"/>
              <w:bottom w:val="nil"/>
              <w:right w:val="nil"/>
            </w:tcBorders>
            <w:shd w:val="clear" w:color="auto" w:fill="F2F2F2"/>
            <w:vAlign w:val="center"/>
            <w:hideMark/>
          </w:tcPr>
          <w:p w:rsidR="00587993" w:rsidRPr="00AA3F66" w:rsidRDefault="00A96BF2" w:rsidP="00587993">
            <w:pPr>
              <w:spacing w:after="0"/>
              <w:jc w:val="center"/>
              <w:rPr>
                <w:rFonts w:eastAsia="Times New Roman" w:cs="Times New Roman"/>
                <w:b/>
                <w:bCs/>
                <w:color w:val="000000"/>
                <w:sz w:val="18"/>
                <w:szCs w:val="18"/>
              </w:rPr>
            </w:pPr>
            <w:hyperlink r:id="rId44" w:anchor="RANGE!_ftn1" w:history="1">
              <w:r w:rsidR="00587993" w:rsidRPr="00AA3F66">
                <w:rPr>
                  <w:rFonts w:eastAsia="Times New Roman" w:cs="Times New Roman"/>
                  <w:b/>
                  <w:bCs/>
                  <w:color w:val="000000"/>
                  <w:sz w:val="18"/>
                  <w:szCs w:val="18"/>
                </w:rPr>
                <w:t>Европейски средства</w:t>
              </w:r>
            </w:hyperlink>
            <w:r w:rsidR="00587993" w:rsidRPr="00AA3F66">
              <w:rPr>
                <w:rFonts w:eastAsia="Times New Roman" w:cs="Times New Roman"/>
                <w:b/>
                <w:bCs/>
                <w:position w:val="2"/>
                <w:sz w:val="18"/>
                <w:szCs w:val="18"/>
                <w:vertAlign w:val="superscript"/>
                <w:lang w:eastAsia="en-US"/>
              </w:rPr>
              <w:footnoteReference w:id="57"/>
            </w:r>
          </w:p>
        </w:tc>
        <w:tc>
          <w:tcPr>
            <w:tcW w:w="493" w:type="pct"/>
            <w:vMerge/>
            <w:tcBorders>
              <w:top w:val="single" w:sz="4" w:space="0" w:color="auto"/>
              <w:left w:val="nil"/>
              <w:bottom w:val="nil"/>
              <w:right w:val="nil"/>
            </w:tcBorders>
            <w:vAlign w:val="center"/>
            <w:hideMark/>
          </w:tcPr>
          <w:p w:rsidR="00587993" w:rsidRPr="00AA3F66" w:rsidRDefault="00587993" w:rsidP="00587993">
            <w:pPr>
              <w:spacing w:after="0"/>
              <w:jc w:val="left"/>
              <w:rPr>
                <w:rFonts w:eastAsia="Times New Roman" w:cs="Times New Roman"/>
                <w:b/>
                <w:bCs/>
                <w:color w:val="000000"/>
                <w:sz w:val="18"/>
                <w:szCs w:val="18"/>
              </w:rPr>
            </w:pPr>
          </w:p>
        </w:tc>
      </w:tr>
      <w:tr w:rsidR="00587993" w:rsidRPr="00AA3F66" w:rsidTr="00BF5E98">
        <w:trPr>
          <w:trHeight w:val="295"/>
          <w:tblHeader/>
        </w:trPr>
        <w:tc>
          <w:tcPr>
            <w:tcW w:w="2096" w:type="pct"/>
            <w:tcBorders>
              <w:top w:val="nil"/>
              <w:left w:val="nil"/>
              <w:bottom w:val="single" w:sz="4" w:space="0" w:color="auto"/>
              <w:right w:val="nil"/>
            </w:tcBorders>
            <w:shd w:val="clear" w:color="auto" w:fill="auto"/>
            <w:noWrap/>
            <w:vAlign w:val="center"/>
            <w:hideMark/>
          </w:tcPr>
          <w:p w:rsidR="00587993" w:rsidRPr="00AA3F66" w:rsidRDefault="00587993" w:rsidP="00587993">
            <w:pPr>
              <w:spacing w:after="0"/>
              <w:jc w:val="center"/>
              <w:rPr>
                <w:rFonts w:eastAsia="Times New Roman" w:cs="Times New Roman"/>
                <w:b/>
                <w:bCs/>
                <w:color w:val="000000"/>
                <w:sz w:val="16"/>
                <w:szCs w:val="16"/>
              </w:rPr>
            </w:pPr>
            <w:r w:rsidRPr="00AA3F66">
              <w:rPr>
                <w:rFonts w:eastAsia="Times New Roman" w:cs="Times New Roman"/>
                <w:b/>
                <w:bCs/>
                <w:color w:val="000000"/>
                <w:sz w:val="16"/>
                <w:szCs w:val="16"/>
              </w:rPr>
              <w:t>к.1</w:t>
            </w:r>
          </w:p>
        </w:tc>
        <w:tc>
          <w:tcPr>
            <w:tcW w:w="632" w:type="pct"/>
            <w:tcBorders>
              <w:top w:val="nil"/>
              <w:left w:val="nil"/>
              <w:bottom w:val="single" w:sz="4" w:space="0" w:color="auto"/>
              <w:right w:val="nil"/>
            </w:tcBorders>
            <w:shd w:val="clear" w:color="auto" w:fill="auto"/>
            <w:noWrap/>
            <w:vAlign w:val="center"/>
            <w:hideMark/>
          </w:tcPr>
          <w:p w:rsidR="00587993" w:rsidRPr="00AA3F66" w:rsidRDefault="00587993" w:rsidP="00587993">
            <w:pPr>
              <w:spacing w:after="0"/>
              <w:jc w:val="center"/>
              <w:rPr>
                <w:rFonts w:eastAsia="Times New Roman" w:cs="Times New Roman"/>
                <w:b/>
                <w:bCs/>
                <w:color w:val="000000"/>
                <w:sz w:val="16"/>
                <w:szCs w:val="16"/>
              </w:rPr>
            </w:pPr>
            <w:r w:rsidRPr="00AA3F66">
              <w:rPr>
                <w:rFonts w:eastAsia="Times New Roman" w:cs="Times New Roman"/>
                <w:b/>
                <w:bCs/>
                <w:color w:val="000000"/>
                <w:sz w:val="16"/>
                <w:szCs w:val="16"/>
              </w:rPr>
              <w:t>к.2</w:t>
            </w:r>
          </w:p>
        </w:tc>
        <w:tc>
          <w:tcPr>
            <w:tcW w:w="513" w:type="pct"/>
            <w:tcBorders>
              <w:top w:val="nil"/>
              <w:left w:val="nil"/>
              <w:bottom w:val="single" w:sz="4" w:space="0" w:color="auto"/>
              <w:right w:val="nil"/>
            </w:tcBorders>
            <w:shd w:val="clear" w:color="auto" w:fill="F2F2F2"/>
            <w:noWrap/>
            <w:vAlign w:val="center"/>
            <w:hideMark/>
          </w:tcPr>
          <w:p w:rsidR="00587993" w:rsidRPr="00AA3F66" w:rsidRDefault="00587993" w:rsidP="00587993">
            <w:pPr>
              <w:spacing w:after="0"/>
              <w:jc w:val="center"/>
              <w:rPr>
                <w:rFonts w:eastAsia="Times New Roman" w:cs="Times New Roman"/>
                <w:b/>
                <w:bCs/>
                <w:color w:val="000000"/>
                <w:sz w:val="16"/>
                <w:szCs w:val="16"/>
              </w:rPr>
            </w:pPr>
            <w:r w:rsidRPr="00AA3F66">
              <w:rPr>
                <w:rFonts w:eastAsia="Times New Roman" w:cs="Times New Roman"/>
                <w:b/>
                <w:bCs/>
                <w:color w:val="000000"/>
                <w:sz w:val="16"/>
                <w:szCs w:val="16"/>
              </w:rPr>
              <w:t>к.3=к.4+к.5</w:t>
            </w:r>
          </w:p>
        </w:tc>
        <w:tc>
          <w:tcPr>
            <w:tcW w:w="720" w:type="pct"/>
            <w:tcBorders>
              <w:top w:val="nil"/>
              <w:left w:val="nil"/>
              <w:bottom w:val="single" w:sz="4" w:space="0" w:color="auto"/>
              <w:right w:val="nil"/>
            </w:tcBorders>
            <w:shd w:val="clear" w:color="auto" w:fill="F2F2F2"/>
            <w:noWrap/>
            <w:vAlign w:val="center"/>
            <w:hideMark/>
          </w:tcPr>
          <w:p w:rsidR="00587993" w:rsidRPr="00AA3F66" w:rsidRDefault="00587993" w:rsidP="00587993">
            <w:pPr>
              <w:spacing w:after="0"/>
              <w:jc w:val="center"/>
              <w:rPr>
                <w:rFonts w:eastAsia="Times New Roman" w:cs="Times New Roman"/>
                <w:b/>
                <w:bCs/>
                <w:color w:val="000000"/>
                <w:sz w:val="16"/>
                <w:szCs w:val="16"/>
              </w:rPr>
            </w:pPr>
            <w:r w:rsidRPr="00AA3F66">
              <w:rPr>
                <w:rFonts w:eastAsia="Times New Roman" w:cs="Times New Roman"/>
                <w:b/>
                <w:bCs/>
                <w:color w:val="000000"/>
                <w:sz w:val="16"/>
                <w:szCs w:val="16"/>
              </w:rPr>
              <w:t>к.4</w:t>
            </w:r>
          </w:p>
        </w:tc>
        <w:tc>
          <w:tcPr>
            <w:tcW w:w="546" w:type="pct"/>
            <w:tcBorders>
              <w:top w:val="nil"/>
              <w:left w:val="nil"/>
              <w:bottom w:val="single" w:sz="4" w:space="0" w:color="auto"/>
              <w:right w:val="nil"/>
            </w:tcBorders>
            <w:shd w:val="clear" w:color="auto" w:fill="F2F2F2"/>
            <w:noWrap/>
            <w:vAlign w:val="center"/>
            <w:hideMark/>
          </w:tcPr>
          <w:p w:rsidR="00587993" w:rsidRPr="00AA3F66" w:rsidRDefault="00587993" w:rsidP="00587993">
            <w:pPr>
              <w:spacing w:after="0"/>
              <w:jc w:val="center"/>
              <w:rPr>
                <w:rFonts w:eastAsia="Times New Roman" w:cs="Times New Roman"/>
                <w:b/>
                <w:bCs/>
                <w:color w:val="000000"/>
                <w:sz w:val="16"/>
                <w:szCs w:val="16"/>
              </w:rPr>
            </w:pPr>
            <w:r w:rsidRPr="00AA3F66">
              <w:rPr>
                <w:rFonts w:eastAsia="Times New Roman" w:cs="Times New Roman"/>
                <w:b/>
                <w:bCs/>
                <w:color w:val="000000"/>
                <w:sz w:val="16"/>
                <w:szCs w:val="16"/>
              </w:rPr>
              <w:t>к.5</w:t>
            </w:r>
          </w:p>
        </w:tc>
        <w:tc>
          <w:tcPr>
            <w:tcW w:w="493" w:type="pct"/>
            <w:tcBorders>
              <w:top w:val="nil"/>
              <w:left w:val="nil"/>
              <w:bottom w:val="single" w:sz="4" w:space="0" w:color="auto"/>
              <w:right w:val="nil"/>
            </w:tcBorders>
            <w:shd w:val="clear" w:color="auto" w:fill="auto"/>
            <w:noWrap/>
            <w:vAlign w:val="center"/>
            <w:hideMark/>
          </w:tcPr>
          <w:p w:rsidR="00587993" w:rsidRPr="00AA3F66" w:rsidRDefault="00587993" w:rsidP="00587993">
            <w:pPr>
              <w:spacing w:after="0"/>
              <w:jc w:val="center"/>
              <w:rPr>
                <w:rFonts w:eastAsia="Times New Roman" w:cs="Times New Roman"/>
                <w:b/>
                <w:bCs/>
                <w:color w:val="000000"/>
                <w:sz w:val="16"/>
                <w:szCs w:val="16"/>
              </w:rPr>
            </w:pPr>
            <w:r w:rsidRPr="00AA3F66">
              <w:rPr>
                <w:rFonts w:eastAsia="Times New Roman" w:cs="Times New Roman"/>
                <w:b/>
                <w:bCs/>
                <w:color w:val="000000"/>
                <w:sz w:val="16"/>
                <w:szCs w:val="16"/>
              </w:rPr>
              <w:t>к.6=к.3:к.2</w:t>
            </w:r>
          </w:p>
        </w:tc>
      </w:tr>
      <w:tr w:rsidR="006A2C19" w:rsidRPr="00AA3F66" w:rsidTr="00BF5E98">
        <w:trPr>
          <w:trHeight w:val="295"/>
        </w:trPr>
        <w:tc>
          <w:tcPr>
            <w:tcW w:w="2096" w:type="pct"/>
            <w:tcBorders>
              <w:top w:val="single" w:sz="4" w:space="0" w:color="auto"/>
              <w:left w:val="nil"/>
              <w:bottom w:val="nil"/>
              <w:right w:val="nil"/>
            </w:tcBorders>
            <w:shd w:val="clear" w:color="auto" w:fill="auto"/>
            <w:noWrap/>
            <w:vAlign w:val="center"/>
            <w:hideMark/>
          </w:tcPr>
          <w:p w:rsidR="006A2C19" w:rsidRPr="00AA3F66" w:rsidRDefault="006A2C19" w:rsidP="006A2C19">
            <w:pPr>
              <w:spacing w:after="0"/>
              <w:jc w:val="left"/>
              <w:rPr>
                <w:rFonts w:eastAsia="Times New Roman" w:cs="Times New Roman"/>
                <w:b/>
                <w:bCs/>
                <w:color w:val="000000"/>
                <w:sz w:val="18"/>
                <w:szCs w:val="18"/>
              </w:rPr>
            </w:pPr>
            <w:r w:rsidRPr="00AA3F66">
              <w:rPr>
                <w:rFonts w:eastAsia="Times New Roman" w:cs="Times New Roman"/>
                <w:b/>
                <w:bCs/>
                <w:color w:val="000000"/>
                <w:sz w:val="18"/>
                <w:szCs w:val="18"/>
              </w:rPr>
              <w:t>ПРИХОДИ, ПОМОЩИ И ДАРЕНИЯ</w:t>
            </w:r>
          </w:p>
        </w:tc>
        <w:tc>
          <w:tcPr>
            <w:tcW w:w="632" w:type="pct"/>
            <w:tcBorders>
              <w:top w:val="single" w:sz="4" w:space="0" w:color="auto"/>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b/>
                <w:color w:val="000000"/>
                <w:sz w:val="18"/>
                <w:szCs w:val="18"/>
              </w:rPr>
            </w:pPr>
            <w:r w:rsidRPr="00AA3F66">
              <w:rPr>
                <w:b/>
                <w:sz w:val="18"/>
                <w:szCs w:val="18"/>
              </w:rPr>
              <w:t>69 471,8</w:t>
            </w:r>
          </w:p>
        </w:tc>
        <w:tc>
          <w:tcPr>
            <w:tcW w:w="513" w:type="pct"/>
            <w:tcBorders>
              <w:top w:val="single" w:sz="4" w:space="0" w:color="auto"/>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b/>
                <w:color w:val="000000"/>
                <w:sz w:val="18"/>
                <w:szCs w:val="18"/>
              </w:rPr>
            </w:pPr>
            <w:r w:rsidRPr="00AA3F66">
              <w:rPr>
                <w:b/>
                <w:sz w:val="18"/>
                <w:szCs w:val="18"/>
              </w:rPr>
              <w:t>47 636,7</w:t>
            </w:r>
          </w:p>
        </w:tc>
        <w:tc>
          <w:tcPr>
            <w:tcW w:w="720" w:type="pct"/>
            <w:tcBorders>
              <w:top w:val="single" w:sz="4" w:space="0" w:color="auto"/>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b/>
                <w:color w:val="000000"/>
                <w:sz w:val="18"/>
                <w:szCs w:val="18"/>
              </w:rPr>
            </w:pPr>
            <w:r w:rsidRPr="00AA3F66">
              <w:rPr>
                <w:b/>
                <w:sz w:val="18"/>
                <w:szCs w:val="18"/>
              </w:rPr>
              <w:t>46 036,7</w:t>
            </w:r>
          </w:p>
        </w:tc>
        <w:tc>
          <w:tcPr>
            <w:tcW w:w="546" w:type="pct"/>
            <w:tcBorders>
              <w:top w:val="single" w:sz="4" w:space="0" w:color="auto"/>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b/>
                <w:color w:val="000000"/>
                <w:sz w:val="18"/>
                <w:szCs w:val="18"/>
              </w:rPr>
            </w:pPr>
            <w:r w:rsidRPr="00AA3F66">
              <w:rPr>
                <w:b/>
                <w:sz w:val="18"/>
                <w:szCs w:val="18"/>
              </w:rPr>
              <w:t>1 599,9</w:t>
            </w:r>
          </w:p>
        </w:tc>
        <w:tc>
          <w:tcPr>
            <w:tcW w:w="493" w:type="pct"/>
            <w:tcBorders>
              <w:top w:val="single" w:sz="4" w:space="0" w:color="auto"/>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b/>
                <w:color w:val="000000"/>
                <w:sz w:val="18"/>
                <w:szCs w:val="18"/>
              </w:rPr>
            </w:pPr>
            <w:r w:rsidRPr="00AA3F66">
              <w:rPr>
                <w:b/>
                <w:sz w:val="18"/>
                <w:szCs w:val="18"/>
              </w:rPr>
              <w:t>68,6%</w:t>
            </w:r>
          </w:p>
        </w:tc>
      </w:tr>
      <w:tr w:rsidR="006A2C19" w:rsidRPr="00AA3F66" w:rsidTr="00BF5E98">
        <w:trPr>
          <w:trHeight w:val="295"/>
        </w:trPr>
        <w:tc>
          <w:tcPr>
            <w:tcW w:w="2096" w:type="pct"/>
            <w:tcBorders>
              <w:top w:val="nil"/>
              <w:left w:val="nil"/>
              <w:bottom w:val="nil"/>
              <w:right w:val="nil"/>
            </w:tcBorders>
            <w:shd w:val="clear" w:color="auto" w:fill="auto"/>
            <w:noWrap/>
            <w:vAlign w:val="center"/>
            <w:hideMark/>
          </w:tcPr>
          <w:p w:rsidR="006A2C19" w:rsidRPr="00AA3F66" w:rsidRDefault="006A2C19" w:rsidP="006A2C19">
            <w:pPr>
              <w:spacing w:after="0"/>
              <w:jc w:val="left"/>
              <w:rPr>
                <w:rFonts w:eastAsia="Times New Roman" w:cs="Times New Roman"/>
                <w:color w:val="000000"/>
                <w:sz w:val="18"/>
                <w:szCs w:val="18"/>
              </w:rPr>
            </w:pPr>
            <w:r w:rsidRPr="00AA3F66">
              <w:rPr>
                <w:rFonts w:eastAsia="Times New Roman" w:cs="Times New Roman"/>
                <w:color w:val="000000"/>
                <w:sz w:val="18"/>
                <w:szCs w:val="18"/>
              </w:rPr>
              <w:t>Данъчни приходи</w:t>
            </w:r>
          </w:p>
        </w:tc>
        <w:tc>
          <w:tcPr>
            <w:tcW w:w="632"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53 166,0</w:t>
            </w:r>
          </w:p>
        </w:tc>
        <w:tc>
          <w:tcPr>
            <w:tcW w:w="513"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37 373,9</w:t>
            </w:r>
          </w:p>
        </w:tc>
        <w:tc>
          <w:tcPr>
            <w:tcW w:w="720"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37 373,9</w:t>
            </w:r>
          </w:p>
        </w:tc>
        <w:tc>
          <w:tcPr>
            <w:tcW w:w="546"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p>
        </w:tc>
        <w:tc>
          <w:tcPr>
            <w:tcW w:w="493"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70,3%</w:t>
            </w:r>
          </w:p>
        </w:tc>
      </w:tr>
      <w:tr w:rsidR="006A2C19" w:rsidRPr="00AA3F66" w:rsidTr="00BF5E98">
        <w:trPr>
          <w:trHeight w:val="295"/>
        </w:trPr>
        <w:tc>
          <w:tcPr>
            <w:tcW w:w="2096" w:type="pct"/>
            <w:tcBorders>
              <w:top w:val="nil"/>
              <w:left w:val="nil"/>
              <w:bottom w:val="nil"/>
              <w:right w:val="nil"/>
            </w:tcBorders>
            <w:shd w:val="clear" w:color="auto" w:fill="auto"/>
            <w:noWrap/>
            <w:vAlign w:val="center"/>
            <w:hideMark/>
          </w:tcPr>
          <w:p w:rsidR="006A2C19" w:rsidRPr="00AA3F66" w:rsidRDefault="006A2C19" w:rsidP="006A2C19">
            <w:pPr>
              <w:spacing w:after="0"/>
              <w:ind w:firstLineChars="200" w:firstLine="360"/>
              <w:jc w:val="left"/>
              <w:rPr>
                <w:rFonts w:eastAsia="Times New Roman" w:cs="Times New Roman"/>
                <w:color w:val="000000"/>
                <w:sz w:val="18"/>
                <w:szCs w:val="18"/>
              </w:rPr>
            </w:pPr>
            <w:r w:rsidRPr="00AA3F66">
              <w:rPr>
                <w:rFonts w:eastAsia="Times New Roman" w:cs="Times New Roman"/>
                <w:color w:val="000000"/>
                <w:sz w:val="18"/>
                <w:szCs w:val="18"/>
              </w:rPr>
              <w:t>Преки данъци</w:t>
            </w:r>
          </w:p>
        </w:tc>
        <w:tc>
          <w:tcPr>
            <w:tcW w:w="632"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 xml:space="preserve"> 11 624,3</w:t>
            </w:r>
          </w:p>
        </w:tc>
        <w:tc>
          <w:tcPr>
            <w:tcW w:w="513"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7 401,8</w:t>
            </w:r>
          </w:p>
        </w:tc>
        <w:tc>
          <w:tcPr>
            <w:tcW w:w="720"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7 401,8</w:t>
            </w:r>
          </w:p>
        </w:tc>
        <w:tc>
          <w:tcPr>
            <w:tcW w:w="546"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p>
        </w:tc>
        <w:tc>
          <w:tcPr>
            <w:tcW w:w="493"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63,7%</w:t>
            </w:r>
          </w:p>
        </w:tc>
      </w:tr>
      <w:tr w:rsidR="006A2C19" w:rsidRPr="00AA3F66" w:rsidTr="00BF5E98">
        <w:trPr>
          <w:trHeight w:val="295"/>
        </w:trPr>
        <w:tc>
          <w:tcPr>
            <w:tcW w:w="2096" w:type="pct"/>
            <w:tcBorders>
              <w:top w:val="nil"/>
              <w:left w:val="nil"/>
              <w:bottom w:val="nil"/>
              <w:right w:val="nil"/>
            </w:tcBorders>
            <w:shd w:val="clear" w:color="auto" w:fill="auto"/>
            <w:noWrap/>
            <w:vAlign w:val="center"/>
            <w:hideMark/>
          </w:tcPr>
          <w:p w:rsidR="006A2C19" w:rsidRPr="00AA3F66" w:rsidRDefault="006A2C19" w:rsidP="006A2C19">
            <w:pPr>
              <w:spacing w:after="0"/>
              <w:ind w:firstLineChars="200" w:firstLine="360"/>
              <w:jc w:val="left"/>
              <w:rPr>
                <w:rFonts w:eastAsia="Times New Roman" w:cs="Times New Roman"/>
                <w:color w:val="000000"/>
                <w:sz w:val="18"/>
                <w:szCs w:val="18"/>
              </w:rPr>
            </w:pPr>
            <w:r w:rsidRPr="00AA3F66">
              <w:rPr>
                <w:rFonts w:eastAsia="Times New Roman" w:cs="Times New Roman"/>
                <w:color w:val="000000"/>
                <w:sz w:val="18"/>
                <w:szCs w:val="18"/>
              </w:rPr>
              <w:t xml:space="preserve">Косвени данъци </w:t>
            </w:r>
          </w:p>
        </w:tc>
        <w:tc>
          <w:tcPr>
            <w:tcW w:w="632"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23 406,5</w:t>
            </w:r>
          </w:p>
        </w:tc>
        <w:tc>
          <w:tcPr>
            <w:tcW w:w="513"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16 452,3</w:t>
            </w:r>
          </w:p>
        </w:tc>
        <w:tc>
          <w:tcPr>
            <w:tcW w:w="720"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16 452,3</w:t>
            </w:r>
          </w:p>
        </w:tc>
        <w:tc>
          <w:tcPr>
            <w:tcW w:w="546"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p>
        </w:tc>
        <w:tc>
          <w:tcPr>
            <w:tcW w:w="493"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70,3%</w:t>
            </w:r>
          </w:p>
        </w:tc>
      </w:tr>
      <w:tr w:rsidR="006A2C19" w:rsidRPr="00AA3F66" w:rsidTr="00BF5E98">
        <w:trPr>
          <w:trHeight w:val="295"/>
        </w:trPr>
        <w:tc>
          <w:tcPr>
            <w:tcW w:w="2096" w:type="pct"/>
            <w:tcBorders>
              <w:top w:val="nil"/>
              <w:left w:val="nil"/>
              <w:bottom w:val="nil"/>
              <w:right w:val="nil"/>
            </w:tcBorders>
            <w:shd w:val="clear" w:color="auto" w:fill="auto"/>
            <w:noWrap/>
            <w:vAlign w:val="center"/>
            <w:hideMark/>
          </w:tcPr>
          <w:p w:rsidR="006A2C19" w:rsidRPr="00AA3F66" w:rsidRDefault="006A2C19" w:rsidP="006A2C19">
            <w:pPr>
              <w:spacing w:after="0"/>
              <w:ind w:firstLineChars="200" w:firstLine="360"/>
              <w:jc w:val="left"/>
              <w:rPr>
                <w:rFonts w:eastAsia="Times New Roman" w:cs="Times New Roman"/>
                <w:color w:val="000000"/>
                <w:sz w:val="18"/>
                <w:szCs w:val="18"/>
              </w:rPr>
            </w:pPr>
            <w:r w:rsidRPr="00AA3F66">
              <w:rPr>
                <w:rFonts w:eastAsia="Times New Roman" w:cs="Times New Roman"/>
                <w:color w:val="000000"/>
                <w:sz w:val="18"/>
                <w:szCs w:val="18"/>
              </w:rPr>
              <w:t>Приходи от социални и здравноосигурителни вноски</w:t>
            </w:r>
          </w:p>
        </w:tc>
        <w:tc>
          <w:tcPr>
            <w:tcW w:w="632"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15 470,5</w:t>
            </w:r>
          </w:p>
        </w:tc>
        <w:tc>
          <w:tcPr>
            <w:tcW w:w="513"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11 383,3</w:t>
            </w:r>
          </w:p>
        </w:tc>
        <w:tc>
          <w:tcPr>
            <w:tcW w:w="720"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11 383,3</w:t>
            </w:r>
          </w:p>
        </w:tc>
        <w:tc>
          <w:tcPr>
            <w:tcW w:w="546"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p>
        </w:tc>
        <w:tc>
          <w:tcPr>
            <w:tcW w:w="493"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73,6%</w:t>
            </w:r>
          </w:p>
        </w:tc>
      </w:tr>
      <w:tr w:rsidR="006A2C19" w:rsidRPr="00AA3F66" w:rsidTr="00BF5E98">
        <w:trPr>
          <w:trHeight w:val="295"/>
        </w:trPr>
        <w:tc>
          <w:tcPr>
            <w:tcW w:w="2096" w:type="pct"/>
            <w:tcBorders>
              <w:top w:val="nil"/>
              <w:left w:val="nil"/>
              <w:bottom w:val="nil"/>
              <w:right w:val="nil"/>
            </w:tcBorders>
            <w:shd w:val="clear" w:color="auto" w:fill="auto"/>
            <w:noWrap/>
            <w:vAlign w:val="center"/>
            <w:hideMark/>
          </w:tcPr>
          <w:p w:rsidR="006A2C19" w:rsidRPr="00AA3F66" w:rsidRDefault="006A2C19" w:rsidP="006A2C19">
            <w:pPr>
              <w:spacing w:after="0"/>
              <w:ind w:firstLineChars="200" w:firstLine="360"/>
              <w:jc w:val="left"/>
              <w:rPr>
                <w:rFonts w:eastAsia="Times New Roman" w:cs="Times New Roman"/>
                <w:color w:val="000000"/>
                <w:sz w:val="18"/>
                <w:szCs w:val="18"/>
              </w:rPr>
            </w:pPr>
            <w:r w:rsidRPr="00AA3F66">
              <w:rPr>
                <w:rFonts w:eastAsia="Times New Roman" w:cs="Times New Roman"/>
                <w:color w:val="000000"/>
                <w:sz w:val="18"/>
                <w:szCs w:val="18"/>
              </w:rPr>
              <w:t>Други данъци</w:t>
            </w:r>
          </w:p>
        </w:tc>
        <w:tc>
          <w:tcPr>
            <w:tcW w:w="632"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2 664,6</w:t>
            </w:r>
          </w:p>
        </w:tc>
        <w:tc>
          <w:tcPr>
            <w:tcW w:w="513"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2 136,4</w:t>
            </w:r>
          </w:p>
        </w:tc>
        <w:tc>
          <w:tcPr>
            <w:tcW w:w="720"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2 136,4</w:t>
            </w:r>
          </w:p>
        </w:tc>
        <w:tc>
          <w:tcPr>
            <w:tcW w:w="546"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p>
        </w:tc>
        <w:tc>
          <w:tcPr>
            <w:tcW w:w="493"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80,2%</w:t>
            </w:r>
          </w:p>
        </w:tc>
      </w:tr>
      <w:tr w:rsidR="006A2C19" w:rsidRPr="00AA3F66" w:rsidTr="00BF5E98">
        <w:trPr>
          <w:trHeight w:val="295"/>
        </w:trPr>
        <w:tc>
          <w:tcPr>
            <w:tcW w:w="2096" w:type="pct"/>
            <w:tcBorders>
              <w:top w:val="nil"/>
              <w:left w:val="nil"/>
              <w:bottom w:val="nil"/>
              <w:right w:val="nil"/>
            </w:tcBorders>
            <w:shd w:val="clear" w:color="auto" w:fill="auto"/>
            <w:noWrap/>
            <w:vAlign w:val="center"/>
            <w:hideMark/>
          </w:tcPr>
          <w:p w:rsidR="006A2C19" w:rsidRPr="00AA3F66" w:rsidRDefault="006A2C19" w:rsidP="006A2C19">
            <w:pPr>
              <w:spacing w:after="0"/>
              <w:jc w:val="left"/>
              <w:rPr>
                <w:rFonts w:eastAsia="Times New Roman" w:cs="Times New Roman"/>
                <w:color w:val="000000"/>
                <w:sz w:val="18"/>
                <w:szCs w:val="18"/>
              </w:rPr>
            </w:pPr>
            <w:r w:rsidRPr="00AA3F66">
              <w:rPr>
                <w:rFonts w:eastAsia="Times New Roman" w:cs="Times New Roman"/>
                <w:color w:val="000000"/>
                <w:sz w:val="18"/>
                <w:szCs w:val="18"/>
              </w:rPr>
              <w:t>Неданъчни приходи</w:t>
            </w:r>
          </w:p>
        </w:tc>
        <w:tc>
          <w:tcPr>
            <w:tcW w:w="632"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11 152,2</w:t>
            </w:r>
          </w:p>
        </w:tc>
        <w:tc>
          <w:tcPr>
            <w:tcW w:w="513"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8 567,7</w:t>
            </w:r>
          </w:p>
        </w:tc>
        <w:tc>
          <w:tcPr>
            <w:tcW w:w="720"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8 571,3</w:t>
            </w:r>
          </w:p>
        </w:tc>
        <w:tc>
          <w:tcPr>
            <w:tcW w:w="546"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-3,6</w:t>
            </w:r>
          </w:p>
        </w:tc>
        <w:tc>
          <w:tcPr>
            <w:tcW w:w="493"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76,8%</w:t>
            </w:r>
          </w:p>
        </w:tc>
      </w:tr>
      <w:tr w:rsidR="006A2C19" w:rsidRPr="00AA3F66" w:rsidTr="00BF5E98">
        <w:trPr>
          <w:trHeight w:val="295"/>
        </w:trPr>
        <w:tc>
          <w:tcPr>
            <w:tcW w:w="2096" w:type="pct"/>
            <w:tcBorders>
              <w:top w:val="nil"/>
              <w:left w:val="nil"/>
              <w:bottom w:val="nil"/>
              <w:right w:val="nil"/>
            </w:tcBorders>
            <w:shd w:val="clear" w:color="auto" w:fill="auto"/>
            <w:noWrap/>
            <w:vAlign w:val="center"/>
            <w:hideMark/>
          </w:tcPr>
          <w:p w:rsidR="006A2C19" w:rsidRPr="00AA3F66" w:rsidRDefault="006A2C19" w:rsidP="006A2C19">
            <w:pPr>
              <w:spacing w:after="0"/>
              <w:jc w:val="left"/>
              <w:rPr>
                <w:rFonts w:eastAsia="Times New Roman" w:cs="Times New Roman"/>
                <w:color w:val="000000"/>
                <w:sz w:val="18"/>
                <w:szCs w:val="18"/>
              </w:rPr>
            </w:pPr>
            <w:r w:rsidRPr="00AA3F66">
              <w:rPr>
                <w:rFonts w:eastAsia="Times New Roman" w:cs="Times New Roman"/>
                <w:color w:val="000000"/>
                <w:sz w:val="18"/>
                <w:szCs w:val="18"/>
              </w:rPr>
              <w:t>Помощи и дарения</w:t>
            </w:r>
          </w:p>
        </w:tc>
        <w:tc>
          <w:tcPr>
            <w:tcW w:w="632"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5 153,6</w:t>
            </w:r>
          </w:p>
        </w:tc>
        <w:tc>
          <w:tcPr>
            <w:tcW w:w="513"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1 695,1</w:t>
            </w:r>
          </w:p>
        </w:tc>
        <w:tc>
          <w:tcPr>
            <w:tcW w:w="720"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91,6</w:t>
            </w:r>
          </w:p>
        </w:tc>
        <w:tc>
          <w:tcPr>
            <w:tcW w:w="546"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1 603,5</w:t>
            </w:r>
          </w:p>
        </w:tc>
        <w:tc>
          <w:tcPr>
            <w:tcW w:w="493"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32,9%</w:t>
            </w:r>
          </w:p>
        </w:tc>
      </w:tr>
      <w:tr w:rsidR="006A2C19" w:rsidRPr="00AA3F66" w:rsidTr="00BF5E98">
        <w:trPr>
          <w:trHeight w:val="295"/>
        </w:trPr>
        <w:tc>
          <w:tcPr>
            <w:tcW w:w="2096" w:type="pct"/>
            <w:tcBorders>
              <w:top w:val="nil"/>
              <w:left w:val="nil"/>
              <w:bottom w:val="nil"/>
              <w:right w:val="nil"/>
            </w:tcBorders>
            <w:shd w:val="clear" w:color="auto" w:fill="auto"/>
            <w:vAlign w:val="center"/>
            <w:hideMark/>
          </w:tcPr>
          <w:p w:rsidR="006A2C19" w:rsidRPr="00AA3F66" w:rsidRDefault="006A2C19" w:rsidP="006A2C19">
            <w:pPr>
              <w:spacing w:after="0"/>
              <w:rPr>
                <w:rFonts w:eastAsia="Times New Roman" w:cs="Times New Roman"/>
                <w:b/>
                <w:bCs/>
                <w:color w:val="000000"/>
                <w:sz w:val="18"/>
                <w:szCs w:val="18"/>
              </w:rPr>
            </w:pPr>
            <w:r w:rsidRPr="00AA3F66">
              <w:rPr>
                <w:rFonts w:eastAsia="Times New Roman" w:cs="Times New Roman"/>
                <w:b/>
                <w:bCs/>
                <w:color w:val="000000"/>
                <w:sz w:val="18"/>
                <w:szCs w:val="18"/>
              </w:rPr>
              <w:t>РАЗХОДИ И ВНОСКА В БЮДЖЕТА НА ЕС</w:t>
            </w:r>
          </w:p>
        </w:tc>
        <w:tc>
          <w:tcPr>
            <w:tcW w:w="632"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b/>
                <w:color w:val="000000"/>
                <w:sz w:val="18"/>
                <w:szCs w:val="18"/>
              </w:rPr>
            </w:pPr>
            <w:r w:rsidRPr="00AA3F66">
              <w:rPr>
                <w:b/>
                <w:sz w:val="18"/>
                <w:szCs w:val="18"/>
              </w:rPr>
              <w:t>74 051,8</w:t>
            </w:r>
          </w:p>
        </w:tc>
        <w:tc>
          <w:tcPr>
            <w:tcW w:w="513"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b/>
                <w:color w:val="000000"/>
                <w:sz w:val="18"/>
                <w:szCs w:val="18"/>
              </w:rPr>
            </w:pPr>
            <w:r w:rsidRPr="00AA3F66">
              <w:rPr>
                <w:b/>
                <w:sz w:val="18"/>
                <w:szCs w:val="18"/>
              </w:rPr>
              <w:t>48 477,7</w:t>
            </w:r>
          </w:p>
        </w:tc>
        <w:tc>
          <w:tcPr>
            <w:tcW w:w="720"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b/>
                <w:color w:val="000000"/>
                <w:sz w:val="18"/>
                <w:szCs w:val="18"/>
              </w:rPr>
            </w:pPr>
            <w:r w:rsidRPr="00AA3F66">
              <w:rPr>
                <w:b/>
                <w:sz w:val="18"/>
                <w:szCs w:val="18"/>
              </w:rPr>
              <w:t>46 145,2</w:t>
            </w:r>
          </w:p>
        </w:tc>
        <w:tc>
          <w:tcPr>
            <w:tcW w:w="546"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b/>
                <w:color w:val="000000"/>
                <w:sz w:val="18"/>
                <w:szCs w:val="18"/>
              </w:rPr>
            </w:pPr>
            <w:r w:rsidRPr="00AA3F66">
              <w:rPr>
                <w:b/>
                <w:sz w:val="18"/>
                <w:szCs w:val="18"/>
              </w:rPr>
              <w:t>2 332,5</w:t>
            </w:r>
          </w:p>
        </w:tc>
        <w:tc>
          <w:tcPr>
            <w:tcW w:w="493"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b/>
                <w:color w:val="000000"/>
                <w:sz w:val="18"/>
                <w:szCs w:val="18"/>
              </w:rPr>
            </w:pPr>
            <w:r w:rsidRPr="00AA3F66">
              <w:rPr>
                <w:b/>
                <w:sz w:val="18"/>
                <w:szCs w:val="18"/>
              </w:rPr>
              <w:t>65,5%</w:t>
            </w:r>
          </w:p>
        </w:tc>
      </w:tr>
      <w:tr w:rsidR="006A2C19" w:rsidRPr="00AA3F66" w:rsidTr="00BF5E98">
        <w:trPr>
          <w:trHeight w:val="295"/>
        </w:trPr>
        <w:tc>
          <w:tcPr>
            <w:tcW w:w="2096" w:type="pct"/>
            <w:tcBorders>
              <w:top w:val="nil"/>
              <w:left w:val="nil"/>
              <w:bottom w:val="nil"/>
              <w:right w:val="nil"/>
            </w:tcBorders>
            <w:shd w:val="clear" w:color="auto" w:fill="auto"/>
            <w:noWrap/>
            <w:vAlign w:val="center"/>
            <w:hideMark/>
          </w:tcPr>
          <w:p w:rsidR="006A2C19" w:rsidRPr="00AA3F66" w:rsidRDefault="006A2C19" w:rsidP="006A2C19">
            <w:pPr>
              <w:spacing w:after="0"/>
              <w:rPr>
                <w:rFonts w:eastAsia="Times New Roman" w:cs="Times New Roman"/>
                <w:color w:val="000000"/>
                <w:sz w:val="18"/>
                <w:szCs w:val="18"/>
              </w:rPr>
            </w:pPr>
            <w:r w:rsidRPr="00AA3F66">
              <w:rPr>
                <w:rFonts w:eastAsia="Times New Roman" w:cs="Times New Roman"/>
                <w:color w:val="000000"/>
                <w:sz w:val="18"/>
                <w:szCs w:val="18"/>
              </w:rPr>
              <w:t>Нелихвени</w:t>
            </w:r>
          </w:p>
        </w:tc>
        <w:tc>
          <w:tcPr>
            <w:tcW w:w="632"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71 185,7</w:t>
            </w:r>
          </w:p>
        </w:tc>
        <w:tc>
          <w:tcPr>
            <w:tcW w:w="513"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46 492,1</w:t>
            </w:r>
          </w:p>
        </w:tc>
        <w:tc>
          <w:tcPr>
            <w:tcW w:w="720"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44 159,6</w:t>
            </w:r>
          </w:p>
        </w:tc>
        <w:tc>
          <w:tcPr>
            <w:tcW w:w="546"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2 332,5</w:t>
            </w:r>
          </w:p>
        </w:tc>
        <w:tc>
          <w:tcPr>
            <w:tcW w:w="493"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65,3%</w:t>
            </w:r>
          </w:p>
        </w:tc>
      </w:tr>
      <w:tr w:rsidR="006A2C19" w:rsidRPr="00AA3F66" w:rsidTr="00BF5E98">
        <w:trPr>
          <w:trHeight w:val="295"/>
        </w:trPr>
        <w:tc>
          <w:tcPr>
            <w:tcW w:w="2096" w:type="pct"/>
            <w:tcBorders>
              <w:top w:val="nil"/>
              <w:left w:val="nil"/>
              <w:bottom w:val="nil"/>
              <w:right w:val="nil"/>
            </w:tcBorders>
            <w:shd w:val="clear" w:color="auto" w:fill="auto"/>
            <w:noWrap/>
            <w:vAlign w:val="center"/>
            <w:hideMark/>
          </w:tcPr>
          <w:p w:rsidR="006A2C19" w:rsidRPr="00AA3F66" w:rsidRDefault="006A2C19" w:rsidP="006A2C19">
            <w:pPr>
              <w:spacing w:after="0"/>
              <w:ind w:firstLineChars="200" w:firstLine="360"/>
              <w:jc w:val="left"/>
              <w:rPr>
                <w:rFonts w:eastAsia="Times New Roman" w:cs="Times New Roman"/>
                <w:color w:val="000000"/>
                <w:sz w:val="18"/>
                <w:szCs w:val="18"/>
              </w:rPr>
            </w:pPr>
            <w:r w:rsidRPr="00AA3F66">
              <w:rPr>
                <w:rFonts w:eastAsia="Times New Roman" w:cs="Times New Roman"/>
                <w:color w:val="000000"/>
                <w:sz w:val="18"/>
                <w:szCs w:val="18"/>
              </w:rPr>
              <w:t>Текущи</w:t>
            </w:r>
          </w:p>
        </w:tc>
        <w:tc>
          <w:tcPr>
            <w:tcW w:w="632"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62 694,2</w:t>
            </w:r>
          </w:p>
        </w:tc>
        <w:tc>
          <w:tcPr>
            <w:tcW w:w="513"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42 798,4</w:t>
            </w:r>
          </w:p>
        </w:tc>
        <w:tc>
          <w:tcPr>
            <w:tcW w:w="720"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41 917,8</w:t>
            </w:r>
          </w:p>
        </w:tc>
        <w:tc>
          <w:tcPr>
            <w:tcW w:w="546"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880,6</w:t>
            </w:r>
          </w:p>
        </w:tc>
        <w:tc>
          <w:tcPr>
            <w:tcW w:w="493"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68,3%</w:t>
            </w:r>
          </w:p>
        </w:tc>
      </w:tr>
      <w:tr w:rsidR="006A2C19" w:rsidRPr="00AA3F66" w:rsidTr="00BF5E98">
        <w:trPr>
          <w:trHeight w:val="295"/>
        </w:trPr>
        <w:tc>
          <w:tcPr>
            <w:tcW w:w="2096" w:type="pct"/>
            <w:tcBorders>
              <w:top w:val="nil"/>
              <w:left w:val="nil"/>
              <w:bottom w:val="nil"/>
              <w:right w:val="nil"/>
            </w:tcBorders>
            <w:shd w:val="clear" w:color="auto" w:fill="auto"/>
            <w:noWrap/>
            <w:vAlign w:val="center"/>
            <w:hideMark/>
          </w:tcPr>
          <w:p w:rsidR="006A2C19" w:rsidRPr="00AA3F66" w:rsidRDefault="006A2C19" w:rsidP="006A2C19">
            <w:pPr>
              <w:spacing w:after="0"/>
              <w:ind w:firstLineChars="200" w:firstLine="360"/>
              <w:jc w:val="left"/>
              <w:rPr>
                <w:rFonts w:eastAsia="Times New Roman" w:cs="Times New Roman"/>
                <w:color w:val="000000"/>
                <w:sz w:val="18"/>
                <w:szCs w:val="18"/>
              </w:rPr>
            </w:pPr>
            <w:r w:rsidRPr="00AA3F66">
              <w:rPr>
                <w:rFonts w:eastAsia="Times New Roman" w:cs="Times New Roman"/>
                <w:color w:val="000000"/>
                <w:sz w:val="18"/>
                <w:szCs w:val="18"/>
              </w:rPr>
              <w:t>Капиталови **</w:t>
            </w:r>
          </w:p>
        </w:tc>
        <w:tc>
          <w:tcPr>
            <w:tcW w:w="632"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8 133,9</w:t>
            </w:r>
          </w:p>
        </w:tc>
        <w:tc>
          <w:tcPr>
            <w:tcW w:w="513"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3 647,2</w:t>
            </w:r>
          </w:p>
        </w:tc>
        <w:tc>
          <w:tcPr>
            <w:tcW w:w="720"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2 231,8</w:t>
            </w:r>
          </w:p>
        </w:tc>
        <w:tc>
          <w:tcPr>
            <w:tcW w:w="546"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1 415,4</w:t>
            </w:r>
          </w:p>
        </w:tc>
        <w:tc>
          <w:tcPr>
            <w:tcW w:w="493"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44,8%</w:t>
            </w:r>
          </w:p>
        </w:tc>
      </w:tr>
      <w:tr w:rsidR="006A2C19" w:rsidRPr="00AA3F66" w:rsidTr="00BF5E98">
        <w:trPr>
          <w:trHeight w:val="295"/>
        </w:trPr>
        <w:tc>
          <w:tcPr>
            <w:tcW w:w="2096" w:type="pct"/>
            <w:tcBorders>
              <w:top w:val="nil"/>
              <w:left w:val="nil"/>
              <w:bottom w:val="nil"/>
              <w:right w:val="nil"/>
            </w:tcBorders>
            <w:shd w:val="clear" w:color="auto" w:fill="auto"/>
            <w:noWrap/>
            <w:vAlign w:val="center"/>
            <w:hideMark/>
          </w:tcPr>
          <w:p w:rsidR="006A2C19" w:rsidRPr="00AA3F66" w:rsidRDefault="006A2C19" w:rsidP="006A2C19">
            <w:pPr>
              <w:spacing w:after="0"/>
              <w:ind w:firstLineChars="200" w:firstLine="360"/>
              <w:jc w:val="left"/>
              <w:rPr>
                <w:rFonts w:eastAsia="Times New Roman" w:cs="Times New Roman"/>
                <w:color w:val="000000"/>
                <w:sz w:val="18"/>
                <w:szCs w:val="18"/>
              </w:rPr>
            </w:pPr>
            <w:r w:rsidRPr="00AA3F66">
              <w:rPr>
                <w:rFonts w:eastAsia="Times New Roman" w:cs="Times New Roman"/>
                <w:color w:val="000000"/>
                <w:sz w:val="18"/>
                <w:szCs w:val="18"/>
              </w:rPr>
              <w:t>Предоставени текущи и капиталови трансфери за чужбина</w:t>
            </w:r>
          </w:p>
        </w:tc>
        <w:tc>
          <w:tcPr>
            <w:tcW w:w="632"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20,7</w:t>
            </w:r>
          </w:p>
        </w:tc>
        <w:tc>
          <w:tcPr>
            <w:tcW w:w="513"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46,4</w:t>
            </w:r>
          </w:p>
        </w:tc>
        <w:tc>
          <w:tcPr>
            <w:tcW w:w="720"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10,0</w:t>
            </w:r>
          </w:p>
        </w:tc>
        <w:tc>
          <w:tcPr>
            <w:tcW w:w="546"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36,4</w:t>
            </w:r>
          </w:p>
        </w:tc>
        <w:tc>
          <w:tcPr>
            <w:tcW w:w="493"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224,3%</w:t>
            </w:r>
          </w:p>
        </w:tc>
      </w:tr>
      <w:tr w:rsidR="006A2C19" w:rsidRPr="00AA3F66" w:rsidTr="00BF5E98">
        <w:trPr>
          <w:trHeight w:val="295"/>
        </w:trPr>
        <w:tc>
          <w:tcPr>
            <w:tcW w:w="2096" w:type="pct"/>
            <w:tcBorders>
              <w:top w:val="nil"/>
              <w:left w:val="nil"/>
              <w:bottom w:val="nil"/>
              <w:right w:val="nil"/>
            </w:tcBorders>
            <w:shd w:val="clear" w:color="auto" w:fill="auto"/>
            <w:noWrap/>
            <w:vAlign w:val="center"/>
          </w:tcPr>
          <w:p w:rsidR="006A2C19" w:rsidRPr="00AA3F66" w:rsidRDefault="006A2C19" w:rsidP="006A2C19">
            <w:pPr>
              <w:spacing w:after="0"/>
              <w:ind w:firstLineChars="200" w:firstLine="360"/>
              <w:jc w:val="left"/>
              <w:rPr>
                <w:rFonts w:eastAsia="Times New Roman" w:cs="Times New Roman"/>
                <w:color w:val="000000"/>
                <w:sz w:val="18"/>
                <w:szCs w:val="18"/>
              </w:rPr>
            </w:pPr>
            <w:r w:rsidRPr="00AA3F66">
              <w:rPr>
                <w:rFonts w:eastAsia="Times New Roman" w:cs="Times New Roman"/>
                <w:color w:val="000000"/>
                <w:sz w:val="18"/>
                <w:szCs w:val="18"/>
              </w:rPr>
              <w:t>Резерв за непредвидени и неотложни разходи ***</w:t>
            </w:r>
          </w:p>
        </w:tc>
        <w:tc>
          <w:tcPr>
            <w:tcW w:w="632" w:type="pct"/>
            <w:tcBorders>
              <w:top w:val="nil"/>
              <w:left w:val="nil"/>
              <w:bottom w:val="nil"/>
              <w:right w:val="nil"/>
            </w:tcBorders>
            <w:shd w:val="clear" w:color="auto" w:fill="auto"/>
            <w:noWrap/>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336,8</w:t>
            </w:r>
          </w:p>
        </w:tc>
        <w:tc>
          <w:tcPr>
            <w:tcW w:w="513" w:type="pct"/>
            <w:tcBorders>
              <w:top w:val="nil"/>
              <w:left w:val="nil"/>
              <w:bottom w:val="nil"/>
              <w:right w:val="nil"/>
            </w:tcBorders>
            <w:shd w:val="clear" w:color="auto" w:fill="F2F2F2"/>
            <w:noWrap/>
          </w:tcPr>
          <w:p w:rsidR="006A2C19" w:rsidRPr="00AA3F66" w:rsidRDefault="006A2C19" w:rsidP="006A2C19">
            <w:pPr>
              <w:spacing w:after="0"/>
              <w:ind w:firstLineChars="200" w:firstLine="360"/>
              <w:jc w:val="right"/>
              <w:rPr>
                <w:rFonts w:eastAsia="Times New Roman" w:cs="Times New Roman"/>
                <w:color w:val="000000"/>
                <w:sz w:val="18"/>
                <w:szCs w:val="18"/>
              </w:rPr>
            </w:pPr>
          </w:p>
        </w:tc>
        <w:tc>
          <w:tcPr>
            <w:tcW w:w="720" w:type="pct"/>
            <w:tcBorders>
              <w:top w:val="nil"/>
              <w:left w:val="nil"/>
              <w:bottom w:val="nil"/>
              <w:right w:val="nil"/>
            </w:tcBorders>
            <w:shd w:val="clear" w:color="auto" w:fill="F2F2F2"/>
            <w:noWrap/>
          </w:tcPr>
          <w:p w:rsidR="006A2C19" w:rsidRPr="00AA3F66" w:rsidRDefault="006A2C19" w:rsidP="006A2C19">
            <w:pPr>
              <w:spacing w:after="0"/>
              <w:ind w:firstLineChars="200" w:firstLine="360"/>
              <w:jc w:val="right"/>
              <w:rPr>
                <w:rFonts w:eastAsia="Times New Roman" w:cs="Times New Roman"/>
                <w:color w:val="000000"/>
                <w:sz w:val="18"/>
                <w:szCs w:val="18"/>
              </w:rPr>
            </w:pPr>
          </w:p>
        </w:tc>
        <w:tc>
          <w:tcPr>
            <w:tcW w:w="546" w:type="pct"/>
            <w:tcBorders>
              <w:top w:val="nil"/>
              <w:left w:val="nil"/>
              <w:bottom w:val="nil"/>
              <w:right w:val="nil"/>
            </w:tcBorders>
            <w:shd w:val="clear" w:color="auto" w:fill="F2F2F2"/>
            <w:noWrap/>
          </w:tcPr>
          <w:p w:rsidR="006A2C19" w:rsidRPr="00AA3F66" w:rsidRDefault="006A2C19" w:rsidP="006A2C19">
            <w:pPr>
              <w:spacing w:after="0"/>
              <w:ind w:firstLineChars="200" w:firstLine="360"/>
              <w:jc w:val="right"/>
              <w:rPr>
                <w:rFonts w:eastAsia="Times New Roman" w:cs="Times New Roman"/>
                <w:color w:val="000000"/>
                <w:sz w:val="18"/>
                <w:szCs w:val="18"/>
              </w:rPr>
            </w:pPr>
          </w:p>
        </w:tc>
        <w:tc>
          <w:tcPr>
            <w:tcW w:w="493" w:type="pct"/>
            <w:tcBorders>
              <w:top w:val="nil"/>
              <w:left w:val="nil"/>
              <w:bottom w:val="nil"/>
              <w:right w:val="nil"/>
            </w:tcBorders>
            <w:shd w:val="clear" w:color="auto" w:fill="auto"/>
            <w:noWrap/>
          </w:tcPr>
          <w:p w:rsidR="006A2C19" w:rsidRPr="00AA3F66" w:rsidRDefault="006A2C19" w:rsidP="006A2C19">
            <w:pPr>
              <w:spacing w:after="0"/>
              <w:ind w:firstLineChars="200" w:firstLine="360"/>
              <w:jc w:val="right"/>
              <w:rPr>
                <w:rFonts w:eastAsia="Times New Roman" w:cs="Times New Roman"/>
                <w:color w:val="000000"/>
                <w:sz w:val="18"/>
                <w:szCs w:val="18"/>
              </w:rPr>
            </w:pPr>
          </w:p>
        </w:tc>
      </w:tr>
      <w:tr w:rsidR="006A2C19" w:rsidRPr="00AA3F66" w:rsidTr="00BF5E98">
        <w:trPr>
          <w:trHeight w:val="295"/>
        </w:trPr>
        <w:tc>
          <w:tcPr>
            <w:tcW w:w="2096" w:type="pct"/>
            <w:tcBorders>
              <w:top w:val="nil"/>
              <w:left w:val="nil"/>
              <w:bottom w:val="nil"/>
              <w:right w:val="nil"/>
            </w:tcBorders>
            <w:shd w:val="clear" w:color="auto" w:fill="auto"/>
            <w:noWrap/>
            <w:vAlign w:val="center"/>
            <w:hideMark/>
          </w:tcPr>
          <w:p w:rsidR="006A2C19" w:rsidRPr="00AA3F66" w:rsidRDefault="006A2C19" w:rsidP="006A2C19">
            <w:pPr>
              <w:spacing w:after="0"/>
              <w:rPr>
                <w:rFonts w:eastAsia="Times New Roman" w:cs="Times New Roman"/>
                <w:color w:val="000000"/>
                <w:sz w:val="18"/>
                <w:szCs w:val="18"/>
              </w:rPr>
            </w:pPr>
            <w:r w:rsidRPr="00AA3F66">
              <w:rPr>
                <w:rFonts w:eastAsia="Times New Roman" w:cs="Times New Roman"/>
                <w:color w:val="000000"/>
                <w:sz w:val="18"/>
                <w:szCs w:val="18"/>
              </w:rPr>
              <w:t>Лихвени</w:t>
            </w:r>
          </w:p>
        </w:tc>
        <w:tc>
          <w:tcPr>
            <w:tcW w:w="632"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823,8</w:t>
            </w:r>
          </w:p>
        </w:tc>
        <w:tc>
          <w:tcPr>
            <w:tcW w:w="513"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733,5</w:t>
            </w:r>
          </w:p>
        </w:tc>
        <w:tc>
          <w:tcPr>
            <w:tcW w:w="720"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733,5</w:t>
            </w:r>
          </w:p>
        </w:tc>
        <w:tc>
          <w:tcPr>
            <w:tcW w:w="546"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0,0</w:t>
            </w:r>
          </w:p>
        </w:tc>
        <w:tc>
          <w:tcPr>
            <w:tcW w:w="493"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89,0%</w:t>
            </w:r>
          </w:p>
        </w:tc>
      </w:tr>
      <w:tr w:rsidR="006A2C19" w:rsidRPr="00AA3F66" w:rsidTr="00BF5E98">
        <w:trPr>
          <w:trHeight w:val="295"/>
        </w:trPr>
        <w:tc>
          <w:tcPr>
            <w:tcW w:w="2096" w:type="pct"/>
            <w:tcBorders>
              <w:top w:val="nil"/>
              <w:left w:val="nil"/>
              <w:bottom w:val="nil"/>
              <w:right w:val="nil"/>
            </w:tcBorders>
            <w:shd w:val="clear" w:color="auto" w:fill="auto"/>
            <w:noWrap/>
            <w:vAlign w:val="center"/>
            <w:hideMark/>
          </w:tcPr>
          <w:p w:rsidR="006A2C19" w:rsidRPr="00AA3F66" w:rsidRDefault="006A2C19" w:rsidP="006A2C19">
            <w:pPr>
              <w:spacing w:after="0"/>
              <w:rPr>
                <w:rFonts w:eastAsia="Times New Roman" w:cs="Times New Roman"/>
                <w:color w:val="000000"/>
                <w:sz w:val="18"/>
                <w:szCs w:val="18"/>
              </w:rPr>
            </w:pPr>
            <w:r w:rsidRPr="00AA3F66">
              <w:rPr>
                <w:rFonts w:eastAsia="Times New Roman" w:cs="Times New Roman"/>
                <w:color w:val="000000"/>
                <w:sz w:val="18"/>
                <w:szCs w:val="18"/>
              </w:rPr>
              <w:t>Вноска в общия бюджет на ЕС</w:t>
            </w:r>
          </w:p>
        </w:tc>
        <w:tc>
          <w:tcPr>
            <w:tcW w:w="632"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2 042,4</w:t>
            </w:r>
          </w:p>
        </w:tc>
        <w:tc>
          <w:tcPr>
            <w:tcW w:w="513"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1 252,1</w:t>
            </w:r>
          </w:p>
        </w:tc>
        <w:tc>
          <w:tcPr>
            <w:tcW w:w="720"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1 252,1</w:t>
            </w:r>
          </w:p>
        </w:tc>
        <w:tc>
          <w:tcPr>
            <w:tcW w:w="546"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p>
        </w:tc>
        <w:tc>
          <w:tcPr>
            <w:tcW w:w="493"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61,3%</w:t>
            </w:r>
          </w:p>
        </w:tc>
      </w:tr>
      <w:tr w:rsidR="006A2C19" w:rsidRPr="00AA3F66" w:rsidTr="00BF5E98">
        <w:trPr>
          <w:trHeight w:val="295"/>
        </w:trPr>
        <w:tc>
          <w:tcPr>
            <w:tcW w:w="2096" w:type="pct"/>
            <w:tcBorders>
              <w:top w:val="nil"/>
              <w:left w:val="nil"/>
              <w:bottom w:val="nil"/>
              <w:right w:val="nil"/>
            </w:tcBorders>
            <w:shd w:val="clear" w:color="auto" w:fill="auto"/>
            <w:noWrap/>
            <w:vAlign w:val="center"/>
            <w:hideMark/>
          </w:tcPr>
          <w:p w:rsidR="006A2C19" w:rsidRPr="00AA3F66" w:rsidRDefault="006A2C19" w:rsidP="006A2C19">
            <w:pPr>
              <w:spacing w:after="0"/>
              <w:rPr>
                <w:rFonts w:eastAsia="Times New Roman" w:cs="Times New Roman"/>
                <w:color w:val="000000"/>
                <w:sz w:val="18"/>
                <w:szCs w:val="18"/>
              </w:rPr>
            </w:pPr>
            <w:r w:rsidRPr="00AA3F66">
              <w:rPr>
                <w:rFonts w:eastAsia="Times New Roman" w:cs="Times New Roman"/>
                <w:color w:val="000000"/>
                <w:sz w:val="18"/>
                <w:szCs w:val="18"/>
              </w:rPr>
              <w:t>Трансфери - нето</w:t>
            </w:r>
          </w:p>
        </w:tc>
        <w:tc>
          <w:tcPr>
            <w:tcW w:w="632"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p>
        </w:tc>
        <w:tc>
          <w:tcPr>
            <w:tcW w:w="513"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p>
        </w:tc>
        <w:tc>
          <w:tcPr>
            <w:tcW w:w="720"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-6</w:t>
            </w:r>
            <w:r w:rsidR="006A2D3A" w:rsidRPr="00AA3F66">
              <w:rPr>
                <w:sz w:val="18"/>
                <w:szCs w:val="18"/>
              </w:rPr>
              <w:t>6</w:t>
            </w:r>
            <w:r w:rsidRPr="00AA3F66">
              <w:rPr>
                <w:sz w:val="18"/>
                <w:szCs w:val="18"/>
              </w:rPr>
              <w:t>3,0</w:t>
            </w:r>
          </w:p>
        </w:tc>
        <w:tc>
          <w:tcPr>
            <w:tcW w:w="546" w:type="pct"/>
            <w:tcBorders>
              <w:top w:val="nil"/>
              <w:left w:val="nil"/>
              <w:bottom w:val="nil"/>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r w:rsidRPr="00AA3F66">
              <w:rPr>
                <w:sz w:val="18"/>
                <w:szCs w:val="18"/>
              </w:rPr>
              <w:t>6</w:t>
            </w:r>
            <w:r w:rsidR="006A2D3A" w:rsidRPr="00AA3F66">
              <w:rPr>
                <w:sz w:val="18"/>
                <w:szCs w:val="18"/>
              </w:rPr>
              <w:t>6</w:t>
            </w:r>
            <w:r w:rsidRPr="00AA3F66">
              <w:rPr>
                <w:sz w:val="18"/>
                <w:szCs w:val="18"/>
              </w:rPr>
              <w:t>3,0</w:t>
            </w:r>
          </w:p>
        </w:tc>
        <w:tc>
          <w:tcPr>
            <w:tcW w:w="493" w:type="pct"/>
            <w:tcBorders>
              <w:top w:val="nil"/>
              <w:left w:val="nil"/>
              <w:bottom w:val="nil"/>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color w:val="000000"/>
                <w:sz w:val="18"/>
                <w:szCs w:val="18"/>
              </w:rPr>
            </w:pPr>
          </w:p>
        </w:tc>
      </w:tr>
      <w:tr w:rsidR="006A2C19" w:rsidRPr="00AA3F66" w:rsidTr="00BF5E98">
        <w:trPr>
          <w:trHeight w:val="110"/>
        </w:trPr>
        <w:tc>
          <w:tcPr>
            <w:tcW w:w="2096" w:type="pct"/>
            <w:tcBorders>
              <w:top w:val="nil"/>
              <w:left w:val="nil"/>
              <w:bottom w:val="single" w:sz="4" w:space="0" w:color="auto"/>
              <w:right w:val="nil"/>
            </w:tcBorders>
            <w:shd w:val="clear" w:color="auto" w:fill="auto"/>
            <w:noWrap/>
            <w:vAlign w:val="center"/>
            <w:hideMark/>
          </w:tcPr>
          <w:p w:rsidR="006A2C19" w:rsidRPr="00AA3F66" w:rsidRDefault="006A2C19" w:rsidP="006A2C19">
            <w:pPr>
              <w:spacing w:after="0"/>
              <w:rPr>
                <w:rFonts w:eastAsia="Times New Roman" w:cs="Times New Roman"/>
                <w:b/>
                <w:bCs/>
                <w:color w:val="000000"/>
                <w:sz w:val="18"/>
                <w:szCs w:val="18"/>
              </w:rPr>
            </w:pPr>
            <w:r w:rsidRPr="00AA3F66">
              <w:rPr>
                <w:rFonts w:eastAsia="Times New Roman" w:cs="Times New Roman"/>
                <w:b/>
                <w:bCs/>
                <w:color w:val="000000"/>
                <w:sz w:val="18"/>
                <w:szCs w:val="18"/>
              </w:rPr>
              <w:t>БЮДЖЕТНО САЛДО</w:t>
            </w:r>
          </w:p>
        </w:tc>
        <w:tc>
          <w:tcPr>
            <w:tcW w:w="632" w:type="pct"/>
            <w:tcBorders>
              <w:top w:val="nil"/>
              <w:left w:val="nil"/>
              <w:bottom w:val="single" w:sz="4" w:space="0" w:color="auto"/>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b/>
                <w:color w:val="000000"/>
                <w:sz w:val="18"/>
                <w:szCs w:val="18"/>
              </w:rPr>
            </w:pPr>
            <w:r w:rsidRPr="00AA3F66">
              <w:rPr>
                <w:b/>
                <w:sz w:val="18"/>
                <w:szCs w:val="18"/>
              </w:rPr>
              <w:t>-4 580,0</w:t>
            </w:r>
          </w:p>
        </w:tc>
        <w:tc>
          <w:tcPr>
            <w:tcW w:w="513" w:type="pct"/>
            <w:tcBorders>
              <w:top w:val="nil"/>
              <w:left w:val="nil"/>
              <w:bottom w:val="single" w:sz="4" w:space="0" w:color="auto"/>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b/>
                <w:color w:val="000000"/>
                <w:sz w:val="18"/>
                <w:szCs w:val="18"/>
              </w:rPr>
            </w:pPr>
            <w:r w:rsidRPr="00AA3F66">
              <w:rPr>
                <w:b/>
                <w:sz w:val="18"/>
                <w:szCs w:val="18"/>
              </w:rPr>
              <w:t>-841,0</w:t>
            </w:r>
          </w:p>
        </w:tc>
        <w:tc>
          <w:tcPr>
            <w:tcW w:w="720" w:type="pct"/>
            <w:tcBorders>
              <w:top w:val="nil"/>
              <w:left w:val="nil"/>
              <w:bottom w:val="single" w:sz="4" w:space="0" w:color="auto"/>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b/>
                <w:color w:val="000000"/>
                <w:sz w:val="18"/>
                <w:szCs w:val="18"/>
              </w:rPr>
            </w:pPr>
            <w:r w:rsidRPr="00AA3F66">
              <w:rPr>
                <w:b/>
                <w:sz w:val="18"/>
                <w:szCs w:val="18"/>
              </w:rPr>
              <w:t>-771,5</w:t>
            </w:r>
          </w:p>
        </w:tc>
        <w:tc>
          <w:tcPr>
            <w:tcW w:w="546" w:type="pct"/>
            <w:tcBorders>
              <w:top w:val="nil"/>
              <w:left w:val="nil"/>
              <w:bottom w:val="single" w:sz="4" w:space="0" w:color="auto"/>
              <w:right w:val="nil"/>
            </w:tcBorders>
            <w:shd w:val="clear" w:color="auto" w:fill="F2F2F2"/>
            <w:noWrap/>
            <w:hideMark/>
          </w:tcPr>
          <w:p w:rsidR="006A2C19" w:rsidRPr="00AA3F66" w:rsidRDefault="006A2C19" w:rsidP="006A2C19">
            <w:pPr>
              <w:spacing w:after="0"/>
              <w:ind w:firstLineChars="200" w:firstLine="360"/>
              <w:jc w:val="right"/>
              <w:rPr>
                <w:rFonts w:eastAsia="Times New Roman" w:cs="Times New Roman"/>
                <w:b/>
                <w:color w:val="000000"/>
                <w:sz w:val="18"/>
                <w:szCs w:val="18"/>
              </w:rPr>
            </w:pPr>
            <w:r w:rsidRPr="00AA3F66">
              <w:rPr>
                <w:b/>
                <w:sz w:val="18"/>
                <w:szCs w:val="18"/>
              </w:rPr>
              <w:t>-69,5</w:t>
            </w:r>
          </w:p>
        </w:tc>
        <w:tc>
          <w:tcPr>
            <w:tcW w:w="493" w:type="pct"/>
            <w:tcBorders>
              <w:top w:val="nil"/>
              <w:left w:val="nil"/>
              <w:bottom w:val="single" w:sz="4" w:space="0" w:color="auto"/>
              <w:right w:val="nil"/>
            </w:tcBorders>
            <w:shd w:val="clear" w:color="auto" w:fill="auto"/>
            <w:noWrap/>
            <w:hideMark/>
          </w:tcPr>
          <w:p w:rsidR="006A2C19" w:rsidRPr="00AA3F66" w:rsidRDefault="006A2C19" w:rsidP="006A2C19">
            <w:pPr>
              <w:spacing w:after="0"/>
              <w:ind w:firstLineChars="200" w:firstLine="360"/>
              <w:jc w:val="right"/>
              <w:rPr>
                <w:rFonts w:eastAsia="Times New Roman" w:cs="Times New Roman"/>
                <w:b/>
                <w:color w:val="000000"/>
                <w:sz w:val="18"/>
                <w:szCs w:val="18"/>
              </w:rPr>
            </w:pPr>
          </w:p>
        </w:tc>
      </w:tr>
    </w:tbl>
    <w:p w:rsidR="00587993" w:rsidRPr="00AA3F66" w:rsidRDefault="00587993" w:rsidP="003C0431">
      <w:pPr>
        <w:autoSpaceDE w:val="0"/>
        <w:autoSpaceDN w:val="0"/>
        <w:adjustRightInd w:val="0"/>
        <w:spacing w:after="0"/>
        <w:ind w:firstLine="1134"/>
        <w:jc w:val="right"/>
        <w:rPr>
          <w:rFonts w:eastAsia="Times New Roman" w:cs="Calibri"/>
          <w:bCs/>
          <w:sz w:val="18"/>
          <w:szCs w:val="18"/>
        </w:rPr>
      </w:pPr>
    </w:p>
    <w:p w:rsidR="005E5FDF" w:rsidRPr="00AA3F66" w:rsidRDefault="0055046C" w:rsidP="005E5FDF">
      <w:pPr>
        <w:rPr>
          <w:rFonts w:eastAsia="Batang"/>
          <w:sz w:val="18"/>
          <w:szCs w:val="18"/>
        </w:rPr>
      </w:pPr>
      <w:r w:rsidRPr="00AA3F66">
        <w:rPr>
          <w:rFonts w:eastAsia="Batang"/>
          <w:sz w:val="18"/>
          <w:szCs w:val="18"/>
        </w:rPr>
        <w:t xml:space="preserve">* </w:t>
      </w:r>
      <w:r w:rsidR="005E5FDF" w:rsidRPr="00AA3F66">
        <w:rPr>
          <w:rFonts w:eastAsia="Batang"/>
          <w:sz w:val="18"/>
          <w:szCs w:val="18"/>
        </w:rPr>
        <w:t>Данните са на база на месечните отчети за касовото изпълнение на ПРБ; **  Вкл. нетен прираст на държавния резерв; *** В позицията „Резерв за непредвидени и/или неотложни разходи“ се отразяват само разходите по разчет, а средствата, изразходвани за сметка на резерва по отчет, са отчетени по съответните разходни позиции, към които се отнасят извършените разходи.</w:t>
      </w:r>
    </w:p>
    <w:p w:rsidR="00B44EEB" w:rsidRPr="00AA3F66" w:rsidRDefault="00B44EEB" w:rsidP="007E2FE2">
      <w:pPr>
        <w:rPr>
          <w:rFonts w:eastAsia="Batang"/>
          <w:sz w:val="18"/>
          <w:szCs w:val="18"/>
        </w:rPr>
        <w:sectPr w:rsidR="00B44EEB" w:rsidRPr="00AA3F66" w:rsidSect="002D7CED">
          <w:footerReference w:type="even" r:id="rId45"/>
          <w:headerReference w:type="first" r:id="rId46"/>
          <w:footerReference w:type="first" r:id="rId47"/>
          <w:type w:val="continuous"/>
          <w:pgSz w:w="16838" w:h="11906" w:orient="landscape" w:code="9"/>
          <w:pgMar w:top="851" w:right="1134" w:bottom="851" w:left="1134" w:header="709" w:footer="709" w:gutter="0"/>
          <w:cols w:space="708"/>
          <w:docGrid w:linePitch="360"/>
        </w:sectPr>
      </w:pPr>
    </w:p>
    <w:p w:rsidR="00EE1D8D" w:rsidRPr="00AA3F66" w:rsidRDefault="00EE1D8D" w:rsidP="00180E1F">
      <w:pPr>
        <w:suppressAutoHyphens/>
        <w:autoSpaceDE w:val="0"/>
        <w:autoSpaceDN w:val="0"/>
        <w:adjustRightInd w:val="0"/>
        <w:spacing w:after="120" w:line="276" w:lineRule="auto"/>
        <w:rPr>
          <w:b/>
          <w:color w:val="943634"/>
          <w:sz w:val="22"/>
        </w:rPr>
      </w:pPr>
      <w:r w:rsidRPr="00AA3F66">
        <w:rPr>
          <w:b/>
          <w:color w:val="943634"/>
          <w:sz w:val="22"/>
        </w:rPr>
        <w:t>Изпълнение на приходите</w:t>
      </w:r>
      <w:r w:rsidR="001622AA" w:rsidRPr="00AA3F66">
        <w:rPr>
          <w:b/>
          <w:color w:val="943634"/>
          <w:sz w:val="22"/>
        </w:rPr>
        <w:t>,</w:t>
      </w:r>
      <w:r w:rsidRPr="00AA3F66">
        <w:rPr>
          <w:b/>
          <w:color w:val="943634"/>
          <w:sz w:val="22"/>
        </w:rPr>
        <w:t xml:space="preserve"> </w:t>
      </w:r>
      <w:r w:rsidR="001622AA" w:rsidRPr="00AA3F66">
        <w:rPr>
          <w:b/>
          <w:bCs/>
          <w:color w:val="943634"/>
          <w:sz w:val="22"/>
        </w:rPr>
        <w:t xml:space="preserve">помощите и даренията </w:t>
      </w:r>
      <w:r w:rsidRPr="00AA3F66">
        <w:rPr>
          <w:b/>
          <w:color w:val="943634"/>
          <w:sz w:val="22"/>
        </w:rPr>
        <w:t xml:space="preserve">по КФП </w:t>
      </w:r>
    </w:p>
    <w:p w:rsidR="00C806B9" w:rsidRPr="00AA3F66" w:rsidRDefault="00C806B9" w:rsidP="00C806B9">
      <w:pPr>
        <w:autoSpaceDE w:val="0"/>
        <w:autoSpaceDN w:val="0"/>
        <w:adjustRightInd w:val="0"/>
        <w:spacing w:after="120"/>
        <w:rPr>
          <w:rFonts w:eastAsia="Batang" w:cs="Times New Roman"/>
          <w:bCs/>
          <w:sz w:val="20"/>
          <w:szCs w:val="20"/>
        </w:rPr>
      </w:pPr>
      <w:r w:rsidRPr="00AA3F66">
        <w:rPr>
          <w:rFonts w:eastAsia="Batang" w:cs="Times New Roman"/>
          <w:bCs/>
          <w:sz w:val="20"/>
          <w:szCs w:val="20"/>
        </w:rPr>
        <w:t xml:space="preserve">Постъпилите </w:t>
      </w:r>
      <w:r w:rsidRPr="00AA3F66">
        <w:rPr>
          <w:rFonts w:eastAsia="Batang" w:cs="Times New Roman"/>
          <w:b/>
          <w:bCs/>
          <w:i/>
          <w:sz w:val="20"/>
          <w:szCs w:val="20"/>
        </w:rPr>
        <w:t>приходи, помощи и дарения</w:t>
      </w:r>
      <w:r w:rsidRPr="00AA3F66">
        <w:rPr>
          <w:rFonts w:eastAsia="Batang" w:cs="Times New Roman"/>
          <w:bCs/>
          <w:sz w:val="20"/>
          <w:szCs w:val="20"/>
        </w:rPr>
        <w:t xml:space="preserve"> към </w:t>
      </w:r>
      <w:r w:rsidRPr="00AA3F66">
        <w:rPr>
          <w:rFonts w:eastAsia="Times New Roman" w:cs="Times New Roman"/>
          <w:sz w:val="20"/>
          <w:szCs w:val="20"/>
        </w:rPr>
        <w:t>септември 2023</w:t>
      </w:r>
      <w:r w:rsidRPr="00AA3F66">
        <w:rPr>
          <w:rFonts w:eastAsia="Times New Roman" w:cs="Times New Roman"/>
          <w:bCs/>
          <w:sz w:val="20"/>
          <w:szCs w:val="20"/>
        </w:rPr>
        <w:t xml:space="preserve"> г. са в размер на 47 636,7 млн. лв., което представлява 68,6% от разчетите към ЗДБРБ за 2023 година</w:t>
      </w:r>
      <w:r w:rsidRPr="00AA3F66">
        <w:rPr>
          <w:rFonts w:eastAsia="Times New Roman" w:cs="Times New Roman"/>
          <w:bCs/>
          <w:sz w:val="20"/>
          <w:szCs w:val="20"/>
          <w:vertAlign w:val="superscript"/>
        </w:rPr>
        <w:footnoteReference w:id="58"/>
      </w:r>
      <w:r w:rsidRPr="00AA3F66">
        <w:rPr>
          <w:rFonts w:eastAsia="Times New Roman" w:cs="Times New Roman"/>
          <w:bCs/>
          <w:sz w:val="20"/>
          <w:szCs w:val="20"/>
        </w:rPr>
        <w:t xml:space="preserve">. </w:t>
      </w:r>
      <w:r w:rsidRPr="00AA3F66">
        <w:rPr>
          <w:rFonts w:eastAsia="Calibri" w:cs="Times New Roman"/>
          <w:sz w:val="20"/>
          <w:szCs w:val="20"/>
        </w:rPr>
        <w:t xml:space="preserve">Постъпленията нарастват с 2 639,7 млн. лв. спрямо отчетените към септември 2022 г. </w:t>
      </w:r>
      <w:r w:rsidRPr="00AA3F66">
        <w:rPr>
          <w:rFonts w:eastAsia="Batang" w:cs="Times New Roman"/>
          <w:bCs/>
          <w:sz w:val="20"/>
          <w:szCs w:val="20"/>
        </w:rPr>
        <w:t xml:space="preserve"> </w:t>
      </w:r>
    </w:p>
    <w:p w:rsidR="00C806B9" w:rsidRPr="00AA3F66" w:rsidRDefault="00C806B9" w:rsidP="00C806B9">
      <w:pPr>
        <w:autoSpaceDE w:val="0"/>
        <w:autoSpaceDN w:val="0"/>
        <w:adjustRightInd w:val="0"/>
        <w:spacing w:after="120"/>
        <w:rPr>
          <w:rFonts w:eastAsia="Batang" w:cs="Times New Roman"/>
          <w:bCs/>
          <w:sz w:val="20"/>
          <w:szCs w:val="20"/>
        </w:rPr>
      </w:pPr>
      <w:r w:rsidRPr="00AA3F66">
        <w:rPr>
          <w:rFonts w:eastAsia="Batang" w:cs="Times New Roman"/>
          <w:b/>
          <w:bCs/>
          <w:i/>
          <w:sz w:val="20"/>
          <w:szCs w:val="20"/>
        </w:rPr>
        <w:t>Данъчните постъпления</w:t>
      </w:r>
      <w:r w:rsidRPr="00AA3F66">
        <w:rPr>
          <w:rFonts w:eastAsia="Batang" w:cs="Times New Roman"/>
          <w:bCs/>
          <w:sz w:val="20"/>
          <w:szCs w:val="20"/>
        </w:rPr>
        <w:t xml:space="preserve"> (вкл. приходите от осигурителни вноски) са в размер на </w:t>
      </w:r>
      <w:r w:rsidRPr="00AA3F66">
        <w:rPr>
          <w:rFonts w:eastAsia="Batang" w:cs="Times New Roman"/>
          <w:b/>
          <w:bCs/>
          <w:i/>
          <w:sz w:val="20"/>
          <w:szCs w:val="20"/>
        </w:rPr>
        <w:t>37 373,9 млн. лв.</w:t>
      </w:r>
      <w:r w:rsidR="00447757" w:rsidRPr="00AA3F66">
        <w:rPr>
          <w:rFonts w:eastAsia="Batang" w:cs="Times New Roman"/>
          <w:bCs/>
          <w:sz w:val="20"/>
          <w:szCs w:val="20"/>
        </w:rPr>
        <w:t>, което представлява 70,3</w:t>
      </w:r>
      <w:r w:rsidRPr="00AA3F66">
        <w:rPr>
          <w:rFonts w:eastAsia="Batang" w:cs="Times New Roman"/>
          <w:bCs/>
          <w:sz w:val="20"/>
          <w:szCs w:val="20"/>
        </w:rPr>
        <w:t>% от разчетените за годината. Постъпленията от данъци и осигурителни вноски на</w:t>
      </w:r>
      <w:r w:rsidR="00447757" w:rsidRPr="00AA3F66">
        <w:rPr>
          <w:rFonts w:eastAsia="Batang" w:cs="Times New Roman"/>
          <w:bCs/>
          <w:sz w:val="20"/>
          <w:szCs w:val="20"/>
        </w:rPr>
        <w:t>растват с 3 377,6 млн. лв. (9,9</w:t>
      </w:r>
      <w:r w:rsidRPr="00AA3F66">
        <w:rPr>
          <w:rFonts w:eastAsia="Batang" w:cs="Times New Roman"/>
          <w:bCs/>
          <w:sz w:val="20"/>
          <w:szCs w:val="20"/>
        </w:rPr>
        <w:t>%) спрямо отчетените за същия период на предход</w:t>
      </w:r>
      <w:r w:rsidR="00447757" w:rsidRPr="00AA3F66">
        <w:rPr>
          <w:rFonts w:eastAsia="Batang" w:cs="Times New Roman"/>
          <w:bCs/>
          <w:sz w:val="20"/>
          <w:szCs w:val="20"/>
        </w:rPr>
        <w:t>ната година, като формират 78,5</w:t>
      </w:r>
      <w:r w:rsidRPr="00AA3F66">
        <w:rPr>
          <w:rFonts w:eastAsia="Batang" w:cs="Times New Roman"/>
          <w:bCs/>
          <w:sz w:val="20"/>
          <w:szCs w:val="20"/>
        </w:rPr>
        <w:t>% от общите постъпления по КФП за периода. В частта на данъчните приходи по КФП постъпленията от преки данъци, социално и здравно осигурителни вноски и други данъци</w:t>
      </w:r>
      <w:r w:rsidRPr="00AA3F66">
        <w:rPr>
          <w:rFonts w:eastAsia="Batang" w:cs="Times New Roman"/>
          <w:bCs/>
          <w:sz w:val="20"/>
          <w:szCs w:val="20"/>
          <w:vertAlign w:val="superscript"/>
        </w:rPr>
        <w:footnoteReference w:id="59"/>
      </w:r>
      <w:r w:rsidRPr="00AA3F66">
        <w:rPr>
          <w:rFonts w:eastAsia="Batang" w:cs="Times New Roman"/>
          <w:bCs/>
          <w:sz w:val="20"/>
          <w:szCs w:val="20"/>
        </w:rPr>
        <w:t xml:space="preserve"> нарастват с добри темпове, а косвените данъци са близки по размер до отчетените за същия период на предходната година. През септември се отчита известно подобрение при косвените данъци, за което основен принос имат приходите от ДДС от ВОП и приходите от акцизи. Върху приходите от ДДС от внос продължават да оказват влияние цената на суровия петрол, внесен за преработка, курсът на щатския долар, както и количествата на внесените стоки, пораждащи ДДС, в т.ч. на суровия петрол. </w:t>
      </w:r>
    </w:p>
    <w:p w:rsidR="00C806B9" w:rsidRPr="00AA3F66" w:rsidRDefault="00C806B9" w:rsidP="00447757">
      <w:pPr>
        <w:autoSpaceDE w:val="0"/>
        <w:autoSpaceDN w:val="0"/>
        <w:adjustRightInd w:val="0"/>
        <w:spacing w:after="120"/>
        <w:rPr>
          <w:rFonts w:eastAsia="Batang" w:cs="Times New Roman"/>
          <w:bCs/>
          <w:sz w:val="20"/>
          <w:szCs w:val="20"/>
        </w:rPr>
      </w:pPr>
      <w:r w:rsidRPr="00AA3F66">
        <w:rPr>
          <w:rFonts w:eastAsia="Batang" w:cs="Times New Roman"/>
          <w:bCs/>
          <w:sz w:val="20"/>
          <w:szCs w:val="20"/>
        </w:rPr>
        <w:t xml:space="preserve">Постъпленията в групата на </w:t>
      </w:r>
      <w:r w:rsidRPr="00AA3F66">
        <w:rPr>
          <w:rFonts w:eastAsia="Batang" w:cs="Times New Roman"/>
          <w:bCs/>
          <w:i/>
          <w:sz w:val="20"/>
          <w:szCs w:val="20"/>
        </w:rPr>
        <w:t>преките данъци</w:t>
      </w:r>
      <w:r w:rsidRPr="00AA3F66">
        <w:rPr>
          <w:rFonts w:eastAsia="Batang" w:cs="Times New Roman"/>
          <w:bCs/>
          <w:sz w:val="20"/>
          <w:szCs w:val="20"/>
        </w:rPr>
        <w:t xml:space="preserve"> са в размер на 7 401,8 млн. лв., което представлява 63,7% от разчета за 2023 г., като нарастват с 1 032,4 млн. лв. (16,2%) спрямо отчетените към септември 2022 г. Повишението се дължи на по-високите постъпления от ДДФЛ (ръст от 616,4 млн. лв.</w:t>
      </w:r>
      <w:r w:rsidR="00447757" w:rsidRPr="00AA3F66">
        <w:rPr>
          <w:rFonts w:eastAsia="Batang" w:cs="Times New Roman"/>
          <w:bCs/>
          <w:sz w:val="20"/>
          <w:szCs w:val="20"/>
        </w:rPr>
        <w:t>, 15,9</w:t>
      </w:r>
      <w:r w:rsidRPr="00AA3F66">
        <w:rPr>
          <w:rFonts w:eastAsia="Batang" w:cs="Times New Roman"/>
          <w:bCs/>
          <w:sz w:val="20"/>
          <w:szCs w:val="20"/>
        </w:rPr>
        <w:t>% на годишна база) и корпоративен данък (ръст от 424,3 млн. лв.</w:t>
      </w:r>
      <w:r w:rsidR="00447757" w:rsidRPr="00AA3F66">
        <w:rPr>
          <w:rFonts w:eastAsia="Batang" w:cs="Times New Roman"/>
          <w:bCs/>
          <w:sz w:val="20"/>
          <w:szCs w:val="20"/>
        </w:rPr>
        <w:t>, 17,5</w:t>
      </w:r>
      <w:r w:rsidRPr="00AA3F66">
        <w:rPr>
          <w:rFonts w:eastAsia="Batang" w:cs="Times New Roman"/>
          <w:bCs/>
          <w:sz w:val="20"/>
          <w:szCs w:val="20"/>
        </w:rPr>
        <w:t>% на годишна база).</w:t>
      </w:r>
    </w:p>
    <w:p w:rsidR="00C806B9" w:rsidRPr="00AA3F66" w:rsidRDefault="00C806B9" w:rsidP="00447757">
      <w:pPr>
        <w:autoSpaceDE w:val="0"/>
        <w:autoSpaceDN w:val="0"/>
        <w:adjustRightInd w:val="0"/>
        <w:spacing w:after="120"/>
        <w:rPr>
          <w:rFonts w:eastAsia="Batang" w:cs="Times New Roman"/>
          <w:bCs/>
          <w:sz w:val="20"/>
          <w:szCs w:val="20"/>
        </w:rPr>
      </w:pPr>
      <w:r w:rsidRPr="00AA3F66">
        <w:rPr>
          <w:rFonts w:eastAsia="Batang" w:cs="Times New Roman"/>
          <w:bCs/>
          <w:sz w:val="20"/>
          <w:szCs w:val="20"/>
        </w:rPr>
        <w:t xml:space="preserve">Отчетените приходи от </w:t>
      </w:r>
      <w:r w:rsidRPr="00AA3F66">
        <w:rPr>
          <w:rFonts w:eastAsia="Batang" w:cs="Times New Roman"/>
          <w:bCs/>
          <w:i/>
          <w:sz w:val="20"/>
          <w:szCs w:val="20"/>
        </w:rPr>
        <w:t>осигурителни вноски</w:t>
      </w:r>
      <w:r w:rsidRPr="00AA3F66">
        <w:rPr>
          <w:rFonts w:eastAsia="Batang" w:cs="Times New Roman"/>
          <w:bCs/>
          <w:sz w:val="20"/>
          <w:szCs w:val="20"/>
        </w:rPr>
        <w:t xml:space="preserve"> на общественото и здравно осигуряване към 30.09.2023 г. са в размер на 11 383,3 млн. лв., или 73,6% от разчета за 2023 г., като нарастват с 1 411,1 млн. лв. (14,2%) спрямо отчетените за същия период на 2022 година.</w:t>
      </w:r>
    </w:p>
    <w:p w:rsidR="00C806B9" w:rsidRPr="00AA3F66" w:rsidRDefault="00C806B9" w:rsidP="00447757">
      <w:pPr>
        <w:autoSpaceDE w:val="0"/>
        <w:autoSpaceDN w:val="0"/>
        <w:adjustRightInd w:val="0"/>
        <w:spacing w:after="120"/>
        <w:rPr>
          <w:rFonts w:cs="Times New Roman"/>
          <w:sz w:val="20"/>
          <w:szCs w:val="20"/>
        </w:rPr>
      </w:pPr>
      <w:r w:rsidRPr="00AA3F66">
        <w:rPr>
          <w:rFonts w:eastAsia="Batang" w:cs="Times New Roman"/>
          <w:bCs/>
          <w:sz w:val="20"/>
          <w:szCs w:val="20"/>
        </w:rPr>
        <w:t xml:space="preserve">Постъпленията от </w:t>
      </w:r>
      <w:r w:rsidRPr="00AA3F66">
        <w:rPr>
          <w:rFonts w:eastAsia="Batang" w:cs="Times New Roman"/>
          <w:bCs/>
          <w:i/>
          <w:sz w:val="20"/>
          <w:szCs w:val="20"/>
        </w:rPr>
        <w:t>косвени</w:t>
      </w:r>
      <w:r w:rsidRPr="00AA3F66">
        <w:rPr>
          <w:rFonts w:eastAsia="Batang" w:cs="Times New Roman"/>
          <w:bCs/>
          <w:sz w:val="20"/>
          <w:szCs w:val="20"/>
        </w:rPr>
        <w:t xml:space="preserve"> </w:t>
      </w:r>
      <w:r w:rsidRPr="00AA3F66">
        <w:rPr>
          <w:rFonts w:eastAsia="Batang" w:cs="Times New Roman"/>
          <w:bCs/>
          <w:i/>
          <w:sz w:val="20"/>
          <w:szCs w:val="20"/>
        </w:rPr>
        <w:t>данъци</w:t>
      </w:r>
      <w:r w:rsidRPr="00AA3F66">
        <w:rPr>
          <w:rFonts w:eastAsia="Batang" w:cs="Times New Roman"/>
          <w:bCs/>
          <w:sz w:val="20"/>
          <w:szCs w:val="20"/>
        </w:rPr>
        <w:t xml:space="preserve"> са в размер на 16 452,3 млн. лв., което представлява 70,3% от предвидените в ЗДБРБ за 2023 г. Съпоставено със същия период на 2022 г., постъпленията </w:t>
      </w:r>
      <w:r w:rsidR="006A2D3A" w:rsidRPr="00AA3F66">
        <w:rPr>
          <w:rFonts w:eastAsia="Batang" w:cs="Times New Roman"/>
          <w:bCs/>
          <w:sz w:val="20"/>
          <w:szCs w:val="20"/>
        </w:rPr>
        <w:t xml:space="preserve">са </w:t>
      </w:r>
      <w:r w:rsidRPr="00AA3F66">
        <w:rPr>
          <w:rFonts w:eastAsia="Batang" w:cs="Times New Roman"/>
          <w:bCs/>
          <w:sz w:val="20"/>
          <w:szCs w:val="20"/>
        </w:rPr>
        <w:t xml:space="preserve">близки по размер. </w:t>
      </w:r>
    </w:p>
    <w:p w:rsidR="00C806B9" w:rsidRPr="00AA3F66" w:rsidRDefault="00C806B9" w:rsidP="00447757">
      <w:pPr>
        <w:autoSpaceDE w:val="0"/>
        <w:autoSpaceDN w:val="0"/>
        <w:adjustRightInd w:val="0"/>
        <w:spacing w:after="120"/>
        <w:rPr>
          <w:rFonts w:eastAsia="Batang" w:cs="Times New Roman"/>
          <w:bCs/>
          <w:sz w:val="20"/>
          <w:szCs w:val="20"/>
        </w:rPr>
      </w:pPr>
      <w:r w:rsidRPr="00AA3F66">
        <w:rPr>
          <w:rFonts w:eastAsia="Batang" w:cs="Times New Roman"/>
          <w:bCs/>
          <w:sz w:val="20"/>
          <w:szCs w:val="20"/>
        </w:rPr>
        <w:t>Приходите от ДДС са в размер на 11 607,8 мл</w:t>
      </w:r>
      <w:r w:rsidR="00447757" w:rsidRPr="00AA3F66">
        <w:rPr>
          <w:rFonts w:eastAsia="Batang" w:cs="Times New Roman"/>
          <w:bCs/>
          <w:sz w:val="20"/>
          <w:szCs w:val="20"/>
        </w:rPr>
        <w:t>н. лв., което представлява 68,3</w:t>
      </w:r>
      <w:r w:rsidRPr="00AA3F66">
        <w:rPr>
          <w:rFonts w:eastAsia="Batang" w:cs="Times New Roman"/>
          <w:bCs/>
          <w:sz w:val="20"/>
          <w:szCs w:val="20"/>
        </w:rPr>
        <w:t>% от планираните със ЗДБРБ за 2023 година. Съпоставени с края на септември 2022 г., приходите от ДДС намаляват със 145,3 млн. лв. (</w:t>
      </w:r>
      <w:r w:rsidR="00447757" w:rsidRPr="00AA3F66">
        <w:rPr>
          <w:rFonts w:eastAsia="Batang" w:cs="Times New Roman"/>
          <w:bCs/>
          <w:sz w:val="20"/>
          <w:szCs w:val="20"/>
        </w:rPr>
        <w:t>1,2</w:t>
      </w:r>
      <w:r w:rsidRPr="00AA3F66">
        <w:rPr>
          <w:rFonts w:eastAsia="Batang" w:cs="Times New Roman"/>
          <w:bCs/>
          <w:sz w:val="20"/>
          <w:szCs w:val="20"/>
        </w:rPr>
        <w:t xml:space="preserve">%), в резултат на по-ниските постъпления от ДДС при внос.  </w:t>
      </w:r>
    </w:p>
    <w:p w:rsidR="00C806B9" w:rsidRPr="00AA3F66" w:rsidRDefault="00C806B9" w:rsidP="00447757">
      <w:pPr>
        <w:autoSpaceDE w:val="0"/>
        <w:autoSpaceDN w:val="0"/>
        <w:adjustRightInd w:val="0"/>
        <w:spacing w:after="120"/>
        <w:rPr>
          <w:rFonts w:eastAsia="Batang" w:cs="Times New Roman"/>
          <w:bCs/>
          <w:sz w:val="20"/>
          <w:szCs w:val="20"/>
        </w:rPr>
      </w:pPr>
      <w:r w:rsidRPr="00AA3F66">
        <w:rPr>
          <w:rFonts w:eastAsia="Batang" w:cs="Times New Roman"/>
          <w:bCs/>
          <w:sz w:val="20"/>
          <w:szCs w:val="20"/>
        </w:rPr>
        <w:t xml:space="preserve">Нетният размер на приходите от </w:t>
      </w:r>
      <w:r w:rsidRPr="00AA3F66">
        <w:rPr>
          <w:rFonts w:eastAsia="Batang" w:cs="Times New Roman"/>
          <w:bCs/>
          <w:i/>
          <w:sz w:val="20"/>
          <w:szCs w:val="20"/>
        </w:rPr>
        <w:t>ДДС от внос</w:t>
      </w:r>
      <w:r w:rsidRPr="00AA3F66">
        <w:rPr>
          <w:rFonts w:eastAsia="Batang" w:cs="Times New Roman"/>
          <w:bCs/>
          <w:sz w:val="20"/>
          <w:szCs w:val="20"/>
        </w:rPr>
        <w:t xml:space="preserve"> към септември 2023 г. е 4 466,6 млн. </w:t>
      </w:r>
      <w:r w:rsidR="00447757" w:rsidRPr="00AA3F66">
        <w:rPr>
          <w:rFonts w:eastAsia="Batang" w:cs="Times New Roman"/>
          <w:bCs/>
          <w:sz w:val="20"/>
          <w:szCs w:val="20"/>
        </w:rPr>
        <w:t>лв., като намаляват с 16,1</w:t>
      </w:r>
      <w:r w:rsidRPr="00AA3F66">
        <w:rPr>
          <w:rFonts w:eastAsia="Batang" w:cs="Times New Roman"/>
          <w:bCs/>
          <w:sz w:val="20"/>
          <w:szCs w:val="20"/>
        </w:rPr>
        <w:t xml:space="preserve">% (858,9 млн. лв.) спрямо същия период на предходната година. Влияние върху динамиката на приходите от ДДС при внос през периода оказват и средните борсови цени (в долари) на суровините, които формират основна част от вноса от трети страни. Разглеждайки декларирания ДДС при внос по групи стоки, съобразно Класификатора на широките икономически категории (BEC), през изминалите месеци на 2023 г. се наблюдава понижение при всички групи стоки. Освен това, върху постъпленията от ДДС от внос влияние оказва и възможността </w:t>
      </w:r>
      <w:r w:rsidRPr="00AA3F66">
        <w:rPr>
          <w:rFonts w:eastAsia="Batang" w:cs="Times New Roman"/>
          <w:bCs/>
          <w:iCs/>
          <w:sz w:val="20"/>
          <w:szCs w:val="20"/>
        </w:rPr>
        <w:t>за отложено начисляване на ДДС от вносител при внос на стоки от трети страни, в съответствие с разпоредбата на чл. 167а от Закона за данък върху добавената стойност.</w:t>
      </w:r>
      <w:r w:rsidRPr="00AA3F66">
        <w:rPr>
          <w:rFonts w:eastAsia="Batang" w:cs="Times New Roman"/>
          <w:bCs/>
          <w:sz w:val="20"/>
          <w:szCs w:val="20"/>
        </w:rPr>
        <w:t xml:space="preserve"> Ефектът от прилагането на този режим към края на месец септември 2023 г. е неначислен ДДС при внос в размер на 962,3 млн. лв., което е с 305,3 млн. лв. по-малко спрямо 2022 г., като се регистрира спад от 24,1%. Стоките с най-значителен дял са: руди, шлаки и пепели – 536,0 млн. лв. (нам</w:t>
      </w:r>
      <w:r w:rsidR="00447757" w:rsidRPr="00AA3F66">
        <w:rPr>
          <w:rFonts w:eastAsia="Batang" w:cs="Times New Roman"/>
          <w:bCs/>
          <w:sz w:val="20"/>
          <w:szCs w:val="20"/>
        </w:rPr>
        <w:t>аление със 150,5 млн. лв., 21,9</w:t>
      </w:r>
      <w:r w:rsidRPr="00AA3F66">
        <w:rPr>
          <w:rFonts w:eastAsia="Batang" w:cs="Times New Roman"/>
          <w:bCs/>
          <w:sz w:val="20"/>
          <w:szCs w:val="20"/>
        </w:rPr>
        <w:t xml:space="preserve">%), мед и изделия от мед – 185,7 млн. лв. </w:t>
      </w:r>
      <w:r w:rsidR="00447757" w:rsidRPr="00AA3F66">
        <w:rPr>
          <w:rFonts w:eastAsia="Batang" w:cs="Times New Roman"/>
          <w:bCs/>
          <w:sz w:val="20"/>
          <w:szCs w:val="20"/>
        </w:rPr>
        <w:t>(намаление с 16,7 млн. лв., 8,3</w:t>
      </w:r>
      <w:r w:rsidRPr="00AA3F66">
        <w:rPr>
          <w:rFonts w:eastAsia="Batang" w:cs="Times New Roman"/>
          <w:bCs/>
          <w:sz w:val="20"/>
          <w:szCs w:val="20"/>
        </w:rPr>
        <w:t>%) и чугун, желязо и стомана – 103,7 млн. лв. (намаление с 61,2 млн. лв., 37,</w:t>
      </w:r>
      <w:r w:rsidR="00447757" w:rsidRPr="00AA3F66">
        <w:rPr>
          <w:rFonts w:eastAsia="Batang" w:cs="Times New Roman"/>
          <w:bCs/>
          <w:sz w:val="20"/>
          <w:szCs w:val="20"/>
        </w:rPr>
        <w:t>1</w:t>
      </w:r>
      <w:r w:rsidRPr="00AA3F66">
        <w:rPr>
          <w:rFonts w:eastAsia="Batang" w:cs="Times New Roman"/>
          <w:bCs/>
          <w:sz w:val="20"/>
          <w:szCs w:val="20"/>
        </w:rPr>
        <w:t xml:space="preserve">%). </w:t>
      </w:r>
    </w:p>
    <w:p w:rsidR="00C806B9" w:rsidRPr="00AA3F66" w:rsidRDefault="00C806B9" w:rsidP="00447757">
      <w:pPr>
        <w:autoSpaceDE w:val="0"/>
        <w:autoSpaceDN w:val="0"/>
        <w:adjustRightInd w:val="0"/>
        <w:spacing w:after="120"/>
        <w:rPr>
          <w:rFonts w:eastAsia="Batang" w:cs="Times New Roman"/>
          <w:bCs/>
          <w:sz w:val="20"/>
          <w:szCs w:val="20"/>
        </w:rPr>
      </w:pPr>
      <w:r w:rsidRPr="00AA3F66">
        <w:rPr>
          <w:rFonts w:eastAsia="Batang" w:cs="Times New Roman"/>
          <w:bCs/>
          <w:sz w:val="20"/>
          <w:szCs w:val="20"/>
        </w:rPr>
        <w:t>Постъпленията от</w:t>
      </w:r>
      <w:r w:rsidRPr="00AA3F66">
        <w:rPr>
          <w:rFonts w:eastAsia="Batang" w:cs="Times New Roman"/>
          <w:bCs/>
          <w:i/>
          <w:sz w:val="20"/>
          <w:szCs w:val="20"/>
        </w:rPr>
        <w:t xml:space="preserve"> ДДС при сделки в страната (нето)</w:t>
      </w:r>
      <w:r w:rsidRPr="00AA3F66">
        <w:rPr>
          <w:rFonts w:eastAsia="Batang" w:cs="Times New Roman"/>
          <w:bCs/>
          <w:sz w:val="20"/>
          <w:szCs w:val="20"/>
        </w:rPr>
        <w:t xml:space="preserve"> към септември 2023 г. възлизат на 7 141,2 млн. лева. Сравнени с данните за същия период на предходната година</w:t>
      </w:r>
      <w:r w:rsidR="00447757" w:rsidRPr="00AA3F66">
        <w:rPr>
          <w:rFonts w:eastAsia="Batang" w:cs="Times New Roman"/>
          <w:bCs/>
          <w:sz w:val="20"/>
          <w:szCs w:val="20"/>
        </w:rPr>
        <w:t xml:space="preserve"> постъпленията нарастват с 11,1</w:t>
      </w:r>
      <w:r w:rsidRPr="00AA3F66">
        <w:rPr>
          <w:rFonts w:eastAsia="Batang" w:cs="Times New Roman"/>
          <w:bCs/>
          <w:sz w:val="20"/>
          <w:szCs w:val="20"/>
        </w:rPr>
        <w:t xml:space="preserve">% (713,6 млн. лв.). </w:t>
      </w:r>
    </w:p>
    <w:p w:rsidR="00C806B9" w:rsidRPr="00AA3F66" w:rsidRDefault="00C806B9" w:rsidP="00447757">
      <w:pPr>
        <w:autoSpaceDE w:val="0"/>
        <w:autoSpaceDN w:val="0"/>
        <w:adjustRightInd w:val="0"/>
        <w:spacing w:after="120"/>
        <w:rPr>
          <w:rFonts w:eastAsia="Batang" w:cs="Times New Roman"/>
          <w:bCs/>
          <w:sz w:val="20"/>
          <w:szCs w:val="20"/>
        </w:rPr>
      </w:pPr>
      <w:r w:rsidRPr="00AA3F66">
        <w:rPr>
          <w:rFonts w:eastAsia="Batang" w:cs="Times New Roman"/>
          <w:bCs/>
          <w:sz w:val="20"/>
          <w:szCs w:val="20"/>
        </w:rPr>
        <w:t xml:space="preserve">Приходите от акцизи за периода са в размер на </w:t>
      </w:r>
      <w:r w:rsidR="00447757" w:rsidRPr="00AA3F66">
        <w:rPr>
          <w:rFonts w:eastAsia="Batang" w:cs="Times New Roman"/>
          <w:bCs/>
          <w:sz w:val="20"/>
          <w:szCs w:val="20"/>
        </w:rPr>
        <w:t>4 552,6 млн. лв., което е 76,7</w:t>
      </w:r>
      <w:r w:rsidRPr="00AA3F66">
        <w:rPr>
          <w:rFonts w:eastAsia="Batang" w:cs="Times New Roman"/>
          <w:bCs/>
          <w:sz w:val="20"/>
          <w:szCs w:val="20"/>
        </w:rPr>
        <w:t xml:space="preserve">% от планираните със ЗДБРБ за 2023 г. Съпоставени със същия период на предходната година приходите от акцизи нарастват </w:t>
      </w:r>
      <w:r w:rsidR="00447757" w:rsidRPr="00AA3F66">
        <w:rPr>
          <w:rFonts w:eastAsia="Batang" w:cs="Times New Roman"/>
          <w:bCs/>
          <w:sz w:val="20"/>
          <w:szCs w:val="20"/>
        </w:rPr>
        <w:t>номинално с 244,9 млн. лв. (5,7</w:t>
      </w:r>
      <w:r w:rsidRPr="00AA3F66">
        <w:rPr>
          <w:rFonts w:eastAsia="Batang" w:cs="Times New Roman"/>
          <w:bCs/>
          <w:sz w:val="20"/>
          <w:szCs w:val="20"/>
        </w:rPr>
        <w:t xml:space="preserve">%). </w:t>
      </w:r>
    </w:p>
    <w:p w:rsidR="00C806B9" w:rsidRPr="00AA3F66" w:rsidRDefault="00C806B9" w:rsidP="00447757">
      <w:pPr>
        <w:autoSpaceDE w:val="0"/>
        <w:autoSpaceDN w:val="0"/>
        <w:adjustRightInd w:val="0"/>
        <w:spacing w:after="120"/>
        <w:rPr>
          <w:rFonts w:eastAsia="Batang" w:cs="Times New Roman"/>
          <w:bCs/>
          <w:color w:val="FE8637" w:themeColor="accent1"/>
          <w:sz w:val="20"/>
          <w:szCs w:val="20"/>
        </w:rPr>
      </w:pPr>
      <w:r w:rsidRPr="00AA3F66">
        <w:rPr>
          <w:rFonts w:eastAsia="Batang" w:cs="Times New Roman"/>
          <w:bCs/>
          <w:sz w:val="20"/>
          <w:szCs w:val="20"/>
        </w:rPr>
        <w:t>Митата и постъпленията от данъка върху застрахователните премии са в размер на 291,8 млн. лв. и отчитат намаление спрямо същия период на 2022 г., основно в частта на митата. Влияние върху спада в приходите от мита имат въведените от ЕС ограничителни мерки спрямо Русия в съответствие с Регламент (ЕС) № 833/2014  и неговите последващи изменения и допълнения. Друг фактор върху намалените постъпления от мита има въведения</w:t>
      </w:r>
      <w:r w:rsidR="006A2D3A" w:rsidRPr="00AA3F66">
        <w:rPr>
          <w:rFonts w:eastAsia="Batang" w:cs="Times New Roman"/>
          <w:bCs/>
          <w:sz w:val="20"/>
          <w:szCs w:val="20"/>
        </w:rPr>
        <w:t>т</w:t>
      </w:r>
      <w:r w:rsidRPr="00AA3F66">
        <w:rPr>
          <w:rFonts w:eastAsia="Batang" w:cs="Times New Roman"/>
          <w:bCs/>
          <w:sz w:val="20"/>
          <w:szCs w:val="20"/>
        </w:rPr>
        <w:t xml:space="preserve"> с Регламент (ЕС) 2022/870 на ЕП и Съвета от 30 май 2022 г. преференциален режим спрямо Украйна под формата на пълно премахване на вносните мита върху вноса на промишлени продукти от страната, спиране на прилагането на механизма на „входните цени“ по отношение на плодовете и зеленчуците, спиране на прилагането на тарифните квоти и пълно премахване на вносните мита, и други.</w:t>
      </w:r>
    </w:p>
    <w:p w:rsidR="00C806B9" w:rsidRPr="00AA3F66" w:rsidRDefault="00C806B9" w:rsidP="00447757">
      <w:pPr>
        <w:autoSpaceDE w:val="0"/>
        <w:autoSpaceDN w:val="0"/>
        <w:adjustRightInd w:val="0"/>
        <w:spacing w:after="120"/>
        <w:rPr>
          <w:rFonts w:eastAsia="Batang" w:cs="Times New Roman"/>
          <w:bCs/>
          <w:sz w:val="20"/>
          <w:szCs w:val="20"/>
        </w:rPr>
      </w:pPr>
      <w:r w:rsidRPr="00AA3F66">
        <w:rPr>
          <w:rFonts w:eastAsia="Batang" w:cs="Times New Roman"/>
          <w:bCs/>
          <w:sz w:val="20"/>
          <w:szCs w:val="20"/>
        </w:rPr>
        <w:t xml:space="preserve">Постъпленията от </w:t>
      </w:r>
      <w:r w:rsidRPr="00AA3F66">
        <w:rPr>
          <w:rFonts w:eastAsia="Batang" w:cs="Times New Roman"/>
          <w:bCs/>
          <w:i/>
          <w:sz w:val="20"/>
          <w:szCs w:val="20"/>
        </w:rPr>
        <w:t>други данъци</w:t>
      </w:r>
      <w:r w:rsidRPr="00AA3F66">
        <w:rPr>
          <w:rFonts w:eastAsia="Batang" w:cs="Times New Roman"/>
          <w:bCs/>
          <w:sz w:val="20"/>
          <w:szCs w:val="20"/>
        </w:rPr>
        <w:t xml:space="preserve"> (включват други данъци по ЗКПО, имуществени и др. данъци) са в размер на 2 136,4 млн. лв. (в т. ч. 802,8 м</w:t>
      </w:r>
      <w:r w:rsidR="00447757" w:rsidRPr="00AA3F66">
        <w:rPr>
          <w:rFonts w:eastAsia="Batang" w:cs="Times New Roman"/>
          <w:bCs/>
          <w:sz w:val="20"/>
          <w:szCs w:val="20"/>
        </w:rPr>
        <w:t>лн. лв. целеви вноски във Фонд „</w:t>
      </w:r>
      <w:r w:rsidRPr="00AA3F66">
        <w:rPr>
          <w:rFonts w:eastAsia="Batang" w:cs="Times New Roman"/>
          <w:bCs/>
          <w:sz w:val="20"/>
          <w:szCs w:val="20"/>
        </w:rPr>
        <w:t>Сигурност на електроенергийната сис</w:t>
      </w:r>
      <w:r w:rsidR="00447757" w:rsidRPr="00AA3F66">
        <w:rPr>
          <w:rFonts w:eastAsia="Batang" w:cs="Times New Roman"/>
          <w:bCs/>
          <w:sz w:val="20"/>
          <w:szCs w:val="20"/>
        </w:rPr>
        <w:t>тема“), което представлява 80,2</w:t>
      </w:r>
      <w:r w:rsidRPr="00AA3F66">
        <w:rPr>
          <w:rFonts w:eastAsia="Batang" w:cs="Times New Roman"/>
          <w:bCs/>
          <w:sz w:val="20"/>
          <w:szCs w:val="20"/>
        </w:rPr>
        <w:t>% от годишния разчет.</w:t>
      </w:r>
    </w:p>
    <w:p w:rsidR="00C806B9" w:rsidRPr="00AA3F66" w:rsidRDefault="00C806B9" w:rsidP="00447757">
      <w:pPr>
        <w:autoSpaceDE w:val="0"/>
        <w:autoSpaceDN w:val="0"/>
        <w:adjustRightInd w:val="0"/>
        <w:spacing w:after="120"/>
        <w:rPr>
          <w:rFonts w:eastAsia="Batang" w:cs="Times New Roman"/>
          <w:bCs/>
          <w:sz w:val="20"/>
          <w:szCs w:val="20"/>
        </w:rPr>
      </w:pPr>
      <w:r w:rsidRPr="00AA3F66">
        <w:rPr>
          <w:rFonts w:eastAsia="Batang" w:cs="Times New Roman"/>
          <w:b/>
          <w:bCs/>
          <w:i/>
          <w:sz w:val="20"/>
          <w:szCs w:val="20"/>
        </w:rPr>
        <w:t>Неданъчните постъпления</w:t>
      </w:r>
      <w:r w:rsidRPr="00AA3F66">
        <w:rPr>
          <w:rFonts w:eastAsia="Times New Roman" w:cs="Times New Roman"/>
          <w:b/>
          <w:bCs/>
          <w:i/>
          <w:iCs/>
          <w:sz w:val="20"/>
          <w:szCs w:val="20"/>
          <w:vertAlign w:val="superscript"/>
        </w:rPr>
        <w:footnoteReference w:id="60"/>
      </w:r>
      <w:r w:rsidRPr="00AA3F66">
        <w:rPr>
          <w:rFonts w:eastAsia="Times New Roman" w:cs="Times New Roman"/>
          <w:b/>
          <w:bCs/>
          <w:iCs/>
          <w:sz w:val="20"/>
          <w:szCs w:val="20"/>
        </w:rPr>
        <w:t xml:space="preserve"> </w:t>
      </w:r>
      <w:r w:rsidRPr="00AA3F66">
        <w:rPr>
          <w:rFonts w:eastAsia="Times New Roman" w:cs="Times New Roman"/>
          <w:sz w:val="20"/>
          <w:szCs w:val="20"/>
        </w:rPr>
        <w:t xml:space="preserve">са в размер на </w:t>
      </w:r>
      <w:r w:rsidRPr="00AA3F66">
        <w:rPr>
          <w:rFonts w:eastAsia="Times New Roman" w:cs="Times New Roman"/>
          <w:b/>
          <w:i/>
          <w:sz w:val="20"/>
          <w:szCs w:val="20"/>
        </w:rPr>
        <w:t xml:space="preserve">8 567,7 </w:t>
      </w:r>
      <w:r w:rsidRPr="00AA3F66">
        <w:rPr>
          <w:rFonts w:eastAsia="Times New Roman" w:cs="Times New Roman"/>
          <w:b/>
          <w:bCs/>
          <w:i/>
          <w:sz w:val="20"/>
          <w:szCs w:val="20"/>
        </w:rPr>
        <w:t xml:space="preserve">млн. лв., </w:t>
      </w:r>
      <w:r w:rsidRPr="00AA3F66">
        <w:rPr>
          <w:rFonts w:eastAsia="Times New Roman" w:cs="Times New Roman"/>
          <w:sz w:val="20"/>
          <w:szCs w:val="20"/>
        </w:rPr>
        <w:t>което представлява</w:t>
      </w:r>
      <w:r w:rsidRPr="00AA3F66">
        <w:rPr>
          <w:rFonts w:eastAsia="Times New Roman" w:cs="Times New Roman"/>
          <w:i/>
          <w:sz w:val="20"/>
          <w:szCs w:val="20"/>
        </w:rPr>
        <w:t xml:space="preserve"> </w:t>
      </w:r>
      <w:r w:rsidR="00447757" w:rsidRPr="00AA3F66">
        <w:rPr>
          <w:rFonts w:eastAsia="Times New Roman" w:cs="Times New Roman"/>
          <w:sz w:val="20"/>
          <w:szCs w:val="20"/>
        </w:rPr>
        <w:t>76,8</w:t>
      </w:r>
      <w:r w:rsidRPr="00AA3F66">
        <w:rPr>
          <w:rFonts w:eastAsia="Times New Roman" w:cs="Times New Roman"/>
          <w:sz w:val="20"/>
          <w:szCs w:val="20"/>
        </w:rPr>
        <w:t>%</w:t>
      </w:r>
      <w:r w:rsidRPr="00AA3F66">
        <w:rPr>
          <w:rFonts w:eastAsia="Times New Roman" w:cs="Times New Roman"/>
          <w:b/>
          <w:i/>
          <w:sz w:val="20"/>
          <w:szCs w:val="20"/>
        </w:rPr>
        <w:t xml:space="preserve"> </w:t>
      </w:r>
      <w:r w:rsidRPr="00AA3F66">
        <w:rPr>
          <w:rFonts w:eastAsia="Times New Roman" w:cs="Times New Roman"/>
          <w:sz w:val="20"/>
          <w:szCs w:val="20"/>
        </w:rPr>
        <w:t>от</w:t>
      </w:r>
      <w:r w:rsidRPr="00AA3F66">
        <w:rPr>
          <w:rFonts w:eastAsia="Times New Roman" w:cs="Times New Roman"/>
          <w:b/>
          <w:i/>
          <w:sz w:val="20"/>
          <w:szCs w:val="20"/>
        </w:rPr>
        <w:t xml:space="preserve"> </w:t>
      </w:r>
      <w:r w:rsidRPr="00AA3F66">
        <w:rPr>
          <w:rFonts w:eastAsia="Times New Roman" w:cs="Times New Roman"/>
          <w:sz w:val="20"/>
          <w:szCs w:val="20"/>
        </w:rPr>
        <w:t>годишните разчети</w:t>
      </w:r>
      <w:r w:rsidRPr="00AA3F66">
        <w:rPr>
          <w:rFonts w:eastAsia="Calibri" w:cs="Times New Roman"/>
          <w:bCs/>
          <w:sz w:val="20"/>
          <w:szCs w:val="20"/>
        </w:rPr>
        <w:t xml:space="preserve"> и се формират основно от приходи от държавни, общински и съдебни такси, приходи и доходи от собственост, приходи от концесии, приходи от продажба на квоти за емисии на парникови газове и други</w:t>
      </w:r>
      <w:r w:rsidRPr="00AA3F66">
        <w:rPr>
          <w:rFonts w:eastAsia="Calibri" w:cs="Times New Roman"/>
          <w:sz w:val="20"/>
          <w:szCs w:val="20"/>
        </w:rPr>
        <w:t xml:space="preserve">. </w:t>
      </w:r>
      <w:r w:rsidRPr="00AA3F66">
        <w:rPr>
          <w:rFonts w:eastAsia="Calibri" w:cs="Times New Roman"/>
          <w:bCs/>
          <w:sz w:val="20"/>
          <w:szCs w:val="20"/>
        </w:rPr>
        <w:t>В частта на неданъчните приходи към края на септември 2023 г. са постъпили 1 546,9 млн. лв. приходи от дивидент за държавата от държавни предприятия</w:t>
      </w:r>
      <w:r w:rsidRPr="00AA3F66">
        <w:rPr>
          <w:rFonts w:eastAsia="Calibri" w:cs="Times New Roman"/>
          <w:sz w:val="20"/>
          <w:szCs w:val="20"/>
        </w:rPr>
        <w:t>.</w:t>
      </w:r>
      <w:r w:rsidRPr="00AA3F66">
        <w:rPr>
          <w:rFonts w:eastAsia="Batang" w:cs="Times New Roman"/>
          <w:bCs/>
          <w:sz w:val="20"/>
          <w:szCs w:val="20"/>
        </w:rPr>
        <w:t xml:space="preserve"> </w:t>
      </w:r>
    </w:p>
    <w:p w:rsidR="00C806B9" w:rsidRPr="00AA3F66" w:rsidRDefault="00C806B9" w:rsidP="00447757">
      <w:pPr>
        <w:autoSpaceDE w:val="0"/>
        <w:autoSpaceDN w:val="0"/>
        <w:adjustRightInd w:val="0"/>
        <w:spacing w:after="120"/>
        <w:rPr>
          <w:rFonts w:eastAsia="Batang" w:cs="Times New Roman"/>
          <w:bCs/>
          <w:sz w:val="20"/>
          <w:szCs w:val="20"/>
        </w:rPr>
      </w:pPr>
      <w:r w:rsidRPr="00AA3F66">
        <w:rPr>
          <w:rFonts w:eastAsia="Batang" w:cs="Times New Roman"/>
          <w:bCs/>
          <w:sz w:val="20"/>
          <w:szCs w:val="20"/>
        </w:rPr>
        <w:t xml:space="preserve">Постъпилите </w:t>
      </w:r>
      <w:r w:rsidRPr="00AA3F66">
        <w:rPr>
          <w:rFonts w:eastAsia="Batang" w:cs="Times New Roman"/>
          <w:b/>
          <w:bCs/>
          <w:i/>
          <w:sz w:val="20"/>
          <w:szCs w:val="20"/>
        </w:rPr>
        <w:t>помощи и дарения</w:t>
      </w:r>
      <w:r w:rsidRPr="00AA3F66">
        <w:rPr>
          <w:rFonts w:eastAsia="Batang" w:cs="Times New Roman"/>
          <w:bCs/>
          <w:sz w:val="20"/>
          <w:szCs w:val="20"/>
        </w:rPr>
        <w:t xml:space="preserve"> от страната и чужбина (вкл. помощите от фондовете на ЕС) към септември 2023 г. са в размер на 1 695,1 млн. лв., като съпоставени със същия период на 2022 г. намаляват с 450,2 млн. лева.</w:t>
      </w:r>
    </w:p>
    <w:p w:rsidR="00C806B9" w:rsidRPr="00AA3F66" w:rsidRDefault="00C806B9" w:rsidP="005E5FDF">
      <w:pPr>
        <w:autoSpaceDE w:val="0"/>
        <w:autoSpaceDN w:val="0"/>
        <w:adjustRightInd w:val="0"/>
        <w:spacing w:after="120"/>
        <w:rPr>
          <w:rFonts w:eastAsia="Batang" w:cs="Times New Roman"/>
          <w:bCs/>
          <w:sz w:val="20"/>
          <w:szCs w:val="20"/>
        </w:rPr>
      </w:pPr>
    </w:p>
    <w:p w:rsidR="002F2D29" w:rsidRPr="00AA3F66" w:rsidRDefault="002F2D29" w:rsidP="005E5FDF">
      <w:pPr>
        <w:autoSpaceDE w:val="0"/>
        <w:autoSpaceDN w:val="0"/>
        <w:adjustRightInd w:val="0"/>
        <w:spacing w:after="120"/>
        <w:rPr>
          <w:rFonts w:eastAsia="Batang" w:cs="Times New Roman"/>
          <w:bCs/>
          <w:sz w:val="20"/>
          <w:szCs w:val="20"/>
        </w:rPr>
      </w:pPr>
    </w:p>
    <w:p w:rsidR="002F2D29" w:rsidRPr="00AA3F66" w:rsidRDefault="002F2D29" w:rsidP="005E5FDF">
      <w:pPr>
        <w:autoSpaceDE w:val="0"/>
        <w:autoSpaceDN w:val="0"/>
        <w:adjustRightInd w:val="0"/>
        <w:spacing w:after="120"/>
        <w:rPr>
          <w:rFonts w:eastAsia="Batang" w:cs="Times New Roman"/>
          <w:bCs/>
          <w:sz w:val="20"/>
          <w:szCs w:val="20"/>
        </w:rPr>
      </w:pPr>
    </w:p>
    <w:p w:rsidR="002F2D29" w:rsidRPr="00AA3F66" w:rsidRDefault="002F2D29" w:rsidP="005E5FDF">
      <w:pPr>
        <w:autoSpaceDE w:val="0"/>
        <w:autoSpaceDN w:val="0"/>
        <w:adjustRightInd w:val="0"/>
        <w:spacing w:after="120"/>
        <w:rPr>
          <w:rFonts w:eastAsia="Batang" w:cs="Times New Roman"/>
          <w:bCs/>
          <w:sz w:val="20"/>
          <w:szCs w:val="20"/>
        </w:rPr>
      </w:pPr>
    </w:p>
    <w:p w:rsidR="002F2D29" w:rsidRPr="00AA3F66" w:rsidRDefault="002F2D29" w:rsidP="005E5FDF">
      <w:pPr>
        <w:autoSpaceDE w:val="0"/>
        <w:autoSpaceDN w:val="0"/>
        <w:adjustRightInd w:val="0"/>
        <w:spacing w:after="120"/>
        <w:rPr>
          <w:rFonts w:eastAsia="Batang" w:cs="Times New Roman"/>
          <w:bCs/>
          <w:sz w:val="20"/>
          <w:szCs w:val="20"/>
        </w:rPr>
      </w:pPr>
    </w:p>
    <w:p w:rsidR="002F2D29" w:rsidRPr="00AA3F66" w:rsidRDefault="002F2D29" w:rsidP="005E5FDF">
      <w:pPr>
        <w:autoSpaceDE w:val="0"/>
        <w:autoSpaceDN w:val="0"/>
        <w:adjustRightInd w:val="0"/>
        <w:spacing w:after="120"/>
        <w:rPr>
          <w:rFonts w:eastAsia="Batang" w:cs="Times New Roman"/>
          <w:bCs/>
          <w:sz w:val="20"/>
          <w:szCs w:val="20"/>
        </w:rPr>
      </w:pPr>
    </w:p>
    <w:p w:rsidR="00C806B9" w:rsidRPr="00AA3F66" w:rsidRDefault="00C806B9" w:rsidP="005E5FDF">
      <w:pPr>
        <w:autoSpaceDE w:val="0"/>
        <w:autoSpaceDN w:val="0"/>
        <w:adjustRightInd w:val="0"/>
        <w:spacing w:after="120"/>
        <w:rPr>
          <w:rFonts w:eastAsia="Batang" w:cs="Times New Roman"/>
          <w:bCs/>
          <w:sz w:val="20"/>
          <w:szCs w:val="20"/>
        </w:rPr>
      </w:pPr>
    </w:p>
    <w:p w:rsidR="003F0BD0" w:rsidRPr="00AA3F66" w:rsidRDefault="003F0BD0" w:rsidP="00360E9D">
      <w:pPr>
        <w:pStyle w:val="Caption"/>
        <w:tabs>
          <w:tab w:val="left" w:pos="630"/>
        </w:tabs>
        <w:spacing w:after="0"/>
        <w:ind w:left="630" w:hanging="630"/>
        <w:rPr>
          <w:sz w:val="20"/>
          <w:szCs w:val="20"/>
        </w:rPr>
      </w:pPr>
      <w:r w:rsidRPr="00AA3F66">
        <w:rPr>
          <w:sz w:val="20"/>
          <w:szCs w:val="20"/>
        </w:rPr>
        <w:t xml:space="preserve">Граф.: Данъчно-осигурителни приходи по КФП към </w:t>
      </w:r>
      <w:r w:rsidR="00360E9D" w:rsidRPr="00AA3F66">
        <w:rPr>
          <w:sz w:val="20"/>
          <w:szCs w:val="20"/>
        </w:rPr>
        <w:t>септември</w:t>
      </w:r>
      <w:r w:rsidRPr="00AA3F66">
        <w:rPr>
          <w:sz w:val="20"/>
          <w:szCs w:val="20"/>
        </w:rPr>
        <w:t xml:space="preserve"> 20</w:t>
      </w:r>
      <w:r w:rsidR="00360E9D" w:rsidRPr="00AA3F66">
        <w:rPr>
          <w:sz w:val="20"/>
          <w:szCs w:val="20"/>
        </w:rPr>
        <w:t>22 г. и септември</w:t>
      </w:r>
      <w:r w:rsidRPr="00AA3F66">
        <w:rPr>
          <w:sz w:val="20"/>
          <w:szCs w:val="20"/>
        </w:rPr>
        <w:t xml:space="preserve"> 2023 г.</w:t>
      </w:r>
    </w:p>
    <w:p w:rsidR="003F0BD0" w:rsidRPr="00AA3F66" w:rsidRDefault="00360E9D" w:rsidP="00AE140A">
      <w:pPr>
        <w:pStyle w:val="textgraf"/>
        <w:spacing w:after="0"/>
        <w:rPr>
          <w:szCs w:val="20"/>
        </w:rPr>
      </w:pPr>
      <w:r w:rsidRPr="00AA3F66">
        <w:rPr>
          <w:szCs w:val="20"/>
        </w:rPr>
        <w:t xml:space="preserve"> </w:t>
      </w:r>
      <w:r w:rsidR="003F0BD0" w:rsidRPr="00AA3F66">
        <w:rPr>
          <w:szCs w:val="20"/>
        </w:rPr>
        <w:t>(млн. лв.)</w:t>
      </w:r>
    </w:p>
    <w:p w:rsidR="00B04BBC" w:rsidRPr="00AA3F66" w:rsidRDefault="00B04BBC" w:rsidP="003F0BD0">
      <w:pPr>
        <w:autoSpaceDE w:val="0"/>
        <w:autoSpaceDN w:val="0"/>
        <w:adjustRightInd w:val="0"/>
        <w:spacing w:after="0"/>
        <w:jc w:val="right"/>
        <w:rPr>
          <w:noProof/>
          <w:color w:val="4F81BD"/>
        </w:rPr>
      </w:pPr>
    </w:p>
    <w:p w:rsidR="002C776D" w:rsidRPr="00AA3F66" w:rsidRDefault="002C776D" w:rsidP="001E226A">
      <w:pPr>
        <w:autoSpaceDE w:val="0"/>
        <w:autoSpaceDN w:val="0"/>
        <w:adjustRightInd w:val="0"/>
        <w:spacing w:after="0"/>
        <w:jc w:val="left"/>
        <w:rPr>
          <w:rFonts w:eastAsia="Batang" w:cs="Times New Roman"/>
          <w:bCs/>
          <w:sz w:val="18"/>
          <w:szCs w:val="18"/>
        </w:rPr>
      </w:pPr>
      <w:r w:rsidRPr="00AA3F66">
        <w:rPr>
          <w:rFonts w:eastAsia="Batang" w:cs="Times New Roman"/>
          <w:bCs/>
          <w:noProof/>
          <w:sz w:val="18"/>
          <w:szCs w:val="18"/>
        </w:rPr>
        <w:drawing>
          <wp:inline distT="0" distB="0" distL="0" distR="0" wp14:anchorId="4C8F6C15" wp14:editId="35323EB1">
            <wp:extent cx="4191000" cy="2554605"/>
            <wp:effectExtent l="0" t="0" r="0" b="0"/>
            <wp:docPr id="681" name="Picture 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191000" cy="2554605"/>
                    </a:xfrm>
                    <a:prstGeom prst="rect">
                      <a:avLst/>
                    </a:prstGeom>
                    <a:noFill/>
                  </pic:spPr>
                </pic:pic>
              </a:graphicData>
            </a:graphic>
          </wp:inline>
        </w:drawing>
      </w:r>
    </w:p>
    <w:p w:rsidR="002C776D" w:rsidRPr="00AA3F66" w:rsidRDefault="002C776D" w:rsidP="003F0BD0">
      <w:pPr>
        <w:autoSpaceDE w:val="0"/>
        <w:autoSpaceDN w:val="0"/>
        <w:adjustRightInd w:val="0"/>
        <w:spacing w:after="0"/>
        <w:jc w:val="right"/>
        <w:rPr>
          <w:rFonts w:eastAsia="Batang" w:cs="Times New Roman"/>
          <w:bCs/>
          <w:sz w:val="18"/>
          <w:szCs w:val="18"/>
        </w:rPr>
      </w:pPr>
    </w:p>
    <w:p w:rsidR="003F0BD0" w:rsidRPr="00AA3F66" w:rsidRDefault="003F0BD0" w:rsidP="001E226A">
      <w:pPr>
        <w:autoSpaceDE w:val="0"/>
        <w:autoSpaceDN w:val="0"/>
        <w:adjustRightInd w:val="0"/>
        <w:spacing w:after="0"/>
        <w:ind w:right="271"/>
        <w:jc w:val="right"/>
        <w:rPr>
          <w:rFonts w:eastAsia="Batang" w:cs="Times New Roman"/>
          <w:b/>
          <w:bCs/>
          <w:sz w:val="18"/>
          <w:szCs w:val="18"/>
        </w:rPr>
      </w:pPr>
      <w:r w:rsidRPr="00AA3F66">
        <w:rPr>
          <w:rFonts w:eastAsia="Batang" w:cs="Times New Roman"/>
          <w:bCs/>
          <w:sz w:val="18"/>
          <w:szCs w:val="18"/>
        </w:rPr>
        <w:t>Източник: МФ</w:t>
      </w:r>
    </w:p>
    <w:p w:rsidR="003F0BD0" w:rsidRPr="00AA3F66" w:rsidRDefault="003F0BD0" w:rsidP="003F0BD0">
      <w:pPr>
        <w:autoSpaceDE w:val="0"/>
        <w:autoSpaceDN w:val="0"/>
        <w:adjustRightInd w:val="0"/>
        <w:spacing w:after="0"/>
        <w:jc w:val="right"/>
        <w:rPr>
          <w:rFonts w:eastAsia="Batang" w:cs="Times New Roman"/>
          <w:b/>
          <w:bCs/>
          <w:sz w:val="18"/>
          <w:szCs w:val="18"/>
        </w:rPr>
      </w:pPr>
    </w:p>
    <w:p w:rsidR="003F0BD0" w:rsidRPr="00AA3F66" w:rsidRDefault="003F0BD0" w:rsidP="003F0BD0">
      <w:pPr>
        <w:autoSpaceDE w:val="0"/>
        <w:autoSpaceDN w:val="0"/>
        <w:adjustRightInd w:val="0"/>
        <w:spacing w:after="120" w:line="276" w:lineRule="auto"/>
        <w:rPr>
          <w:rFonts w:eastAsia="Batang"/>
          <w:b/>
          <w:bCs/>
          <w:color w:val="943634"/>
          <w:sz w:val="22"/>
        </w:rPr>
      </w:pPr>
      <w:r w:rsidRPr="00AA3F66">
        <w:rPr>
          <w:rFonts w:eastAsia="Batang"/>
          <w:b/>
          <w:bCs/>
          <w:color w:val="943634"/>
          <w:sz w:val="22"/>
        </w:rPr>
        <w:t>Изпълнение на разходите по КФП</w:t>
      </w:r>
    </w:p>
    <w:p w:rsidR="0063704A" w:rsidRPr="00AA3F66" w:rsidRDefault="0063704A" w:rsidP="0063704A">
      <w:pPr>
        <w:rPr>
          <w:rFonts w:eastAsia="Times New Roman" w:cs="Times New Roman"/>
          <w:color w:val="0070C0"/>
          <w:sz w:val="20"/>
          <w:szCs w:val="20"/>
        </w:rPr>
      </w:pPr>
      <w:r w:rsidRPr="00AA3F66">
        <w:rPr>
          <w:rFonts w:eastAsia="Calibri" w:cs="Times New Roman"/>
          <w:b/>
          <w:sz w:val="20"/>
          <w:szCs w:val="20"/>
        </w:rPr>
        <w:t>Разходите</w:t>
      </w:r>
      <w:r w:rsidRPr="00AA3F66">
        <w:rPr>
          <w:rFonts w:eastAsia="Calibri" w:cs="Times New Roman"/>
          <w:sz w:val="20"/>
          <w:szCs w:val="20"/>
        </w:rPr>
        <w:t xml:space="preserve"> по КФП (вкл. вноската на Република България в бюджета на ЕС) към септември 2023 г. възлизат на </w:t>
      </w:r>
      <w:r w:rsidRPr="00AA3F66">
        <w:rPr>
          <w:rFonts w:eastAsia="Calibri" w:cs="Times New Roman"/>
          <w:b/>
          <w:sz w:val="20"/>
          <w:szCs w:val="20"/>
        </w:rPr>
        <w:t xml:space="preserve">48 477,7 млн. лв., </w:t>
      </w:r>
      <w:r w:rsidRPr="00AA3F66">
        <w:rPr>
          <w:rFonts w:eastAsia="Calibri" w:cs="Times New Roman"/>
          <w:sz w:val="20"/>
          <w:szCs w:val="20"/>
        </w:rPr>
        <w:t>което е 65,5% от годишните разчети.</w:t>
      </w:r>
      <w:r w:rsidRPr="00AA3F66">
        <w:rPr>
          <w:rFonts w:eastAsia="Calibri" w:cs="Times New Roman"/>
          <w:b/>
          <w:sz w:val="20"/>
          <w:szCs w:val="20"/>
        </w:rPr>
        <w:t xml:space="preserve"> </w:t>
      </w:r>
      <w:r w:rsidRPr="00AA3F66">
        <w:rPr>
          <w:rFonts w:eastAsia="Times New Roman" w:cs="Times New Roman"/>
          <w:sz w:val="20"/>
          <w:szCs w:val="20"/>
        </w:rPr>
        <w:t xml:space="preserve">В номинално изражение разходите нарастват спрямо същия период на 2022 г. с 4 466,9 млн. лв. (10,1%). В отделните разходни показатели най-значително нарастване има при социалните и здравноосигурителни разходи, както и в частта на разходите за персонал, капиталовите разходи и други.  </w:t>
      </w:r>
    </w:p>
    <w:p w:rsidR="0063704A" w:rsidRPr="00AA3F66" w:rsidRDefault="0063704A" w:rsidP="0063704A">
      <w:pPr>
        <w:spacing w:before="120" w:after="120"/>
        <w:rPr>
          <w:rFonts w:eastAsia="Times New Roman" w:cs="Times New Roman"/>
          <w:sz w:val="20"/>
          <w:szCs w:val="20"/>
        </w:rPr>
      </w:pPr>
      <w:r w:rsidRPr="00AA3F66">
        <w:rPr>
          <w:rFonts w:eastAsia="Times New Roman" w:cs="Times New Roman"/>
          <w:b/>
          <w:i/>
          <w:sz w:val="20"/>
          <w:szCs w:val="20"/>
        </w:rPr>
        <w:t>Нелихвените разходи</w:t>
      </w:r>
      <w:r w:rsidRPr="00AA3F66">
        <w:rPr>
          <w:rFonts w:eastAsia="Times New Roman" w:cs="Times New Roman"/>
          <w:sz w:val="20"/>
          <w:szCs w:val="20"/>
        </w:rPr>
        <w:t xml:space="preserve"> към септември 2023 г. са в размер на 46 492,1 млн. лв.</w:t>
      </w:r>
      <w:r w:rsidRPr="00AA3F66">
        <w:rPr>
          <w:rFonts w:eastAsia="Calibri" w:cs="Times New Roman"/>
          <w:bCs/>
          <w:sz w:val="20"/>
          <w:szCs w:val="20"/>
        </w:rPr>
        <w:t xml:space="preserve">, </w:t>
      </w:r>
      <w:r w:rsidRPr="00AA3F66">
        <w:rPr>
          <w:rFonts w:eastAsia="Times New Roman" w:cs="Times New Roman"/>
          <w:sz w:val="20"/>
          <w:szCs w:val="20"/>
        </w:rPr>
        <w:t>което представлява 65,3% от годишния разчет</w:t>
      </w:r>
      <w:r w:rsidRPr="00AA3F66">
        <w:rPr>
          <w:rFonts w:eastAsia="Calibri" w:cs="Times New Roman"/>
          <w:bCs/>
          <w:sz w:val="20"/>
          <w:szCs w:val="20"/>
        </w:rPr>
        <w:t>.</w:t>
      </w:r>
      <w:r w:rsidRPr="00AA3F66">
        <w:rPr>
          <w:rFonts w:eastAsia="Times New Roman" w:cs="Times New Roman"/>
          <w:sz w:val="20"/>
          <w:szCs w:val="20"/>
        </w:rPr>
        <w:t xml:space="preserve"> </w:t>
      </w:r>
      <w:r w:rsidRPr="00AA3F66">
        <w:rPr>
          <w:rFonts w:eastAsia="Times New Roman" w:cs="Times New Roman"/>
          <w:i/>
          <w:sz w:val="20"/>
          <w:szCs w:val="20"/>
        </w:rPr>
        <w:t>Текущите нелихвени разходи</w:t>
      </w:r>
      <w:r w:rsidRPr="00AA3F66">
        <w:rPr>
          <w:rFonts w:eastAsia="Times New Roman" w:cs="Times New Roman"/>
          <w:sz w:val="20"/>
          <w:szCs w:val="20"/>
        </w:rPr>
        <w:t xml:space="preserve"> са в размер на 42 798,4 млн. лв. </w:t>
      </w:r>
      <w:r w:rsidRPr="00AA3F66">
        <w:rPr>
          <w:rFonts w:eastAsia="Times New Roman" w:cs="Times New Roman"/>
          <w:i/>
          <w:sz w:val="20"/>
          <w:szCs w:val="20"/>
        </w:rPr>
        <w:t>Капиталовите разходи</w:t>
      </w:r>
      <w:r w:rsidRPr="00AA3F66">
        <w:rPr>
          <w:rFonts w:eastAsia="Times New Roman" w:cs="Times New Roman"/>
          <w:sz w:val="20"/>
          <w:szCs w:val="20"/>
        </w:rPr>
        <w:t xml:space="preserve"> (вкл. нетния прираст на държавния резерв) възлизат на 3 647,2 млн. лв. </w:t>
      </w:r>
      <w:r w:rsidRPr="00AA3F66">
        <w:rPr>
          <w:rFonts w:eastAsia="Times New Roman" w:cs="Times New Roman"/>
          <w:i/>
          <w:sz w:val="20"/>
          <w:szCs w:val="20"/>
        </w:rPr>
        <w:t>Предоставените текущи и капиталови трансфери за чужбина</w:t>
      </w:r>
      <w:r w:rsidRPr="00AA3F66">
        <w:rPr>
          <w:rFonts w:eastAsia="Times New Roman" w:cs="Times New Roman"/>
          <w:sz w:val="20"/>
          <w:szCs w:val="20"/>
        </w:rPr>
        <w:t xml:space="preserve"> са в размер на 46,4 млн. лв. </w:t>
      </w:r>
    </w:p>
    <w:p w:rsidR="0063704A" w:rsidRPr="00AA3F66" w:rsidRDefault="0063704A" w:rsidP="0063704A">
      <w:pPr>
        <w:spacing w:before="120" w:after="120"/>
        <w:rPr>
          <w:rFonts w:eastAsia="Times New Roman" w:cs="Times New Roman"/>
          <w:sz w:val="20"/>
          <w:szCs w:val="20"/>
        </w:rPr>
      </w:pPr>
      <w:r w:rsidRPr="00AA3F66">
        <w:rPr>
          <w:rFonts w:eastAsia="Times New Roman" w:cs="Times New Roman"/>
          <w:b/>
          <w:i/>
          <w:sz w:val="20"/>
          <w:szCs w:val="20"/>
        </w:rPr>
        <w:t>Лихвените плащания</w:t>
      </w:r>
      <w:r w:rsidRPr="00AA3F66">
        <w:rPr>
          <w:rFonts w:eastAsia="Times New Roman" w:cs="Times New Roman"/>
          <w:sz w:val="20"/>
          <w:szCs w:val="20"/>
        </w:rPr>
        <w:t xml:space="preserve"> са в размер на 733,5 млн. лв. </w:t>
      </w:r>
      <w:r w:rsidRPr="00AA3F66">
        <w:rPr>
          <w:rFonts w:eastAsia="Calibri" w:cs="Times New Roman"/>
          <w:bCs/>
          <w:sz w:val="20"/>
          <w:szCs w:val="20"/>
        </w:rPr>
        <w:t>(89,0% от планираните за 2023 година)</w:t>
      </w:r>
      <w:r w:rsidRPr="00AA3F66">
        <w:rPr>
          <w:rFonts w:eastAsia="Times New Roman" w:cs="Times New Roman"/>
          <w:sz w:val="20"/>
          <w:szCs w:val="20"/>
        </w:rPr>
        <w:t>.</w:t>
      </w:r>
    </w:p>
    <w:p w:rsidR="0063704A" w:rsidRPr="00AA3F66" w:rsidRDefault="0063704A" w:rsidP="0063704A">
      <w:pPr>
        <w:spacing w:before="120" w:after="120"/>
        <w:rPr>
          <w:rFonts w:eastAsia="Batang" w:cs="Times New Roman"/>
          <w:bCs/>
          <w:sz w:val="20"/>
          <w:szCs w:val="20"/>
        </w:rPr>
      </w:pPr>
      <w:r w:rsidRPr="00AA3F66">
        <w:rPr>
          <w:rFonts w:eastAsia="Batang" w:cs="Times New Roman"/>
          <w:b/>
          <w:bCs/>
          <w:sz w:val="20"/>
          <w:szCs w:val="20"/>
        </w:rPr>
        <w:t xml:space="preserve"> Частта от вноската на Република България в общия бюджет на ЕС</w:t>
      </w:r>
      <w:r w:rsidRPr="00AA3F66">
        <w:rPr>
          <w:rFonts w:eastAsia="Batang" w:cs="Times New Roman"/>
          <w:bCs/>
          <w:sz w:val="20"/>
          <w:szCs w:val="20"/>
        </w:rPr>
        <w:t xml:space="preserve">, изплатена към 30.09.2023 г. от централния бюджет, възлиза на </w:t>
      </w:r>
      <w:r w:rsidRPr="00AA3F66">
        <w:rPr>
          <w:rFonts w:eastAsia="Batang" w:cs="Times New Roman"/>
          <w:b/>
          <w:bCs/>
          <w:sz w:val="20"/>
          <w:szCs w:val="20"/>
        </w:rPr>
        <w:t>1 252,1 млн. лв.,</w:t>
      </w:r>
      <w:r w:rsidRPr="00AA3F66">
        <w:rPr>
          <w:rFonts w:eastAsia="Batang" w:cs="Times New Roman"/>
          <w:bCs/>
          <w:sz w:val="20"/>
          <w:szCs w:val="20"/>
        </w:rPr>
        <w:t xml:space="preserve"> което е в изпълнение на действащото към момента законодателство в областта на собствените ресурси на ЕС.</w:t>
      </w:r>
    </w:p>
    <w:p w:rsidR="0063704A" w:rsidRPr="00AA3F66" w:rsidRDefault="0063704A" w:rsidP="0011358B">
      <w:pPr>
        <w:spacing w:after="0"/>
        <w:rPr>
          <w:rFonts w:eastAsia="Calibri" w:cs="Times New Roman"/>
          <w:b/>
          <w:sz w:val="20"/>
          <w:szCs w:val="20"/>
        </w:rPr>
      </w:pPr>
    </w:p>
    <w:p w:rsidR="0011358B" w:rsidRPr="00AA3F66" w:rsidRDefault="0011358B" w:rsidP="00DD41CD">
      <w:pPr>
        <w:pStyle w:val="Caption"/>
        <w:tabs>
          <w:tab w:val="left" w:pos="720"/>
        </w:tabs>
        <w:spacing w:after="0"/>
        <w:ind w:left="720" w:hanging="720"/>
        <w:rPr>
          <w:sz w:val="20"/>
          <w:szCs w:val="20"/>
        </w:rPr>
      </w:pPr>
      <w:r w:rsidRPr="00AA3F66">
        <w:rPr>
          <w:sz w:val="20"/>
          <w:szCs w:val="20"/>
        </w:rPr>
        <w:t xml:space="preserve">Граф.: </w:t>
      </w:r>
      <w:r w:rsidRPr="00AA3F66">
        <w:rPr>
          <w:sz w:val="20"/>
          <w:szCs w:val="20"/>
        </w:rPr>
        <w:tab/>
        <w:t xml:space="preserve">Основни разходни показатели по КФП </w:t>
      </w:r>
      <w:r w:rsidRPr="00AA3F66">
        <w:rPr>
          <w:iCs/>
          <w:sz w:val="20"/>
          <w:szCs w:val="20"/>
        </w:rPr>
        <w:t xml:space="preserve">към </w:t>
      </w:r>
      <w:r w:rsidR="0063704A" w:rsidRPr="00AA3F66">
        <w:rPr>
          <w:iCs/>
          <w:sz w:val="20"/>
          <w:szCs w:val="20"/>
        </w:rPr>
        <w:t>септември 2022 г. и септември</w:t>
      </w:r>
      <w:r w:rsidR="00320CC9" w:rsidRPr="00AA3F66">
        <w:rPr>
          <w:iCs/>
          <w:sz w:val="20"/>
          <w:szCs w:val="20"/>
        </w:rPr>
        <w:t xml:space="preserve"> </w:t>
      </w:r>
      <w:r w:rsidRPr="00AA3F66">
        <w:rPr>
          <w:iCs/>
          <w:sz w:val="20"/>
          <w:szCs w:val="20"/>
        </w:rPr>
        <w:t>2023 г.</w:t>
      </w:r>
    </w:p>
    <w:p w:rsidR="002C776D" w:rsidRPr="00AA3F66" w:rsidRDefault="00DD41CD" w:rsidP="002C776D">
      <w:pPr>
        <w:pStyle w:val="textgraf"/>
        <w:rPr>
          <w:szCs w:val="20"/>
        </w:rPr>
      </w:pPr>
      <w:r w:rsidRPr="00AA3F66">
        <w:rPr>
          <w:szCs w:val="20"/>
        </w:rPr>
        <w:t xml:space="preserve">  </w:t>
      </w:r>
      <w:r w:rsidR="0011358B" w:rsidRPr="00AA3F66">
        <w:rPr>
          <w:szCs w:val="20"/>
        </w:rPr>
        <w:t>(млн. лв.)</w:t>
      </w:r>
    </w:p>
    <w:p w:rsidR="002C776D" w:rsidRPr="00AA3F66" w:rsidRDefault="002C776D" w:rsidP="00B04BBC">
      <w:pPr>
        <w:pStyle w:val="textgraf"/>
        <w:rPr>
          <w:szCs w:val="20"/>
        </w:rPr>
      </w:pPr>
    </w:p>
    <w:p w:rsidR="00B04BBC" w:rsidRPr="00AA3F66" w:rsidRDefault="002C776D" w:rsidP="001E226A">
      <w:pPr>
        <w:jc w:val="left"/>
      </w:pPr>
      <w:r w:rsidRPr="00AA3F66">
        <w:rPr>
          <w:noProof/>
        </w:rPr>
        <w:drawing>
          <wp:inline distT="0" distB="0" distL="0" distR="0" wp14:anchorId="639BD6B4" wp14:editId="6C889F64">
            <wp:extent cx="4295775" cy="2451100"/>
            <wp:effectExtent l="0" t="0" r="9525" b="6350"/>
            <wp:docPr id="682" name="Picture 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295775" cy="2451100"/>
                    </a:xfrm>
                    <a:prstGeom prst="rect">
                      <a:avLst/>
                    </a:prstGeom>
                    <a:noFill/>
                  </pic:spPr>
                </pic:pic>
              </a:graphicData>
            </a:graphic>
          </wp:inline>
        </w:drawing>
      </w:r>
    </w:p>
    <w:p w:rsidR="0011358B" w:rsidRPr="00AA3F66" w:rsidRDefault="0011358B" w:rsidP="0011358B">
      <w:pPr>
        <w:autoSpaceDE w:val="0"/>
        <w:autoSpaceDN w:val="0"/>
        <w:adjustRightInd w:val="0"/>
        <w:spacing w:after="0"/>
        <w:ind w:firstLine="5674"/>
        <w:rPr>
          <w:rFonts w:eastAsia="Batang" w:cs="Times New Roman"/>
          <w:bCs/>
          <w:sz w:val="18"/>
          <w:szCs w:val="18"/>
        </w:rPr>
      </w:pPr>
      <w:r w:rsidRPr="00AA3F66">
        <w:rPr>
          <w:rFonts w:eastAsia="Batang" w:cs="Times New Roman"/>
          <w:bCs/>
          <w:sz w:val="18"/>
          <w:szCs w:val="18"/>
        </w:rPr>
        <w:t>Източник: МФ</w:t>
      </w:r>
    </w:p>
    <w:p w:rsidR="0011358B" w:rsidRPr="00AA3F66" w:rsidRDefault="0011358B" w:rsidP="0011358B">
      <w:pPr>
        <w:spacing w:after="0"/>
        <w:rPr>
          <w:rFonts w:eastAsia="Times New Roman" w:cs="Times New Roman"/>
          <w:bCs/>
          <w:iCs/>
          <w:sz w:val="16"/>
          <w:szCs w:val="16"/>
        </w:rPr>
      </w:pPr>
      <w:r w:rsidRPr="00AA3F66">
        <w:rPr>
          <w:rFonts w:eastAsia="Times New Roman"/>
          <w:bCs/>
          <w:iCs/>
          <w:sz w:val="16"/>
          <w:szCs w:val="16"/>
        </w:rPr>
        <w:t>*</w:t>
      </w:r>
      <w:r w:rsidRPr="00AA3F66">
        <w:rPr>
          <w:rFonts w:eastAsia="Times New Roman" w:cs="Times New Roman"/>
          <w:bCs/>
          <w:iCs/>
          <w:sz w:val="16"/>
          <w:szCs w:val="16"/>
        </w:rPr>
        <w:t xml:space="preserve"> Вкл. Предоставени текущи и капиталови трансфери за чужбина</w:t>
      </w:r>
    </w:p>
    <w:p w:rsidR="0011358B" w:rsidRPr="00AA3F66" w:rsidRDefault="0011358B" w:rsidP="0011358B">
      <w:pPr>
        <w:spacing w:after="0"/>
        <w:rPr>
          <w:rFonts w:eastAsia="Times New Roman" w:cs="Times New Roman"/>
          <w:bCs/>
          <w:iCs/>
          <w:sz w:val="16"/>
          <w:szCs w:val="16"/>
        </w:rPr>
      </w:pPr>
      <w:r w:rsidRPr="00AA3F66">
        <w:rPr>
          <w:rFonts w:eastAsia="Times New Roman" w:cs="Times New Roman"/>
          <w:bCs/>
          <w:iCs/>
          <w:sz w:val="16"/>
          <w:szCs w:val="16"/>
        </w:rPr>
        <w:t>** Вкл. Нетен прираст на държавния резерв</w:t>
      </w:r>
    </w:p>
    <w:p w:rsidR="00CC3FF8" w:rsidRPr="00AA3F66" w:rsidRDefault="00CC3FF8" w:rsidP="0011358B">
      <w:pPr>
        <w:spacing w:after="0"/>
        <w:rPr>
          <w:rFonts w:eastAsia="Times New Roman" w:cs="Times New Roman"/>
          <w:bCs/>
          <w:iCs/>
          <w:sz w:val="16"/>
          <w:szCs w:val="16"/>
        </w:rPr>
      </w:pPr>
    </w:p>
    <w:p w:rsidR="00CC3FF8" w:rsidRPr="00AA3F66" w:rsidRDefault="00CC3FF8" w:rsidP="0011358B">
      <w:pPr>
        <w:spacing w:after="0"/>
        <w:rPr>
          <w:rFonts w:eastAsia="Times New Roman" w:cs="Times New Roman"/>
          <w:bCs/>
          <w:iCs/>
          <w:sz w:val="16"/>
          <w:szCs w:val="16"/>
        </w:rPr>
      </w:pPr>
    </w:p>
    <w:p w:rsidR="00CC3FF8" w:rsidRPr="00AA3F66" w:rsidRDefault="00CC3FF8" w:rsidP="00CC3FF8">
      <w:pPr>
        <w:autoSpaceDE w:val="0"/>
        <w:autoSpaceDN w:val="0"/>
        <w:adjustRightInd w:val="0"/>
        <w:spacing w:after="120" w:line="276" w:lineRule="auto"/>
        <w:jc w:val="left"/>
        <w:rPr>
          <w:rFonts w:eastAsia="Batang"/>
          <w:b/>
          <w:bCs/>
          <w:i/>
          <w:color w:val="943634"/>
          <w:sz w:val="22"/>
        </w:rPr>
      </w:pPr>
      <w:r w:rsidRPr="00AA3F66">
        <w:rPr>
          <w:rFonts w:eastAsia="Batang"/>
          <w:b/>
          <w:bCs/>
          <w:i/>
          <w:color w:val="943634"/>
          <w:sz w:val="22"/>
        </w:rPr>
        <w:t>Разходи по държавния бюджет, бюджетите на социалноосигурителните фондове и бюджетите на общините</w:t>
      </w:r>
    </w:p>
    <w:p w:rsidR="00CC3FF8" w:rsidRPr="00AA3F66" w:rsidRDefault="00CC3FF8" w:rsidP="00CC3FF8">
      <w:pPr>
        <w:numPr>
          <w:ilvl w:val="0"/>
          <w:numId w:val="2"/>
        </w:numPr>
        <w:autoSpaceDE w:val="0"/>
        <w:autoSpaceDN w:val="0"/>
        <w:adjustRightInd w:val="0"/>
        <w:spacing w:after="120" w:line="276" w:lineRule="auto"/>
        <w:ind w:left="426" w:hanging="426"/>
        <w:rPr>
          <w:rFonts w:eastAsia="Batang"/>
          <w:b/>
          <w:bCs/>
          <w:color w:val="943634"/>
          <w:sz w:val="22"/>
        </w:rPr>
      </w:pPr>
      <w:r w:rsidRPr="00AA3F66">
        <w:rPr>
          <w:rFonts w:eastAsia="Batang"/>
          <w:b/>
          <w:bCs/>
          <w:color w:val="943634"/>
          <w:sz w:val="22"/>
        </w:rPr>
        <w:t>Държавен бюджет</w:t>
      </w:r>
    </w:p>
    <w:p w:rsidR="00CC3FF8" w:rsidRPr="00AA3F66" w:rsidRDefault="00CC3FF8" w:rsidP="00CC3FF8">
      <w:pPr>
        <w:autoSpaceDE w:val="0"/>
        <w:autoSpaceDN w:val="0"/>
        <w:adjustRightInd w:val="0"/>
        <w:spacing w:after="120"/>
        <w:rPr>
          <w:rFonts w:eastAsia="Batang" w:cs="Times New Roman"/>
          <w:bCs/>
          <w:sz w:val="20"/>
          <w:szCs w:val="20"/>
        </w:rPr>
      </w:pPr>
      <w:r w:rsidRPr="00AA3F66">
        <w:rPr>
          <w:rFonts w:eastAsia="Batang" w:cs="Times New Roman"/>
          <w:bCs/>
          <w:sz w:val="20"/>
          <w:szCs w:val="20"/>
        </w:rPr>
        <w:t xml:space="preserve">Общият размер на </w:t>
      </w:r>
      <w:r w:rsidRPr="00AA3F66">
        <w:rPr>
          <w:rFonts w:eastAsia="Batang" w:cs="Times New Roman"/>
          <w:b/>
          <w:bCs/>
          <w:i/>
          <w:sz w:val="20"/>
          <w:szCs w:val="20"/>
        </w:rPr>
        <w:t>разходите по държавния бюджет</w:t>
      </w:r>
      <w:r w:rsidRPr="00AA3F66">
        <w:rPr>
          <w:rFonts w:eastAsia="Batang" w:cs="Times New Roman"/>
          <w:bCs/>
          <w:sz w:val="20"/>
          <w:szCs w:val="20"/>
        </w:rPr>
        <w:t xml:space="preserve"> (вкл. и трансферите за др. бюджети и вноската в бюджета на ЕС) към септември 2023 г. е 30 090,3 млн. лв. или 64,3% от предвидените със ЗДБРБ за 2023 г., като нарастват с 3 735,3 млн. лв. (14,2%) спрямо отчетените към септември 2022 година.</w:t>
      </w:r>
    </w:p>
    <w:p w:rsidR="00CC3FF8" w:rsidRPr="00AA3F66" w:rsidRDefault="00CC3FF8" w:rsidP="00CC3FF8">
      <w:pPr>
        <w:autoSpaceDE w:val="0"/>
        <w:autoSpaceDN w:val="0"/>
        <w:adjustRightInd w:val="0"/>
        <w:spacing w:after="120"/>
        <w:rPr>
          <w:rFonts w:eastAsia="Batang" w:cs="Times New Roman"/>
          <w:bCs/>
          <w:sz w:val="20"/>
          <w:szCs w:val="20"/>
        </w:rPr>
      </w:pPr>
      <w:r w:rsidRPr="00AA3F66">
        <w:rPr>
          <w:rFonts w:eastAsia="Batang" w:cs="Times New Roman"/>
          <w:b/>
          <w:bCs/>
          <w:i/>
          <w:sz w:val="20"/>
          <w:szCs w:val="20"/>
        </w:rPr>
        <w:t>Нелихвените разходи по държавния бюджет</w:t>
      </w:r>
      <w:r w:rsidRPr="00AA3F66">
        <w:rPr>
          <w:rFonts w:eastAsia="Batang" w:cs="Times New Roman"/>
          <w:bCs/>
          <w:sz w:val="20"/>
          <w:szCs w:val="20"/>
        </w:rPr>
        <w:t xml:space="preserve"> (без трансферите за др. бюджети) към септември 2023 г. са в размер на 11 385,2 млн. лв., което представлява 53,0% от годишния разчет. Съпоставени с данните към септември 2022 г. нелихвените разходи нарастват с 573,3 млн. лв. (5,3%).  </w:t>
      </w:r>
    </w:p>
    <w:p w:rsidR="00CC3FF8" w:rsidRPr="00AA3F66" w:rsidRDefault="00CC3FF8" w:rsidP="00CC3FF8">
      <w:pPr>
        <w:autoSpaceDE w:val="0"/>
        <w:autoSpaceDN w:val="0"/>
        <w:adjustRightInd w:val="0"/>
        <w:spacing w:after="120"/>
        <w:rPr>
          <w:rFonts w:eastAsia="Batang" w:cs="Times New Roman"/>
          <w:bCs/>
          <w:sz w:val="20"/>
          <w:szCs w:val="20"/>
        </w:rPr>
      </w:pPr>
      <w:r w:rsidRPr="00AA3F66">
        <w:rPr>
          <w:rFonts w:eastAsia="Batang" w:cs="Times New Roman"/>
          <w:bCs/>
          <w:sz w:val="20"/>
          <w:szCs w:val="20"/>
        </w:rPr>
        <w:t xml:space="preserve">Разходите за </w:t>
      </w:r>
      <w:r w:rsidRPr="00AA3F66">
        <w:rPr>
          <w:rFonts w:eastAsia="Batang" w:cs="Times New Roman"/>
          <w:bCs/>
          <w:i/>
          <w:sz w:val="20"/>
          <w:szCs w:val="20"/>
        </w:rPr>
        <w:t xml:space="preserve">персонал </w:t>
      </w:r>
      <w:r w:rsidRPr="00AA3F66">
        <w:rPr>
          <w:rFonts w:eastAsia="Batang" w:cs="Times New Roman"/>
          <w:bCs/>
          <w:sz w:val="20"/>
          <w:szCs w:val="20"/>
        </w:rPr>
        <w:t xml:space="preserve">(заплати и възнаграждения, други възнаграждения и плащания за персонала и осигурителни вноски) са в общ размер на 6 011,4 млн. лв. или 69,7% от планираните за 2023 г. Разходите за </w:t>
      </w:r>
      <w:r w:rsidRPr="00AA3F66">
        <w:rPr>
          <w:rFonts w:eastAsia="Batang" w:cs="Times New Roman"/>
          <w:bCs/>
          <w:i/>
          <w:sz w:val="20"/>
          <w:szCs w:val="20"/>
        </w:rPr>
        <w:t>издръжка</w:t>
      </w:r>
      <w:r w:rsidRPr="00AA3F66">
        <w:rPr>
          <w:rFonts w:eastAsia="Batang" w:cs="Times New Roman"/>
          <w:bCs/>
          <w:sz w:val="20"/>
          <w:szCs w:val="20"/>
        </w:rPr>
        <w:t xml:space="preserve"> (вкл. разходи за членски внос и участие в нетърговски организации и дейности и платени данъци, такси и административни санкции) са в размер на 2 515,6 млн. лв. или 47,4% от планираните за годината. </w:t>
      </w:r>
      <w:r w:rsidRPr="00AA3F66">
        <w:rPr>
          <w:rFonts w:eastAsia="Batang" w:cs="Times New Roman"/>
          <w:bCs/>
          <w:i/>
          <w:sz w:val="20"/>
          <w:szCs w:val="20"/>
        </w:rPr>
        <w:t>Социалните разходи</w:t>
      </w:r>
      <w:r w:rsidRPr="00AA3F66">
        <w:rPr>
          <w:rFonts w:eastAsia="Batang" w:cs="Times New Roman"/>
          <w:bCs/>
          <w:sz w:val="20"/>
          <w:szCs w:val="20"/>
        </w:rPr>
        <w:t xml:space="preserve"> (вкл. разходите за стипендии) са в размер на 920,4 млн. лв. или 40,9% от предвидените за годината</w:t>
      </w:r>
      <w:r w:rsidRPr="00AA3F66">
        <w:rPr>
          <w:rFonts w:eastAsia="Batang" w:cs="Times New Roman"/>
          <w:bCs/>
          <w:i/>
          <w:sz w:val="20"/>
          <w:szCs w:val="20"/>
        </w:rPr>
        <w:t>. Предоставените текущи и капиталови трансфери за чужбина</w:t>
      </w:r>
      <w:r w:rsidRPr="00AA3F66">
        <w:rPr>
          <w:rFonts w:eastAsia="Batang" w:cs="Times New Roman"/>
          <w:bCs/>
          <w:sz w:val="20"/>
          <w:szCs w:val="20"/>
        </w:rPr>
        <w:t xml:space="preserve"> са в размер на 8,8 млн. лв. Разходите за </w:t>
      </w:r>
      <w:r w:rsidRPr="00AA3F66">
        <w:rPr>
          <w:rFonts w:eastAsia="Batang" w:cs="Times New Roman"/>
          <w:bCs/>
          <w:i/>
          <w:sz w:val="20"/>
          <w:szCs w:val="20"/>
        </w:rPr>
        <w:t>субсидии</w:t>
      </w:r>
      <w:r w:rsidRPr="00AA3F66">
        <w:rPr>
          <w:rFonts w:eastAsia="Batang" w:cs="Times New Roman"/>
          <w:bCs/>
          <w:sz w:val="20"/>
          <w:szCs w:val="20"/>
        </w:rPr>
        <w:t xml:space="preserve"> са в размер на 917,6 млн. лв. или 57,8% от планираните за годината. За деветте месеца на 2023 г. субсидиите за „БДЖ – Пътнически превози” ЕООД са в размер на 145,8 млн. лв., субсидиите за Национална компания „Железопътна инфраструктура” са 199,9 млн. лв. и 49,0 млн. лв. са за „Български пощи” ЕАД, в т.ч. 23,7 млн. лв. за извършване на универсална пощенска услуга и 25,3 млн. лв. за разпространение на периодични печатни издания - вестници и списания. Към края на месец септември 2023 г. ДФ „Земеделие“ e изплатил субсидии в общ размер на 534,7 млн. лв., от които 458,5 млн. лв. държавна помощ, в т.ч. 170</w:t>
      </w:r>
      <w:r w:rsidR="00003C5F" w:rsidRPr="00AA3F66">
        <w:rPr>
          <w:rFonts w:eastAsia="Batang" w:cs="Times New Roman"/>
          <w:bCs/>
          <w:sz w:val="20"/>
          <w:szCs w:val="20"/>
        </w:rPr>
        <w:t>,0</w:t>
      </w:r>
      <w:r w:rsidRPr="00AA3F66">
        <w:rPr>
          <w:rFonts w:eastAsia="Batang" w:cs="Times New Roman"/>
          <w:bCs/>
          <w:sz w:val="20"/>
          <w:szCs w:val="20"/>
        </w:rPr>
        <w:t xml:space="preserve"> млн. лв., изплатени през м. септември 2023 г., за осигуряване на подкрепа на земеделските стопани по национални мерки и компенсации на увеличените цени на енергоносители, фуражи и др., в съответствие с ПМС №</w:t>
      </w:r>
      <w:r w:rsidR="00003C5F" w:rsidRPr="00AA3F66">
        <w:rPr>
          <w:rFonts w:eastAsia="Batang" w:cs="Times New Roman"/>
          <w:bCs/>
          <w:sz w:val="20"/>
          <w:szCs w:val="20"/>
        </w:rPr>
        <w:t xml:space="preserve"> </w:t>
      </w:r>
      <w:r w:rsidRPr="00AA3F66">
        <w:rPr>
          <w:rFonts w:eastAsia="Batang" w:cs="Times New Roman"/>
          <w:bCs/>
          <w:sz w:val="20"/>
          <w:szCs w:val="20"/>
        </w:rPr>
        <w:t>125/2023 г.; 69,8 млн. лв. преходна национална помощ за тютюн; 0,3 млн. лв. преходна национална помощ за сектор „Животновъдство“ и 6,1 млн. лв. средства за ДДС по схеми „Училищен плод“ и „Училищно мляко“. През м. септември, в изпълнение на ПМС №</w:t>
      </w:r>
      <w:r w:rsidR="00003C5F" w:rsidRPr="00AA3F66">
        <w:rPr>
          <w:rFonts w:eastAsia="Batang" w:cs="Times New Roman"/>
          <w:bCs/>
          <w:sz w:val="20"/>
          <w:szCs w:val="20"/>
        </w:rPr>
        <w:t xml:space="preserve"> </w:t>
      </w:r>
      <w:r w:rsidRPr="00AA3F66">
        <w:rPr>
          <w:rFonts w:eastAsia="Batang" w:cs="Times New Roman"/>
          <w:bCs/>
          <w:sz w:val="20"/>
          <w:szCs w:val="20"/>
        </w:rPr>
        <w:t>165/2023 г., по бюджета на Министерството на енергетиката бяха възстановени средства в размер на 401</w:t>
      </w:r>
      <w:r w:rsidR="00DE6C96" w:rsidRPr="00AA3F66">
        <w:rPr>
          <w:rFonts w:eastAsia="Batang" w:cs="Times New Roman"/>
          <w:bCs/>
          <w:sz w:val="20"/>
          <w:szCs w:val="20"/>
        </w:rPr>
        <w:t>,0</w:t>
      </w:r>
      <w:r w:rsidRPr="00AA3F66">
        <w:rPr>
          <w:rFonts w:eastAsia="Batang" w:cs="Times New Roman"/>
          <w:bCs/>
          <w:sz w:val="20"/>
          <w:szCs w:val="20"/>
        </w:rPr>
        <w:t xml:space="preserve"> млн. лева.  </w:t>
      </w:r>
    </w:p>
    <w:p w:rsidR="00CC3FF8" w:rsidRPr="00AA3F66" w:rsidRDefault="00CC3FF8" w:rsidP="00CC3FF8">
      <w:pPr>
        <w:autoSpaceDE w:val="0"/>
        <w:autoSpaceDN w:val="0"/>
        <w:adjustRightInd w:val="0"/>
        <w:spacing w:after="120"/>
        <w:rPr>
          <w:rFonts w:eastAsia="Batang" w:cs="Times New Roman"/>
          <w:bCs/>
          <w:sz w:val="20"/>
          <w:szCs w:val="20"/>
        </w:rPr>
      </w:pPr>
      <w:r w:rsidRPr="00AA3F66">
        <w:rPr>
          <w:rFonts w:eastAsia="Batang" w:cs="Times New Roman"/>
          <w:bCs/>
          <w:i/>
          <w:sz w:val="20"/>
          <w:szCs w:val="20"/>
        </w:rPr>
        <w:t>Капиталовите разходи</w:t>
      </w:r>
      <w:r w:rsidRPr="00AA3F66">
        <w:rPr>
          <w:rFonts w:eastAsia="Batang" w:cs="Times New Roman"/>
          <w:bCs/>
          <w:sz w:val="20"/>
          <w:szCs w:val="20"/>
        </w:rPr>
        <w:t xml:space="preserve"> (вкл. нетния прираст на държавния резерв) по държавния бюджет възлизат на 1 011,4 млн. лв., от които 375,1 млн. лв. капиталови разходи по бюджета на Министерството на регионалното развитие и благоустройство и 314,8 млн. лв. по бюджета на Министерство</w:t>
      </w:r>
      <w:r w:rsidR="00335720" w:rsidRPr="00AA3F66">
        <w:rPr>
          <w:rFonts w:eastAsia="Batang" w:cs="Times New Roman"/>
          <w:bCs/>
          <w:sz w:val="20"/>
          <w:szCs w:val="20"/>
        </w:rPr>
        <w:t>то</w:t>
      </w:r>
      <w:r w:rsidRPr="00AA3F66">
        <w:rPr>
          <w:rFonts w:eastAsia="Batang" w:cs="Times New Roman"/>
          <w:bCs/>
          <w:sz w:val="20"/>
          <w:szCs w:val="20"/>
        </w:rPr>
        <w:t xml:space="preserve"> на отбраната. През януари 2023 г. има възстановени средства (в размер на 8,3 млн. лв.) от предоставен капиталов трансфер през 2022 г. на „БДЖ-Пътнически превози“ ЕООД в съответствие с чл. 9 от ПМС № 31/2022 година.</w:t>
      </w:r>
    </w:p>
    <w:p w:rsidR="00CC3FF8" w:rsidRPr="00AA3F66" w:rsidRDefault="00CC3FF8" w:rsidP="00CC3FF8">
      <w:pPr>
        <w:autoSpaceDE w:val="0"/>
        <w:autoSpaceDN w:val="0"/>
        <w:adjustRightInd w:val="0"/>
        <w:spacing w:after="120"/>
        <w:rPr>
          <w:rFonts w:eastAsia="Batang" w:cs="Times New Roman"/>
          <w:bCs/>
          <w:sz w:val="20"/>
          <w:szCs w:val="20"/>
        </w:rPr>
      </w:pPr>
      <w:r w:rsidRPr="00AA3F66">
        <w:rPr>
          <w:rFonts w:eastAsia="Batang" w:cs="Times New Roman"/>
          <w:b/>
          <w:bCs/>
          <w:i/>
          <w:sz w:val="20"/>
          <w:szCs w:val="20"/>
        </w:rPr>
        <w:t>Лихвените плащания по държавния бюджет</w:t>
      </w:r>
      <w:r w:rsidRPr="00AA3F66">
        <w:rPr>
          <w:rFonts w:eastAsia="Batang" w:cs="Times New Roman"/>
          <w:bCs/>
          <w:sz w:val="20"/>
          <w:szCs w:val="20"/>
        </w:rPr>
        <w:t xml:space="preserve"> към 30.09.2023 г. са в общ размер на 699,2 млн. лв. или 89,2% от предвидените в годишните разчети. </w:t>
      </w:r>
    </w:p>
    <w:p w:rsidR="00CC3FF8" w:rsidRPr="00AA3F66" w:rsidRDefault="00CC3FF8" w:rsidP="00CC3FF8">
      <w:pPr>
        <w:autoSpaceDE w:val="0"/>
        <w:autoSpaceDN w:val="0"/>
        <w:adjustRightInd w:val="0"/>
        <w:spacing w:after="120"/>
        <w:rPr>
          <w:rFonts w:eastAsia="Batang" w:cs="Times New Roman"/>
          <w:bCs/>
          <w:sz w:val="20"/>
          <w:szCs w:val="20"/>
        </w:rPr>
      </w:pPr>
      <w:r w:rsidRPr="00AA3F66">
        <w:rPr>
          <w:rFonts w:eastAsia="Batang" w:cs="Times New Roman"/>
          <w:bCs/>
          <w:sz w:val="20"/>
          <w:szCs w:val="20"/>
        </w:rPr>
        <w:t xml:space="preserve">Нетният размер на </w:t>
      </w:r>
      <w:r w:rsidRPr="00AA3F66">
        <w:rPr>
          <w:rFonts w:eastAsia="Batang" w:cs="Times New Roman"/>
          <w:b/>
          <w:bCs/>
          <w:i/>
          <w:sz w:val="20"/>
          <w:szCs w:val="20"/>
        </w:rPr>
        <w:t>трансферите по държавния бюджет</w:t>
      </w:r>
      <w:r w:rsidRPr="00AA3F66">
        <w:rPr>
          <w:rFonts w:eastAsia="Batang" w:cs="Times New Roman"/>
          <w:bCs/>
          <w:sz w:val="20"/>
          <w:szCs w:val="20"/>
        </w:rPr>
        <w:t xml:space="preserve"> към края на септември 2023 г. е 16 753,9 млн. лева.</w:t>
      </w:r>
    </w:p>
    <w:p w:rsidR="00CC3FF8" w:rsidRPr="00AA3F66" w:rsidRDefault="00CC3FF8" w:rsidP="00CC3FF8">
      <w:pPr>
        <w:numPr>
          <w:ilvl w:val="0"/>
          <w:numId w:val="2"/>
        </w:numPr>
        <w:autoSpaceDE w:val="0"/>
        <w:autoSpaceDN w:val="0"/>
        <w:adjustRightInd w:val="0"/>
        <w:spacing w:after="120"/>
        <w:ind w:left="426" w:hanging="426"/>
        <w:rPr>
          <w:rFonts w:eastAsia="Batang"/>
          <w:b/>
          <w:bCs/>
          <w:color w:val="943634"/>
          <w:sz w:val="22"/>
        </w:rPr>
      </w:pPr>
      <w:r w:rsidRPr="00AA3F66">
        <w:rPr>
          <w:rFonts w:eastAsia="Batang"/>
          <w:b/>
          <w:bCs/>
          <w:color w:val="943634"/>
          <w:sz w:val="22"/>
        </w:rPr>
        <w:t>Разходи по бюджетите на социалноосигурителните фондове</w:t>
      </w:r>
    </w:p>
    <w:p w:rsidR="00CC3FF8" w:rsidRPr="00AA3F66" w:rsidRDefault="00CC3FF8" w:rsidP="00CC3FF8">
      <w:pPr>
        <w:autoSpaceDE w:val="0"/>
        <w:autoSpaceDN w:val="0"/>
        <w:adjustRightInd w:val="0"/>
        <w:spacing w:after="120"/>
        <w:rPr>
          <w:rFonts w:eastAsia="Batang" w:cs="Times New Roman"/>
          <w:bCs/>
          <w:sz w:val="20"/>
          <w:szCs w:val="20"/>
        </w:rPr>
      </w:pPr>
      <w:r w:rsidRPr="00AA3F66">
        <w:rPr>
          <w:rFonts w:eastAsia="Batang" w:cs="Times New Roman"/>
          <w:bCs/>
          <w:sz w:val="20"/>
          <w:szCs w:val="20"/>
        </w:rPr>
        <w:t>Извършените разходи по бюджетите на социалноосигурителните фондове към септември 2023 г. са в размер на 20 864,6 млн. лв. (72,2% от разчета за годината), в т.ч. пенсии, помощи и обезщетения по КСО в размер на 15 899,4 млн. лв. и здравноосигурителни плащания в размер на 4 778,2 млн. лева.</w:t>
      </w:r>
    </w:p>
    <w:p w:rsidR="00CC3FF8" w:rsidRPr="00AA3F66" w:rsidRDefault="00CC3FF8" w:rsidP="00CC3FF8">
      <w:pPr>
        <w:numPr>
          <w:ilvl w:val="0"/>
          <w:numId w:val="2"/>
        </w:numPr>
        <w:autoSpaceDE w:val="0"/>
        <w:autoSpaceDN w:val="0"/>
        <w:adjustRightInd w:val="0"/>
        <w:spacing w:after="120"/>
        <w:ind w:left="426" w:hanging="426"/>
        <w:rPr>
          <w:rFonts w:eastAsia="Batang"/>
          <w:b/>
          <w:bCs/>
          <w:color w:val="943634"/>
          <w:sz w:val="22"/>
        </w:rPr>
      </w:pPr>
      <w:r w:rsidRPr="00AA3F66">
        <w:rPr>
          <w:rFonts w:eastAsia="Batang"/>
          <w:b/>
          <w:bCs/>
          <w:color w:val="943634"/>
          <w:sz w:val="22"/>
        </w:rPr>
        <w:t>Разходи по бюджетите на общините</w:t>
      </w:r>
    </w:p>
    <w:p w:rsidR="00CC3FF8" w:rsidRPr="00AA3F66" w:rsidRDefault="00CC3FF8" w:rsidP="00CC3FF8">
      <w:pPr>
        <w:autoSpaceDE w:val="0"/>
        <w:autoSpaceDN w:val="0"/>
        <w:adjustRightInd w:val="0"/>
        <w:spacing w:after="120"/>
        <w:rPr>
          <w:rFonts w:eastAsia="Batang" w:cs="Times New Roman"/>
          <w:bCs/>
          <w:sz w:val="20"/>
          <w:szCs w:val="20"/>
        </w:rPr>
      </w:pPr>
      <w:r w:rsidRPr="00AA3F66">
        <w:rPr>
          <w:rFonts w:eastAsia="Batang" w:cs="Times New Roman"/>
          <w:bCs/>
          <w:sz w:val="20"/>
          <w:szCs w:val="20"/>
        </w:rPr>
        <w:t>Извършените разходи по общинските бюджети, включително и за сметка на предоставените трансфери от други бюджети са в размер на 8 161,4 млн. лв. или 86,2% от разчетите към ЗДБРБ за 2023 година. Текущите нелихвени разходи възлизат на 7 072,5 млн. лв. (84,5% от годишния разчет), а капиталовите разходи са в размер на 1 056,8 млн. лв. или 99,3% от разчета за годината. Лихвените плащания са в размер на 32,0 млн. лв. или 80,5% от разчета за годината.</w:t>
      </w:r>
    </w:p>
    <w:p w:rsidR="00CC3FF8" w:rsidRPr="00AA3F66" w:rsidRDefault="00CC3FF8" w:rsidP="00CC3FF8">
      <w:pPr>
        <w:numPr>
          <w:ilvl w:val="0"/>
          <w:numId w:val="2"/>
        </w:numPr>
        <w:autoSpaceDE w:val="0"/>
        <w:autoSpaceDN w:val="0"/>
        <w:adjustRightInd w:val="0"/>
        <w:spacing w:after="120"/>
        <w:ind w:left="426" w:hanging="426"/>
        <w:rPr>
          <w:rFonts w:eastAsia="Batang"/>
          <w:b/>
          <w:bCs/>
          <w:color w:val="943634"/>
          <w:sz w:val="22"/>
        </w:rPr>
      </w:pPr>
      <w:r w:rsidRPr="00AA3F66">
        <w:rPr>
          <w:rFonts w:eastAsia="Batang"/>
          <w:b/>
          <w:bCs/>
          <w:color w:val="943634"/>
          <w:sz w:val="22"/>
        </w:rPr>
        <w:t>Бюджетно салдо по консолидираната фискална програма към 30.09.2023 г.</w:t>
      </w:r>
    </w:p>
    <w:p w:rsidR="00CC3FF8" w:rsidRPr="00AA3F66" w:rsidRDefault="00CC3FF8" w:rsidP="00CC3FF8">
      <w:pPr>
        <w:autoSpaceDE w:val="0"/>
        <w:autoSpaceDN w:val="0"/>
        <w:adjustRightInd w:val="0"/>
        <w:spacing w:after="120"/>
        <w:rPr>
          <w:rFonts w:eastAsia="Batang" w:cs="Times New Roman"/>
          <w:bCs/>
          <w:sz w:val="20"/>
          <w:szCs w:val="20"/>
        </w:rPr>
      </w:pPr>
      <w:r w:rsidRPr="00AA3F66">
        <w:rPr>
          <w:rFonts w:eastAsia="Batang" w:cs="Times New Roman"/>
          <w:b/>
          <w:bCs/>
          <w:sz w:val="20"/>
          <w:szCs w:val="20"/>
        </w:rPr>
        <w:t>Бюджетното салдо по КФП</w:t>
      </w:r>
      <w:r w:rsidRPr="00AA3F66">
        <w:rPr>
          <w:rFonts w:eastAsia="Batang" w:cs="Times New Roman"/>
          <w:bCs/>
          <w:sz w:val="20"/>
          <w:szCs w:val="20"/>
        </w:rPr>
        <w:t xml:space="preserve"> към 30.09.2023 г. е</w:t>
      </w:r>
      <w:r w:rsidRPr="00AA3F66">
        <w:rPr>
          <w:rFonts w:eastAsia="Batang" w:cs="Times New Roman"/>
          <w:b/>
          <w:bCs/>
          <w:sz w:val="20"/>
          <w:szCs w:val="20"/>
        </w:rPr>
        <w:t xml:space="preserve"> отрицателно в размер на 0,841 млрд. лв. </w:t>
      </w:r>
      <w:r w:rsidRPr="00AA3F66">
        <w:rPr>
          <w:rFonts w:eastAsia="Batang" w:cs="Times New Roman"/>
          <w:bCs/>
          <w:sz w:val="20"/>
          <w:szCs w:val="20"/>
        </w:rPr>
        <w:t>или 0,5% от прогнозния БВП, при планиран в разчетите към ЗДБРБ за 2023 г. дефицит за годината в размер на 4,6 млрд. лв. Очаква се в оставащите месеци до края на годината бюджетното салдо да достигне планирания дефицит от 2,5% от БВП.</w:t>
      </w:r>
    </w:p>
    <w:p w:rsidR="00CC3FF8" w:rsidRPr="00AA3F66" w:rsidRDefault="00CC3FF8" w:rsidP="00CC3FF8">
      <w:pPr>
        <w:autoSpaceDE w:val="0"/>
        <w:autoSpaceDN w:val="0"/>
        <w:adjustRightInd w:val="0"/>
        <w:spacing w:after="120"/>
        <w:rPr>
          <w:rFonts w:eastAsia="Batang" w:cs="Times New Roman"/>
          <w:bCs/>
          <w:sz w:val="20"/>
          <w:szCs w:val="20"/>
        </w:rPr>
      </w:pPr>
      <w:r w:rsidRPr="00AA3F66">
        <w:rPr>
          <w:rFonts w:eastAsia="Batang" w:cs="Times New Roman"/>
          <w:bCs/>
          <w:sz w:val="20"/>
          <w:szCs w:val="20"/>
        </w:rPr>
        <w:t xml:space="preserve">Общият размер на </w:t>
      </w:r>
      <w:r w:rsidRPr="00AA3F66">
        <w:rPr>
          <w:rFonts w:eastAsia="Batang" w:cs="Times New Roman"/>
          <w:b/>
          <w:bCs/>
          <w:sz w:val="20"/>
          <w:szCs w:val="20"/>
        </w:rPr>
        <w:t>касовите постъпления от ЕС</w:t>
      </w:r>
      <w:r w:rsidRPr="00AA3F66">
        <w:rPr>
          <w:rFonts w:eastAsia="Batang" w:cs="Times New Roman"/>
          <w:bCs/>
          <w:sz w:val="20"/>
          <w:szCs w:val="20"/>
        </w:rPr>
        <w:t xml:space="preserve"> (от Структурните и Кохезионния фондове, от ЕЗФРСР и ЕФР, от средства за директни плащания към земеделските производители и плащания по пазарни мерки и др.) към септември 2023 г. е 3 387,9 млн. лева. Нетните постъпления от ЕС към 30.09.2023 г. (касови постъпления от ЕС, намалени с вноската в общия бюджет на ЕС) са положителни в размер на 2 135,8 млн. лева.</w:t>
      </w:r>
    </w:p>
    <w:p w:rsidR="00CC3FF8" w:rsidRPr="00AA3F66" w:rsidRDefault="00CC3FF8" w:rsidP="00CC3FF8">
      <w:pPr>
        <w:spacing w:after="0"/>
        <w:rPr>
          <w:rFonts w:eastAsia="Times New Roman" w:cs="Times New Roman"/>
          <w:bCs/>
          <w:iCs/>
          <w:sz w:val="16"/>
          <w:szCs w:val="16"/>
        </w:rPr>
      </w:pPr>
      <w:r w:rsidRPr="00AA3F66">
        <w:rPr>
          <w:rFonts w:eastAsia="Batang" w:cs="Times New Roman"/>
          <w:bCs/>
          <w:sz w:val="20"/>
          <w:szCs w:val="20"/>
        </w:rPr>
        <w:t xml:space="preserve">Размерът на </w:t>
      </w:r>
      <w:r w:rsidRPr="00AA3F66">
        <w:rPr>
          <w:rFonts w:eastAsia="Batang" w:cs="Times New Roman"/>
          <w:b/>
          <w:bCs/>
          <w:sz w:val="20"/>
          <w:szCs w:val="20"/>
        </w:rPr>
        <w:t>фискалния резерв</w:t>
      </w:r>
      <w:r w:rsidRPr="00AA3F66">
        <w:rPr>
          <w:rFonts w:eastAsia="Batang" w:cs="Times New Roman"/>
          <w:b/>
          <w:bCs/>
          <w:position w:val="2"/>
          <w:sz w:val="20"/>
          <w:szCs w:val="20"/>
          <w:vertAlign w:val="superscript"/>
        </w:rPr>
        <w:footnoteReference w:id="61"/>
      </w:r>
      <w:r w:rsidRPr="00AA3F66">
        <w:rPr>
          <w:rFonts w:eastAsia="Batang" w:cs="Times New Roman"/>
          <w:b/>
          <w:bCs/>
          <w:position w:val="2"/>
          <w:sz w:val="20"/>
          <w:szCs w:val="20"/>
          <w:vertAlign w:val="superscript"/>
        </w:rPr>
        <w:t xml:space="preserve">  </w:t>
      </w:r>
      <w:r w:rsidRPr="00AA3F66">
        <w:rPr>
          <w:rFonts w:eastAsia="Batang" w:cs="Times New Roman"/>
          <w:bCs/>
          <w:sz w:val="20"/>
          <w:szCs w:val="20"/>
        </w:rPr>
        <w:t xml:space="preserve">към 30.09.2023 г. е </w:t>
      </w:r>
      <w:r w:rsidRPr="00AA3F66">
        <w:rPr>
          <w:rFonts w:eastAsia="Batang" w:cs="Times New Roman"/>
          <w:b/>
          <w:bCs/>
          <w:sz w:val="20"/>
          <w:szCs w:val="20"/>
        </w:rPr>
        <w:t>11,35 млрд. лв.</w:t>
      </w:r>
      <w:r w:rsidRPr="00AA3F66">
        <w:rPr>
          <w:rFonts w:eastAsia="Batang" w:cs="Times New Roman"/>
          <w:bCs/>
          <w:sz w:val="20"/>
          <w:szCs w:val="20"/>
        </w:rPr>
        <w:t>, в т.ч. 10,88 млрд. лв. депозити на фискалния резерв в БНБ и банки и 0,47 млрд. лв. вземания от фондовете на Европейския съюз за сертифицирани разходи, аванси и други.</w:t>
      </w:r>
    </w:p>
    <w:p w:rsidR="00CC3FF8" w:rsidRPr="00AA3F66" w:rsidRDefault="00CC3FF8" w:rsidP="0011358B">
      <w:pPr>
        <w:spacing w:after="0"/>
        <w:rPr>
          <w:rFonts w:eastAsia="Times New Roman" w:cs="Times New Roman"/>
          <w:bCs/>
          <w:iCs/>
          <w:sz w:val="16"/>
          <w:szCs w:val="16"/>
        </w:rPr>
      </w:pPr>
    </w:p>
    <w:p w:rsidR="00CC3FF8" w:rsidRPr="00AA3F66" w:rsidRDefault="00CC3FF8" w:rsidP="0011358B">
      <w:pPr>
        <w:spacing w:after="0"/>
        <w:rPr>
          <w:rFonts w:eastAsia="Times New Roman" w:cs="Times New Roman"/>
          <w:bCs/>
          <w:iCs/>
          <w:sz w:val="16"/>
          <w:szCs w:val="16"/>
        </w:rPr>
      </w:pPr>
    </w:p>
    <w:p w:rsidR="003F0BD0" w:rsidRPr="00AA3F66" w:rsidRDefault="003F0BD0" w:rsidP="003F0BD0">
      <w:pPr>
        <w:autoSpaceDE w:val="0"/>
        <w:autoSpaceDN w:val="0"/>
        <w:adjustRightInd w:val="0"/>
        <w:spacing w:after="120"/>
        <w:rPr>
          <w:rFonts w:eastAsia="Batang" w:cs="Times New Roman"/>
          <w:bCs/>
          <w:sz w:val="20"/>
          <w:szCs w:val="20"/>
        </w:rPr>
        <w:sectPr w:rsidR="003F0BD0" w:rsidRPr="00AA3F66" w:rsidSect="002D7CED">
          <w:headerReference w:type="even" r:id="rId50"/>
          <w:headerReference w:type="default" r:id="rId51"/>
          <w:headerReference w:type="first" r:id="rId52"/>
          <w:footerReference w:type="first" r:id="rId53"/>
          <w:pgSz w:w="16838" w:h="11906" w:orient="landscape" w:code="9"/>
          <w:pgMar w:top="1418" w:right="1134" w:bottom="851" w:left="1134" w:header="709" w:footer="709" w:gutter="0"/>
          <w:cols w:num="2" w:space="708"/>
          <w:titlePg/>
          <w:docGrid w:linePitch="360"/>
        </w:sectPr>
      </w:pPr>
    </w:p>
    <w:p w:rsidR="004C7280" w:rsidRPr="00AA3F66" w:rsidRDefault="006C4934" w:rsidP="00911809">
      <w:pPr>
        <w:pStyle w:val="Heading2"/>
        <w:spacing w:before="360" w:after="240"/>
        <w:ind w:left="446" w:hanging="158"/>
      </w:pPr>
      <w:bookmarkStart w:id="578" w:name="_Toc151557322"/>
      <w:bookmarkStart w:id="579" w:name="_Toc465205586"/>
      <w:bookmarkStart w:id="580" w:name="_Toc465206051"/>
      <w:r w:rsidRPr="00AA3F66">
        <w:t>Оценка з</w:t>
      </w:r>
      <w:r w:rsidR="00911809" w:rsidRPr="00AA3F66">
        <w:t>а изпълнението на</w:t>
      </w:r>
      <w:r w:rsidR="004C7280" w:rsidRPr="00AA3F66">
        <w:t xml:space="preserve"> КФП ЗА </w:t>
      </w:r>
      <w:r w:rsidR="00911809" w:rsidRPr="00AA3F66">
        <w:t>2023 г</w:t>
      </w:r>
      <w:r w:rsidR="004C7280" w:rsidRPr="00AA3F66">
        <w:t>.</w:t>
      </w:r>
      <w:bookmarkEnd w:id="578"/>
    </w:p>
    <w:p w:rsidR="006C4934" w:rsidRPr="00AA3F66" w:rsidRDefault="006C4934" w:rsidP="006C4934">
      <w:pPr>
        <w:autoSpaceDE w:val="0"/>
        <w:autoSpaceDN w:val="0"/>
        <w:adjustRightInd w:val="0"/>
        <w:spacing w:after="120"/>
        <w:rPr>
          <w:rFonts w:eastAsia="Batang" w:cs="Times New Roman"/>
          <w:bCs/>
          <w:sz w:val="20"/>
          <w:szCs w:val="20"/>
        </w:rPr>
      </w:pPr>
      <w:r w:rsidRPr="00AA3F66">
        <w:rPr>
          <w:rFonts w:eastAsia="Batang" w:cs="Times New Roman"/>
          <w:bCs/>
          <w:sz w:val="20"/>
          <w:szCs w:val="20"/>
        </w:rPr>
        <w:t>Фискалните развития през първите девет месеца на 2023 г. бяха доминирани от множество фактори, влияещи разнопосочно върху бюджетните показатели. Върху фиска продължиха да оказват влияние волатилните цени на международните пазари на суровини и енергоносители, нарушените вериги за доставка и наложените санкции поради войната в Украйна. Ситуацията през настоящата година обаче е значително променена – за разлика от шоковото нарастване на цената на енергоносителите и в частност на нефта и природния газ на международните пазари непосредствено след избухването на войната, през първите седем месеца на настоящата година се наблюдаваше значително поевтиняване и завръщане на цените до предвоенните им нива при много от енергоносителите и суровините, което съответно се отраз</w:t>
      </w:r>
      <w:r w:rsidR="006A2D3A" w:rsidRPr="00AA3F66">
        <w:rPr>
          <w:rFonts w:eastAsia="Batang" w:cs="Times New Roman"/>
          <w:bCs/>
          <w:sz w:val="20"/>
          <w:szCs w:val="20"/>
        </w:rPr>
        <w:t>и</w:t>
      </w:r>
      <w:r w:rsidRPr="00AA3F66">
        <w:rPr>
          <w:rFonts w:eastAsia="Batang" w:cs="Times New Roman"/>
          <w:bCs/>
          <w:sz w:val="20"/>
          <w:szCs w:val="20"/>
        </w:rPr>
        <w:t xml:space="preserve"> и върху приходите при облагането при внос и върху данъчната основа при сделки при вътреобщностни придобивания. Подобна е и тенденцията при цените на природния газ и електрическата енергия на регионалните борси. След средата на годината започна да се проявява умерено нарастване на цената на нефта на международните пазари, но фискалните ефекти все още не се проявяват, тъй като те са съпроводени с известен лаг. </w:t>
      </w:r>
    </w:p>
    <w:p w:rsidR="006C4934" w:rsidRPr="00AA3F66" w:rsidRDefault="006C4934" w:rsidP="006C4934">
      <w:pPr>
        <w:autoSpaceDE w:val="0"/>
        <w:autoSpaceDN w:val="0"/>
        <w:adjustRightInd w:val="0"/>
        <w:spacing w:after="120"/>
        <w:rPr>
          <w:rFonts w:eastAsia="Batang" w:cs="Times New Roman"/>
          <w:bCs/>
          <w:sz w:val="20"/>
          <w:szCs w:val="20"/>
        </w:rPr>
      </w:pPr>
      <w:r w:rsidRPr="00AA3F66">
        <w:rPr>
          <w:rFonts w:eastAsia="Batang" w:cs="Times New Roman"/>
          <w:bCs/>
          <w:sz w:val="20"/>
          <w:szCs w:val="20"/>
        </w:rPr>
        <w:t>Параметрите по изпълнението на приходите по КФП към края на септември при основните данъци и осигурителни вноски са добри и съответстват на допусканията по разчетите за годината с изключение на приходите от ДДС от внос и в по-малка степен от корпоративните данъци. Най-осезаемо забавяне спрямо годишния план се очертава при приходите от ДДС от внос, където негативно влияние върху динамиката на приходите от този данък продължават да оказват средните борсови цени (в долари) на суровините, които формират основна част от вноса от трети страни. Разглеждайки декларирания ДДС при внос по групи стоки, съобразно Класификатора на широките икономически категории (BEC), за периода януари-септември 2023 г. се наблюдава понижение при всички групи стоки. Освен това, върху постъпленията от ДДС от внос влияние оказа и възможността за отложено начисляване на ДДС от вносител при внос на стоки от трети страни, в съответствие с разпоредбата на чл. 167а от Закона за данък върху добавената стойност. Ефектът от прилагането на този режим към края на месец септември 2023 г. е неначислен ДДС при внос в размер на 962,3 млн. лева. Поради тези фактори годишната оценка за постъпленията в частта на косвените данъци е да останат с около 1 млрд. лв. под заложените с разчетите по ЗДБРБ за 2023 г. При преките данъци добри темпове на изпълнение на разчетите се отчитат при данъците върху доходите на физическите лица, което компенсира очакваното неизпълнение на разчетите за приходите от корпоративни данъци, с което приходите в групата се очаква да бъдат близки до планираните за годината. Приходите от осигурителни вноски също се прогнозира да бъдат близки до планираните за годината, докато при другите данъци се очаква превишение на плана за годината, основно поради удължения срок за внасяне на целеви вноски по бюджета на Фонд „Сигурност на електроенергийната система“ от производителите на електрическа енергия и други мерки в данъчната политика.</w:t>
      </w:r>
    </w:p>
    <w:p w:rsidR="006C4934" w:rsidRPr="00AA3F66" w:rsidRDefault="006C4934" w:rsidP="006C4934">
      <w:pPr>
        <w:autoSpaceDE w:val="0"/>
        <w:autoSpaceDN w:val="0"/>
        <w:adjustRightInd w:val="0"/>
        <w:spacing w:after="120"/>
        <w:rPr>
          <w:rFonts w:eastAsia="Batang" w:cs="Times New Roman"/>
          <w:bCs/>
          <w:sz w:val="20"/>
          <w:szCs w:val="20"/>
        </w:rPr>
      </w:pPr>
      <w:r w:rsidRPr="00AA3F66">
        <w:rPr>
          <w:rFonts w:eastAsia="Batang" w:cs="Times New Roman"/>
          <w:bCs/>
          <w:sz w:val="20"/>
          <w:szCs w:val="20"/>
        </w:rPr>
        <w:t>Относително ниските темпове на усвояване на разходите през първите три тримесечия на годината е традиционно за последните години, като за деветте месеца на 2023 г. разходите по КФП, включително вноската в общия бюджет на ЕС, представляват 65,5 на сто от планираните с разчетите към ЗДБРБ за 2023 г. (ДВ, бр. 66 от 2023 г.). Изпълнението на планираните капиталови разходи по държавния бюджет и по сметките за средства от ЕС към края на септември е относително ниско, което се дължи, от една страна</w:t>
      </w:r>
      <w:r w:rsidR="001F4B50" w:rsidRPr="00AA3F66">
        <w:rPr>
          <w:rFonts w:eastAsia="Batang" w:cs="Times New Roman"/>
          <w:bCs/>
          <w:sz w:val="20"/>
          <w:szCs w:val="20"/>
        </w:rPr>
        <w:t>,</w:t>
      </w:r>
      <w:r w:rsidRPr="00AA3F66">
        <w:rPr>
          <w:rFonts w:eastAsia="Batang" w:cs="Times New Roman"/>
          <w:bCs/>
          <w:sz w:val="20"/>
          <w:szCs w:val="20"/>
        </w:rPr>
        <w:t xml:space="preserve"> на строителния сезон и концентрирането на плащанията по голяма част от инфраструктурните проекти в последното тримесечие на годината, и от друга – на закъснялото приемане на ЗДБРБ за 2023 г., което забави допълнително изпълнението на проектите и политиките. Очаква се през последното тримесечие на годината разходите да нараснат значително, като освен традиционно по-високите капиталови разходи и тези, свързани със зимния период, ще бъде финансирана и основната част от политиките, одобрени със ЗДБРБ за 2023 г., които бяха гласувани от Народното събрание в края на месец юни и одобрени с актове на Министерския съвет през последните месеци. Въпреки това, от страна на разходите се очаква забавянето при част от проектите и програмите, планирани за финансиране до края на 2023 г., да не може да бъде наваксано. Поради тази причина в частта на разходите за издръжка и капиталовите разходи се очертава по-ниско от планираното усвояване на разходите, с което изоставането в частта на приходите може да бъде компенсирано.</w:t>
      </w:r>
    </w:p>
    <w:p w:rsidR="001F4B50" w:rsidRPr="00AA3F66" w:rsidRDefault="001F4B50" w:rsidP="006C4934">
      <w:pPr>
        <w:autoSpaceDE w:val="0"/>
        <w:autoSpaceDN w:val="0"/>
        <w:adjustRightInd w:val="0"/>
        <w:spacing w:after="120"/>
        <w:rPr>
          <w:rFonts w:eastAsia="Batang" w:cs="Times New Roman"/>
          <w:bCs/>
          <w:color w:val="000000" w:themeColor="text1"/>
          <w:sz w:val="20"/>
          <w:szCs w:val="20"/>
        </w:rPr>
      </w:pPr>
      <w:r w:rsidRPr="00AA3F66">
        <w:rPr>
          <w:rFonts w:eastAsia="Batang" w:cs="Times New Roman"/>
          <w:bCs/>
          <w:color w:val="000000" w:themeColor="text1"/>
          <w:sz w:val="20"/>
          <w:szCs w:val="20"/>
        </w:rPr>
        <w:t>На база на изготвените есенни прогнози на Министерството на финансите се очаква индикативният размер на бюджетния дефицит по консолидираната фискална програма да бъде близък до разчетите към ЗДБРБ за 2023 г. (дефицит по КФП в размер на 4,6 млрд. лв.)</w:t>
      </w:r>
      <w:r w:rsidR="00380803" w:rsidRPr="00AA3F66">
        <w:rPr>
          <w:rFonts w:eastAsia="Batang" w:cs="Times New Roman"/>
          <w:bCs/>
          <w:color w:val="000000" w:themeColor="text1"/>
          <w:sz w:val="20"/>
          <w:szCs w:val="20"/>
        </w:rPr>
        <w:t>, което е заложено в оценките към октомврийските Нотификационните таблици на България</w:t>
      </w:r>
      <w:r w:rsidRPr="00AA3F66">
        <w:rPr>
          <w:rFonts w:eastAsia="Batang" w:cs="Times New Roman"/>
          <w:bCs/>
          <w:color w:val="000000" w:themeColor="text1"/>
          <w:sz w:val="20"/>
          <w:szCs w:val="20"/>
        </w:rPr>
        <w:t>. Направените допускания предвиждат вторият транш по Механизма за възстановяване и устойчивост да постъпи през месец декември, а очертаващото се по-ниско усвояване на планираните разходи да компенсира изцяло прогнозираното забавяне в частта на приходите. По отношение на планирания транш по Механизма за възстановяване и устойчивост бяха положени огромни усилия за наваксване на изоставането към полугодието и независимо от възникналите затруднения при изпълнението на заложените етапи и цели на 07.10.2023 г. към Европейската комисия беше изпратено Искане за второ плащане по Националния план за възстановяване и устойчивост (НПВУ), в което е декларирано изпълнението на 62 от заложените съгласно актуалния профил за плащане 66 етапа и цели. Поради забавен</w:t>
      </w:r>
      <w:r w:rsidR="006827E4">
        <w:rPr>
          <w:rFonts w:eastAsia="Batang" w:cs="Times New Roman"/>
          <w:bCs/>
          <w:color w:val="000000" w:themeColor="text1"/>
          <w:sz w:val="20"/>
          <w:szCs w:val="20"/>
        </w:rPr>
        <w:t>о</w:t>
      </w:r>
      <w:r w:rsidRPr="00AA3F66">
        <w:rPr>
          <w:rFonts w:eastAsia="Batang" w:cs="Times New Roman"/>
          <w:bCs/>
          <w:color w:val="000000" w:themeColor="text1"/>
          <w:sz w:val="20"/>
          <w:szCs w:val="20"/>
        </w:rPr>
        <w:t>то изпращане и необходимото технологично време за разглеждането на същото от страна на службите на ЕК съществува сериозен риск средствата, заявени с второ искане за плащане</w:t>
      </w:r>
      <w:r w:rsidR="00003C5F" w:rsidRPr="00AA3F66">
        <w:rPr>
          <w:rFonts w:eastAsia="Batang" w:cs="Times New Roman"/>
          <w:bCs/>
          <w:color w:val="000000" w:themeColor="text1"/>
          <w:sz w:val="20"/>
          <w:szCs w:val="20"/>
        </w:rPr>
        <w:t>,</w:t>
      </w:r>
      <w:r w:rsidRPr="00AA3F66">
        <w:rPr>
          <w:rFonts w:eastAsia="Batang" w:cs="Times New Roman"/>
          <w:bCs/>
          <w:color w:val="000000" w:themeColor="text1"/>
          <w:sz w:val="20"/>
          <w:szCs w:val="20"/>
        </w:rPr>
        <w:t xml:space="preserve"> да не постъпят в рамките на фискалната година. При такова допускане индикативния</w:t>
      </w:r>
      <w:r w:rsidR="00003C5F" w:rsidRPr="00AA3F66">
        <w:rPr>
          <w:rFonts w:eastAsia="Batang" w:cs="Times New Roman"/>
          <w:bCs/>
          <w:color w:val="000000" w:themeColor="text1"/>
          <w:sz w:val="20"/>
          <w:szCs w:val="20"/>
        </w:rPr>
        <w:t>т</w:t>
      </w:r>
      <w:r w:rsidRPr="00AA3F66">
        <w:rPr>
          <w:rFonts w:eastAsia="Batang" w:cs="Times New Roman"/>
          <w:bCs/>
          <w:color w:val="000000" w:themeColor="text1"/>
          <w:sz w:val="20"/>
          <w:szCs w:val="20"/>
        </w:rPr>
        <w:t xml:space="preserve"> размер на дефицита по КФП за 2023 г. би възлязъл на 5,8 млрд. лв. (3% от прогнозния БВП)</w:t>
      </w:r>
      <w:r w:rsidR="00283926" w:rsidRPr="00AA3F66">
        <w:rPr>
          <w:rFonts w:eastAsia="Batang" w:cs="Times New Roman"/>
          <w:bCs/>
          <w:color w:val="000000" w:themeColor="text1"/>
          <w:sz w:val="20"/>
          <w:szCs w:val="20"/>
        </w:rPr>
        <w:t>, като следвайки по-консервативен подход това е заложено и в разчетите по очакваното изпълнение за 2023 г. към Актуализираната средносрочна бюджетна прогноза за периода 2024-2026 г.</w:t>
      </w:r>
    </w:p>
    <w:p w:rsidR="006C4934" w:rsidRPr="00AA3F66" w:rsidRDefault="006C4934" w:rsidP="006C4934">
      <w:pPr>
        <w:autoSpaceDE w:val="0"/>
        <w:autoSpaceDN w:val="0"/>
        <w:adjustRightInd w:val="0"/>
        <w:spacing w:after="120"/>
        <w:rPr>
          <w:rFonts w:eastAsia="Batang" w:cs="Times New Roman"/>
          <w:bCs/>
          <w:color w:val="000000" w:themeColor="text1"/>
          <w:sz w:val="20"/>
          <w:szCs w:val="20"/>
        </w:rPr>
      </w:pPr>
      <w:r w:rsidRPr="00AA3F66">
        <w:rPr>
          <w:rFonts w:eastAsia="Batang" w:cs="Times New Roman"/>
          <w:bCs/>
          <w:color w:val="000000" w:themeColor="text1"/>
          <w:sz w:val="20"/>
          <w:szCs w:val="20"/>
        </w:rPr>
        <w:t>Финансирането на разходните политики по сметките за средствата от ЕС към момента не създава напрежение, но с навлизането на проектите по Оперативните програми, Програмата за развитие на селските райони и други програми на Европейския съюз за програмния период 2014-2020 г. във финален етап и поради усилията за минимизиране на загубата на европейско финансиране се очаква значително нарастване на плащанията по проектите и програмите до края на 2023 г. Освен това, съгласно правилата на ЕС бенефициентите по програмите на ЕС могат да извършват разходи при спазване на крайния срок за допустимост на разходите, който за програмния период 2014-2020 г. за повечето програми е 31 декември 2023 г. Това означава, че всички разходи, извършени от бенефициентите извън цитирания срок, ще бъдат недопустими за финансиране от съответната програма и следва да се осигурят от самите бенефициенти, а там където бенефициентите са разпоредители с бюджет или държавно контролирани предприятия – от националния бюджет. Това съответно се очаква да концентрира значителни по размер разходи по европейските програми и фондове в последното тримесечие на годината, което при хипотеза за потенциално забавяне или частично плащане на грантовете от ЕК по Механизма за възстановяване и устойчивост може да доведе до натиск върху бюджета на касова основа от гледна точка на ликвидната позиция на правителството в края на годината.</w:t>
      </w:r>
    </w:p>
    <w:p w:rsidR="006C4934" w:rsidRPr="00AA3F66" w:rsidRDefault="006C4934" w:rsidP="006C4934">
      <w:pPr>
        <w:autoSpaceDE w:val="0"/>
        <w:autoSpaceDN w:val="0"/>
        <w:adjustRightInd w:val="0"/>
        <w:spacing w:after="120"/>
        <w:rPr>
          <w:rFonts w:eastAsia="Batang" w:cs="Times New Roman"/>
          <w:bCs/>
          <w:sz w:val="20"/>
          <w:szCs w:val="20"/>
        </w:rPr>
      </w:pPr>
      <w:r w:rsidRPr="00AA3F66">
        <w:rPr>
          <w:rFonts w:eastAsia="Batang" w:cs="Times New Roman"/>
          <w:bCs/>
          <w:sz w:val="20"/>
          <w:szCs w:val="20"/>
        </w:rPr>
        <w:t>Основните предизвикателства в контекста на усилията за присъединяване на България към еврозоната от 1 януари 2025 г. по отношение на фискалните параметри са свързани с критерия за дефицита на сектор „Държавно управление“, което от една страна е свързано с усилията за постигане на бюджетното салдо по КФП за 2023 г., и от друга – с недопускане възникването на нови задължения за разходи в края на годината, които независимо че не оказват влияние на касова основа, се отразяват като разход за годината по методологията на ЕСС 2010. Влияние върху критерия оказват и корективите, свързани с отразяването на потоците по програмите и фондовете на ЕС по методологията на ЕСС 2010, както и оценките за корективите за отчитане на данъците по метода на времево изместване на касовите приходи, корективи за трансакции, приравнени на разход и други.</w:t>
      </w:r>
    </w:p>
    <w:bookmarkEnd w:id="579"/>
    <w:bookmarkEnd w:id="580"/>
    <w:p w:rsidR="00A92905" w:rsidRPr="00AA3F66" w:rsidRDefault="00A92905" w:rsidP="006372EC">
      <w:pPr>
        <w:autoSpaceDE w:val="0"/>
        <w:autoSpaceDN w:val="0"/>
        <w:adjustRightInd w:val="0"/>
        <w:spacing w:after="120"/>
        <w:rPr>
          <w:rFonts w:eastAsia="Batang" w:cs="Times New Roman"/>
          <w:bCs/>
          <w:color w:val="000000" w:themeColor="text1"/>
          <w:sz w:val="20"/>
          <w:szCs w:val="20"/>
        </w:rPr>
      </w:pPr>
    </w:p>
    <w:p w:rsidR="006C4934" w:rsidRPr="00AA3F66" w:rsidRDefault="006C4934" w:rsidP="006372EC">
      <w:pPr>
        <w:autoSpaceDE w:val="0"/>
        <w:autoSpaceDN w:val="0"/>
        <w:adjustRightInd w:val="0"/>
        <w:spacing w:after="120"/>
        <w:rPr>
          <w:rFonts w:eastAsia="Batang" w:cs="Times New Roman"/>
          <w:bCs/>
          <w:color w:val="000000" w:themeColor="text1"/>
          <w:sz w:val="20"/>
          <w:szCs w:val="20"/>
        </w:rPr>
      </w:pPr>
    </w:p>
    <w:p w:rsidR="006C4934" w:rsidRPr="00AA3F66" w:rsidRDefault="006C4934" w:rsidP="006372EC">
      <w:pPr>
        <w:autoSpaceDE w:val="0"/>
        <w:autoSpaceDN w:val="0"/>
        <w:adjustRightInd w:val="0"/>
        <w:spacing w:after="120"/>
        <w:rPr>
          <w:rFonts w:eastAsia="Batang" w:cs="Times New Roman"/>
          <w:b/>
          <w:bCs/>
          <w:color w:val="FE8637" w:themeColor="accent1"/>
          <w:sz w:val="20"/>
          <w:szCs w:val="20"/>
        </w:rPr>
        <w:sectPr w:rsidR="006C4934" w:rsidRPr="00AA3F66" w:rsidSect="002D7CED">
          <w:pgSz w:w="16838" w:h="11906" w:orient="landscape" w:code="9"/>
          <w:pgMar w:top="1418" w:right="1134" w:bottom="851" w:left="1134" w:header="709" w:footer="709" w:gutter="0"/>
          <w:cols w:num="2" w:space="708"/>
          <w:titlePg/>
          <w:docGrid w:linePitch="360"/>
        </w:sectPr>
      </w:pPr>
    </w:p>
    <w:p w:rsidR="00E26381" w:rsidRPr="00AA3F66" w:rsidRDefault="002B149E" w:rsidP="00DE2BDB">
      <w:pPr>
        <w:pStyle w:val="Heading2"/>
        <w:numPr>
          <w:ilvl w:val="0"/>
          <w:numId w:val="0"/>
        </w:numPr>
      </w:pPr>
      <w:bookmarkStart w:id="581" w:name="_Toc464224824"/>
      <w:bookmarkStart w:id="582" w:name="_Toc464225474"/>
      <w:bookmarkStart w:id="583" w:name="_Toc464459021"/>
      <w:bookmarkStart w:id="584" w:name="_Toc464459769"/>
      <w:bookmarkStart w:id="585" w:name="_Toc464460722"/>
      <w:bookmarkStart w:id="586" w:name="_Toc464463121"/>
      <w:bookmarkStart w:id="587" w:name="_Toc464464950"/>
      <w:bookmarkStart w:id="588" w:name="_Toc464465457"/>
      <w:bookmarkStart w:id="589" w:name="_Toc464465645"/>
      <w:bookmarkStart w:id="590" w:name="_Toc464466469"/>
      <w:bookmarkStart w:id="591" w:name="_Toc464466712"/>
      <w:bookmarkStart w:id="592" w:name="_Toc464645033"/>
      <w:bookmarkStart w:id="593" w:name="_Toc465205587"/>
      <w:bookmarkStart w:id="594" w:name="_Toc151557323"/>
      <w:r w:rsidRPr="00AA3F66">
        <w:t xml:space="preserve">Приложение № 2: </w:t>
      </w:r>
      <w:r w:rsidR="00DD4BBB" w:rsidRPr="00AA3F66">
        <w:br/>
      </w:r>
      <w:r w:rsidRPr="00AA3F66">
        <w:t xml:space="preserve">Основни допускания по актуализираната средносрочна </w:t>
      </w:r>
      <w:r w:rsidR="00931F81" w:rsidRPr="00AA3F66">
        <w:t>б</w:t>
      </w:r>
      <w:r w:rsidR="00382492" w:rsidRPr="00AA3F66">
        <w:t>юджетна прогноза за периода 202</w:t>
      </w:r>
      <w:r w:rsidR="0098294A" w:rsidRPr="00AA3F66">
        <w:t>3</w:t>
      </w:r>
      <w:r w:rsidRPr="00AA3F66">
        <w:t>-20</w:t>
      </w:r>
      <w:r w:rsidR="0098294A" w:rsidRPr="00AA3F66">
        <w:t>26</w:t>
      </w:r>
      <w:r w:rsidR="00AA3035" w:rsidRPr="00AA3F66">
        <w:t> г.</w:t>
      </w:r>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p>
    <w:tbl>
      <w:tblPr>
        <w:tblW w:w="5000" w:type="pct"/>
        <w:tblCellMar>
          <w:left w:w="70" w:type="dxa"/>
          <w:right w:w="70" w:type="dxa"/>
        </w:tblCellMar>
        <w:tblLook w:val="04A0" w:firstRow="1" w:lastRow="0" w:firstColumn="1" w:lastColumn="0" w:noHBand="0" w:noVBand="1"/>
      </w:tblPr>
      <w:tblGrid>
        <w:gridCol w:w="541"/>
        <w:gridCol w:w="4892"/>
        <w:gridCol w:w="1469"/>
        <w:gridCol w:w="1917"/>
        <w:gridCol w:w="1917"/>
        <w:gridCol w:w="1917"/>
        <w:gridCol w:w="1917"/>
      </w:tblGrid>
      <w:tr w:rsidR="00AE303E" w:rsidRPr="00EB28A6" w:rsidTr="00AE303E">
        <w:trPr>
          <w:trHeight w:val="1301"/>
          <w:tblHeader/>
        </w:trPr>
        <w:tc>
          <w:tcPr>
            <w:tcW w:w="185" w:type="pct"/>
            <w:tcBorders>
              <w:top w:val="single" w:sz="4" w:space="0" w:color="auto"/>
            </w:tcBorders>
            <w:shd w:val="clear" w:color="auto" w:fill="FBE4D5"/>
            <w:vAlign w:val="center"/>
            <w:hideMark/>
          </w:tcPr>
          <w:p w:rsidR="00AE303E" w:rsidRPr="00AE303E" w:rsidRDefault="00AE303E" w:rsidP="00AE303E">
            <w:pPr>
              <w:spacing w:after="0"/>
              <w:jc w:val="center"/>
              <w:rPr>
                <w:rFonts w:eastAsia="Times New Roman" w:cs="Times New Roman"/>
                <w:b/>
                <w:bCs/>
                <w:color w:val="000000"/>
                <w:sz w:val="22"/>
              </w:rPr>
            </w:pPr>
            <w:r w:rsidRPr="00AE303E">
              <w:rPr>
                <w:rFonts w:eastAsia="Times New Roman" w:cs="Times New Roman"/>
                <w:b/>
                <w:bCs/>
                <w:color w:val="000000"/>
                <w:sz w:val="22"/>
              </w:rPr>
              <w:t> </w:t>
            </w:r>
          </w:p>
        </w:tc>
        <w:tc>
          <w:tcPr>
            <w:tcW w:w="1678" w:type="pct"/>
            <w:tcBorders>
              <w:top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b/>
                <w:bCs/>
                <w:color w:val="000000"/>
                <w:sz w:val="22"/>
              </w:rPr>
            </w:pPr>
            <w:r w:rsidRPr="00EB28A6">
              <w:rPr>
                <w:rFonts w:eastAsia="Times New Roman" w:cs="Times New Roman"/>
                <w:b/>
                <w:bCs/>
                <w:color w:val="000000"/>
                <w:sz w:val="22"/>
              </w:rPr>
              <w:t>ОСНОВНИ ДОПУСКАНИЯ</w:t>
            </w:r>
          </w:p>
        </w:tc>
        <w:tc>
          <w:tcPr>
            <w:tcW w:w="504" w:type="pct"/>
            <w:tcBorders>
              <w:top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b/>
                <w:bCs/>
                <w:color w:val="000000"/>
                <w:sz w:val="22"/>
              </w:rPr>
            </w:pPr>
            <w:r w:rsidRPr="00EB28A6">
              <w:rPr>
                <w:rFonts w:eastAsia="Times New Roman" w:cs="Times New Roman"/>
                <w:b/>
                <w:bCs/>
                <w:color w:val="000000"/>
                <w:sz w:val="22"/>
              </w:rPr>
              <w:t>Мерна</w:t>
            </w:r>
            <w:r w:rsidRPr="00EB28A6">
              <w:rPr>
                <w:rFonts w:eastAsia="Times New Roman" w:cs="Times New Roman"/>
                <w:b/>
                <w:bCs/>
                <w:color w:val="000000"/>
                <w:sz w:val="22"/>
              </w:rPr>
              <w:br/>
              <w:t xml:space="preserve"> единица</w:t>
            </w:r>
          </w:p>
        </w:tc>
        <w:tc>
          <w:tcPr>
            <w:tcW w:w="658" w:type="pct"/>
            <w:tcBorders>
              <w:top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b/>
                <w:bCs/>
                <w:i/>
                <w:sz w:val="22"/>
              </w:rPr>
            </w:pPr>
            <w:r w:rsidRPr="00EB28A6">
              <w:rPr>
                <w:rFonts w:eastAsia="Times New Roman" w:cs="Times New Roman"/>
                <w:b/>
                <w:bCs/>
                <w:i/>
                <w:sz w:val="22"/>
              </w:rPr>
              <w:t>2023 г.</w:t>
            </w:r>
          </w:p>
        </w:tc>
        <w:tc>
          <w:tcPr>
            <w:tcW w:w="658" w:type="pct"/>
            <w:tcBorders>
              <w:top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b/>
                <w:bCs/>
                <w:sz w:val="22"/>
              </w:rPr>
            </w:pPr>
            <w:r w:rsidRPr="00EB28A6">
              <w:rPr>
                <w:rFonts w:eastAsia="Times New Roman" w:cs="Times New Roman"/>
                <w:b/>
                <w:bCs/>
                <w:sz w:val="22"/>
              </w:rPr>
              <w:t>2024 г.</w:t>
            </w:r>
          </w:p>
        </w:tc>
        <w:tc>
          <w:tcPr>
            <w:tcW w:w="658" w:type="pct"/>
            <w:tcBorders>
              <w:top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b/>
                <w:bCs/>
                <w:sz w:val="22"/>
              </w:rPr>
            </w:pPr>
            <w:r w:rsidRPr="00EB28A6">
              <w:rPr>
                <w:rFonts w:eastAsia="Times New Roman" w:cs="Times New Roman"/>
                <w:b/>
                <w:bCs/>
                <w:sz w:val="22"/>
              </w:rPr>
              <w:t>2025 г.</w:t>
            </w:r>
          </w:p>
        </w:tc>
        <w:tc>
          <w:tcPr>
            <w:tcW w:w="658" w:type="pct"/>
            <w:tcBorders>
              <w:top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b/>
                <w:bCs/>
                <w:sz w:val="22"/>
              </w:rPr>
            </w:pPr>
            <w:r w:rsidRPr="00EB28A6">
              <w:rPr>
                <w:rFonts w:eastAsia="Times New Roman" w:cs="Times New Roman"/>
                <w:b/>
                <w:bCs/>
                <w:sz w:val="22"/>
              </w:rPr>
              <w:t>2026 г.</w:t>
            </w:r>
          </w:p>
        </w:tc>
      </w:tr>
      <w:tr w:rsidR="00AE303E" w:rsidRPr="00EB28A6" w:rsidTr="00AE303E">
        <w:trPr>
          <w:trHeight w:val="252"/>
          <w:tblHeader/>
        </w:trPr>
        <w:tc>
          <w:tcPr>
            <w:tcW w:w="185" w:type="pct"/>
            <w:tcBorders>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b/>
                <w:bCs/>
                <w:sz w:val="22"/>
              </w:rPr>
            </w:pPr>
            <w:r w:rsidRPr="00EB28A6">
              <w:rPr>
                <w:rFonts w:eastAsia="Times New Roman" w:cs="Times New Roman"/>
                <w:b/>
                <w:bCs/>
                <w:sz w:val="22"/>
              </w:rPr>
              <w:t>№</w:t>
            </w:r>
          </w:p>
        </w:tc>
        <w:tc>
          <w:tcPr>
            <w:tcW w:w="1678" w:type="pct"/>
            <w:tcBorders>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b/>
                <w:bCs/>
                <w:sz w:val="22"/>
              </w:rPr>
            </w:pPr>
            <w:r w:rsidRPr="00EB28A6">
              <w:rPr>
                <w:rFonts w:eastAsia="Times New Roman" w:cs="Times New Roman"/>
                <w:b/>
                <w:bCs/>
                <w:sz w:val="22"/>
              </w:rPr>
              <w:t>А</w:t>
            </w:r>
          </w:p>
        </w:tc>
        <w:tc>
          <w:tcPr>
            <w:tcW w:w="504" w:type="pct"/>
            <w:tcBorders>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b/>
                <w:bCs/>
                <w:sz w:val="22"/>
              </w:rPr>
            </w:pPr>
            <w:r w:rsidRPr="00EB28A6">
              <w:rPr>
                <w:rFonts w:eastAsia="Times New Roman" w:cs="Times New Roman"/>
                <w:b/>
                <w:bCs/>
                <w:sz w:val="22"/>
              </w:rPr>
              <w:t>Б</w:t>
            </w:r>
          </w:p>
        </w:tc>
        <w:tc>
          <w:tcPr>
            <w:tcW w:w="658" w:type="pct"/>
            <w:tcBorders>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b/>
                <w:bCs/>
                <w:i/>
                <w:sz w:val="22"/>
                <w:lang w:val="en-US"/>
              </w:rPr>
            </w:pPr>
            <w:r w:rsidRPr="00EB28A6">
              <w:rPr>
                <w:rFonts w:eastAsia="Times New Roman" w:cs="Times New Roman"/>
                <w:b/>
                <w:bCs/>
                <w:i/>
                <w:sz w:val="22"/>
                <w:lang w:val="en-US"/>
              </w:rPr>
              <w:t>1</w:t>
            </w:r>
          </w:p>
        </w:tc>
        <w:tc>
          <w:tcPr>
            <w:tcW w:w="658" w:type="pct"/>
            <w:tcBorders>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b/>
                <w:bCs/>
                <w:sz w:val="22"/>
                <w:lang w:val="en-US"/>
              </w:rPr>
            </w:pPr>
            <w:r w:rsidRPr="00EB28A6">
              <w:rPr>
                <w:rFonts w:eastAsia="Times New Roman" w:cs="Times New Roman"/>
                <w:b/>
                <w:bCs/>
                <w:sz w:val="22"/>
                <w:lang w:val="en-US"/>
              </w:rPr>
              <w:t>2</w:t>
            </w:r>
          </w:p>
        </w:tc>
        <w:tc>
          <w:tcPr>
            <w:tcW w:w="658" w:type="pct"/>
            <w:tcBorders>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b/>
                <w:bCs/>
                <w:sz w:val="22"/>
                <w:lang w:val="en-US"/>
              </w:rPr>
            </w:pPr>
            <w:r w:rsidRPr="00EB28A6">
              <w:rPr>
                <w:rFonts w:eastAsia="Times New Roman" w:cs="Times New Roman"/>
                <w:b/>
                <w:bCs/>
                <w:sz w:val="22"/>
                <w:lang w:val="en-US"/>
              </w:rPr>
              <w:t>3</w:t>
            </w:r>
          </w:p>
        </w:tc>
        <w:tc>
          <w:tcPr>
            <w:tcW w:w="658" w:type="pct"/>
            <w:tcBorders>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b/>
                <w:bCs/>
                <w:sz w:val="22"/>
                <w:lang w:val="en-US"/>
              </w:rPr>
            </w:pPr>
            <w:r w:rsidRPr="00EB28A6">
              <w:rPr>
                <w:rFonts w:eastAsia="Times New Roman" w:cs="Times New Roman"/>
                <w:b/>
                <w:bCs/>
                <w:sz w:val="22"/>
                <w:lang w:val="en-US"/>
              </w:rPr>
              <w:t>4</w:t>
            </w:r>
          </w:p>
        </w:tc>
      </w:tr>
      <w:tr w:rsidR="00AE303E" w:rsidRPr="00EB28A6" w:rsidTr="00AE303E">
        <w:trPr>
          <w:trHeight w:val="288"/>
        </w:trPr>
        <w:tc>
          <w:tcPr>
            <w:tcW w:w="185" w:type="pct"/>
            <w:vMerge w:val="restar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1.</w:t>
            </w:r>
          </w:p>
        </w:tc>
        <w:tc>
          <w:tcPr>
            <w:tcW w:w="1678"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данъчната ставка за облагане с ДДС</w:t>
            </w:r>
          </w:p>
        </w:tc>
        <w:tc>
          <w:tcPr>
            <w:tcW w:w="504" w:type="pct"/>
            <w:vMerge w:val="restart"/>
            <w:tcBorders>
              <w:top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20</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w:t>
            </w:r>
          </w:p>
        </w:tc>
      </w:tr>
      <w:tr w:rsidR="00AE303E" w:rsidRPr="00EB28A6" w:rsidTr="00AE303E">
        <w:trPr>
          <w:trHeight w:val="288"/>
        </w:trPr>
        <w:tc>
          <w:tcPr>
            <w:tcW w:w="185" w:type="pct"/>
            <w:vMerge/>
            <w:vAlign w:val="center"/>
            <w:hideMark/>
          </w:tcPr>
          <w:p w:rsidR="00AE303E" w:rsidRPr="00EB28A6" w:rsidRDefault="00AE303E" w:rsidP="00AE303E">
            <w:pPr>
              <w:spacing w:after="0"/>
              <w:jc w:val="left"/>
              <w:rPr>
                <w:rFonts w:eastAsia="Times New Roman" w:cs="Times New Roman"/>
                <w:b/>
                <w:bCs/>
                <w:sz w:val="20"/>
                <w:szCs w:val="20"/>
              </w:rPr>
            </w:pP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в т.ч.:</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r>
      <w:tr w:rsidR="00AE303E" w:rsidRPr="00EB28A6" w:rsidTr="00AE303E">
        <w:trPr>
          <w:trHeight w:val="528"/>
        </w:trPr>
        <w:tc>
          <w:tcPr>
            <w:tcW w:w="185" w:type="pct"/>
            <w:vMerge/>
            <w:vAlign w:val="center"/>
            <w:hideMark/>
          </w:tcPr>
          <w:p w:rsidR="00AE303E" w:rsidRPr="00EB28A6" w:rsidRDefault="00AE303E" w:rsidP="00AE303E">
            <w:pPr>
              <w:spacing w:after="0"/>
              <w:jc w:val="left"/>
              <w:rPr>
                <w:rFonts w:eastAsia="Times New Roman" w:cs="Times New Roman"/>
                <w:b/>
                <w:bCs/>
                <w:sz w:val="20"/>
                <w:szCs w:val="20"/>
              </w:rPr>
            </w:pP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Данъчна ставка за настаняване, предоставяно в хотели и подобни заведения</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9</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9</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9</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9</w:t>
            </w:r>
          </w:p>
        </w:tc>
      </w:tr>
      <w:tr w:rsidR="00AE303E" w:rsidRPr="00EB28A6" w:rsidTr="00AE303E">
        <w:trPr>
          <w:trHeight w:val="1104"/>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 </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Данъчна ставка за доставка на книги на физически носители или извършвана по електронен път или и двете, периодични печатни произведения – вестници и списания</w:t>
            </w:r>
            <w:r w:rsidRPr="00EB28A6">
              <w:rPr>
                <w:rFonts w:eastAsia="Times New Roman" w:cs="Times New Roman"/>
                <w:sz w:val="20"/>
                <w:szCs w:val="20"/>
                <w:vertAlign w:val="superscript"/>
              </w:rPr>
              <w:t>1</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9</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9</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9</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9</w:t>
            </w:r>
          </w:p>
        </w:tc>
      </w:tr>
      <w:tr w:rsidR="00AE303E" w:rsidRPr="00EB28A6" w:rsidTr="00AE303E">
        <w:trPr>
          <w:trHeight w:val="1104"/>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 </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Данъчна ставка за ресторантьорски и кетъринг услуги, които се състоят в доставка на приготвена или неприготвена храна, включително състояща се в доставка на храна за вкъщи</w:t>
            </w:r>
            <w:r w:rsidRPr="00EB28A6">
              <w:rPr>
                <w:rFonts w:eastAsia="Times New Roman" w:cs="Times New Roman"/>
                <w:sz w:val="20"/>
                <w:szCs w:val="20"/>
                <w:vertAlign w:val="superscript"/>
              </w:rPr>
              <w:t>2</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9</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9</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w:t>
            </w:r>
          </w:p>
        </w:tc>
      </w:tr>
      <w:tr w:rsidR="00AE303E" w:rsidRPr="00EB28A6" w:rsidTr="00AE303E">
        <w:trPr>
          <w:trHeight w:val="792"/>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 </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не се прилага за ресторантьорски и кетъринг услуги, които се състоят в доставка на бира, вино и спиртни напитки, включително в случаите по чл. 128 от ЗДДС</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20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w:t>
            </w:r>
          </w:p>
        </w:tc>
      </w:tr>
      <w:tr w:rsidR="00AE303E" w:rsidRPr="00EB28A6" w:rsidTr="00AE303E">
        <w:trPr>
          <w:trHeight w:val="576"/>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 </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Данъчна ставка за доставка на храни, подходящи за бебета или за малки деца по приложение № 4 от ЗДДС</w:t>
            </w:r>
            <w:r w:rsidRPr="00EB28A6">
              <w:rPr>
                <w:rFonts w:eastAsia="Times New Roman" w:cs="Times New Roman"/>
                <w:sz w:val="20"/>
                <w:szCs w:val="20"/>
                <w:vertAlign w:val="superscript"/>
              </w:rPr>
              <w:t>1</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9</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9</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9</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9</w:t>
            </w:r>
          </w:p>
        </w:tc>
      </w:tr>
      <w:tr w:rsidR="00AE303E" w:rsidRPr="00EB28A6" w:rsidTr="00AE303E">
        <w:trPr>
          <w:trHeight w:val="840"/>
        </w:trPr>
        <w:tc>
          <w:tcPr>
            <w:tcW w:w="185"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 </w:t>
            </w:r>
          </w:p>
        </w:tc>
        <w:tc>
          <w:tcPr>
            <w:tcW w:w="1678"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Данъчна ставка за доставка на бебешки пелени и подобни бебешки хигиенни артикули по приложение № 4 от ЗДДС</w:t>
            </w:r>
            <w:r w:rsidRPr="00EB28A6">
              <w:rPr>
                <w:rFonts w:eastAsia="Times New Roman" w:cs="Times New Roman"/>
                <w:sz w:val="20"/>
                <w:szCs w:val="20"/>
                <w:vertAlign w:val="superscript"/>
              </w:rPr>
              <w:t>1</w:t>
            </w:r>
          </w:p>
        </w:tc>
        <w:tc>
          <w:tcPr>
            <w:tcW w:w="504" w:type="pct"/>
            <w:vMerge/>
            <w:tcBorders>
              <w:bottom w:val="single" w:sz="4" w:space="0" w:color="auto"/>
            </w:tcBorders>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9</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9</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9</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9</w:t>
            </w:r>
          </w:p>
        </w:tc>
      </w:tr>
      <w:tr w:rsidR="00AE303E" w:rsidRPr="00EB28A6" w:rsidTr="00AE303E">
        <w:trPr>
          <w:trHeight w:val="1368"/>
        </w:trPr>
        <w:tc>
          <w:tcPr>
            <w:tcW w:w="185"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 </w:t>
            </w:r>
          </w:p>
        </w:tc>
        <w:tc>
          <w:tcPr>
            <w:tcW w:w="1678"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Данъчна ставка за доставка на обща туристическа услуга в случаите по чл. 136 от ЗДДС, както и екскурзиите, организирани от туристически оператори и туристически агенти със случаен автобусен превоз на пътници</w:t>
            </w:r>
            <w:r w:rsidRPr="00EB28A6">
              <w:rPr>
                <w:rFonts w:eastAsia="Times New Roman" w:cs="Times New Roman"/>
                <w:sz w:val="20"/>
                <w:szCs w:val="20"/>
                <w:vertAlign w:val="superscript"/>
              </w:rPr>
              <w:t>2</w:t>
            </w:r>
          </w:p>
        </w:tc>
        <w:tc>
          <w:tcPr>
            <w:tcW w:w="504" w:type="pct"/>
            <w:vMerge/>
            <w:tcBorders>
              <w:top w:val="single" w:sz="4" w:space="0" w:color="auto"/>
            </w:tcBorders>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9</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w:t>
            </w:r>
          </w:p>
        </w:tc>
      </w:tr>
      <w:tr w:rsidR="00AE303E" w:rsidRPr="00EB28A6" w:rsidTr="00AE303E">
        <w:trPr>
          <w:trHeight w:val="657"/>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 </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Данъчна ставка за доставка на услуга за използване на спортни съоръжения</w:t>
            </w:r>
            <w:r w:rsidRPr="00EB28A6">
              <w:rPr>
                <w:rFonts w:eastAsia="Times New Roman" w:cs="Times New Roman"/>
                <w:sz w:val="20"/>
                <w:szCs w:val="20"/>
                <w:vertAlign w:val="superscript"/>
              </w:rPr>
              <w:t>2</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9</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w:t>
            </w:r>
          </w:p>
        </w:tc>
      </w:tr>
      <w:tr w:rsidR="00AE303E" w:rsidRPr="00EB28A6" w:rsidTr="00AE303E">
        <w:trPr>
          <w:trHeight w:val="1056"/>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 </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Данъчна ставка за доставка на централно отопление</w:t>
            </w:r>
            <w:r w:rsidRPr="00EB28A6">
              <w:rPr>
                <w:rFonts w:eastAsia="Times New Roman" w:cs="Times New Roman"/>
                <w:sz w:val="20"/>
                <w:szCs w:val="20"/>
                <w:vertAlign w:val="superscript"/>
              </w:rPr>
              <w:t>3</w:t>
            </w:r>
          </w:p>
        </w:tc>
        <w:tc>
          <w:tcPr>
            <w:tcW w:w="504" w:type="pct"/>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9</w:t>
            </w:r>
            <w:r w:rsidRPr="00EB28A6">
              <w:rPr>
                <w:rFonts w:eastAsia="Times New Roman" w:cs="Times New Roman"/>
                <w:i/>
                <w:sz w:val="20"/>
                <w:szCs w:val="20"/>
              </w:rPr>
              <w:br/>
              <w:t>(от 1 януари до 30 юни)</w:t>
            </w:r>
            <w:r w:rsidRPr="00EB28A6">
              <w:rPr>
                <w:rFonts w:eastAsia="Times New Roman" w:cs="Times New Roman"/>
                <w:i/>
                <w:sz w:val="20"/>
                <w:szCs w:val="20"/>
              </w:rPr>
              <w:br/>
              <w:t>20</w:t>
            </w:r>
            <w:r w:rsidRPr="00EB28A6">
              <w:rPr>
                <w:rFonts w:eastAsia="Times New Roman" w:cs="Times New Roman"/>
                <w:i/>
                <w:sz w:val="20"/>
                <w:szCs w:val="20"/>
              </w:rPr>
              <w:br/>
              <w:t>(от 1 юли)</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w:t>
            </w:r>
          </w:p>
        </w:tc>
      </w:tr>
      <w:tr w:rsidR="00AE303E" w:rsidRPr="00EB28A6" w:rsidTr="00AE303E">
        <w:trPr>
          <w:trHeight w:val="1056"/>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 </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Данъчна ставка за доставка на природен газ</w:t>
            </w:r>
            <w:r w:rsidRPr="00EB28A6">
              <w:rPr>
                <w:rFonts w:eastAsia="Times New Roman" w:cs="Times New Roman"/>
                <w:sz w:val="20"/>
                <w:szCs w:val="20"/>
                <w:vertAlign w:val="superscript"/>
              </w:rPr>
              <w:t>3</w:t>
            </w:r>
          </w:p>
        </w:tc>
        <w:tc>
          <w:tcPr>
            <w:tcW w:w="504" w:type="pct"/>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9</w:t>
            </w:r>
            <w:r w:rsidRPr="00EB28A6">
              <w:rPr>
                <w:rFonts w:eastAsia="Times New Roman" w:cs="Times New Roman"/>
                <w:i/>
                <w:sz w:val="20"/>
                <w:szCs w:val="20"/>
              </w:rPr>
              <w:br/>
              <w:t>(от 1 януари до 30 юни)</w:t>
            </w:r>
            <w:r w:rsidRPr="00EB28A6">
              <w:rPr>
                <w:rFonts w:eastAsia="Times New Roman" w:cs="Times New Roman"/>
                <w:i/>
                <w:sz w:val="20"/>
                <w:szCs w:val="20"/>
              </w:rPr>
              <w:br/>
              <w:t>20</w:t>
            </w:r>
            <w:r w:rsidRPr="00EB28A6">
              <w:rPr>
                <w:rFonts w:eastAsia="Times New Roman" w:cs="Times New Roman"/>
                <w:i/>
                <w:sz w:val="20"/>
                <w:szCs w:val="20"/>
              </w:rPr>
              <w:br/>
              <w:t>(от 1 юли)</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w:t>
            </w:r>
          </w:p>
        </w:tc>
      </w:tr>
      <w:tr w:rsidR="00AE303E" w:rsidRPr="00EB28A6" w:rsidTr="00AE303E">
        <w:trPr>
          <w:trHeight w:val="1056"/>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 </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Данъчна ставка за доставка на хляб</w:t>
            </w:r>
            <w:r w:rsidRPr="00EB28A6">
              <w:rPr>
                <w:rFonts w:eastAsia="Times New Roman" w:cs="Times New Roman"/>
                <w:sz w:val="20"/>
                <w:szCs w:val="20"/>
                <w:vertAlign w:val="superscript"/>
              </w:rPr>
              <w:t>4</w:t>
            </w:r>
          </w:p>
        </w:tc>
        <w:tc>
          <w:tcPr>
            <w:tcW w:w="504" w:type="pct"/>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w:t>
            </w:r>
            <w:r w:rsidRPr="00EB28A6">
              <w:rPr>
                <w:rFonts w:eastAsia="Times New Roman" w:cs="Times New Roman"/>
                <w:sz w:val="20"/>
                <w:szCs w:val="20"/>
              </w:rPr>
              <w:br/>
              <w:t>(до 30 юни)</w:t>
            </w:r>
            <w:r w:rsidRPr="00EB28A6">
              <w:rPr>
                <w:rFonts w:eastAsia="Times New Roman" w:cs="Times New Roman"/>
                <w:sz w:val="20"/>
                <w:szCs w:val="20"/>
              </w:rPr>
              <w:br/>
              <w:t>20</w:t>
            </w:r>
            <w:r w:rsidRPr="00EB28A6">
              <w:rPr>
                <w:rFonts w:eastAsia="Times New Roman" w:cs="Times New Roman"/>
                <w:sz w:val="20"/>
                <w:szCs w:val="20"/>
              </w:rPr>
              <w:br/>
              <w:t>(от 1 юли)</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w:t>
            </w:r>
          </w:p>
        </w:tc>
      </w:tr>
      <w:tr w:rsidR="00AE303E" w:rsidRPr="00EB28A6" w:rsidTr="00AE303E">
        <w:trPr>
          <w:trHeight w:val="1056"/>
        </w:trPr>
        <w:tc>
          <w:tcPr>
            <w:tcW w:w="185"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 </w:t>
            </w:r>
          </w:p>
        </w:tc>
        <w:tc>
          <w:tcPr>
            <w:tcW w:w="1678"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Данъчна ставка за доставка на брашно</w:t>
            </w:r>
            <w:r w:rsidRPr="00EB28A6">
              <w:rPr>
                <w:rFonts w:eastAsia="Times New Roman" w:cs="Times New Roman"/>
                <w:sz w:val="20"/>
                <w:szCs w:val="20"/>
                <w:vertAlign w:val="superscript"/>
              </w:rPr>
              <w:t>4</w:t>
            </w:r>
          </w:p>
        </w:tc>
        <w:tc>
          <w:tcPr>
            <w:tcW w:w="504" w:type="pct"/>
            <w:tcBorders>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 </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0</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w:t>
            </w:r>
            <w:r w:rsidRPr="00EB28A6">
              <w:rPr>
                <w:rFonts w:eastAsia="Times New Roman" w:cs="Times New Roman"/>
                <w:sz w:val="20"/>
                <w:szCs w:val="20"/>
              </w:rPr>
              <w:br/>
              <w:t>(до 30 юни)</w:t>
            </w:r>
            <w:r w:rsidRPr="00EB28A6">
              <w:rPr>
                <w:rFonts w:eastAsia="Times New Roman" w:cs="Times New Roman"/>
                <w:sz w:val="20"/>
                <w:szCs w:val="20"/>
              </w:rPr>
              <w:br/>
              <w:t>20</w:t>
            </w:r>
            <w:r w:rsidRPr="00EB28A6">
              <w:rPr>
                <w:rFonts w:eastAsia="Times New Roman" w:cs="Times New Roman"/>
                <w:sz w:val="20"/>
                <w:szCs w:val="20"/>
              </w:rPr>
              <w:br/>
              <w:t>(от 1 юли)</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w:t>
            </w:r>
          </w:p>
        </w:tc>
      </w:tr>
      <w:tr w:rsidR="00AE303E" w:rsidRPr="00EB28A6" w:rsidTr="00AE303E">
        <w:trPr>
          <w:trHeight w:val="528"/>
        </w:trPr>
        <w:tc>
          <w:tcPr>
            <w:tcW w:w="185"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2.</w:t>
            </w:r>
          </w:p>
        </w:tc>
        <w:tc>
          <w:tcPr>
            <w:tcW w:w="1678"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основната данъчна ставка на корпоративния данък</w:t>
            </w:r>
          </w:p>
        </w:tc>
        <w:tc>
          <w:tcPr>
            <w:tcW w:w="504" w:type="pct"/>
            <w:vMerge w:val="restart"/>
            <w:tcBorders>
              <w:top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10</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10</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10</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10</w:t>
            </w:r>
          </w:p>
        </w:tc>
      </w:tr>
      <w:tr w:rsidR="00AE303E" w:rsidRPr="00EB28A6" w:rsidTr="00AE303E">
        <w:trPr>
          <w:trHeight w:val="324"/>
        </w:trPr>
        <w:tc>
          <w:tcPr>
            <w:tcW w:w="185"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 </w:t>
            </w:r>
          </w:p>
        </w:tc>
        <w:tc>
          <w:tcPr>
            <w:tcW w:w="1678" w:type="pct"/>
            <w:tcBorders>
              <w:bottom w:val="single" w:sz="4" w:space="0" w:color="auto"/>
            </w:tcBorders>
            <w:shd w:val="clear" w:color="auto" w:fill="auto"/>
            <w:noWrap/>
            <w:vAlign w:val="bottom"/>
            <w:hideMark/>
          </w:tcPr>
          <w:p w:rsidR="00AE303E" w:rsidRPr="00EB28A6" w:rsidRDefault="00AE303E" w:rsidP="00AE303E">
            <w:pPr>
              <w:spacing w:after="0"/>
              <w:jc w:val="left"/>
              <w:rPr>
                <w:rFonts w:eastAsia="Times New Roman" w:cs="Times New Roman"/>
                <w:color w:val="000000"/>
                <w:sz w:val="20"/>
                <w:szCs w:val="20"/>
              </w:rPr>
            </w:pPr>
            <w:r w:rsidRPr="00EB28A6">
              <w:rPr>
                <w:rFonts w:eastAsia="Times New Roman" w:cs="Times New Roman"/>
                <w:color w:val="000000"/>
                <w:sz w:val="20"/>
                <w:szCs w:val="20"/>
              </w:rPr>
              <w:t>- национален допълнителен данък (domestic top-up tax)</w:t>
            </w:r>
            <w:r w:rsidRPr="00EB28A6">
              <w:rPr>
                <w:rFonts w:eastAsia="Times New Roman" w:cs="Times New Roman"/>
                <w:color w:val="000000"/>
                <w:sz w:val="20"/>
                <w:szCs w:val="20"/>
                <w:vertAlign w:val="superscript"/>
              </w:rPr>
              <w:t>5</w:t>
            </w:r>
          </w:p>
        </w:tc>
        <w:tc>
          <w:tcPr>
            <w:tcW w:w="504" w:type="pct"/>
            <w:vMerge/>
            <w:tcBorders>
              <w:bottom w:val="single" w:sz="4" w:space="0" w:color="auto"/>
            </w:tcBorders>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15</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15</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15</w:t>
            </w:r>
          </w:p>
        </w:tc>
      </w:tr>
      <w:tr w:rsidR="00AE303E" w:rsidRPr="00EB28A6" w:rsidTr="00AE303E">
        <w:trPr>
          <w:trHeight w:val="528"/>
        </w:trPr>
        <w:tc>
          <w:tcPr>
            <w:tcW w:w="185" w:type="pct"/>
            <w:vMerge w:val="restar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3.</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Данък върху доходите на физическите лица, основна ставка</w:t>
            </w:r>
          </w:p>
        </w:tc>
        <w:tc>
          <w:tcPr>
            <w:tcW w:w="504" w:type="pct"/>
            <w:vMerge w:val="restar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10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10</w:t>
            </w:r>
          </w:p>
        </w:tc>
      </w:tr>
      <w:tr w:rsidR="00AE303E" w:rsidRPr="00EB28A6" w:rsidTr="00AE303E">
        <w:trPr>
          <w:trHeight w:val="288"/>
        </w:trPr>
        <w:tc>
          <w:tcPr>
            <w:tcW w:w="185" w:type="pct"/>
            <w:vMerge/>
            <w:tcBorders>
              <w:top w:val="single" w:sz="4" w:space="0" w:color="auto"/>
            </w:tcBorders>
            <w:vAlign w:val="center"/>
            <w:hideMark/>
          </w:tcPr>
          <w:p w:rsidR="00AE303E" w:rsidRPr="00EB28A6" w:rsidRDefault="00AE303E" w:rsidP="00AE303E">
            <w:pPr>
              <w:spacing w:after="0"/>
              <w:jc w:val="left"/>
              <w:rPr>
                <w:rFonts w:eastAsia="Times New Roman" w:cs="Times New Roman"/>
                <w:b/>
                <w:bCs/>
                <w:sz w:val="20"/>
                <w:szCs w:val="20"/>
              </w:rPr>
            </w:pPr>
          </w:p>
        </w:tc>
        <w:tc>
          <w:tcPr>
            <w:tcW w:w="1678"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в т.ч.: </w:t>
            </w:r>
          </w:p>
        </w:tc>
        <w:tc>
          <w:tcPr>
            <w:tcW w:w="504" w:type="pct"/>
            <w:vMerge/>
            <w:tcBorders>
              <w:top w:val="single" w:sz="4" w:space="0" w:color="auto"/>
            </w:tcBorders>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r>
      <w:tr w:rsidR="00AE303E" w:rsidRPr="00EB28A6" w:rsidTr="00AE303E">
        <w:trPr>
          <w:trHeight w:val="528"/>
        </w:trPr>
        <w:tc>
          <w:tcPr>
            <w:tcW w:w="185" w:type="pct"/>
            <w:vMerge/>
            <w:tcBorders>
              <w:bottom w:val="single" w:sz="4" w:space="0" w:color="auto"/>
            </w:tcBorders>
            <w:vAlign w:val="center"/>
            <w:hideMark/>
          </w:tcPr>
          <w:p w:rsidR="00AE303E" w:rsidRPr="00EB28A6" w:rsidRDefault="00AE303E" w:rsidP="00AE303E">
            <w:pPr>
              <w:spacing w:after="0"/>
              <w:jc w:val="left"/>
              <w:rPr>
                <w:rFonts w:eastAsia="Times New Roman" w:cs="Times New Roman"/>
                <w:b/>
                <w:bCs/>
                <w:sz w:val="20"/>
                <w:szCs w:val="20"/>
              </w:rPr>
            </w:pPr>
          </w:p>
        </w:tc>
        <w:tc>
          <w:tcPr>
            <w:tcW w:w="1678"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Данъчна ставка за данъка върху доходите от стопанска дейност на едноличните търговци</w:t>
            </w:r>
          </w:p>
        </w:tc>
        <w:tc>
          <w:tcPr>
            <w:tcW w:w="504" w:type="pct"/>
            <w:vMerge/>
            <w:tcBorders>
              <w:bottom w:val="single" w:sz="4" w:space="0" w:color="auto"/>
            </w:tcBorders>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15</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15</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15</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15</w:t>
            </w:r>
          </w:p>
        </w:tc>
      </w:tr>
      <w:tr w:rsidR="00AE303E" w:rsidRPr="00EB28A6" w:rsidTr="00AE303E">
        <w:trPr>
          <w:trHeight w:val="288"/>
        </w:trPr>
        <w:tc>
          <w:tcPr>
            <w:tcW w:w="185"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4.</w:t>
            </w:r>
          </w:p>
        </w:tc>
        <w:tc>
          <w:tcPr>
            <w:tcW w:w="1678"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Данъци, удържани при източника</w:t>
            </w:r>
          </w:p>
        </w:tc>
        <w:tc>
          <w:tcPr>
            <w:tcW w:w="504" w:type="pct"/>
            <w:tcBorders>
              <w:top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r>
      <w:tr w:rsidR="00AE303E" w:rsidRPr="00EB28A6" w:rsidTr="00AE303E">
        <w:trPr>
          <w:trHeight w:val="288"/>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 </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в т.ч.:</w:t>
            </w:r>
          </w:p>
        </w:tc>
        <w:tc>
          <w:tcPr>
            <w:tcW w:w="504" w:type="pct"/>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r>
      <w:tr w:rsidR="00AE303E" w:rsidRPr="00EB28A6" w:rsidTr="00AE303E">
        <w:trPr>
          <w:trHeight w:val="528"/>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4.1.</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Данък, удържан при доходи от дивидентите и ликвидационните дялове</w:t>
            </w:r>
          </w:p>
        </w:tc>
        <w:tc>
          <w:tcPr>
            <w:tcW w:w="504" w:type="pct"/>
            <w:vMerge w:val="restart"/>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5</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5</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5</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5</w:t>
            </w:r>
          </w:p>
        </w:tc>
      </w:tr>
      <w:tr w:rsidR="00AE303E" w:rsidRPr="00EB28A6" w:rsidTr="00AE303E">
        <w:trPr>
          <w:trHeight w:val="288"/>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 </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в т.ч.: </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r>
      <w:tr w:rsidR="00AE303E" w:rsidRPr="00EB28A6" w:rsidTr="00AE303E">
        <w:trPr>
          <w:trHeight w:val="1584"/>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 </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от дивидентите и ликвидационните дялове, разпределени в полза на чуждестранно юридическо лице, което е местно лице за данъчни цели на държава – членка на Европейския съюз, или на друга държава – страна по Споразумението за Европейското икономическо пространство и другите лица по чл. 194, ал. 3 от ЗКПО</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w:t>
            </w:r>
          </w:p>
        </w:tc>
      </w:tr>
      <w:tr w:rsidR="00AE303E" w:rsidRPr="00EB28A6" w:rsidTr="00AE303E">
        <w:trPr>
          <w:trHeight w:val="528"/>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4.2.</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Данък върху доходите на чуждестранни юридически лица</w:t>
            </w:r>
          </w:p>
        </w:tc>
        <w:tc>
          <w:tcPr>
            <w:tcW w:w="504" w:type="pct"/>
            <w:vMerge w:val="restart"/>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w:t>
            </w:r>
          </w:p>
        </w:tc>
        <w:tc>
          <w:tcPr>
            <w:tcW w:w="658" w:type="pct"/>
            <w:vMerge w:val="restar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10</w:t>
            </w:r>
          </w:p>
        </w:tc>
        <w:tc>
          <w:tcPr>
            <w:tcW w:w="658" w:type="pct"/>
            <w:vMerge w:val="restar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10</w:t>
            </w:r>
          </w:p>
        </w:tc>
        <w:tc>
          <w:tcPr>
            <w:tcW w:w="658" w:type="pct"/>
            <w:vMerge w:val="restar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10</w:t>
            </w:r>
          </w:p>
        </w:tc>
        <w:tc>
          <w:tcPr>
            <w:tcW w:w="658" w:type="pct"/>
            <w:vMerge w:val="restar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10</w:t>
            </w:r>
          </w:p>
        </w:tc>
      </w:tr>
      <w:tr w:rsidR="00AE303E" w:rsidRPr="00EB28A6" w:rsidTr="00AE303E">
        <w:trPr>
          <w:trHeight w:val="288"/>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 </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в т.ч.:</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vMerge/>
            <w:vAlign w:val="center"/>
            <w:hideMark/>
          </w:tcPr>
          <w:p w:rsidR="00AE303E" w:rsidRPr="00EB28A6" w:rsidRDefault="00AE303E" w:rsidP="00AE303E">
            <w:pPr>
              <w:spacing w:after="0"/>
              <w:jc w:val="left"/>
              <w:rPr>
                <w:rFonts w:eastAsia="Times New Roman" w:cs="Times New Roman"/>
                <w:i/>
                <w:sz w:val="20"/>
                <w:szCs w:val="20"/>
              </w:rPr>
            </w:pPr>
          </w:p>
        </w:tc>
        <w:tc>
          <w:tcPr>
            <w:tcW w:w="658" w:type="pct"/>
            <w:vMerge/>
            <w:vAlign w:val="center"/>
            <w:hideMark/>
          </w:tcPr>
          <w:p w:rsidR="00AE303E" w:rsidRPr="00EB28A6" w:rsidRDefault="00AE303E" w:rsidP="00AE303E">
            <w:pPr>
              <w:spacing w:after="0"/>
              <w:jc w:val="left"/>
              <w:rPr>
                <w:rFonts w:eastAsia="Times New Roman" w:cs="Times New Roman"/>
                <w:sz w:val="20"/>
                <w:szCs w:val="20"/>
              </w:rPr>
            </w:pPr>
          </w:p>
        </w:tc>
        <w:tc>
          <w:tcPr>
            <w:tcW w:w="658" w:type="pct"/>
            <w:vMerge/>
            <w:vAlign w:val="center"/>
            <w:hideMark/>
          </w:tcPr>
          <w:p w:rsidR="00AE303E" w:rsidRPr="00EB28A6" w:rsidRDefault="00AE303E" w:rsidP="00AE303E">
            <w:pPr>
              <w:spacing w:after="0"/>
              <w:jc w:val="left"/>
              <w:rPr>
                <w:rFonts w:eastAsia="Times New Roman" w:cs="Times New Roman"/>
                <w:sz w:val="20"/>
                <w:szCs w:val="20"/>
              </w:rPr>
            </w:pPr>
          </w:p>
        </w:tc>
        <w:tc>
          <w:tcPr>
            <w:tcW w:w="658" w:type="pct"/>
            <w:vMerge/>
            <w:vAlign w:val="center"/>
            <w:hideMark/>
          </w:tcPr>
          <w:p w:rsidR="00AE303E" w:rsidRPr="00EB28A6" w:rsidRDefault="00AE303E" w:rsidP="00AE303E">
            <w:pPr>
              <w:spacing w:after="0"/>
              <w:jc w:val="left"/>
              <w:rPr>
                <w:rFonts w:eastAsia="Times New Roman" w:cs="Times New Roman"/>
                <w:sz w:val="20"/>
                <w:szCs w:val="20"/>
              </w:rPr>
            </w:pPr>
          </w:p>
        </w:tc>
      </w:tr>
      <w:tr w:rsidR="00AE303E" w:rsidRPr="00EB28A6" w:rsidTr="00AE303E">
        <w:trPr>
          <w:trHeight w:val="1056"/>
        </w:trPr>
        <w:tc>
          <w:tcPr>
            <w:tcW w:w="185"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 </w:t>
            </w:r>
          </w:p>
        </w:tc>
        <w:tc>
          <w:tcPr>
            <w:tcW w:w="1678"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Данъчна ставка за данъка върху доходите от лихви, авторски и лицензионни възнаграждения, когато са изпълнени допълнителните условия по чл. 195, ал. 7-12 от Закона за корпоративното подоходно облагане</w:t>
            </w:r>
          </w:p>
        </w:tc>
        <w:tc>
          <w:tcPr>
            <w:tcW w:w="504" w:type="pct"/>
            <w:vMerge/>
            <w:tcBorders>
              <w:bottom w:val="single" w:sz="4" w:space="0" w:color="auto"/>
            </w:tcBorders>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0</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w:t>
            </w:r>
          </w:p>
        </w:tc>
      </w:tr>
      <w:tr w:rsidR="00AE303E" w:rsidRPr="00EB28A6" w:rsidTr="00AE303E">
        <w:trPr>
          <w:trHeight w:val="288"/>
        </w:trPr>
        <w:tc>
          <w:tcPr>
            <w:tcW w:w="185"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5.</w:t>
            </w:r>
          </w:p>
        </w:tc>
        <w:tc>
          <w:tcPr>
            <w:tcW w:w="1678"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Данък върху разходите</w:t>
            </w:r>
          </w:p>
        </w:tc>
        <w:tc>
          <w:tcPr>
            <w:tcW w:w="504" w:type="pct"/>
            <w:vMerge w:val="restart"/>
            <w:tcBorders>
              <w:top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10</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10</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10</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10</w:t>
            </w:r>
          </w:p>
        </w:tc>
      </w:tr>
      <w:tr w:rsidR="00AE303E" w:rsidRPr="00EB28A6" w:rsidTr="00AE303E">
        <w:trPr>
          <w:trHeight w:val="162"/>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 </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в т.ч.: </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r>
      <w:tr w:rsidR="00AE303E" w:rsidRPr="00EB28A6" w:rsidTr="00AE303E">
        <w:trPr>
          <w:trHeight w:val="324"/>
        </w:trPr>
        <w:tc>
          <w:tcPr>
            <w:tcW w:w="185"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 </w:t>
            </w:r>
          </w:p>
        </w:tc>
        <w:tc>
          <w:tcPr>
            <w:tcW w:w="1678" w:type="pct"/>
            <w:tcBorders>
              <w:bottom w:val="single" w:sz="4" w:space="0" w:color="auto"/>
            </w:tcBorders>
            <w:shd w:val="clear" w:color="auto" w:fill="auto"/>
            <w:noWrap/>
            <w:vAlign w:val="bottom"/>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Данък върху разходите в натура</w:t>
            </w:r>
            <w:r w:rsidRPr="00EB28A6">
              <w:rPr>
                <w:rFonts w:eastAsia="Times New Roman" w:cs="Times New Roman"/>
                <w:sz w:val="20"/>
                <w:szCs w:val="20"/>
                <w:vertAlign w:val="superscript"/>
              </w:rPr>
              <w:t>6</w:t>
            </w:r>
          </w:p>
        </w:tc>
        <w:tc>
          <w:tcPr>
            <w:tcW w:w="504" w:type="pct"/>
            <w:vMerge/>
            <w:tcBorders>
              <w:bottom w:val="single" w:sz="4" w:space="0" w:color="auto"/>
            </w:tcBorders>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3</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w:t>
            </w:r>
          </w:p>
        </w:tc>
      </w:tr>
      <w:tr w:rsidR="00AE303E" w:rsidRPr="00EB28A6" w:rsidTr="00AE303E">
        <w:trPr>
          <w:trHeight w:val="792"/>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6.</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Данък върху хазартната дейност от игри, при които залогът за участие е чрез цената на телефонна или друга електронна съобщителна услуга (основна ставка)</w:t>
            </w:r>
          </w:p>
        </w:tc>
        <w:tc>
          <w:tcPr>
            <w:tcW w:w="504" w:type="pc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15</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15</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15</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15</w:t>
            </w:r>
          </w:p>
        </w:tc>
      </w:tr>
      <w:tr w:rsidR="00AE303E" w:rsidRPr="00EB28A6" w:rsidTr="00AE303E">
        <w:trPr>
          <w:trHeight w:val="288"/>
        </w:trPr>
        <w:tc>
          <w:tcPr>
            <w:tcW w:w="185"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7.</w:t>
            </w:r>
          </w:p>
        </w:tc>
        <w:tc>
          <w:tcPr>
            <w:tcW w:w="1678"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Данък върху приходите на бюджетни предприятия</w:t>
            </w:r>
          </w:p>
        </w:tc>
        <w:tc>
          <w:tcPr>
            <w:tcW w:w="504" w:type="pct"/>
            <w:vMerge w:val="restart"/>
            <w:tcBorders>
              <w:top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3</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w:t>
            </w:r>
          </w:p>
        </w:tc>
      </w:tr>
      <w:tr w:rsidR="00AE303E" w:rsidRPr="00EB28A6" w:rsidTr="00AE303E">
        <w:trPr>
          <w:trHeight w:val="288"/>
        </w:trPr>
        <w:tc>
          <w:tcPr>
            <w:tcW w:w="185"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 </w:t>
            </w:r>
          </w:p>
        </w:tc>
        <w:tc>
          <w:tcPr>
            <w:tcW w:w="1678"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в т.ч.:</w:t>
            </w:r>
          </w:p>
        </w:tc>
        <w:tc>
          <w:tcPr>
            <w:tcW w:w="504" w:type="pct"/>
            <w:vMerge/>
            <w:tcBorders>
              <w:bottom w:val="single" w:sz="4" w:space="0" w:color="auto"/>
            </w:tcBorders>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 </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r>
      <w:tr w:rsidR="00AE303E" w:rsidRPr="00EB28A6" w:rsidTr="00AE303E">
        <w:trPr>
          <w:trHeight w:val="288"/>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 </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на общините</w:t>
            </w:r>
          </w:p>
        </w:tc>
        <w:tc>
          <w:tcPr>
            <w:tcW w:w="504" w:type="pct"/>
            <w:vMerge/>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2</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w:t>
            </w:r>
          </w:p>
        </w:tc>
      </w:tr>
      <w:tr w:rsidR="00AE303E" w:rsidRPr="00EB28A6" w:rsidTr="00AE303E">
        <w:trPr>
          <w:trHeight w:val="288"/>
        </w:trPr>
        <w:tc>
          <w:tcPr>
            <w:tcW w:w="185"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8.</w:t>
            </w:r>
          </w:p>
        </w:tc>
        <w:tc>
          <w:tcPr>
            <w:tcW w:w="1678"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Акцизи</w:t>
            </w:r>
          </w:p>
        </w:tc>
        <w:tc>
          <w:tcPr>
            <w:tcW w:w="504" w:type="pct"/>
            <w:tcBorders>
              <w:top w:val="single" w:sz="4" w:space="0" w:color="auto"/>
            </w:tcBorders>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r w:rsidRPr="00EB28A6">
              <w:rPr>
                <w:rFonts w:eastAsia="Times New Roman" w:cs="Times New Roman"/>
                <w:color w:val="000000"/>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r>
      <w:tr w:rsidR="00AE303E" w:rsidRPr="00EB28A6" w:rsidTr="00AE303E">
        <w:trPr>
          <w:trHeight w:val="288"/>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 </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в т.ч.:</w:t>
            </w:r>
          </w:p>
        </w:tc>
        <w:tc>
          <w:tcPr>
            <w:tcW w:w="504" w:type="pct"/>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r w:rsidRPr="00EB28A6">
              <w:rPr>
                <w:rFonts w:eastAsia="Times New Roman" w:cs="Times New Roman"/>
                <w:color w:val="000000"/>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r>
      <w:tr w:rsidR="00AE303E" w:rsidRPr="00EB28A6" w:rsidTr="00AE303E">
        <w:trPr>
          <w:trHeight w:val="288"/>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8.1.</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Акциз на безоловен бензин</w:t>
            </w:r>
          </w:p>
        </w:tc>
        <w:tc>
          <w:tcPr>
            <w:tcW w:w="504" w:type="pct"/>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лв./1000 л.</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710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710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710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710</w:t>
            </w:r>
          </w:p>
        </w:tc>
      </w:tr>
      <w:tr w:rsidR="00AE303E" w:rsidRPr="00EB28A6" w:rsidTr="00AE303E">
        <w:trPr>
          <w:trHeight w:val="528"/>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8.2.</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Акциз на газьол (в т.ч. използван и като гориво за отопление)</w:t>
            </w:r>
          </w:p>
        </w:tc>
        <w:tc>
          <w:tcPr>
            <w:tcW w:w="504" w:type="pct"/>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лв./1000 л.</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646</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646</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646</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646</w:t>
            </w:r>
          </w:p>
        </w:tc>
      </w:tr>
      <w:tr w:rsidR="00AE303E" w:rsidRPr="00EB28A6" w:rsidTr="00AE303E">
        <w:trPr>
          <w:trHeight w:val="288"/>
        </w:trPr>
        <w:tc>
          <w:tcPr>
            <w:tcW w:w="185" w:type="pct"/>
            <w:vMerge w:val="restar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8.3.</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Акциз на втечнен нефтен газ (LPG)</w:t>
            </w:r>
          </w:p>
        </w:tc>
        <w:tc>
          <w:tcPr>
            <w:tcW w:w="504" w:type="pct"/>
            <w:vMerge w:val="restart"/>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лв./1000 л.</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r>
      <w:tr w:rsidR="00AE303E" w:rsidRPr="00EB28A6" w:rsidTr="00AE303E">
        <w:trPr>
          <w:trHeight w:val="288"/>
        </w:trPr>
        <w:tc>
          <w:tcPr>
            <w:tcW w:w="185" w:type="pct"/>
            <w:vMerge/>
            <w:vAlign w:val="center"/>
            <w:hideMark/>
          </w:tcPr>
          <w:p w:rsidR="00AE303E" w:rsidRPr="00EB28A6" w:rsidRDefault="00AE303E" w:rsidP="00AE303E">
            <w:pPr>
              <w:spacing w:after="0"/>
              <w:jc w:val="left"/>
              <w:rPr>
                <w:rFonts w:eastAsia="Times New Roman" w:cs="Times New Roman"/>
                <w:b/>
                <w:bCs/>
                <w:sz w:val="20"/>
                <w:szCs w:val="20"/>
              </w:rPr>
            </w:pPr>
          </w:p>
        </w:tc>
        <w:tc>
          <w:tcPr>
            <w:tcW w:w="1678" w:type="pct"/>
            <w:shd w:val="clear" w:color="auto" w:fill="auto"/>
            <w:noWrap/>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използван като моторно гориво</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340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340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340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340</w:t>
            </w:r>
          </w:p>
        </w:tc>
      </w:tr>
      <w:tr w:rsidR="00AE303E" w:rsidRPr="00EB28A6" w:rsidTr="00AE303E">
        <w:trPr>
          <w:trHeight w:val="1056"/>
        </w:trPr>
        <w:tc>
          <w:tcPr>
            <w:tcW w:w="185" w:type="pct"/>
            <w:vMerge/>
            <w:vAlign w:val="center"/>
            <w:hideMark/>
          </w:tcPr>
          <w:p w:rsidR="00AE303E" w:rsidRPr="00EB28A6" w:rsidRDefault="00AE303E" w:rsidP="00AE303E">
            <w:pPr>
              <w:spacing w:after="0"/>
              <w:jc w:val="left"/>
              <w:rPr>
                <w:rFonts w:eastAsia="Times New Roman" w:cs="Times New Roman"/>
                <w:b/>
                <w:bCs/>
                <w:sz w:val="20"/>
                <w:szCs w:val="20"/>
              </w:rPr>
            </w:pP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в т.ч. втечнен нефтен газ (LPG) с кодове по КН от 2711 12 11 до 2711 19 00.</w:t>
            </w:r>
            <w:r w:rsidRPr="00EB28A6">
              <w:rPr>
                <w:rFonts w:eastAsia="Times New Roman" w:cs="Times New Roman"/>
                <w:sz w:val="20"/>
                <w:szCs w:val="20"/>
                <w:vertAlign w:val="superscript"/>
              </w:rPr>
              <w:t>7</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0</w:t>
            </w:r>
            <w:r w:rsidRPr="00EB28A6">
              <w:rPr>
                <w:rFonts w:eastAsia="Times New Roman" w:cs="Times New Roman"/>
                <w:i/>
                <w:sz w:val="20"/>
                <w:szCs w:val="20"/>
              </w:rPr>
              <w:br/>
              <w:t>(1 март - 31 юли)</w:t>
            </w:r>
            <w:r w:rsidRPr="00EB28A6">
              <w:rPr>
                <w:rFonts w:eastAsia="Times New Roman" w:cs="Times New Roman"/>
                <w:i/>
                <w:sz w:val="20"/>
                <w:szCs w:val="20"/>
              </w:rPr>
              <w:br/>
              <w:t>340</w:t>
            </w:r>
            <w:r w:rsidRPr="00EB28A6">
              <w:rPr>
                <w:rFonts w:eastAsia="Times New Roman" w:cs="Times New Roman"/>
                <w:i/>
                <w:sz w:val="20"/>
                <w:szCs w:val="20"/>
              </w:rPr>
              <w:br/>
              <w:t>(от 1 август)</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340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340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340</w:t>
            </w:r>
          </w:p>
        </w:tc>
      </w:tr>
      <w:tr w:rsidR="00AE303E" w:rsidRPr="00EB28A6" w:rsidTr="00AE303E">
        <w:trPr>
          <w:trHeight w:val="288"/>
        </w:trPr>
        <w:tc>
          <w:tcPr>
            <w:tcW w:w="185" w:type="pct"/>
            <w:vMerge/>
            <w:vAlign w:val="center"/>
            <w:hideMark/>
          </w:tcPr>
          <w:p w:rsidR="00AE303E" w:rsidRPr="00EB28A6" w:rsidRDefault="00AE303E" w:rsidP="00AE303E">
            <w:pPr>
              <w:spacing w:after="0"/>
              <w:jc w:val="left"/>
              <w:rPr>
                <w:rFonts w:eastAsia="Times New Roman" w:cs="Times New Roman"/>
                <w:b/>
                <w:bCs/>
                <w:sz w:val="20"/>
                <w:szCs w:val="20"/>
              </w:rPr>
            </w:pPr>
          </w:p>
        </w:tc>
        <w:tc>
          <w:tcPr>
            <w:tcW w:w="1678" w:type="pct"/>
            <w:shd w:val="clear" w:color="auto" w:fill="auto"/>
            <w:noWrap/>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използван като гориво за отопление</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w:t>
            </w:r>
          </w:p>
        </w:tc>
      </w:tr>
      <w:tr w:rsidR="00AE303E" w:rsidRPr="00EB28A6" w:rsidTr="00AE303E">
        <w:trPr>
          <w:trHeight w:val="288"/>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8.4.</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Акциз на керосин</w:t>
            </w:r>
          </w:p>
        </w:tc>
        <w:tc>
          <w:tcPr>
            <w:tcW w:w="504" w:type="pct"/>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лв./1000 л.</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646</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646</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646</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646</w:t>
            </w:r>
          </w:p>
        </w:tc>
      </w:tr>
      <w:tr w:rsidR="00AE303E" w:rsidRPr="00EB28A6" w:rsidTr="00AE303E">
        <w:trPr>
          <w:trHeight w:val="288"/>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8.5.</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Акциз на кокс и въглища</w:t>
            </w:r>
          </w:p>
        </w:tc>
        <w:tc>
          <w:tcPr>
            <w:tcW w:w="504" w:type="pct"/>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лв./гигаджаул</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0,60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0,60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0,60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0,60</w:t>
            </w:r>
          </w:p>
        </w:tc>
      </w:tr>
      <w:tr w:rsidR="00AE303E" w:rsidRPr="00EB28A6" w:rsidTr="00AE303E">
        <w:trPr>
          <w:trHeight w:val="288"/>
        </w:trPr>
        <w:tc>
          <w:tcPr>
            <w:tcW w:w="185" w:type="pct"/>
            <w:vMerge w:val="restar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8.6.</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Акциз на електрическа енергия</w:t>
            </w:r>
          </w:p>
        </w:tc>
        <w:tc>
          <w:tcPr>
            <w:tcW w:w="504" w:type="pct"/>
            <w:vMerge w:val="restart"/>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лв./мегаватчас</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r>
      <w:tr w:rsidR="00AE303E" w:rsidRPr="00EB28A6" w:rsidTr="00AE303E">
        <w:trPr>
          <w:trHeight w:val="288"/>
        </w:trPr>
        <w:tc>
          <w:tcPr>
            <w:tcW w:w="185" w:type="pct"/>
            <w:vMerge/>
            <w:vAlign w:val="center"/>
            <w:hideMark/>
          </w:tcPr>
          <w:p w:rsidR="00AE303E" w:rsidRPr="00EB28A6" w:rsidRDefault="00AE303E" w:rsidP="00AE303E">
            <w:pPr>
              <w:spacing w:after="0"/>
              <w:jc w:val="left"/>
              <w:rPr>
                <w:rFonts w:eastAsia="Times New Roman" w:cs="Times New Roman"/>
                <w:b/>
                <w:bCs/>
                <w:sz w:val="20"/>
                <w:szCs w:val="20"/>
              </w:rPr>
            </w:pPr>
          </w:p>
        </w:tc>
        <w:tc>
          <w:tcPr>
            <w:tcW w:w="1678" w:type="pct"/>
            <w:shd w:val="clear" w:color="auto" w:fill="auto"/>
            <w:noWrap/>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използвана за стопански нужди</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2</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w:t>
            </w:r>
          </w:p>
        </w:tc>
      </w:tr>
      <w:tr w:rsidR="00AE303E" w:rsidRPr="00EB28A6" w:rsidTr="00AE303E">
        <w:trPr>
          <w:trHeight w:val="1056"/>
        </w:trPr>
        <w:tc>
          <w:tcPr>
            <w:tcW w:w="185" w:type="pct"/>
            <w:vMerge/>
            <w:vAlign w:val="center"/>
            <w:hideMark/>
          </w:tcPr>
          <w:p w:rsidR="00AE303E" w:rsidRPr="00EB28A6" w:rsidRDefault="00AE303E" w:rsidP="00AE303E">
            <w:pPr>
              <w:spacing w:after="0"/>
              <w:jc w:val="left"/>
              <w:rPr>
                <w:rFonts w:eastAsia="Times New Roman" w:cs="Times New Roman"/>
                <w:b/>
                <w:bCs/>
                <w:sz w:val="20"/>
                <w:szCs w:val="20"/>
              </w:rPr>
            </w:pP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за електрическата енергия с код по КН 2716, произведена при определени условия</w:t>
            </w:r>
            <w:r w:rsidRPr="00EB28A6">
              <w:rPr>
                <w:rFonts w:eastAsia="Times New Roman" w:cs="Times New Roman"/>
                <w:sz w:val="20"/>
                <w:szCs w:val="20"/>
                <w:vertAlign w:val="superscript"/>
              </w:rPr>
              <w:t>8</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0</w:t>
            </w:r>
            <w:r w:rsidRPr="00EB28A6">
              <w:rPr>
                <w:rFonts w:eastAsia="Times New Roman" w:cs="Times New Roman"/>
                <w:i/>
                <w:sz w:val="20"/>
                <w:szCs w:val="20"/>
              </w:rPr>
              <w:br/>
              <w:t>(1 март - 31 юли)</w:t>
            </w:r>
            <w:r w:rsidRPr="00EB28A6">
              <w:rPr>
                <w:rFonts w:eastAsia="Times New Roman" w:cs="Times New Roman"/>
                <w:i/>
                <w:sz w:val="20"/>
                <w:szCs w:val="20"/>
              </w:rPr>
              <w:br/>
              <w:t>2</w:t>
            </w:r>
            <w:r w:rsidRPr="00EB28A6">
              <w:rPr>
                <w:rFonts w:eastAsia="Times New Roman" w:cs="Times New Roman"/>
                <w:i/>
                <w:sz w:val="20"/>
                <w:szCs w:val="20"/>
              </w:rPr>
              <w:br/>
              <w:t>(от 1 август)</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w:t>
            </w:r>
          </w:p>
        </w:tc>
      </w:tr>
      <w:tr w:rsidR="00AE303E" w:rsidRPr="00EB28A6" w:rsidTr="00AE303E">
        <w:trPr>
          <w:trHeight w:val="288"/>
        </w:trPr>
        <w:tc>
          <w:tcPr>
            <w:tcW w:w="185" w:type="pct"/>
            <w:vMerge/>
            <w:vAlign w:val="center"/>
            <w:hideMark/>
          </w:tcPr>
          <w:p w:rsidR="00AE303E" w:rsidRPr="00EB28A6" w:rsidRDefault="00AE303E" w:rsidP="00AE303E">
            <w:pPr>
              <w:spacing w:after="0"/>
              <w:jc w:val="left"/>
              <w:rPr>
                <w:rFonts w:eastAsia="Times New Roman" w:cs="Times New Roman"/>
                <w:b/>
                <w:bCs/>
                <w:sz w:val="20"/>
                <w:szCs w:val="20"/>
              </w:rPr>
            </w:pPr>
          </w:p>
        </w:tc>
        <w:tc>
          <w:tcPr>
            <w:tcW w:w="1678" w:type="pct"/>
            <w:shd w:val="clear" w:color="auto" w:fill="auto"/>
            <w:noWrap/>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използвана за битови нужди</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w:t>
            </w:r>
          </w:p>
        </w:tc>
      </w:tr>
      <w:tr w:rsidR="00AE303E" w:rsidRPr="00EB28A6" w:rsidTr="00AE303E">
        <w:trPr>
          <w:trHeight w:val="312"/>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8.7.</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Акциз на цигари - общ (не по-малък от)</w:t>
            </w:r>
            <w:r w:rsidRPr="00EB28A6">
              <w:rPr>
                <w:rFonts w:eastAsia="Times New Roman" w:cs="Times New Roman"/>
                <w:sz w:val="20"/>
                <w:szCs w:val="20"/>
                <w:vertAlign w:val="superscript"/>
              </w:rPr>
              <w:t>9</w:t>
            </w:r>
          </w:p>
        </w:tc>
        <w:tc>
          <w:tcPr>
            <w:tcW w:w="504" w:type="pct"/>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лв./1000 къса</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185,5</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194</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202,5</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211</w:t>
            </w:r>
          </w:p>
        </w:tc>
      </w:tr>
      <w:tr w:rsidR="00AE303E" w:rsidRPr="00EB28A6" w:rsidTr="00AE303E">
        <w:trPr>
          <w:trHeight w:val="312"/>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8.8.</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Акциз на тютюн за пушене (за лула и цигари)</w:t>
            </w:r>
            <w:r w:rsidRPr="00EB28A6">
              <w:rPr>
                <w:rFonts w:eastAsia="Times New Roman" w:cs="Times New Roman"/>
                <w:sz w:val="20"/>
                <w:szCs w:val="20"/>
                <w:vertAlign w:val="superscript"/>
              </w:rPr>
              <w:t>9</w:t>
            </w:r>
          </w:p>
        </w:tc>
        <w:tc>
          <w:tcPr>
            <w:tcW w:w="504" w:type="pct"/>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лв./кг.</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167</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184</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202</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222</w:t>
            </w:r>
          </w:p>
        </w:tc>
      </w:tr>
      <w:tr w:rsidR="00AE303E" w:rsidRPr="00EB28A6" w:rsidTr="00AE303E">
        <w:trPr>
          <w:trHeight w:val="312"/>
        </w:trPr>
        <w:tc>
          <w:tcPr>
            <w:tcW w:w="185"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8.9.</w:t>
            </w:r>
          </w:p>
        </w:tc>
        <w:tc>
          <w:tcPr>
            <w:tcW w:w="1678" w:type="pct"/>
            <w:tcBorders>
              <w:bottom w:val="single" w:sz="4" w:space="0" w:color="auto"/>
            </w:tcBorders>
            <w:shd w:val="clear" w:color="auto" w:fill="auto"/>
            <w:vAlign w:val="center"/>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Акциз на нагреваемо тютюнево изделие</w:t>
            </w:r>
            <w:r w:rsidRPr="00EB28A6">
              <w:rPr>
                <w:rFonts w:eastAsia="Times New Roman" w:cs="Times New Roman"/>
                <w:sz w:val="20"/>
                <w:szCs w:val="20"/>
                <w:vertAlign w:val="superscript"/>
              </w:rPr>
              <w:t>9</w:t>
            </w:r>
          </w:p>
        </w:tc>
        <w:tc>
          <w:tcPr>
            <w:tcW w:w="504" w:type="pct"/>
            <w:tcBorders>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лв./кг.</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282</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331</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380</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400</w:t>
            </w:r>
          </w:p>
        </w:tc>
      </w:tr>
      <w:tr w:rsidR="00AE303E" w:rsidRPr="00EB28A6" w:rsidTr="00AE303E">
        <w:trPr>
          <w:trHeight w:val="1056"/>
        </w:trPr>
        <w:tc>
          <w:tcPr>
            <w:tcW w:w="185" w:type="pct"/>
            <w:tcBorders>
              <w:top w:val="single" w:sz="4" w:space="0" w:color="auto"/>
            </w:tcBorders>
            <w:shd w:val="clear" w:color="auto" w:fill="auto"/>
            <w:vAlign w:val="center"/>
            <w:hideMark/>
          </w:tcPr>
          <w:p w:rsidR="00AE303E" w:rsidRPr="00EB28A6" w:rsidRDefault="00AE303E" w:rsidP="00AE303E">
            <w:pPr>
              <w:spacing w:after="0"/>
              <w:jc w:val="left"/>
              <w:rPr>
                <w:rFonts w:eastAsia="Times New Roman" w:cs="Times New Roman"/>
                <w:b/>
                <w:bCs/>
                <w:color w:val="000000"/>
                <w:sz w:val="20"/>
                <w:szCs w:val="20"/>
              </w:rPr>
            </w:pPr>
            <w:r w:rsidRPr="00EB28A6">
              <w:rPr>
                <w:rFonts w:eastAsia="Times New Roman" w:cs="Times New Roman"/>
                <w:b/>
                <w:bCs/>
                <w:color w:val="000000"/>
                <w:sz w:val="20"/>
                <w:szCs w:val="20"/>
              </w:rPr>
              <w:t>8.10.</w:t>
            </w:r>
          </w:p>
        </w:tc>
        <w:tc>
          <w:tcPr>
            <w:tcW w:w="1678"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Акциз на течност за електронни цигари, независимо дали съдържа никотин</w:t>
            </w:r>
            <w:r w:rsidRPr="00EB28A6">
              <w:rPr>
                <w:rFonts w:eastAsia="Times New Roman" w:cs="Times New Roman"/>
                <w:sz w:val="20"/>
                <w:szCs w:val="20"/>
                <w:vertAlign w:val="superscript"/>
              </w:rPr>
              <w:t>9</w:t>
            </w:r>
          </w:p>
        </w:tc>
        <w:tc>
          <w:tcPr>
            <w:tcW w:w="504" w:type="pct"/>
            <w:tcBorders>
              <w:top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лв./милилитри</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0,18</w:t>
            </w:r>
            <w:r w:rsidRPr="00EB28A6">
              <w:rPr>
                <w:rFonts w:eastAsia="Times New Roman" w:cs="Times New Roman"/>
                <w:i/>
                <w:sz w:val="20"/>
                <w:szCs w:val="20"/>
              </w:rPr>
              <w:br/>
              <w:t>(1 март - 31 юли)</w:t>
            </w:r>
            <w:r w:rsidRPr="00EB28A6">
              <w:rPr>
                <w:rFonts w:eastAsia="Times New Roman" w:cs="Times New Roman"/>
                <w:i/>
                <w:sz w:val="20"/>
                <w:szCs w:val="20"/>
              </w:rPr>
              <w:br/>
              <w:t>0,30</w:t>
            </w:r>
            <w:r w:rsidRPr="00EB28A6">
              <w:rPr>
                <w:rFonts w:eastAsia="Times New Roman" w:cs="Times New Roman"/>
                <w:i/>
                <w:sz w:val="20"/>
                <w:szCs w:val="20"/>
              </w:rPr>
              <w:br/>
              <w:t>(от 1 август)</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0,35</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0,40</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0,45</w:t>
            </w:r>
          </w:p>
        </w:tc>
      </w:tr>
      <w:tr w:rsidR="00AE303E" w:rsidRPr="00EB28A6" w:rsidTr="00AE303E">
        <w:trPr>
          <w:trHeight w:val="312"/>
        </w:trPr>
        <w:tc>
          <w:tcPr>
            <w:tcW w:w="185" w:type="pct"/>
            <w:shd w:val="clear" w:color="auto" w:fill="auto"/>
            <w:vAlign w:val="center"/>
            <w:hideMark/>
          </w:tcPr>
          <w:p w:rsidR="00AE303E" w:rsidRPr="00EB28A6" w:rsidRDefault="00AE303E" w:rsidP="00AE303E">
            <w:pPr>
              <w:spacing w:after="0"/>
              <w:jc w:val="left"/>
              <w:rPr>
                <w:rFonts w:eastAsia="Times New Roman" w:cs="Times New Roman"/>
                <w:b/>
                <w:bCs/>
                <w:color w:val="000000"/>
                <w:sz w:val="20"/>
                <w:szCs w:val="20"/>
              </w:rPr>
            </w:pPr>
            <w:r w:rsidRPr="00EB28A6">
              <w:rPr>
                <w:rFonts w:eastAsia="Times New Roman" w:cs="Times New Roman"/>
                <w:b/>
                <w:bCs/>
                <w:color w:val="000000"/>
                <w:sz w:val="20"/>
                <w:szCs w:val="20"/>
              </w:rPr>
              <w:t>8.11.</w:t>
            </w:r>
          </w:p>
        </w:tc>
        <w:tc>
          <w:tcPr>
            <w:tcW w:w="1678" w:type="pct"/>
            <w:shd w:val="clear" w:color="auto" w:fill="auto"/>
            <w:vAlign w:val="center"/>
            <w:hideMark/>
          </w:tcPr>
          <w:p w:rsidR="00AE303E" w:rsidRPr="00EB28A6" w:rsidRDefault="00AE303E" w:rsidP="00AE303E">
            <w:pPr>
              <w:spacing w:after="0"/>
              <w:jc w:val="left"/>
              <w:rPr>
                <w:rFonts w:eastAsia="Times New Roman" w:cs="Times New Roman"/>
                <w:color w:val="000000"/>
                <w:sz w:val="20"/>
                <w:szCs w:val="20"/>
              </w:rPr>
            </w:pPr>
            <w:r w:rsidRPr="00EB28A6">
              <w:rPr>
                <w:rFonts w:eastAsia="Times New Roman" w:cs="Times New Roman"/>
                <w:color w:val="000000"/>
                <w:sz w:val="20"/>
                <w:szCs w:val="20"/>
              </w:rPr>
              <w:t xml:space="preserve">  Акциз на заместители на тютюна</w:t>
            </w:r>
            <w:r w:rsidRPr="00EB28A6">
              <w:rPr>
                <w:rFonts w:eastAsia="Times New Roman" w:cs="Times New Roman"/>
                <w:color w:val="000000"/>
                <w:sz w:val="20"/>
                <w:szCs w:val="20"/>
                <w:vertAlign w:val="superscript"/>
              </w:rPr>
              <w:t>9</w:t>
            </w:r>
          </w:p>
        </w:tc>
        <w:tc>
          <w:tcPr>
            <w:tcW w:w="504" w:type="pct"/>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лв./кг.</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90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95</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105</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115</w:t>
            </w:r>
          </w:p>
        </w:tc>
      </w:tr>
      <w:tr w:rsidR="00AE303E" w:rsidRPr="00EB28A6" w:rsidTr="00AE303E">
        <w:trPr>
          <w:trHeight w:val="576"/>
        </w:trPr>
        <w:tc>
          <w:tcPr>
            <w:tcW w:w="185" w:type="pct"/>
            <w:shd w:val="clear" w:color="auto" w:fill="auto"/>
            <w:vAlign w:val="center"/>
            <w:hideMark/>
          </w:tcPr>
          <w:p w:rsidR="00AE303E" w:rsidRPr="00EB28A6" w:rsidRDefault="00AE303E" w:rsidP="00AE303E">
            <w:pPr>
              <w:spacing w:after="0"/>
              <w:jc w:val="left"/>
              <w:rPr>
                <w:rFonts w:eastAsia="Times New Roman" w:cs="Times New Roman"/>
                <w:b/>
                <w:bCs/>
                <w:color w:val="000000"/>
                <w:sz w:val="20"/>
                <w:szCs w:val="20"/>
              </w:rPr>
            </w:pPr>
            <w:r w:rsidRPr="00EB28A6">
              <w:rPr>
                <w:rFonts w:eastAsia="Times New Roman" w:cs="Times New Roman"/>
                <w:b/>
                <w:bCs/>
                <w:color w:val="000000"/>
                <w:sz w:val="20"/>
                <w:szCs w:val="20"/>
              </w:rPr>
              <w:t>8.12.</w:t>
            </w:r>
          </w:p>
        </w:tc>
        <w:tc>
          <w:tcPr>
            <w:tcW w:w="1678" w:type="pct"/>
            <w:shd w:val="clear" w:color="auto" w:fill="auto"/>
            <w:vAlign w:val="center"/>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Акциз на нагреваемо изделие със съдържание, различно от тютюн</w:t>
            </w:r>
            <w:r w:rsidRPr="00EB28A6">
              <w:rPr>
                <w:rFonts w:eastAsia="Times New Roman" w:cs="Times New Roman"/>
                <w:sz w:val="20"/>
                <w:szCs w:val="20"/>
                <w:vertAlign w:val="superscript"/>
              </w:rPr>
              <w:t>9</w:t>
            </w:r>
          </w:p>
        </w:tc>
        <w:tc>
          <w:tcPr>
            <w:tcW w:w="504" w:type="pct"/>
            <w:shd w:val="clear" w:color="auto" w:fill="FBE4D5"/>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лв./кг.</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331</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380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400</w:t>
            </w:r>
          </w:p>
        </w:tc>
      </w:tr>
      <w:tr w:rsidR="00AE303E" w:rsidRPr="00EB28A6" w:rsidTr="00AE303E">
        <w:trPr>
          <w:trHeight w:val="312"/>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8.13.</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Акциз на пури и пурети</w:t>
            </w:r>
            <w:r w:rsidRPr="00EB28A6">
              <w:rPr>
                <w:rFonts w:eastAsia="Times New Roman" w:cs="Times New Roman"/>
                <w:sz w:val="20"/>
                <w:szCs w:val="20"/>
                <w:vertAlign w:val="superscript"/>
              </w:rPr>
              <w:t>9</w:t>
            </w:r>
          </w:p>
        </w:tc>
        <w:tc>
          <w:tcPr>
            <w:tcW w:w="504" w:type="pct"/>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лв./1000 къса</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297</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327</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360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396</w:t>
            </w:r>
          </w:p>
        </w:tc>
      </w:tr>
      <w:tr w:rsidR="00AE303E" w:rsidRPr="00EB28A6" w:rsidTr="00AE303E">
        <w:trPr>
          <w:trHeight w:val="288"/>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8.14.</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Акциз на спиртни напитки (етилов алкохол)</w:t>
            </w:r>
          </w:p>
        </w:tc>
        <w:tc>
          <w:tcPr>
            <w:tcW w:w="504" w:type="pct"/>
            <w:vMerge w:val="restart"/>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лв./хектолитър</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1 100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1 100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1 100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1100</w:t>
            </w:r>
          </w:p>
        </w:tc>
      </w:tr>
      <w:tr w:rsidR="00AE303E" w:rsidRPr="00EB28A6" w:rsidTr="00AE303E">
        <w:trPr>
          <w:trHeight w:val="288"/>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 </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Акциз на етилов алкохол (ракия) - намалена ставка</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550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550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550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550</w:t>
            </w:r>
          </w:p>
        </w:tc>
      </w:tr>
      <w:tr w:rsidR="00AE303E" w:rsidRPr="00EB28A6" w:rsidTr="00AE303E">
        <w:trPr>
          <w:trHeight w:val="288"/>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8.15.</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Акциз на междинни продукти</w:t>
            </w:r>
          </w:p>
        </w:tc>
        <w:tc>
          <w:tcPr>
            <w:tcW w:w="504" w:type="pct"/>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лв./хектолитър</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90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90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90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90</w:t>
            </w:r>
          </w:p>
        </w:tc>
      </w:tr>
      <w:tr w:rsidR="00AE303E" w:rsidRPr="00EB28A6" w:rsidTr="00AE303E">
        <w:trPr>
          <w:trHeight w:val="300"/>
        </w:trPr>
        <w:tc>
          <w:tcPr>
            <w:tcW w:w="185" w:type="pct"/>
            <w:vMerge w:val="restar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8.16.</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Акциз на бира - основна ставка</w:t>
            </w:r>
          </w:p>
        </w:tc>
        <w:tc>
          <w:tcPr>
            <w:tcW w:w="504" w:type="pct"/>
            <w:vMerge w:val="restart"/>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лв./хектолитър градус Плато</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1,5</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1,5</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1,5</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1,5</w:t>
            </w:r>
          </w:p>
        </w:tc>
      </w:tr>
      <w:tr w:rsidR="00AE303E" w:rsidRPr="00EB28A6" w:rsidTr="00AE303E">
        <w:trPr>
          <w:trHeight w:val="528"/>
        </w:trPr>
        <w:tc>
          <w:tcPr>
            <w:tcW w:w="185" w:type="pct"/>
            <w:vMerge/>
            <w:vAlign w:val="center"/>
            <w:hideMark/>
          </w:tcPr>
          <w:p w:rsidR="00AE303E" w:rsidRPr="00EB28A6" w:rsidRDefault="00AE303E" w:rsidP="00AE303E">
            <w:pPr>
              <w:spacing w:after="0"/>
              <w:jc w:val="left"/>
              <w:rPr>
                <w:rFonts w:eastAsia="Times New Roman" w:cs="Times New Roman"/>
                <w:b/>
                <w:bCs/>
                <w:sz w:val="20"/>
                <w:szCs w:val="20"/>
              </w:rPr>
            </w:pP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намалена ставка за бира, произведена от независими малки пивоварни </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0,75</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0,75</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0,75</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0,75</w:t>
            </w:r>
          </w:p>
        </w:tc>
      </w:tr>
      <w:tr w:rsidR="00AE303E" w:rsidRPr="00EB28A6" w:rsidTr="00AE303E">
        <w:trPr>
          <w:trHeight w:val="288"/>
        </w:trPr>
        <w:tc>
          <w:tcPr>
            <w:tcW w:w="185" w:type="pct"/>
            <w:vMerge w:val="restart"/>
            <w:shd w:val="clear" w:color="auto" w:fill="auto"/>
            <w:hideMark/>
          </w:tcPr>
          <w:p w:rsidR="00AE303E" w:rsidRPr="00EB28A6" w:rsidRDefault="00AE303E" w:rsidP="00AE303E">
            <w:pPr>
              <w:spacing w:after="0"/>
              <w:jc w:val="center"/>
              <w:rPr>
                <w:rFonts w:eastAsia="Times New Roman" w:cs="Times New Roman"/>
                <w:b/>
                <w:bCs/>
                <w:sz w:val="20"/>
                <w:szCs w:val="20"/>
              </w:rPr>
            </w:pPr>
            <w:r w:rsidRPr="00EB28A6">
              <w:rPr>
                <w:rFonts w:eastAsia="Times New Roman" w:cs="Times New Roman"/>
                <w:b/>
                <w:bCs/>
                <w:sz w:val="20"/>
                <w:szCs w:val="20"/>
              </w:rPr>
              <w:t>8.17.</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Акциз на природния газ:</w:t>
            </w:r>
          </w:p>
        </w:tc>
        <w:tc>
          <w:tcPr>
            <w:tcW w:w="504" w:type="pct"/>
            <w:vMerge w:val="restart"/>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лв./гигаджаул</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r>
      <w:tr w:rsidR="00AE303E" w:rsidRPr="00EB28A6" w:rsidTr="00AE303E">
        <w:trPr>
          <w:trHeight w:val="1056"/>
        </w:trPr>
        <w:tc>
          <w:tcPr>
            <w:tcW w:w="185" w:type="pct"/>
            <w:vMerge/>
            <w:vAlign w:val="center"/>
            <w:hideMark/>
          </w:tcPr>
          <w:p w:rsidR="00AE303E" w:rsidRPr="00EB28A6" w:rsidRDefault="00AE303E" w:rsidP="00AE303E">
            <w:pPr>
              <w:spacing w:after="0"/>
              <w:jc w:val="left"/>
              <w:rPr>
                <w:rFonts w:eastAsia="Times New Roman" w:cs="Times New Roman"/>
                <w:b/>
                <w:bCs/>
                <w:sz w:val="20"/>
                <w:szCs w:val="20"/>
              </w:rPr>
            </w:pP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използван като моторно гориво, с кодове по КН 2711 12 11 до 2711 19 00.</w:t>
            </w:r>
            <w:r w:rsidRPr="00EB28A6">
              <w:rPr>
                <w:rFonts w:eastAsia="Times New Roman" w:cs="Times New Roman"/>
                <w:sz w:val="20"/>
                <w:szCs w:val="20"/>
                <w:vertAlign w:val="superscript"/>
              </w:rPr>
              <w:t>7</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0</w:t>
            </w:r>
            <w:r w:rsidRPr="00EB28A6">
              <w:rPr>
                <w:rFonts w:eastAsia="Times New Roman" w:cs="Times New Roman"/>
                <w:i/>
                <w:sz w:val="20"/>
                <w:szCs w:val="20"/>
              </w:rPr>
              <w:br/>
              <w:t>(1 март - 31 юли)</w:t>
            </w:r>
            <w:r w:rsidRPr="00EB28A6">
              <w:rPr>
                <w:rFonts w:eastAsia="Times New Roman" w:cs="Times New Roman"/>
                <w:i/>
                <w:sz w:val="20"/>
                <w:szCs w:val="20"/>
              </w:rPr>
              <w:br/>
              <w:t>0,85</w:t>
            </w:r>
            <w:r w:rsidRPr="00EB28A6">
              <w:rPr>
                <w:rFonts w:eastAsia="Times New Roman" w:cs="Times New Roman"/>
                <w:i/>
                <w:sz w:val="20"/>
                <w:szCs w:val="20"/>
              </w:rPr>
              <w:br/>
              <w:t>(от 1 август)</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0,85</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0,85</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0,85</w:t>
            </w:r>
          </w:p>
        </w:tc>
      </w:tr>
      <w:tr w:rsidR="00AE303E" w:rsidRPr="00EB28A6" w:rsidTr="00AE303E">
        <w:trPr>
          <w:trHeight w:val="288"/>
        </w:trPr>
        <w:tc>
          <w:tcPr>
            <w:tcW w:w="185" w:type="pct"/>
            <w:vMerge/>
            <w:vAlign w:val="center"/>
            <w:hideMark/>
          </w:tcPr>
          <w:p w:rsidR="00AE303E" w:rsidRPr="00EB28A6" w:rsidRDefault="00AE303E" w:rsidP="00AE303E">
            <w:pPr>
              <w:spacing w:after="0"/>
              <w:jc w:val="left"/>
              <w:rPr>
                <w:rFonts w:eastAsia="Times New Roman" w:cs="Times New Roman"/>
                <w:b/>
                <w:bCs/>
                <w:sz w:val="20"/>
                <w:szCs w:val="20"/>
              </w:rPr>
            </w:pP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използван като гориво за отопление</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0,60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0,60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0,60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0,60</w:t>
            </w:r>
          </w:p>
        </w:tc>
      </w:tr>
      <w:tr w:rsidR="00AE303E" w:rsidRPr="00EB28A6" w:rsidTr="00AE303E">
        <w:trPr>
          <w:trHeight w:val="288"/>
        </w:trPr>
        <w:tc>
          <w:tcPr>
            <w:tcW w:w="185" w:type="pct"/>
            <w:vMerge w:val="restart"/>
            <w:shd w:val="clear" w:color="auto" w:fill="auto"/>
            <w:hideMark/>
          </w:tcPr>
          <w:p w:rsidR="00AE303E" w:rsidRPr="00EB28A6" w:rsidRDefault="00AE303E" w:rsidP="00AE303E">
            <w:pPr>
              <w:spacing w:after="0"/>
              <w:jc w:val="center"/>
              <w:rPr>
                <w:rFonts w:eastAsia="Times New Roman" w:cs="Times New Roman"/>
                <w:b/>
                <w:bCs/>
                <w:sz w:val="20"/>
                <w:szCs w:val="20"/>
              </w:rPr>
            </w:pPr>
            <w:r w:rsidRPr="00EB28A6">
              <w:rPr>
                <w:rFonts w:eastAsia="Times New Roman" w:cs="Times New Roman"/>
                <w:b/>
                <w:bCs/>
                <w:sz w:val="20"/>
                <w:szCs w:val="20"/>
              </w:rPr>
              <w:t>8.18.</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Акциз на тежки горива:</w:t>
            </w:r>
          </w:p>
        </w:tc>
        <w:tc>
          <w:tcPr>
            <w:tcW w:w="504" w:type="pct"/>
            <w:vMerge w:val="restart"/>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лв./1000 кг.</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r>
      <w:tr w:rsidR="00AE303E" w:rsidRPr="00EB28A6" w:rsidTr="00AE303E">
        <w:trPr>
          <w:trHeight w:val="288"/>
        </w:trPr>
        <w:tc>
          <w:tcPr>
            <w:tcW w:w="185" w:type="pct"/>
            <w:vMerge/>
            <w:vAlign w:val="center"/>
            <w:hideMark/>
          </w:tcPr>
          <w:p w:rsidR="00AE303E" w:rsidRPr="00EB28A6" w:rsidRDefault="00AE303E" w:rsidP="00AE303E">
            <w:pPr>
              <w:spacing w:after="0"/>
              <w:jc w:val="left"/>
              <w:rPr>
                <w:rFonts w:eastAsia="Times New Roman" w:cs="Times New Roman"/>
                <w:b/>
                <w:bCs/>
                <w:sz w:val="20"/>
                <w:szCs w:val="20"/>
              </w:rPr>
            </w:pP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използвани като моторно гориво</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646</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646</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646</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646</w:t>
            </w:r>
          </w:p>
        </w:tc>
      </w:tr>
      <w:tr w:rsidR="00AE303E" w:rsidRPr="00EB28A6" w:rsidTr="00AE303E">
        <w:trPr>
          <w:trHeight w:val="288"/>
        </w:trPr>
        <w:tc>
          <w:tcPr>
            <w:tcW w:w="185" w:type="pct"/>
            <w:vMerge/>
            <w:tcBorders>
              <w:bottom w:val="single" w:sz="4" w:space="0" w:color="auto"/>
            </w:tcBorders>
            <w:vAlign w:val="center"/>
            <w:hideMark/>
          </w:tcPr>
          <w:p w:rsidR="00AE303E" w:rsidRPr="00EB28A6" w:rsidRDefault="00AE303E" w:rsidP="00AE303E">
            <w:pPr>
              <w:spacing w:after="0"/>
              <w:jc w:val="left"/>
              <w:rPr>
                <w:rFonts w:eastAsia="Times New Roman" w:cs="Times New Roman"/>
                <w:b/>
                <w:bCs/>
                <w:sz w:val="20"/>
                <w:szCs w:val="20"/>
              </w:rPr>
            </w:pPr>
          </w:p>
        </w:tc>
        <w:tc>
          <w:tcPr>
            <w:tcW w:w="1678"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използвани като гориво за отопление</w:t>
            </w:r>
          </w:p>
        </w:tc>
        <w:tc>
          <w:tcPr>
            <w:tcW w:w="504" w:type="pct"/>
            <w:vMerge/>
            <w:tcBorders>
              <w:bottom w:val="single" w:sz="4" w:space="0" w:color="auto"/>
            </w:tcBorders>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400</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400</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400</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400</w:t>
            </w:r>
          </w:p>
        </w:tc>
      </w:tr>
      <w:tr w:rsidR="00AE303E" w:rsidRPr="00EB28A6" w:rsidTr="00AE303E">
        <w:trPr>
          <w:trHeight w:val="288"/>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9.</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Данък върху застрахователните премии</w:t>
            </w:r>
          </w:p>
        </w:tc>
        <w:tc>
          <w:tcPr>
            <w:tcW w:w="504" w:type="pc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2</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w:t>
            </w:r>
          </w:p>
        </w:tc>
      </w:tr>
      <w:tr w:rsidR="00AE303E" w:rsidRPr="00EB28A6" w:rsidTr="00AE303E">
        <w:trPr>
          <w:trHeight w:val="1056"/>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10.</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минималната работна заплата</w:t>
            </w:r>
          </w:p>
        </w:tc>
        <w:tc>
          <w:tcPr>
            <w:tcW w:w="504" w:type="pc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лева</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780 лв.</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933 лв.</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xml:space="preserve">Определена съгласно чл. 244 от Кодекса на труда (прогнозен размер - </w:t>
            </w:r>
            <w:r w:rsidRPr="00EB28A6">
              <w:rPr>
                <w:rFonts w:eastAsia="Times New Roman" w:cs="Times New Roman"/>
                <w:sz w:val="20"/>
                <w:szCs w:val="20"/>
              </w:rPr>
              <w:br w:type="page"/>
              <w:t>1 052 лв.)</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xml:space="preserve">Определена съгласно чл. 244 от Кодекса на труда (прогнозен размер - </w:t>
            </w:r>
            <w:r w:rsidRPr="00EB28A6">
              <w:rPr>
                <w:rFonts w:eastAsia="Times New Roman" w:cs="Times New Roman"/>
                <w:sz w:val="20"/>
                <w:szCs w:val="20"/>
              </w:rPr>
              <w:br w:type="page"/>
              <w:t>1 146 лв.)</w:t>
            </w:r>
          </w:p>
        </w:tc>
      </w:tr>
      <w:tr w:rsidR="00AE303E" w:rsidRPr="00EB28A6" w:rsidTr="00AE303E">
        <w:trPr>
          <w:trHeight w:val="528"/>
        </w:trPr>
        <w:tc>
          <w:tcPr>
            <w:tcW w:w="185"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11.</w:t>
            </w:r>
          </w:p>
        </w:tc>
        <w:tc>
          <w:tcPr>
            <w:tcW w:w="1678"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осигурителните вноски за държавното обществено осигуряване</w:t>
            </w:r>
          </w:p>
        </w:tc>
        <w:tc>
          <w:tcPr>
            <w:tcW w:w="504" w:type="pct"/>
            <w:vMerge w:val="restart"/>
            <w:tcBorders>
              <w:top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r>
      <w:tr w:rsidR="00AE303E" w:rsidRPr="00EB28A6" w:rsidTr="00AE303E">
        <w:trPr>
          <w:trHeight w:val="288"/>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 </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в т.ч.:</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r>
      <w:tr w:rsidR="00AE303E" w:rsidRPr="00EB28A6" w:rsidTr="00AE303E">
        <w:trPr>
          <w:trHeight w:val="528"/>
        </w:trPr>
        <w:tc>
          <w:tcPr>
            <w:tcW w:w="185" w:type="pct"/>
            <w:vMerge w:val="restar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11.1.</w:t>
            </w:r>
          </w:p>
        </w:tc>
        <w:tc>
          <w:tcPr>
            <w:tcW w:w="1678" w:type="pct"/>
            <w:vMerge w:val="restar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за фонд „Пенсии”</w:t>
            </w:r>
            <w:r w:rsidRPr="00EB28A6">
              <w:rPr>
                <w:rFonts w:eastAsia="Times New Roman" w:cs="Times New Roman"/>
                <w:sz w:val="20"/>
                <w:szCs w:val="20"/>
                <w:vertAlign w:val="superscript"/>
              </w:rPr>
              <w:t>10</w:t>
            </w:r>
          </w:p>
        </w:tc>
        <w:tc>
          <w:tcPr>
            <w:tcW w:w="504" w:type="pct"/>
            <w:vMerge w:val="restart"/>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19,8 за родените преди 1 януари 1960 г.;</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19,8 за родените преди 1 януари 1960 г.;</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19,8 за родените преди 1 януари 1960 г.;</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19,8 за родените преди 1 януари 1960 г.;</w:t>
            </w:r>
          </w:p>
        </w:tc>
      </w:tr>
      <w:tr w:rsidR="00AE303E" w:rsidRPr="00EB28A6" w:rsidTr="00AE303E">
        <w:trPr>
          <w:trHeight w:val="528"/>
        </w:trPr>
        <w:tc>
          <w:tcPr>
            <w:tcW w:w="185" w:type="pct"/>
            <w:vMerge/>
            <w:vAlign w:val="center"/>
            <w:hideMark/>
          </w:tcPr>
          <w:p w:rsidR="00AE303E" w:rsidRPr="00EB28A6" w:rsidRDefault="00AE303E" w:rsidP="00AE303E">
            <w:pPr>
              <w:spacing w:after="0"/>
              <w:jc w:val="left"/>
              <w:rPr>
                <w:rFonts w:eastAsia="Times New Roman" w:cs="Times New Roman"/>
                <w:b/>
                <w:bCs/>
                <w:sz w:val="20"/>
                <w:szCs w:val="20"/>
              </w:rPr>
            </w:pPr>
          </w:p>
        </w:tc>
        <w:tc>
          <w:tcPr>
            <w:tcW w:w="1678" w:type="pct"/>
            <w:vMerge/>
            <w:vAlign w:val="center"/>
            <w:hideMark/>
          </w:tcPr>
          <w:p w:rsidR="00AE303E" w:rsidRPr="00EB28A6" w:rsidRDefault="00AE303E" w:rsidP="00AE303E">
            <w:pPr>
              <w:spacing w:after="0"/>
              <w:jc w:val="left"/>
              <w:rPr>
                <w:rFonts w:eastAsia="Times New Roman" w:cs="Times New Roman"/>
                <w:sz w:val="20"/>
                <w:szCs w:val="20"/>
              </w:rPr>
            </w:pP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14,8 за родените след 31 декември 1959 г.</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14,8 за родените след 31 декември 1959 г.</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14,8 за родените след 31 декември 1959 г.</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14,8 за родените след 31 декември 1959 г.</w:t>
            </w:r>
          </w:p>
        </w:tc>
      </w:tr>
      <w:tr w:rsidR="00AE303E" w:rsidRPr="00EB28A6" w:rsidTr="00AE303E">
        <w:trPr>
          <w:trHeight w:val="528"/>
        </w:trPr>
        <w:tc>
          <w:tcPr>
            <w:tcW w:w="185" w:type="pct"/>
            <w:vMerge w:val="restar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11.2.</w:t>
            </w:r>
          </w:p>
        </w:tc>
        <w:tc>
          <w:tcPr>
            <w:tcW w:w="1678" w:type="pct"/>
            <w:vMerge w:val="restar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за фонд „Пенсии за лицата по чл. 69“</w:t>
            </w:r>
            <w:r w:rsidRPr="00EB28A6">
              <w:rPr>
                <w:rFonts w:eastAsia="Times New Roman" w:cs="Times New Roman"/>
                <w:sz w:val="20"/>
                <w:szCs w:val="20"/>
                <w:vertAlign w:val="superscript"/>
              </w:rPr>
              <w:t>10</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60,8 за родените преди 1 януари 1960 г.;</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60,8 за родените преди 1 януари 1960 г.;</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60,8 за родените преди 1 януари 1960 г.;</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60,8 за родените преди 1 януари 1960 г.;</w:t>
            </w:r>
          </w:p>
        </w:tc>
      </w:tr>
      <w:tr w:rsidR="00AE303E" w:rsidRPr="00EB28A6" w:rsidTr="00AE303E">
        <w:trPr>
          <w:trHeight w:val="528"/>
        </w:trPr>
        <w:tc>
          <w:tcPr>
            <w:tcW w:w="185" w:type="pct"/>
            <w:vMerge/>
            <w:vAlign w:val="center"/>
            <w:hideMark/>
          </w:tcPr>
          <w:p w:rsidR="00AE303E" w:rsidRPr="00EB28A6" w:rsidRDefault="00AE303E" w:rsidP="00AE303E">
            <w:pPr>
              <w:spacing w:after="0"/>
              <w:jc w:val="left"/>
              <w:rPr>
                <w:rFonts w:eastAsia="Times New Roman" w:cs="Times New Roman"/>
                <w:b/>
                <w:bCs/>
                <w:sz w:val="20"/>
                <w:szCs w:val="20"/>
              </w:rPr>
            </w:pPr>
          </w:p>
        </w:tc>
        <w:tc>
          <w:tcPr>
            <w:tcW w:w="1678" w:type="pct"/>
            <w:vMerge/>
            <w:vAlign w:val="center"/>
            <w:hideMark/>
          </w:tcPr>
          <w:p w:rsidR="00AE303E" w:rsidRPr="00EB28A6" w:rsidRDefault="00AE303E" w:rsidP="00AE303E">
            <w:pPr>
              <w:spacing w:after="0"/>
              <w:jc w:val="left"/>
              <w:rPr>
                <w:rFonts w:eastAsia="Times New Roman" w:cs="Times New Roman"/>
                <w:sz w:val="20"/>
                <w:szCs w:val="20"/>
              </w:rPr>
            </w:pP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55,8 за родените след 31 декември 1959 г.</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55,8 за родените след 31 декември 1959 г.</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55,8 за родените след 31 декември 1959 г.</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55,8 за родените след 31 декември 1959 г.</w:t>
            </w:r>
          </w:p>
        </w:tc>
      </w:tr>
      <w:tr w:rsidR="00AE303E" w:rsidRPr="00EB28A6" w:rsidTr="00AE303E">
        <w:trPr>
          <w:trHeight w:val="288"/>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11.3.</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за фонд „Общо заболяване и майчинство”</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3,5</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3,5</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3,5</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3,5</w:t>
            </w:r>
          </w:p>
        </w:tc>
      </w:tr>
      <w:tr w:rsidR="00AE303E" w:rsidRPr="00EB28A6" w:rsidTr="00AE303E">
        <w:trPr>
          <w:trHeight w:val="288"/>
        </w:trPr>
        <w:tc>
          <w:tcPr>
            <w:tcW w:w="185" w:type="pct"/>
            <w:vMerge w:val="restar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11.4.</w:t>
            </w:r>
          </w:p>
        </w:tc>
        <w:tc>
          <w:tcPr>
            <w:tcW w:w="1678" w:type="pct"/>
            <w:vMerge w:val="restar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за фонд „Трудова злополука и професионална болест”</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0,7</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0,7</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0,7</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0,7</w:t>
            </w:r>
          </w:p>
        </w:tc>
      </w:tr>
      <w:tr w:rsidR="00AE303E" w:rsidRPr="00EB28A6" w:rsidTr="00AE303E">
        <w:trPr>
          <w:trHeight w:val="792"/>
        </w:trPr>
        <w:tc>
          <w:tcPr>
            <w:tcW w:w="185" w:type="pct"/>
            <w:vMerge/>
            <w:vAlign w:val="center"/>
            <w:hideMark/>
          </w:tcPr>
          <w:p w:rsidR="00AE303E" w:rsidRPr="00EB28A6" w:rsidRDefault="00AE303E" w:rsidP="00AE303E">
            <w:pPr>
              <w:spacing w:after="0"/>
              <w:jc w:val="left"/>
              <w:rPr>
                <w:rFonts w:eastAsia="Times New Roman" w:cs="Times New Roman"/>
                <w:b/>
                <w:bCs/>
                <w:sz w:val="20"/>
                <w:szCs w:val="20"/>
              </w:rPr>
            </w:pPr>
          </w:p>
        </w:tc>
        <w:tc>
          <w:tcPr>
            <w:tcW w:w="1678" w:type="pct"/>
            <w:vMerge/>
            <w:vAlign w:val="center"/>
            <w:hideMark/>
          </w:tcPr>
          <w:p w:rsidR="00AE303E" w:rsidRPr="00EB28A6" w:rsidRDefault="00AE303E" w:rsidP="00AE303E">
            <w:pPr>
              <w:spacing w:after="0"/>
              <w:jc w:val="left"/>
              <w:rPr>
                <w:rFonts w:eastAsia="Times New Roman" w:cs="Times New Roman"/>
                <w:sz w:val="20"/>
                <w:szCs w:val="20"/>
              </w:rPr>
            </w:pP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(от 0,4 до 1,1 на сто в зависимост от степента на риска)</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(от 0,4 до 1,1 на сто в зависимост от степента на риска)</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(от 0,4 до 1,1 на сто в зависимост от степента на риска)</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(от 0,4 до 1,1 на сто в зависимост от степента на риска)</w:t>
            </w:r>
          </w:p>
        </w:tc>
      </w:tr>
      <w:tr w:rsidR="00AE303E" w:rsidRPr="00EB28A6" w:rsidTr="00AE303E">
        <w:trPr>
          <w:trHeight w:val="288"/>
        </w:trPr>
        <w:tc>
          <w:tcPr>
            <w:tcW w:w="185"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11.5.</w:t>
            </w:r>
          </w:p>
        </w:tc>
        <w:tc>
          <w:tcPr>
            <w:tcW w:w="1678"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за фонд „Безработица”</w:t>
            </w:r>
          </w:p>
        </w:tc>
        <w:tc>
          <w:tcPr>
            <w:tcW w:w="504" w:type="pct"/>
            <w:vMerge/>
            <w:tcBorders>
              <w:bottom w:val="single" w:sz="4" w:space="0" w:color="auto"/>
            </w:tcBorders>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1</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w:t>
            </w:r>
          </w:p>
        </w:tc>
      </w:tr>
      <w:tr w:rsidR="00AE303E" w:rsidRPr="00EB28A6" w:rsidTr="00AE303E">
        <w:trPr>
          <w:trHeight w:val="288"/>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12.</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осигурителната вноска за здравно осигуряване</w:t>
            </w:r>
          </w:p>
        </w:tc>
        <w:tc>
          <w:tcPr>
            <w:tcW w:w="504" w:type="pc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8</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8</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8</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8</w:t>
            </w:r>
          </w:p>
        </w:tc>
      </w:tr>
      <w:tr w:rsidR="00AE303E" w:rsidRPr="00EB28A6" w:rsidTr="00AE303E">
        <w:trPr>
          <w:trHeight w:val="792"/>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13.</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осигурителните вноски за допълнително задължително пенсионно осигуряване – универсални пенсионни фондове</w:t>
            </w:r>
          </w:p>
        </w:tc>
        <w:tc>
          <w:tcPr>
            <w:tcW w:w="504" w:type="pc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5</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5</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5</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5</w:t>
            </w:r>
          </w:p>
        </w:tc>
      </w:tr>
      <w:tr w:rsidR="00AE303E" w:rsidRPr="00EB28A6" w:rsidTr="00AE303E">
        <w:trPr>
          <w:trHeight w:val="528"/>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14.</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осигурителната вноска за Учителския пенсионен фонд</w:t>
            </w:r>
          </w:p>
        </w:tc>
        <w:tc>
          <w:tcPr>
            <w:tcW w:w="504" w:type="pc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4,3</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4,3</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4,3</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4,3</w:t>
            </w:r>
          </w:p>
        </w:tc>
      </w:tr>
      <w:tr w:rsidR="00AE303E" w:rsidRPr="00EB28A6" w:rsidTr="00AE303E">
        <w:trPr>
          <w:trHeight w:val="765"/>
        </w:trPr>
        <w:tc>
          <w:tcPr>
            <w:tcW w:w="185" w:type="pct"/>
            <w:vMerge w:val="restar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15.</w:t>
            </w:r>
          </w:p>
        </w:tc>
        <w:tc>
          <w:tcPr>
            <w:tcW w:w="1678" w:type="pct"/>
            <w:vMerge w:val="restar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Размер на осигурителните вноски за допълнително задължително пенсионно осигуряване за работещите при условията на първа и втора категория труд - професионални пенсионни фондове </w:t>
            </w:r>
          </w:p>
        </w:tc>
        <w:tc>
          <w:tcPr>
            <w:tcW w:w="504" w:type="pct"/>
            <w:vMerge w:val="restar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12 на сто - за лицата, работещи при условията на I категория труд;</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12 на сто - за лицата, работещи при условията на I категория труд;</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12 на сто - за лицата, работещи при условията на I категория труд;</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12 на сто - за лицата, работещи при условията на I категория труд;</w:t>
            </w:r>
          </w:p>
        </w:tc>
      </w:tr>
      <w:tr w:rsidR="00AE303E" w:rsidRPr="00EB28A6" w:rsidTr="00AE303E">
        <w:trPr>
          <w:trHeight w:val="792"/>
        </w:trPr>
        <w:tc>
          <w:tcPr>
            <w:tcW w:w="185" w:type="pct"/>
            <w:vMerge/>
            <w:tcBorders>
              <w:top w:val="single" w:sz="4" w:space="0" w:color="auto"/>
              <w:bottom w:val="single" w:sz="4" w:space="0" w:color="auto"/>
            </w:tcBorders>
            <w:vAlign w:val="center"/>
            <w:hideMark/>
          </w:tcPr>
          <w:p w:rsidR="00AE303E" w:rsidRPr="00EB28A6" w:rsidRDefault="00AE303E" w:rsidP="00AE303E">
            <w:pPr>
              <w:spacing w:after="0"/>
              <w:jc w:val="left"/>
              <w:rPr>
                <w:rFonts w:eastAsia="Times New Roman" w:cs="Times New Roman"/>
                <w:b/>
                <w:bCs/>
                <w:sz w:val="20"/>
                <w:szCs w:val="20"/>
              </w:rPr>
            </w:pPr>
          </w:p>
        </w:tc>
        <w:tc>
          <w:tcPr>
            <w:tcW w:w="1678" w:type="pct"/>
            <w:vMerge/>
            <w:tcBorders>
              <w:top w:val="single" w:sz="4" w:space="0" w:color="auto"/>
              <w:bottom w:val="single" w:sz="4" w:space="0" w:color="auto"/>
            </w:tcBorders>
            <w:vAlign w:val="center"/>
            <w:hideMark/>
          </w:tcPr>
          <w:p w:rsidR="00AE303E" w:rsidRPr="00EB28A6" w:rsidRDefault="00AE303E" w:rsidP="00AE303E">
            <w:pPr>
              <w:spacing w:after="0"/>
              <w:jc w:val="left"/>
              <w:rPr>
                <w:rFonts w:eastAsia="Times New Roman" w:cs="Times New Roman"/>
                <w:sz w:val="20"/>
                <w:szCs w:val="20"/>
              </w:rPr>
            </w:pPr>
          </w:p>
        </w:tc>
        <w:tc>
          <w:tcPr>
            <w:tcW w:w="504" w:type="pct"/>
            <w:vMerge/>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7 на сто - за лицата, работещи при условията на II категория труд</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7 на сто - за лицата, работещи при условията на II категория труд</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7 на сто - за лицата, работещи при условията на II категория труд</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7 на сто - за лицата, работещи при условията на II категория труд</w:t>
            </w:r>
          </w:p>
        </w:tc>
      </w:tr>
      <w:tr w:rsidR="00AE303E" w:rsidRPr="00EB28A6" w:rsidTr="00AE303E">
        <w:trPr>
          <w:trHeight w:val="528"/>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16.</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вноската за фонд „Гарантирани вземания на работниците и служителите“</w:t>
            </w:r>
          </w:p>
        </w:tc>
        <w:tc>
          <w:tcPr>
            <w:tcW w:w="504" w:type="pc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w:t>
            </w:r>
          </w:p>
        </w:tc>
      </w:tr>
      <w:tr w:rsidR="00AE303E" w:rsidRPr="00EB28A6" w:rsidTr="00AE303E">
        <w:trPr>
          <w:trHeight w:val="288"/>
        </w:trPr>
        <w:tc>
          <w:tcPr>
            <w:tcW w:w="185"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17.</w:t>
            </w:r>
          </w:p>
        </w:tc>
        <w:tc>
          <w:tcPr>
            <w:tcW w:w="1678"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гарантирания минимален доход (ГМД)</w:t>
            </w:r>
          </w:p>
        </w:tc>
        <w:tc>
          <w:tcPr>
            <w:tcW w:w="504" w:type="pct"/>
            <w:tcBorders>
              <w:top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лева</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75</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w:t>
            </w:r>
          </w:p>
        </w:tc>
      </w:tr>
      <w:tr w:rsidR="00AE303E" w:rsidRPr="00EB28A6" w:rsidTr="00AE303E">
        <w:trPr>
          <w:trHeight w:val="1848"/>
        </w:trPr>
        <w:tc>
          <w:tcPr>
            <w:tcW w:w="185"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17.1.</w:t>
            </w:r>
          </w:p>
        </w:tc>
        <w:tc>
          <w:tcPr>
            <w:tcW w:w="1678"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Линия на бедност</w:t>
            </w:r>
          </w:p>
        </w:tc>
        <w:tc>
          <w:tcPr>
            <w:tcW w:w="504" w:type="pct"/>
            <w:tcBorders>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лева</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504 лв.,</w:t>
            </w:r>
            <w:r w:rsidRPr="00EB28A6">
              <w:rPr>
                <w:rFonts w:eastAsia="Times New Roman" w:cs="Times New Roman"/>
                <w:i/>
                <w:sz w:val="20"/>
                <w:szCs w:val="20"/>
              </w:rPr>
              <w:br/>
              <w:t>считано от 1 януари</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xml:space="preserve">526 лв., </w:t>
            </w:r>
            <w:r w:rsidRPr="00EB28A6">
              <w:rPr>
                <w:rFonts w:eastAsia="Times New Roman" w:cs="Times New Roman"/>
                <w:sz w:val="20"/>
                <w:szCs w:val="20"/>
              </w:rPr>
              <w:br/>
              <w:t>считано от 1 януари</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Определена в съответствие с Методика за определяне на линията на бедност за страната, приета с ПМС № 241 от 2019 г.</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Определена в съответствие с Методика за определяне на линията на бедност за страната, приета с ПМС № 241 от 2019 г.</w:t>
            </w:r>
          </w:p>
        </w:tc>
      </w:tr>
      <w:tr w:rsidR="00AE303E" w:rsidRPr="00EB28A6" w:rsidTr="00AE303E">
        <w:trPr>
          <w:trHeight w:val="528"/>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18.</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Максимален месечен размер на осигурителния доход през календарната година</w:t>
            </w:r>
          </w:p>
        </w:tc>
        <w:tc>
          <w:tcPr>
            <w:tcW w:w="504" w:type="pc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лева</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3400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w:t>
            </w:r>
            <w:r w:rsidRPr="00EB28A6">
              <w:rPr>
                <w:rFonts w:eastAsia="Times New Roman" w:cs="Times New Roman"/>
                <w:sz w:val="20"/>
                <w:szCs w:val="20"/>
                <w:lang w:val="en-US"/>
              </w:rPr>
              <w:t xml:space="preserve"> </w:t>
            </w:r>
            <w:r w:rsidRPr="00EB28A6">
              <w:rPr>
                <w:rFonts w:eastAsia="Times New Roman" w:cs="Times New Roman"/>
                <w:sz w:val="20"/>
                <w:szCs w:val="20"/>
              </w:rPr>
              <w:t>750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4</w:t>
            </w:r>
            <w:r w:rsidRPr="00EB28A6">
              <w:rPr>
                <w:rFonts w:eastAsia="Times New Roman" w:cs="Times New Roman"/>
                <w:sz w:val="20"/>
                <w:szCs w:val="20"/>
                <w:lang w:val="en-US"/>
              </w:rPr>
              <w:t xml:space="preserve"> </w:t>
            </w:r>
            <w:r w:rsidRPr="00EB28A6">
              <w:rPr>
                <w:rFonts w:eastAsia="Times New Roman" w:cs="Times New Roman"/>
                <w:sz w:val="20"/>
                <w:szCs w:val="20"/>
              </w:rPr>
              <w:t>130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4</w:t>
            </w:r>
            <w:r w:rsidRPr="00EB28A6">
              <w:rPr>
                <w:rFonts w:eastAsia="Times New Roman" w:cs="Times New Roman"/>
                <w:sz w:val="20"/>
                <w:szCs w:val="20"/>
                <w:lang w:val="en-US"/>
              </w:rPr>
              <w:t xml:space="preserve"> </w:t>
            </w:r>
            <w:r w:rsidRPr="00EB28A6">
              <w:rPr>
                <w:rFonts w:eastAsia="Times New Roman" w:cs="Times New Roman"/>
                <w:sz w:val="20"/>
                <w:szCs w:val="20"/>
              </w:rPr>
              <w:t>430</w:t>
            </w:r>
          </w:p>
        </w:tc>
      </w:tr>
      <w:tr w:rsidR="00AE303E" w:rsidRPr="00EB28A6" w:rsidTr="00AE303E">
        <w:trPr>
          <w:trHeight w:val="528"/>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19.</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Минимален месечен размер на осигурителния доход през календарната година за самоосигуряващите се лица</w:t>
            </w:r>
          </w:p>
        </w:tc>
        <w:tc>
          <w:tcPr>
            <w:tcW w:w="504" w:type="pc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лева</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780 лв. считано от 1 август</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933 лв.</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На равнището на прогнозния размер на МРЗ</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На равнището на прогнозния размер на МРЗ</w:t>
            </w:r>
          </w:p>
        </w:tc>
      </w:tr>
      <w:tr w:rsidR="00AE303E" w:rsidRPr="00EB28A6" w:rsidTr="00AE303E">
        <w:trPr>
          <w:trHeight w:val="528"/>
        </w:trPr>
        <w:tc>
          <w:tcPr>
            <w:tcW w:w="185"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20.</w:t>
            </w:r>
          </w:p>
        </w:tc>
        <w:tc>
          <w:tcPr>
            <w:tcW w:w="1678"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Разпределение на осигурителните вноски между осигурители и осигурени лица</w:t>
            </w:r>
          </w:p>
        </w:tc>
        <w:tc>
          <w:tcPr>
            <w:tcW w:w="504" w:type="pct"/>
            <w:vMerge w:val="restart"/>
            <w:tcBorders>
              <w:top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r>
      <w:tr w:rsidR="00AE303E" w:rsidRPr="00EB28A6" w:rsidTr="00AE303E">
        <w:trPr>
          <w:trHeight w:val="288"/>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 </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в т.ч.:</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r>
      <w:tr w:rsidR="00AE303E" w:rsidRPr="00EB28A6" w:rsidTr="00AE303E">
        <w:trPr>
          <w:trHeight w:val="792"/>
        </w:trPr>
        <w:tc>
          <w:tcPr>
            <w:tcW w:w="185"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20.1.</w:t>
            </w:r>
          </w:p>
        </w:tc>
        <w:tc>
          <w:tcPr>
            <w:tcW w:w="1678"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Разпределение на осигурителните вноски между осигурители и осигурени лица за фонд „Общо заболяване и майчинство“ и фонд „Безработица“</w:t>
            </w:r>
          </w:p>
        </w:tc>
        <w:tc>
          <w:tcPr>
            <w:tcW w:w="504" w:type="pct"/>
            <w:tcBorders>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съотношение</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60:40  </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60:40  </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60:40  </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60:40  </w:t>
            </w:r>
          </w:p>
        </w:tc>
      </w:tr>
      <w:tr w:rsidR="00AE303E" w:rsidRPr="00EB28A6" w:rsidTr="00AE303E">
        <w:trPr>
          <w:trHeight w:val="855"/>
        </w:trPr>
        <w:tc>
          <w:tcPr>
            <w:tcW w:w="185" w:type="pct"/>
            <w:vMerge w:val="restar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20.2.</w:t>
            </w:r>
          </w:p>
        </w:tc>
        <w:tc>
          <w:tcPr>
            <w:tcW w:w="1678" w:type="pct"/>
            <w:vMerge w:val="restar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осигурителната вноска за фонд „Пенсии“ за осигурители и осигурени лица</w:t>
            </w:r>
          </w:p>
        </w:tc>
        <w:tc>
          <w:tcPr>
            <w:tcW w:w="504" w:type="pct"/>
            <w:vMerge w:val="restart"/>
            <w:tcBorders>
              <w:top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11,02:8,78 за лицата родени преди 1 януари 1960 г.</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11,02:8,78 за лицата родени преди 1 януари 1960 г.</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11,02:8,78 за лицата родени преди 1 януари 1960 г.</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11,02:8,78 за лицата родени преди 1 януари 1960 г.</w:t>
            </w:r>
          </w:p>
        </w:tc>
      </w:tr>
      <w:tr w:rsidR="00AE303E" w:rsidRPr="00EB28A6" w:rsidTr="00AE303E">
        <w:trPr>
          <w:trHeight w:val="840"/>
        </w:trPr>
        <w:tc>
          <w:tcPr>
            <w:tcW w:w="185" w:type="pct"/>
            <w:vMerge/>
            <w:vAlign w:val="center"/>
            <w:hideMark/>
          </w:tcPr>
          <w:p w:rsidR="00AE303E" w:rsidRPr="00EB28A6" w:rsidRDefault="00AE303E" w:rsidP="00AE303E">
            <w:pPr>
              <w:spacing w:after="0"/>
              <w:jc w:val="left"/>
              <w:rPr>
                <w:rFonts w:eastAsia="Times New Roman" w:cs="Times New Roman"/>
                <w:b/>
                <w:bCs/>
                <w:sz w:val="20"/>
                <w:szCs w:val="20"/>
              </w:rPr>
            </w:pPr>
          </w:p>
        </w:tc>
        <w:tc>
          <w:tcPr>
            <w:tcW w:w="1678" w:type="pct"/>
            <w:vMerge/>
            <w:vAlign w:val="center"/>
            <w:hideMark/>
          </w:tcPr>
          <w:p w:rsidR="00AE303E" w:rsidRPr="00EB28A6" w:rsidRDefault="00AE303E" w:rsidP="00AE303E">
            <w:pPr>
              <w:spacing w:after="0"/>
              <w:jc w:val="left"/>
              <w:rPr>
                <w:rFonts w:eastAsia="Times New Roman" w:cs="Times New Roman"/>
                <w:sz w:val="20"/>
                <w:szCs w:val="20"/>
              </w:rPr>
            </w:pP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8,22:6,58 за лицата, родени след 31 декември 1959 г.</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8,22:6,58 за лицата, родени след 31 декември 1959 г.</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8,22:6,58 за лицата, родени след 31 декември 1959 г.</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8,22:6,58 за лицата, родени след 31 декември 1959 г.</w:t>
            </w:r>
          </w:p>
        </w:tc>
      </w:tr>
      <w:tr w:rsidR="00AE303E" w:rsidRPr="00EB28A6" w:rsidTr="00AE303E">
        <w:trPr>
          <w:trHeight w:val="528"/>
        </w:trPr>
        <w:tc>
          <w:tcPr>
            <w:tcW w:w="185"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20.3.</w:t>
            </w:r>
          </w:p>
        </w:tc>
        <w:tc>
          <w:tcPr>
            <w:tcW w:w="1678"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Разпределение на здравноосигурителната вноска между осигурители и осигурени лица</w:t>
            </w:r>
          </w:p>
        </w:tc>
        <w:tc>
          <w:tcPr>
            <w:tcW w:w="504" w:type="pct"/>
            <w:tcBorders>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съотношение</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60:40  </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60:40  </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60:40  </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60:40  </w:t>
            </w:r>
          </w:p>
        </w:tc>
      </w:tr>
      <w:tr w:rsidR="00AE303E" w:rsidRPr="00EB28A6" w:rsidTr="00AE303E">
        <w:trPr>
          <w:trHeight w:val="792"/>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21.</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Минимален размер на пенсията за осигурителен стаж и възраст</w:t>
            </w:r>
          </w:p>
        </w:tc>
        <w:tc>
          <w:tcPr>
            <w:tcW w:w="504" w:type="pc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 </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Увеличение с процента по чл. 100 от КСО, считано от 1 юли</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Увеличение с процента по чл. 100 от КСО, считано от 1 юли</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Увеличение с процента по чл. 100 от КСО, считано от 1 юли</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Увеличение с процента по чл. 100 от КСО, считано от 1 юли</w:t>
            </w:r>
          </w:p>
        </w:tc>
      </w:tr>
      <w:tr w:rsidR="00AE303E" w:rsidRPr="00EB28A6" w:rsidTr="00AE303E">
        <w:trPr>
          <w:trHeight w:val="528"/>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22.</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Максимален размер на получаваните една или повече пенсии</w:t>
            </w:r>
          </w:p>
        </w:tc>
        <w:tc>
          <w:tcPr>
            <w:tcW w:w="504" w:type="pc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лева</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3 400 лв. за всички пенсии</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3 400 лв. за всички пенсии</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3 400 лв. за всички пенсии</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3 400 лв. за всички пенсии</w:t>
            </w:r>
          </w:p>
        </w:tc>
      </w:tr>
      <w:tr w:rsidR="00AE303E" w:rsidRPr="00EB28A6" w:rsidTr="00AE303E">
        <w:trPr>
          <w:trHeight w:val="792"/>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23.</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Пенсионна политика</w:t>
            </w:r>
          </w:p>
        </w:tc>
        <w:tc>
          <w:tcPr>
            <w:tcW w:w="504" w:type="pc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 </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 xml:space="preserve">Осъвременяване съгласно чл. 100 от КСО, считано от 1 юли </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xml:space="preserve">Осъвременяване съгласно чл. 100 от КСО, считано от 1 юли </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xml:space="preserve">Осъвременяване съгласно чл. 100 от КСО, считано от 1 юли </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xml:space="preserve">Осъвременяване съгласно чл. 100 от КСО, считано от 1 юли </w:t>
            </w:r>
          </w:p>
        </w:tc>
      </w:tr>
      <w:tr w:rsidR="00AE303E" w:rsidRPr="00EB28A6" w:rsidTr="00AE303E">
        <w:trPr>
          <w:trHeight w:val="1056"/>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24.</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месечното парично обезщетение за отглеждане на дете до 2-годишна възраст и обезщетение за отглеждане на дете до 8 годишна възраст от бащата (осиновителя)</w:t>
            </w:r>
          </w:p>
        </w:tc>
        <w:tc>
          <w:tcPr>
            <w:tcW w:w="504" w:type="pc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лева</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780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780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780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780</w:t>
            </w:r>
          </w:p>
        </w:tc>
      </w:tr>
      <w:tr w:rsidR="00AE303E" w:rsidRPr="00EB28A6" w:rsidTr="00AE303E">
        <w:trPr>
          <w:trHeight w:val="528"/>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25.</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средномесечния доход по чл. 4 от Закона за семейни помощи за деца</w:t>
            </w:r>
          </w:p>
        </w:tc>
        <w:tc>
          <w:tcPr>
            <w:tcW w:w="504" w:type="pc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лева</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610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810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860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910</w:t>
            </w:r>
          </w:p>
        </w:tc>
      </w:tr>
      <w:tr w:rsidR="00AE303E" w:rsidRPr="00EB28A6" w:rsidTr="00AE303E">
        <w:trPr>
          <w:trHeight w:val="528"/>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26.</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средномесечния доход по чл. 4а, ал. 2, т. 1 от Закона за семейни помощи за деца</w:t>
            </w:r>
          </w:p>
        </w:tc>
        <w:tc>
          <w:tcPr>
            <w:tcW w:w="504" w:type="pc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лева</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510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710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760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810</w:t>
            </w:r>
          </w:p>
        </w:tc>
      </w:tr>
      <w:tr w:rsidR="00AE303E" w:rsidRPr="00EB28A6" w:rsidTr="00AE303E">
        <w:trPr>
          <w:trHeight w:val="528"/>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27.</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средномесечния доход по чл. 4а, ал. 2, т. 2 от Закона за семейни помощи за деца</w:t>
            </w:r>
          </w:p>
        </w:tc>
        <w:tc>
          <w:tcPr>
            <w:tcW w:w="504" w:type="pc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лева</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от 510,01 до 610 лв. включително</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от 710,01 до 810 лв. включително</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от 760,01 до 860 лв. включително</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от 810,01 до 910 лв. включително</w:t>
            </w:r>
          </w:p>
        </w:tc>
      </w:tr>
      <w:tr w:rsidR="00AE303E" w:rsidRPr="00EB28A6" w:rsidTr="00AE303E">
        <w:trPr>
          <w:trHeight w:val="528"/>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28.</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еднократната помощ при бременност по чл. 5а, ал. 1 от Закона за семейни помощи за деца</w:t>
            </w:r>
          </w:p>
        </w:tc>
        <w:tc>
          <w:tcPr>
            <w:tcW w:w="504" w:type="pc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лева</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150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225</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225</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225</w:t>
            </w:r>
          </w:p>
        </w:tc>
      </w:tr>
      <w:tr w:rsidR="00AE303E" w:rsidRPr="00EB28A6" w:rsidTr="00AE303E">
        <w:trPr>
          <w:trHeight w:val="510"/>
        </w:trPr>
        <w:tc>
          <w:tcPr>
            <w:tcW w:w="185"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29.</w:t>
            </w:r>
          </w:p>
        </w:tc>
        <w:tc>
          <w:tcPr>
            <w:tcW w:w="1678"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еднократната помощ при раждане на живо дете по чл. 6, ал. 1 от Закона за семейни помощи за деца</w:t>
            </w:r>
          </w:p>
        </w:tc>
        <w:tc>
          <w:tcPr>
            <w:tcW w:w="504" w:type="pct"/>
            <w:vMerge w:val="restart"/>
            <w:tcBorders>
              <w:top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rPr>
                <w:rFonts w:eastAsia="Times New Roman" w:cs="Times New Roman"/>
                <w:i/>
                <w:sz w:val="20"/>
                <w:szCs w:val="20"/>
              </w:rPr>
            </w:pPr>
            <w:r w:rsidRPr="00EB28A6">
              <w:rPr>
                <w:rFonts w:eastAsia="Times New Roman" w:cs="Times New Roman"/>
                <w:i/>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rPr>
                <w:rFonts w:eastAsia="Times New Roman" w:cs="Times New Roman"/>
                <w:sz w:val="20"/>
                <w:szCs w:val="20"/>
              </w:rPr>
            </w:pPr>
            <w:r w:rsidRPr="00EB28A6">
              <w:rPr>
                <w:rFonts w:eastAsia="Times New Roman" w:cs="Times New Roman"/>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rPr>
                <w:rFonts w:eastAsia="Times New Roman" w:cs="Times New Roman"/>
                <w:sz w:val="20"/>
                <w:szCs w:val="20"/>
              </w:rPr>
            </w:pPr>
            <w:r w:rsidRPr="00EB28A6">
              <w:rPr>
                <w:rFonts w:eastAsia="Times New Roman" w:cs="Times New Roman"/>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rPr>
                <w:rFonts w:eastAsia="Times New Roman" w:cs="Times New Roman"/>
                <w:sz w:val="20"/>
                <w:szCs w:val="20"/>
              </w:rPr>
            </w:pPr>
            <w:r w:rsidRPr="00EB28A6">
              <w:rPr>
                <w:rFonts w:eastAsia="Times New Roman" w:cs="Times New Roman"/>
                <w:sz w:val="20"/>
                <w:szCs w:val="20"/>
              </w:rPr>
              <w:t> </w:t>
            </w:r>
          </w:p>
        </w:tc>
      </w:tr>
      <w:tr w:rsidR="00AE303E" w:rsidRPr="00EB28A6" w:rsidTr="00AE303E">
        <w:trPr>
          <w:trHeight w:val="288"/>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 </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в т.ч.:</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r>
      <w:tr w:rsidR="00AE303E" w:rsidRPr="00EB28A6" w:rsidTr="00AE303E">
        <w:trPr>
          <w:trHeight w:val="288"/>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29.1.</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за първо дете</w:t>
            </w:r>
          </w:p>
        </w:tc>
        <w:tc>
          <w:tcPr>
            <w:tcW w:w="504" w:type="pct"/>
            <w:vMerge w:val="restart"/>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лева</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250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375</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375</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375</w:t>
            </w:r>
          </w:p>
        </w:tc>
      </w:tr>
      <w:tr w:rsidR="00AE303E" w:rsidRPr="00EB28A6" w:rsidTr="00AE303E">
        <w:trPr>
          <w:trHeight w:val="288"/>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29.2.</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за второ дете</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600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900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900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900</w:t>
            </w:r>
          </w:p>
        </w:tc>
      </w:tr>
      <w:tr w:rsidR="00AE303E" w:rsidRPr="00EB28A6" w:rsidTr="00AE303E">
        <w:trPr>
          <w:trHeight w:val="288"/>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29.3.</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за трето дете</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300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450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450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450</w:t>
            </w:r>
          </w:p>
        </w:tc>
      </w:tr>
      <w:tr w:rsidR="00AE303E" w:rsidRPr="00EB28A6" w:rsidTr="00AE303E">
        <w:trPr>
          <w:trHeight w:val="288"/>
        </w:trPr>
        <w:tc>
          <w:tcPr>
            <w:tcW w:w="185"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29.4.</w:t>
            </w:r>
          </w:p>
        </w:tc>
        <w:tc>
          <w:tcPr>
            <w:tcW w:w="1678"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за четвърто и всяко следващо дете</w:t>
            </w:r>
          </w:p>
        </w:tc>
        <w:tc>
          <w:tcPr>
            <w:tcW w:w="504" w:type="pct"/>
            <w:vMerge/>
            <w:tcBorders>
              <w:bottom w:val="single" w:sz="4" w:space="0" w:color="auto"/>
            </w:tcBorders>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200</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300</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300</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300</w:t>
            </w:r>
          </w:p>
        </w:tc>
      </w:tr>
      <w:tr w:rsidR="00AE303E" w:rsidRPr="00EB28A6" w:rsidTr="00AE303E">
        <w:trPr>
          <w:trHeight w:val="1056"/>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30.</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допълнителната еднократна помощ за дете с установени трайни увреждания 50 и над 50 на сто до навършване на двегодишна възраст по чл. 6, ал. 6 от Закона за семейни помощи за деца</w:t>
            </w:r>
          </w:p>
        </w:tc>
        <w:tc>
          <w:tcPr>
            <w:tcW w:w="504" w:type="pc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лева</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100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100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100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100</w:t>
            </w:r>
          </w:p>
        </w:tc>
      </w:tr>
      <w:tr w:rsidR="00AE303E" w:rsidRPr="00EB28A6" w:rsidTr="00AE303E">
        <w:trPr>
          <w:trHeight w:val="528"/>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31.</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еднократната помощ при осиновяване  на дете по чл. 6б, ал. 1 от Закона за семейни помощи за деца</w:t>
            </w:r>
          </w:p>
        </w:tc>
        <w:tc>
          <w:tcPr>
            <w:tcW w:w="504" w:type="pc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лева</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250</w:t>
            </w:r>
          </w:p>
        </w:tc>
        <w:tc>
          <w:tcPr>
            <w:tcW w:w="658" w:type="pct"/>
            <w:tcBorders>
              <w:top w:val="single" w:sz="4" w:space="0" w:color="auto"/>
              <w:bottom w:val="single" w:sz="4" w:space="0" w:color="auto"/>
            </w:tcBorders>
            <w:shd w:val="clear" w:color="auto" w:fill="auto"/>
            <w:vAlign w:val="center"/>
            <w:hideMark/>
          </w:tcPr>
          <w:p w:rsidR="00AE303E" w:rsidRPr="00EB28A6" w:rsidRDefault="00D0709A" w:rsidP="00AE303E">
            <w:pPr>
              <w:spacing w:after="0"/>
              <w:jc w:val="center"/>
              <w:rPr>
                <w:rFonts w:eastAsia="Times New Roman" w:cs="Times New Roman"/>
                <w:sz w:val="20"/>
                <w:szCs w:val="20"/>
              </w:rPr>
            </w:pPr>
            <w:r>
              <w:rPr>
                <w:rFonts w:eastAsia="Times New Roman" w:cs="Times New Roman"/>
                <w:sz w:val="20"/>
                <w:szCs w:val="20"/>
              </w:rPr>
              <w:t>375</w:t>
            </w:r>
          </w:p>
        </w:tc>
        <w:tc>
          <w:tcPr>
            <w:tcW w:w="658" w:type="pct"/>
            <w:tcBorders>
              <w:top w:val="single" w:sz="4" w:space="0" w:color="auto"/>
              <w:bottom w:val="single" w:sz="4" w:space="0" w:color="auto"/>
            </w:tcBorders>
            <w:shd w:val="clear" w:color="auto" w:fill="auto"/>
            <w:vAlign w:val="center"/>
            <w:hideMark/>
          </w:tcPr>
          <w:p w:rsidR="00AE303E" w:rsidRPr="00EB28A6" w:rsidRDefault="00D0709A" w:rsidP="00AE303E">
            <w:pPr>
              <w:spacing w:after="0"/>
              <w:jc w:val="center"/>
              <w:rPr>
                <w:rFonts w:eastAsia="Times New Roman" w:cs="Times New Roman"/>
                <w:sz w:val="20"/>
                <w:szCs w:val="20"/>
              </w:rPr>
            </w:pPr>
            <w:r>
              <w:rPr>
                <w:rFonts w:eastAsia="Times New Roman" w:cs="Times New Roman"/>
                <w:sz w:val="20"/>
                <w:szCs w:val="20"/>
              </w:rPr>
              <w:t>375</w:t>
            </w:r>
          </w:p>
        </w:tc>
        <w:tc>
          <w:tcPr>
            <w:tcW w:w="658" w:type="pct"/>
            <w:tcBorders>
              <w:top w:val="single" w:sz="4" w:space="0" w:color="auto"/>
              <w:bottom w:val="single" w:sz="4" w:space="0" w:color="auto"/>
            </w:tcBorders>
            <w:shd w:val="clear" w:color="auto" w:fill="auto"/>
            <w:vAlign w:val="center"/>
            <w:hideMark/>
          </w:tcPr>
          <w:p w:rsidR="00AE303E" w:rsidRPr="00EB28A6" w:rsidRDefault="00D0709A" w:rsidP="00AE303E">
            <w:pPr>
              <w:spacing w:after="0"/>
              <w:jc w:val="center"/>
              <w:rPr>
                <w:rFonts w:eastAsia="Times New Roman" w:cs="Times New Roman"/>
                <w:sz w:val="20"/>
                <w:szCs w:val="20"/>
              </w:rPr>
            </w:pPr>
            <w:r>
              <w:rPr>
                <w:rFonts w:eastAsia="Times New Roman" w:cs="Times New Roman"/>
                <w:sz w:val="20"/>
                <w:szCs w:val="20"/>
              </w:rPr>
              <w:t>375</w:t>
            </w:r>
          </w:p>
        </w:tc>
      </w:tr>
      <w:tr w:rsidR="00AE303E" w:rsidRPr="00EB28A6" w:rsidTr="00AE303E">
        <w:trPr>
          <w:trHeight w:val="792"/>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32.</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еднократната помощ за отглеждане на близнаци  по чл. 6а, ал. 1 от Закона за семейни помощи за деца</w:t>
            </w:r>
          </w:p>
        </w:tc>
        <w:tc>
          <w:tcPr>
            <w:tcW w:w="504" w:type="pc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лева</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1200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1200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1200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1200</w:t>
            </w:r>
          </w:p>
        </w:tc>
      </w:tr>
      <w:tr w:rsidR="00AE303E" w:rsidRPr="00EB28A6" w:rsidTr="00AE303E">
        <w:trPr>
          <w:trHeight w:val="1056"/>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33.</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еднократната помощ за отглеждане на дете от майка (осиновителка) студентка, учаща в редовна форма на обучение, по чл. 8в, ал. 1 от Закона за семейни помощи за деца</w:t>
            </w:r>
          </w:p>
        </w:tc>
        <w:tc>
          <w:tcPr>
            <w:tcW w:w="504" w:type="pc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лева</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2880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2880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2880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2880</w:t>
            </w:r>
          </w:p>
        </w:tc>
      </w:tr>
      <w:tr w:rsidR="00AE303E" w:rsidRPr="00EB28A6" w:rsidTr="00AE303E">
        <w:trPr>
          <w:trHeight w:val="792"/>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34.</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месечните помощи за отглеждане на дете до навършване на една година по чл. 8, ал. 1 от Закона за семейни помощи за деца</w:t>
            </w:r>
          </w:p>
        </w:tc>
        <w:tc>
          <w:tcPr>
            <w:tcW w:w="504" w:type="pc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лева</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200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200</w:t>
            </w:r>
          </w:p>
        </w:tc>
      </w:tr>
      <w:tr w:rsidR="00AE303E" w:rsidRPr="00EB28A6" w:rsidTr="00AE303E">
        <w:trPr>
          <w:trHeight w:val="944"/>
        </w:trPr>
        <w:tc>
          <w:tcPr>
            <w:tcW w:w="185" w:type="pct"/>
            <w:vMerge w:val="restar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35.</w:t>
            </w:r>
          </w:p>
        </w:tc>
        <w:tc>
          <w:tcPr>
            <w:tcW w:w="1678"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месечните помощи за отглеждане на дете до завършване на средно образование, но не повече от 20-годишна възраст, по чл. 7, ал. 1 от Закона за семейни помощи за деца</w:t>
            </w:r>
          </w:p>
        </w:tc>
        <w:tc>
          <w:tcPr>
            <w:tcW w:w="504" w:type="pct"/>
            <w:vMerge w:val="restart"/>
            <w:tcBorders>
              <w:top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r>
      <w:tr w:rsidR="00AE303E" w:rsidRPr="00EB28A6" w:rsidTr="00AE303E">
        <w:trPr>
          <w:trHeight w:val="288"/>
        </w:trPr>
        <w:tc>
          <w:tcPr>
            <w:tcW w:w="185" w:type="pct"/>
            <w:vMerge/>
            <w:tcBorders>
              <w:bottom w:val="single" w:sz="4" w:space="0" w:color="auto"/>
            </w:tcBorders>
            <w:vAlign w:val="center"/>
            <w:hideMark/>
          </w:tcPr>
          <w:p w:rsidR="00AE303E" w:rsidRPr="00EB28A6" w:rsidRDefault="00AE303E" w:rsidP="00AE303E">
            <w:pPr>
              <w:spacing w:after="0"/>
              <w:jc w:val="left"/>
              <w:rPr>
                <w:rFonts w:eastAsia="Times New Roman" w:cs="Times New Roman"/>
                <w:b/>
                <w:bCs/>
                <w:sz w:val="20"/>
                <w:szCs w:val="20"/>
              </w:rPr>
            </w:pPr>
          </w:p>
        </w:tc>
        <w:tc>
          <w:tcPr>
            <w:tcW w:w="1678"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в т.ч.:</w:t>
            </w:r>
          </w:p>
        </w:tc>
        <w:tc>
          <w:tcPr>
            <w:tcW w:w="504" w:type="pct"/>
            <w:vMerge/>
            <w:tcBorders>
              <w:bottom w:val="single" w:sz="4" w:space="0" w:color="auto"/>
            </w:tcBorders>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 </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r>
      <w:tr w:rsidR="00AE303E" w:rsidRPr="00EB28A6" w:rsidTr="00AE303E">
        <w:trPr>
          <w:trHeight w:val="288"/>
        </w:trPr>
        <w:tc>
          <w:tcPr>
            <w:tcW w:w="185"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35.1.</w:t>
            </w:r>
          </w:p>
        </w:tc>
        <w:tc>
          <w:tcPr>
            <w:tcW w:w="1678"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за семейство с едно дете </w:t>
            </w:r>
          </w:p>
        </w:tc>
        <w:tc>
          <w:tcPr>
            <w:tcW w:w="504" w:type="pct"/>
            <w:vMerge w:val="restart"/>
            <w:tcBorders>
              <w:top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лева</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50</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50</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50</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50</w:t>
            </w:r>
          </w:p>
        </w:tc>
      </w:tr>
      <w:tr w:rsidR="00AE303E" w:rsidRPr="00EB28A6" w:rsidTr="00AE303E">
        <w:trPr>
          <w:trHeight w:val="288"/>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35.2.</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за семейство с две деца</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110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110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110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110</w:t>
            </w:r>
          </w:p>
        </w:tc>
      </w:tr>
      <w:tr w:rsidR="00AE303E" w:rsidRPr="00EB28A6" w:rsidTr="00AE303E">
        <w:trPr>
          <w:trHeight w:val="288"/>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35.3.</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за семейство с три деца </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165</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165</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165</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165</w:t>
            </w:r>
          </w:p>
        </w:tc>
      </w:tr>
      <w:tr w:rsidR="00AE303E" w:rsidRPr="00EB28A6" w:rsidTr="00AE303E">
        <w:trPr>
          <w:trHeight w:val="792"/>
        </w:trPr>
        <w:tc>
          <w:tcPr>
            <w:tcW w:w="185"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35.4.</w:t>
            </w:r>
          </w:p>
        </w:tc>
        <w:tc>
          <w:tcPr>
            <w:tcW w:w="1678"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за семейство с четири деца, като за всяко следващо дете в семейството помощта за семейството расте с 20 лв.</w:t>
            </w:r>
          </w:p>
        </w:tc>
        <w:tc>
          <w:tcPr>
            <w:tcW w:w="504" w:type="pct"/>
            <w:vMerge/>
            <w:tcBorders>
              <w:bottom w:val="single" w:sz="4" w:space="0" w:color="auto"/>
            </w:tcBorders>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175</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175</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175</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175</w:t>
            </w:r>
          </w:p>
        </w:tc>
      </w:tr>
      <w:tr w:rsidR="00AE303E" w:rsidRPr="00EB28A6" w:rsidTr="00AE303E">
        <w:trPr>
          <w:trHeight w:val="528"/>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36.</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месечната помощ за отглеждане на близнаци по чл. 7, ал. 6 от Закона за семейни помощи за деца</w:t>
            </w:r>
          </w:p>
        </w:tc>
        <w:tc>
          <w:tcPr>
            <w:tcW w:w="504" w:type="pc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лева</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75</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75</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75</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75</w:t>
            </w:r>
          </w:p>
        </w:tc>
      </w:tr>
      <w:tr w:rsidR="00AE303E" w:rsidRPr="00EB28A6" w:rsidTr="00AE303E">
        <w:trPr>
          <w:trHeight w:val="1320"/>
        </w:trPr>
        <w:tc>
          <w:tcPr>
            <w:tcW w:w="185" w:type="pct"/>
            <w:vMerge w:val="restar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37.</w:t>
            </w:r>
          </w:p>
        </w:tc>
        <w:tc>
          <w:tcPr>
            <w:tcW w:w="1678"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месечната помощ за отглеждане на дете с трайно увреждане по чл. 8д от Закона за семейни помощи за деца за родители (осиновители), семейства на роднини или близки и доброволни приемни семейства, при които са настанени деца с трайни увреждания</w:t>
            </w:r>
          </w:p>
        </w:tc>
        <w:tc>
          <w:tcPr>
            <w:tcW w:w="504" w:type="pct"/>
            <w:vMerge w:val="restart"/>
            <w:tcBorders>
              <w:top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r>
      <w:tr w:rsidR="00AE303E" w:rsidRPr="00EB28A6" w:rsidTr="00AE303E">
        <w:trPr>
          <w:trHeight w:val="288"/>
        </w:trPr>
        <w:tc>
          <w:tcPr>
            <w:tcW w:w="185" w:type="pct"/>
            <w:vMerge/>
            <w:vAlign w:val="center"/>
            <w:hideMark/>
          </w:tcPr>
          <w:p w:rsidR="00AE303E" w:rsidRPr="00EB28A6" w:rsidRDefault="00AE303E" w:rsidP="00AE303E">
            <w:pPr>
              <w:spacing w:after="0"/>
              <w:jc w:val="left"/>
              <w:rPr>
                <w:rFonts w:eastAsia="Times New Roman" w:cs="Times New Roman"/>
                <w:b/>
                <w:bCs/>
                <w:sz w:val="20"/>
                <w:szCs w:val="20"/>
              </w:rPr>
            </w:pP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в т.ч.:</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r>
      <w:tr w:rsidR="00AE303E" w:rsidRPr="00EB28A6" w:rsidTr="00AE303E">
        <w:trPr>
          <w:trHeight w:val="792"/>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37.1.</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за дете с определени 90 и над 90 на сто вид и степен на увреждане или степен на трайно намалена работоспособност </w:t>
            </w:r>
          </w:p>
        </w:tc>
        <w:tc>
          <w:tcPr>
            <w:tcW w:w="504" w:type="pct"/>
            <w:vMerge w:val="restart"/>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лева</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930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1 180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1 180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1 180</w:t>
            </w:r>
          </w:p>
        </w:tc>
      </w:tr>
      <w:tr w:rsidR="00AE303E" w:rsidRPr="00EB28A6" w:rsidTr="00AE303E">
        <w:trPr>
          <w:trHeight w:val="792"/>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37.2.</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за дете с определени от 70 до 90 на сто вид и степен на увреждане или степен на трайно намалена работоспособност</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450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570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570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570</w:t>
            </w:r>
          </w:p>
        </w:tc>
      </w:tr>
      <w:tr w:rsidR="00AE303E" w:rsidRPr="00EB28A6" w:rsidTr="00AE303E">
        <w:trPr>
          <w:trHeight w:val="792"/>
        </w:trPr>
        <w:tc>
          <w:tcPr>
            <w:tcW w:w="185"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37.3.</w:t>
            </w:r>
          </w:p>
        </w:tc>
        <w:tc>
          <w:tcPr>
            <w:tcW w:w="1678"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за дете с определени от 50 до 70 на сто вид и степен на увреждане или степен на трайно намалена работоспособност</w:t>
            </w:r>
          </w:p>
        </w:tc>
        <w:tc>
          <w:tcPr>
            <w:tcW w:w="504" w:type="pct"/>
            <w:vMerge/>
            <w:tcBorders>
              <w:bottom w:val="single" w:sz="4" w:space="0" w:color="auto"/>
            </w:tcBorders>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350</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450</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450</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450</w:t>
            </w:r>
          </w:p>
        </w:tc>
      </w:tr>
      <w:tr w:rsidR="00AE303E" w:rsidRPr="00EB28A6" w:rsidTr="00AE303E">
        <w:trPr>
          <w:trHeight w:val="1056"/>
        </w:trPr>
        <w:tc>
          <w:tcPr>
            <w:tcW w:w="185" w:type="pct"/>
            <w:vMerge w:val="restar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38.</w:t>
            </w:r>
          </w:p>
        </w:tc>
        <w:tc>
          <w:tcPr>
            <w:tcW w:w="1678"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месечната помощ за отглеждане на дете с трайно увреждане по чл. 8д от Закона за семейни помощи за деца за професионални приемни семейства, при които са настанени деца с трайни увреждания</w:t>
            </w:r>
          </w:p>
        </w:tc>
        <w:tc>
          <w:tcPr>
            <w:tcW w:w="504" w:type="pct"/>
            <w:vMerge w:val="restart"/>
            <w:tcBorders>
              <w:top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r>
      <w:tr w:rsidR="00AE303E" w:rsidRPr="00EB28A6" w:rsidTr="00AE303E">
        <w:trPr>
          <w:trHeight w:val="288"/>
        </w:trPr>
        <w:tc>
          <w:tcPr>
            <w:tcW w:w="185" w:type="pct"/>
            <w:vMerge/>
            <w:tcBorders>
              <w:bottom w:val="single" w:sz="4" w:space="0" w:color="auto"/>
            </w:tcBorders>
            <w:vAlign w:val="center"/>
            <w:hideMark/>
          </w:tcPr>
          <w:p w:rsidR="00AE303E" w:rsidRPr="00EB28A6" w:rsidRDefault="00AE303E" w:rsidP="00AE303E">
            <w:pPr>
              <w:spacing w:after="0"/>
              <w:jc w:val="left"/>
              <w:rPr>
                <w:rFonts w:eastAsia="Times New Roman" w:cs="Times New Roman"/>
                <w:b/>
                <w:bCs/>
                <w:sz w:val="20"/>
                <w:szCs w:val="20"/>
              </w:rPr>
            </w:pPr>
          </w:p>
        </w:tc>
        <w:tc>
          <w:tcPr>
            <w:tcW w:w="1678"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в т.ч.:</w:t>
            </w:r>
          </w:p>
        </w:tc>
        <w:tc>
          <w:tcPr>
            <w:tcW w:w="504" w:type="pct"/>
            <w:vMerge/>
            <w:tcBorders>
              <w:bottom w:val="single" w:sz="4" w:space="0" w:color="auto"/>
            </w:tcBorders>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 </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 </w:t>
            </w:r>
          </w:p>
        </w:tc>
      </w:tr>
      <w:tr w:rsidR="00AE303E" w:rsidRPr="00EB28A6" w:rsidTr="00AE303E">
        <w:trPr>
          <w:trHeight w:val="792"/>
        </w:trPr>
        <w:tc>
          <w:tcPr>
            <w:tcW w:w="185"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38.1.</w:t>
            </w:r>
          </w:p>
        </w:tc>
        <w:tc>
          <w:tcPr>
            <w:tcW w:w="1678" w:type="pct"/>
            <w:tcBorders>
              <w:top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за дете с определени 90 и над 90 на сто вид и степен на увреждане или степен на трайно намалена работоспособност </w:t>
            </w:r>
          </w:p>
        </w:tc>
        <w:tc>
          <w:tcPr>
            <w:tcW w:w="504" w:type="pct"/>
            <w:vMerge w:val="restart"/>
            <w:tcBorders>
              <w:top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лева</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490</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620</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620</w:t>
            </w:r>
          </w:p>
        </w:tc>
        <w:tc>
          <w:tcPr>
            <w:tcW w:w="658" w:type="pct"/>
            <w:tcBorders>
              <w:top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620</w:t>
            </w:r>
          </w:p>
        </w:tc>
      </w:tr>
      <w:tr w:rsidR="00AE303E" w:rsidRPr="00EB28A6" w:rsidTr="00AE303E">
        <w:trPr>
          <w:trHeight w:val="792"/>
        </w:trPr>
        <w:tc>
          <w:tcPr>
            <w:tcW w:w="185" w:type="pct"/>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38.2.</w:t>
            </w:r>
          </w:p>
        </w:tc>
        <w:tc>
          <w:tcPr>
            <w:tcW w:w="1678" w:type="pct"/>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за дете с определени от 70 до 90 на сто вид и степен на увреждане или степен на трайно намалена работоспособност</w:t>
            </w:r>
          </w:p>
        </w:tc>
        <w:tc>
          <w:tcPr>
            <w:tcW w:w="504" w:type="pct"/>
            <w:vMerge/>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420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530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530</w:t>
            </w:r>
          </w:p>
        </w:tc>
        <w:tc>
          <w:tcPr>
            <w:tcW w:w="658" w:type="pct"/>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530</w:t>
            </w:r>
          </w:p>
        </w:tc>
      </w:tr>
      <w:tr w:rsidR="00AE303E" w:rsidRPr="00EB28A6" w:rsidTr="00AE303E">
        <w:trPr>
          <w:trHeight w:val="792"/>
        </w:trPr>
        <w:tc>
          <w:tcPr>
            <w:tcW w:w="185"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38.3.</w:t>
            </w:r>
          </w:p>
        </w:tc>
        <w:tc>
          <w:tcPr>
            <w:tcW w:w="1678" w:type="pct"/>
            <w:tcBorders>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 xml:space="preserve"> - за дете с определени от 50 до 70 на сто вид и степен на увреждане или степен на трайно намалена работоспособност</w:t>
            </w:r>
          </w:p>
        </w:tc>
        <w:tc>
          <w:tcPr>
            <w:tcW w:w="504" w:type="pct"/>
            <w:vMerge/>
            <w:tcBorders>
              <w:bottom w:val="single" w:sz="4" w:space="0" w:color="auto"/>
            </w:tcBorders>
            <w:shd w:val="clear" w:color="auto" w:fill="FBE4D5"/>
            <w:vAlign w:val="center"/>
            <w:hideMark/>
          </w:tcPr>
          <w:p w:rsidR="00AE303E" w:rsidRPr="00EB28A6" w:rsidRDefault="00AE303E" w:rsidP="00AE303E">
            <w:pPr>
              <w:spacing w:after="0"/>
              <w:jc w:val="left"/>
              <w:rPr>
                <w:rFonts w:eastAsia="Times New Roman" w:cs="Times New Roman"/>
                <w:color w:val="000000"/>
                <w:sz w:val="20"/>
                <w:szCs w:val="20"/>
              </w:rPr>
            </w:pP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350</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450</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450</w:t>
            </w:r>
          </w:p>
        </w:tc>
        <w:tc>
          <w:tcPr>
            <w:tcW w:w="658" w:type="pct"/>
            <w:tcBorders>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lang w:val="en-US"/>
              </w:rPr>
            </w:pPr>
            <w:r w:rsidRPr="00EB28A6">
              <w:rPr>
                <w:rFonts w:eastAsia="Times New Roman" w:cs="Times New Roman"/>
                <w:sz w:val="20"/>
                <w:szCs w:val="20"/>
                <w:lang w:val="en-US"/>
              </w:rPr>
              <w:t>450</w:t>
            </w:r>
          </w:p>
        </w:tc>
      </w:tr>
      <w:tr w:rsidR="00AE303E" w:rsidRPr="00EB28A6" w:rsidTr="00AE303E">
        <w:trPr>
          <w:trHeight w:val="528"/>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39.</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месечната помощ за дете без право на наследствена пенсия от починал родител</w:t>
            </w:r>
          </w:p>
        </w:tc>
        <w:tc>
          <w:tcPr>
            <w:tcW w:w="504" w:type="pc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лева</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150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150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150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150</w:t>
            </w:r>
          </w:p>
        </w:tc>
      </w:tr>
      <w:tr w:rsidR="00AE303E" w:rsidRPr="00EB28A6" w:rsidTr="00AE303E">
        <w:trPr>
          <w:trHeight w:val="528"/>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40.</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еднократната помощ за ученици по чл. 10а от Закона за семейни помощи за деца</w:t>
            </w:r>
          </w:p>
        </w:tc>
        <w:tc>
          <w:tcPr>
            <w:tcW w:w="504" w:type="pc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лева</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300 лв. за учебната 2023/2024 година</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300 лв. за учебната 2024/2025 година</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300 лв. за учебната 2025/2026 година</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300 лв. за учебната 2026/2027 година</w:t>
            </w:r>
          </w:p>
        </w:tc>
      </w:tr>
      <w:tr w:rsidR="00AE303E" w:rsidRPr="00EB28A6" w:rsidTr="00AE303E">
        <w:trPr>
          <w:trHeight w:val="528"/>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 xml:space="preserve">41. </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Размер на еднократната помощ за ученици в осми клас, по чл. 10б от Закона за семейни помощи за деца</w:t>
            </w:r>
          </w:p>
        </w:tc>
        <w:tc>
          <w:tcPr>
            <w:tcW w:w="504" w:type="pc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лева</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300 лв. за учебната 2023/2024 година</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300 лв. за учебната 2024/2025 година</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300 лв. за учебната 2025/2026 година</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300 лв. за учебната 2026/2027 година</w:t>
            </w:r>
          </w:p>
        </w:tc>
      </w:tr>
      <w:tr w:rsidR="00AE303E" w:rsidRPr="00EB28A6" w:rsidTr="00AE303E">
        <w:trPr>
          <w:trHeight w:val="792"/>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42.</w:t>
            </w:r>
          </w:p>
        </w:tc>
        <w:tc>
          <w:tcPr>
            <w:tcW w:w="1678" w:type="pct"/>
            <w:tcBorders>
              <w:top w:val="single" w:sz="4" w:space="0" w:color="auto"/>
              <w:bottom w:val="single" w:sz="4" w:space="0" w:color="auto"/>
            </w:tcBorders>
            <w:shd w:val="clear" w:color="auto" w:fill="auto"/>
            <w:hideMark/>
          </w:tcPr>
          <w:p w:rsidR="00AE303E" w:rsidRPr="00665E9C" w:rsidRDefault="00AE303E" w:rsidP="00AE303E">
            <w:pPr>
              <w:spacing w:after="0"/>
              <w:jc w:val="left"/>
              <w:rPr>
                <w:rFonts w:eastAsia="Times New Roman" w:cs="Times New Roman"/>
                <w:sz w:val="20"/>
                <w:szCs w:val="20"/>
              </w:rPr>
            </w:pPr>
            <w:r w:rsidRPr="00665E9C">
              <w:rPr>
                <w:rFonts w:eastAsia="Times New Roman" w:cs="Times New Roman"/>
                <w:sz w:val="20"/>
                <w:szCs w:val="20"/>
              </w:rPr>
              <w:t>Минимален дневен размер на обезщетението за безработица по чл. 54б, ал. 2 от Кодекса за социално осигуряване</w:t>
            </w:r>
          </w:p>
        </w:tc>
        <w:tc>
          <w:tcPr>
            <w:tcW w:w="504" w:type="pct"/>
            <w:tcBorders>
              <w:top w:val="single" w:sz="4" w:space="0" w:color="auto"/>
              <w:bottom w:val="single" w:sz="4" w:space="0" w:color="auto"/>
            </w:tcBorders>
            <w:shd w:val="clear" w:color="auto" w:fill="FBE4D5"/>
            <w:vAlign w:val="center"/>
            <w:hideMark/>
          </w:tcPr>
          <w:p w:rsidR="00AE303E" w:rsidRPr="00665E9C" w:rsidRDefault="00AE303E" w:rsidP="00AE303E">
            <w:pPr>
              <w:spacing w:after="0"/>
              <w:jc w:val="center"/>
              <w:rPr>
                <w:rFonts w:eastAsia="Times New Roman" w:cs="Times New Roman"/>
                <w:color w:val="000000"/>
                <w:sz w:val="20"/>
                <w:szCs w:val="20"/>
              </w:rPr>
            </w:pPr>
            <w:r w:rsidRPr="00665E9C">
              <w:rPr>
                <w:rFonts w:eastAsia="Times New Roman" w:cs="Times New Roman"/>
                <w:color w:val="000000"/>
                <w:sz w:val="20"/>
                <w:szCs w:val="20"/>
              </w:rPr>
              <w:t>лева</w:t>
            </w:r>
          </w:p>
        </w:tc>
        <w:tc>
          <w:tcPr>
            <w:tcW w:w="658" w:type="pct"/>
            <w:tcBorders>
              <w:top w:val="single" w:sz="4" w:space="0" w:color="auto"/>
              <w:bottom w:val="single" w:sz="4" w:space="0" w:color="auto"/>
            </w:tcBorders>
            <w:shd w:val="clear" w:color="auto" w:fill="auto"/>
            <w:vAlign w:val="center"/>
            <w:hideMark/>
          </w:tcPr>
          <w:p w:rsidR="00AE303E" w:rsidRPr="00665E9C" w:rsidRDefault="00AE303E" w:rsidP="00AE303E">
            <w:pPr>
              <w:spacing w:after="0"/>
              <w:jc w:val="center"/>
              <w:rPr>
                <w:rFonts w:eastAsia="Times New Roman" w:cs="Times New Roman"/>
                <w:i/>
                <w:sz w:val="20"/>
                <w:szCs w:val="20"/>
              </w:rPr>
            </w:pPr>
            <w:r w:rsidRPr="00665E9C">
              <w:rPr>
                <w:rFonts w:eastAsia="Times New Roman" w:cs="Times New Roman"/>
                <w:i/>
                <w:sz w:val="20"/>
                <w:szCs w:val="20"/>
              </w:rPr>
              <w:t>18</w:t>
            </w:r>
          </w:p>
        </w:tc>
        <w:tc>
          <w:tcPr>
            <w:tcW w:w="658" w:type="pct"/>
            <w:tcBorders>
              <w:top w:val="single" w:sz="4" w:space="0" w:color="auto"/>
              <w:bottom w:val="single" w:sz="4" w:space="0" w:color="auto"/>
            </w:tcBorders>
            <w:shd w:val="clear" w:color="auto" w:fill="auto"/>
            <w:vAlign w:val="center"/>
            <w:hideMark/>
          </w:tcPr>
          <w:p w:rsidR="00AE303E" w:rsidRPr="00665E9C" w:rsidRDefault="00AE303E" w:rsidP="00AE303E">
            <w:pPr>
              <w:spacing w:after="0"/>
              <w:jc w:val="center"/>
              <w:rPr>
                <w:rFonts w:eastAsia="Times New Roman" w:cs="Times New Roman"/>
                <w:sz w:val="20"/>
                <w:szCs w:val="20"/>
              </w:rPr>
            </w:pPr>
            <w:r w:rsidRPr="00665E9C">
              <w:rPr>
                <w:rFonts w:eastAsia="Times New Roman" w:cs="Times New Roman"/>
                <w:sz w:val="20"/>
                <w:szCs w:val="20"/>
              </w:rPr>
              <w:t>18</w:t>
            </w:r>
          </w:p>
        </w:tc>
        <w:tc>
          <w:tcPr>
            <w:tcW w:w="658" w:type="pct"/>
            <w:tcBorders>
              <w:top w:val="single" w:sz="4" w:space="0" w:color="auto"/>
              <w:bottom w:val="single" w:sz="4" w:space="0" w:color="auto"/>
            </w:tcBorders>
            <w:shd w:val="clear" w:color="auto" w:fill="auto"/>
            <w:vAlign w:val="center"/>
            <w:hideMark/>
          </w:tcPr>
          <w:p w:rsidR="00AE303E" w:rsidRPr="00665E9C" w:rsidRDefault="00AE303E" w:rsidP="00AE303E">
            <w:pPr>
              <w:spacing w:after="0"/>
              <w:jc w:val="center"/>
              <w:rPr>
                <w:rFonts w:eastAsia="Times New Roman" w:cs="Times New Roman"/>
                <w:sz w:val="20"/>
                <w:szCs w:val="20"/>
              </w:rPr>
            </w:pPr>
            <w:r w:rsidRPr="00665E9C">
              <w:rPr>
                <w:rFonts w:eastAsia="Times New Roman" w:cs="Times New Roman"/>
                <w:sz w:val="20"/>
                <w:szCs w:val="20"/>
              </w:rPr>
              <w:t>18</w:t>
            </w:r>
          </w:p>
        </w:tc>
        <w:tc>
          <w:tcPr>
            <w:tcW w:w="658" w:type="pct"/>
            <w:tcBorders>
              <w:top w:val="single" w:sz="4" w:space="0" w:color="auto"/>
              <w:bottom w:val="single" w:sz="4" w:space="0" w:color="auto"/>
            </w:tcBorders>
            <w:shd w:val="clear" w:color="auto" w:fill="auto"/>
            <w:vAlign w:val="center"/>
            <w:hideMark/>
          </w:tcPr>
          <w:p w:rsidR="00AE303E" w:rsidRPr="00665E9C" w:rsidRDefault="00AE303E" w:rsidP="00AE303E">
            <w:pPr>
              <w:spacing w:after="0"/>
              <w:jc w:val="center"/>
              <w:rPr>
                <w:rFonts w:eastAsia="Times New Roman" w:cs="Times New Roman"/>
                <w:sz w:val="20"/>
                <w:szCs w:val="20"/>
              </w:rPr>
            </w:pPr>
            <w:r w:rsidRPr="00665E9C">
              <w:rPr>
                <w:rFonts w:eastAsia="Times New Roman" w:cs="Times New Roman"/>
                <w:sz w:val="20"/>
                <w:szCs w:val="20"/>
              </w:rPr>
              <w:t>18</w:t>
            </w:r>
          </w:p>
        </w:tc>
      </w:tr>
      <w:tr w:rsidR="00AE303E" w:rsidRPr="00EB28A6" w:rsidTr="00AE303E">
        <w:trPr>
          <w:trHeight w:val="792"/>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43.</w:t>
            </w:r>
          </w:p>
        </w:tc>
        <w:tc>
          <w:tcPr>
            <w:tcW w:w="1678" w:type="pct"/>
            <w:tcBorders>
              <w:top w:val="single" w:sz="4" w:space="0" w:color="auto"/>
              <w:bottom w:val="single" w:sz="4" w:space="0" w:color="auto"/>
            </w:tcBorders>
            <w:shd w:val="clear" w:color="auto" w:fill="auto"/>
            <w:hideMark/>
          </w:tcPr>
          <w:p w:rsidR="00AE303E" w:rsidRPr="00665E9C" w:rsidRDefault="00AE303E" w:rsidP="00AE303E">
            <w:pPr>
              <w:spacing w:after="0"/>
              <w:jc w:val="left"/>
              <w:rPr>
                <w:rFonts w:eastAsia="Times New Roman" w:cs="Times New Roman"/>
                <w:sz w:val="20"/>
                <w:szCs w:val="20"/>
              </w:rPr>
            </w:pPr>
            <w:r w:rsidRPr="00665E9C">
              <w:rPr>
                <w:rFonts w:eastAsia="Times New Roman" w:cs="Times New Roman"/>
                <w:sz w:val="20"/>
                <w:szCs w:val="20"/>
              </w:rPr>
              <w:t>Максимален дневен размер на обезщетението за безработица по чл. 54б, ал. 2 от Кодекса за социално осигуряване</w:t>
            </w:r>
          </w:p>
        </w:tc>
        <w:tc>
          <w:tcPr>
            <w:tcW w:w="504" w:type="pct"/>
            <w:tcBorders>
              <w:top w:val="single" w:sz="4" w:space="0" w:color="auto"/>
              <w:bottom w:val="single" w:sz="4" w:space="0" w:color="auto"/>
            </w:tcBorders>
            <w:shd w:val="clear" w:color="auto" w:fill="FBE4D5"/>
            <w:vAlign w:val="center"/>
            <w:hideMark/>
          </w:tcPr>
          <w:p w:rsidR="00AE303E" w:rsidRPr="00665E9C" w:rsidRDefault="00AE303E" w:rsidP="00AE303E">
            <w:pPr>
              <w:spacing w:after="0"/>
              <w:jc w:val="center"/>
              <w:rPr>
                <w:rFonts w:eastAsia="Times New Roman" w:cs="Times New Roman"/>
                <w:color w:val="000000"/>
                <w:sz w:val="20"/>
                <w:szCs w:val="20"/>
              </w:rPr>
            </w:pPr>
            <w:r w:rsidRPr="00665E9C">
              <w:rPr>
                <w:rFonts w:eastAsia="Times New Roman" w:cs="Times New Roman"/>
                <w:color w:val="000000"/>
                <w:sz w:val="20"/>
                <w:szCs w:val="20"/>
              </w:rPr>
              <w:t>лева</w:t>
            </w:r>
          </w:p>
        </w:tc>
        <w:tc>
          <w:tcPr>
            <w:tcW w:w="658" w:type="pct"/>
            <w:tcBorders>
              <w:top w:val="single" w:sz="4" w:space="0" w:color="auto"/>
              <w:bottom w:val="single" w:sz="4" w:space="0" w:color="auto"/>
            </w:tcBorders>
            <w:shd w:val="clear" w:color="auto" w:fill="auto"/>
            <w:vAlign w:val="center"/>
            <w:hideMark/>
          </w:tcPr>
          <w:p w:rsidR="00AE303E" w:rsidRPr="00665E9C" w:rsidRDefault="00AE303E" w:rsidP="00AE303E">
            <w:pPr>
              <w:spacing w:after="0"/>
              <w:jc w:val="center"/>
              <w:rPr>
                <w:rFonts w:eastAsia="Times New Roman" w:cs="Times New Roman"/>
                <w:i/>
                <w:sz w:val="20"/>
                <w:szCs w:val="20"/>
              </w:rPr>
            </w:pPr>
            <w:r w:rsidRPr="00665E9C">
              <w:rPr>
                <w:rFonts w:eastAsia="Times New Roman" w:cs="Times New Roman"/>
                <w:i/>
                <w:sz w:val="20"/>
                <w:szCs w:val="20"/>
              </w:rPr>
              <w:t>85,71</w:t>
            </w:r>
          </w:p>
        </w:tc>
        <w:tc>
          <w:tcPr>
            <w:tcW w:w="658" w:type="pct"/>
            <w:tcBorders>
              <w:top w:val="single" w:sz="4" w:space="0" w:color="auto"/>
              <w:bottom w:val="single" w:sz="4" w:space="0" w:color="auto"/>
            </w:tcBorders>
            <w:shd w:val="clear" w:color="auto" w:fill="auto"/>
            <w:vAlign w:val="center"/>
            <w:hideMark/>
          </w:tcPr>
          <w:p w:rsidR="00AE303E" w:rsidRPr="00665E9C" w:rsidRDefault="00665E9C" w:rsidP="00AE303E">
            <w:pPr>
              <w:spacing w:after="0"/>
              <w:jc w:val="center"/>
              <w:rPr>
                <w:rFonts w:eastAsia="Times New Roman" w:cs="Times New Roman"/>
                <w:sz w:val="20"/>
                <w:szCs w:val="20"/>
              </w:rPr>
            </w:pPr>
            <w:r w:rsidRPr="00665E9C">
              <w:rPr>
                <w:rFonts w:eastAsia="Times New Roman" w:cs="Times New Roman"/>
                <w:sz w:val="20"/>
                <w:szCs w:val="20"/>
              </w:rPr>
              <w:t>107,14</w:t>
            </w:r>
          </w:p>
        </w:tc>
        <w:tc>
          <w:tcPr>
            <w:tcW w:w="658" w:type="pct"/>
            <w:tcBorders>
              <w:top w:val="single" w:sz="4" w:space="0" w:color="auto"/>
              <w:bottom w:val="single" w:sz="4" w:space="0" w:color="auto"/>
            </w:tcBorders>
            <w:shd w:val="clear" w:color="auto" w:fill="auto"/>
            <w:vAlign w:val="center"/>
            <w:hideMark/>
          </w:tcPr>
          <w:p w:rsidR="00AE303E" w:rsidRPr="00665E9C" w:rsidRDefault="00665E9C" w:rsidP="00AE303E">
            <w:pPr>
              <w:spacing w:after="0"/>
              <w:jc w:val="center"/>
              <w:rPr>
                <w:rFonts w:eastAsia="Times New Roman" w:cs="Times New Roman"/>
                <w:sz w:val="20"/>
                <w:szCs w:val="20"/>
              </w:rPr>
            </w:pPr>
            <w:r w:rsidRPr="00665E9C">
              <w:rPr>
                <w:rFonts w:eastAsia="Times New Roman" w:cs="Times New Roman"/>
                <w:sz w:val="20"/>
                <w:szCs w:val="20"/>
              </w:rPr>
              <w:t>107,14</w:t>
            </w:r>
          </w:p>
        </w:tc>
        <w:tc>
          <w:tcPr>
            <w:tcW w:w="658" w:type="pct"/>
            <w:tcBorders>
              <w:top w:val="single" w:sz="4" w:space="0" w:color="auto"/>
              <w:bottom w:val="single" w:sz="4" w:space="0" w:color="auto"/>
            </w:tcBorders>
            <w:shd w:val="clear" w:color="auto" w:fill="auto"/>
            <w:vAlign w:val="center"/>
            <w:hideMark/>
          </w:tcPr>
          <w:p w:rsidR="00AE303E" w:rsidRPr="00665E9C" w:rsidRDefault="00665E9C" w:rsidP="00AE303E">
            <w:pPr>
              <w:spacing w:after="0"/>
              <w:jc w:val="center"/>
              <w:rPr>
                <w:rFonts w:eastAsia="Times New Roman" w:cs="Times New Roman"/>
                <w:sz w:val="20"/>
                <w:szCs w:val="20"/>
              </w:rPr>
            </w:pPr>
            <w:r w:rsidRPr="00665E9C">
              <w:rPr>
                <w:rFonts w:eastAsia="Times New Roman" w:cs="Times New Roman"/>
                <w:sz w:val="20"/>
                <w:szCs w:val="20"/>
              </w:rPr>
              <w:t>107,14</w:t>
            </w:r>
          </w:p>
        </w:tc>
      </w:tr>
      <w:tr w:rsidR="00AE303E" w:rsidRPr="00AE303E" w:rsidTr="00AE303E">
        <w:trPr>
          <w:trHeight w:val="1056"/>
        </w:trPr>
        <w:tc>
          <w:tcPr>
            <w:tcW w:w="185"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b/>
                <w:bCs/>
                <w:sz w:val="20"/>
                <w:szCs w:val="20"/>
              </w:rPr>
            </w:pPr>
            <w:r w:rsidRPr="00EB28A6">
              <w:rPr>
                <w:rFonts w:eastAsia="Times New Roman" w:cs="Times New Roman"/>
                <w:b/>
                <w:bCs/>
                <w:sz w:val="20"/>
                <w:szCs w:val="20"/>
              </w:rPr>
              <w:t>44.</w:t>
            </w:r>
          </w:p>
        </w:tc>
        <w:tc>
          <w:tcPr>
            <w:tcW w:w="1678" w:type="pct"/>
            <w:tcBorders>
              <w:top w:val="single" w:sz="4" w:space="0" w:color="auto"/>
              <w:bottom w:val="single" w:sz="4" w:space="0" w:color="auto"/>
            </w:tcBorders>
            <w:shd w:val="clear" w:color="auto" w:fill="auto"/>
            <w:hideMark/>
          </w:tcPr>
          <w:p w:rsidR="00AE303E" w:rsidRPr="00EB28A6" w:rsidRDefault="00AE303E" w:rsidP="00AE303E">
            <w:pPr>
              <w:spacing w:after="0"/>
              <w:jc w:val="left"/>
              <w:rPr>
                <w:rFonts w:eastAsia="Times New Roman" w:cs="Times New Roman"/>
                <w:sz w:val="20"/>
                <w:szCs w:val="20"/>
              </w:rPr>
            </w:pPr>
            <w:r w:rsidRPr="00EB28A6">
              <w:rPr>
                <w:rFonts w:eastAsia="Times New Roman" w:cs="Times New Roman"/>
                <w:sz w:val="20"/>
                <w:szCs w:val="20"/>
              </w:rPr>
              <w:t>Временна солидарна вноска</w:t>
            </w:r>
            <w:r w:rsidRPr="00EB28A6">
              <w:rPr>
                <w:rFonts w:eastAsia="Times New Roman" w:cs="Times New Roman"/>
                <w:sz w:val="20"/>
                <w:szCs w:val="20"/>
                <w:vertAlign w:val="superscript"/>
              </w:rPr>
              <w:t>11</w:t>
            </w:r>
          </w:p>
        </w:tc>
        <w:tc>
          <w:tcPr>
            <w:tcW w:w="504" w:type="pct"/>
            <w:tcBorders>
              <w:top w:val="single" w:sz="4" w:space="0" w:color="auto"/>
              <w:bottom w:val="single" w:sz="4" w:space="0" w:color="auto"/>
            </w:tcBorders>
            <w:shd w:val="clear" w:color="auto" w:fill="FBE4D5"/>
            <w:vAlign w:val="center"/>
            <w:hideMark/>
          </w:tcPr>
          <w:p w:rsidR="00AE303E" w:rsidRPr="00EB28A6" w:rsidRDefault="00AE303E" w:rsidP="00AE303E">
            <w:pPr>
              <w:spacing w:after="0"/>
              <w:jc w:val="center"/>
              <w:rPr>
                <w:rFonts w:eastAsia="Times New Roman" w:cs="Times New Roman"/>
                <w:color w:val="000000"/>
                <w:sz w:val="20"/>
                <w:szCs w:val="20"/>
              </w:rPr>
            </w:pPr>
            <w:r w:rsidRPr="00EB28A6">
              <w:rPr>
                <w:rFonts w:eastAsia="Times New Roman" w:cs="Times New Roman"/>
                <w:color w:val="000000"/>
                <w:sz w:val="20"/>
                <w:szCs w:val="20"/>
              </w:rPr>
              <w:t>%</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i/>
                <w:sz w:val="20"/>
                <w:szCs w:val="20"/>
              </w:rPr>
            </w:pPr>
            <w:r w:rsidRPr="00EB28A6">
              <w:rPr>
                <w:rFonts w:eastAsia="Times New Roman" w:cs="Times New Roman"/>
                <w:i/>
                <w:sz w:val="20"/>
                <w:szCs w:val="20"/>
              </w:rPr>
              <w:t>33</w:t>
            </w:r>
            <w:r w:rsidRPr="00EB28A6">
              <w:rPr>
                <w:rFonts w:eastAsia="Times New Roman" w:cs="Times New Roman"/>
                <w:i/>
                <w:sz w:val="20"/>
                <w:szCs w:val="20"/>
              </w:rPr>
              <w:br/>
              <w:t>(до септември)</w:t>
            </w:r>
            <w:r w:rsidRPr="00EB28A6">
              <w:rPr>
                <w:rFonts w:eastAsia="Times New Roman" w:cs="Times New Roman"/>
                <w:i/>
                <w:sz w:val="20"/>
                <w:szCs w:val="20"/>
              </w:rPr>
              <w:br/>
              <w:t>50</w:t>
            </w:r>
            <w:r w:rsidRPr="00EB28A6">
              <w:rPr>
                <w:rFonts w:eastAsia="Times New Roman" w:cs="Times New Roman"/>
                <w:i/>
                <w:sz w:val="20"/>
                <w:szCs w:val="20"/>
              </w:rPr>
              <w:br/>
              <w:t>(октомври-декември)</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w:t>
            </w:r>
          </w:p>
        </w:tc>
        <w:tc>
          <w:tcPr>
            <w:tcW w:w="658" w:type="pct"/>
            <w:tcBorders>
              <w:top w:val="single" w:sz="4" w:space="0" w:color="auto"/>
              <w:bottom w:val="single" w:sz="4" w:space="0" w:color="auto"/>
            </w:tcBorders>
            <w:shd w:val="clear" w:color="auto" w:fill="auto"/>
            <w:vAlign w:val="center"/>
            <w:hideMark/>
          </w:tcPr>
          <w:p w:rsidR="00AE303E" w:rsidRPr="00EB28A6" w:rsidRDefault="00AE303E" w:rsidP="00AE303E">
            <w:pPr>
              <w:spacing w:after="0"/>
              <w:jc w:val="center"/>
              <w:rPr>
                <w:rFonts w:eastAsia="Times New Roman" w:cs="Times New Roman"/>
                <w:sz w:val="20"/>
                <w:szCs w:val="20"/>
              </w:rPr>
            </w:pPr>
            <w:r w:rsidRPr="00EB28A6">
              <w:rPr>
                <w:rFonts w:eastAsia="Times New Roman" w:cs="Times New Roman"/>
                <w:sz w:val="20"/>
                <w:szCs w:val="20"/>
              </w:rPr>
              <w:t>0</w:t>
            </w:r>
          </w:p>
        </w:tc>
        <w:tc>
          <w:tcPr>
            <w:tcW w:w="658" w:type="pct"/>
            <w:tcBorders>
              <w:top w:val="single" w:sz="4" w:space="0" w:color="auto"/>
              <w:bottom w:val="single" w:sz="4" w:space="0" w:color="auto"/>
            </w:tcBorders>
            <w:shd w:val="clear" w:color="auto" w:fill="auto"/>
            <w:vAlign w:val="center"/>
            <w:hideMark/>
          </w:tcPr>
          <w:p w:rsidR="00AE303E" w:rsidRPr="00AE303E" w:rsidRDefault="00AE303E" w:rsidP="00AE303E">
            <w:pPr>
              <w:spacing w:after="0"/>
              <w:jc w:val="center"/>
              <w:rPr>
                <w:rFonts w:eastAsia="Times New Roman" w:cs="Times New Roman"/>
                <w:sz w:val="20"/>
                <w:szCs w:val="20"/>
              </w:rPr>
            </w:pPr>
            <w:r w:rsidRPr="00EB28A6">
              <w:rPr>
                <w:rFonts w:eastAsia="Times New Roman" w:cs="Times New Roman"/>
                <w:sz w:val="20"/>
                <w:szCs w:val="20"/>
              </w:rPr>
              <w:t>0</w:t>
            </w:r>
          </w:p>
        </w:tc>
      </w:tr>
    </w:tbl>
    <w:p w:rsidR="00ED0C1E" w:rsidRPr="00AE303E" w:rsidRDefault="008A3991" w:rsidP="00AE303E">
      <w:pPr>
        <w:tabs>
          <w:tab w:val="left" w:pos="711"/>
          <w:tab w:val="left" w:pos="5198"/>
          <w:tab w:val="left" w:pos="6935"/>
          <w:tab w:val="left" w:pos="9069"/>
          <w:tab w:val="left" w:pos="11203"/>
          <w:tab w:val="left" w:pos="13337"/>
        </w:tabs>
        <w:spacing w:before="120" w:after="0"/>
        <w:jc w:val="left"/>
        <w:rPr>
          <w:rFonts w:eastAsia="Times New Roman" w:cs="Times New Roman"/>
          <w:b/>
          <w:bCs/>
          <w:sz w:val="20"/>
          <w:szCs w:val="20"/>
        </w:rPr>
      </w:pPr>
      <w:bookmarkStart w:id="595" w:name="_Toc464224825"/>
      <w:bookmarkStart w:id="596" w:name="_Toc464225475"/>
      <w:bookmarkStart w:id="597" w:name="_Toc464459022"/>
      <w:bookmarkStart w:id="598" w:name="_Toc464459770"/>
      <w:bookmarkStart w:id="599" w:name="_Toc464460723"/>
      <w:bookmarkStart w:id="600" w:name="_Toc464463122"/>
      <w:bookmarkStart w:id="601" w:name="_Toc464464951"/>
      <w:bookmarkStart w:id="602" w:name="_Toc464465458"/>
      <w:bookmarkStart w:id="603" w:name="_Toc464465646"/>
      <w:bookmarkStart w:id="604" w:name="_Toc464466470"/>
      <w:bookmarkStart w:id="605" w:name="_Toc464466713"/>
      <w:bookmarkStart w:id="606" w:name="_Toc464645034"/>
      <w:bookmarkStart w:id="607" w:name="_Toc465205588"/>
      <w:r w:rsidRPr="00AA3F66">
        <w:rPr>
          <w:rFonts w:eastAsia="Times New Roman" w:cs="Times New Roman"/>
          <w:b/>
          <w:bCs/>
          <w:sz w:val="20"/>
          <w:szCs w:val="20"/>
        </w:rPr>
        <w:t>Забележки:</w:t>
      </w:r>
    </w:p>
    <w:p w:rsidR="00AE303E" w:rsidRPr="005424E4" w:rsidRDefault="00AE303E" w:rsidP="00AE303E">
      <w:pPr>
        <w:spacing w:after="0"/>
        <w:rPr>
          <w:rFonts w:eastAsia="Times New Roman" w:cs="Times New Roman"/>
          <w:b/>
          <w:bCs/>
          <w:color w:val="000000"/>
          <w:sz w:val="20"/>
          <w:szCs w:val="20"/>
        </w:rPr>
      </w:pPr>
      <w:r w:rsidRPr="005424E4">
        <w:rPr>
          <w:rFonts w:eastAsia="Times New Roman" w:cs="Times New Roman"/>
          <w:b/>
          <w:bCs/>
          <w:color w:val="000000"/>
          <w:sz w:val="20"/>
          <w:szCs w:val="20"/>
          <w:vertAlign w:val="superscript"/>
        </w:rPr>
        <w:t>1</w:t>
      </w:r>
      <w:r w:rsidRPr="005424E4">
        <w:rPr>
          <w:rFonts w:eastAsia="Times New Roman" w:cs="Times New Roman"/>
          <w:b/>
          <w:bCs/>
          <w:color w:val="000000"/>
          <w:sz w:val="20"/>
          <w:szCs w:val="20"/>
        </w:rPr>
        <w:t xml:space="preserve"> По т. 1 </w:t>
      </w:r>
      <w:r w:rsidRPr="005424E4">
        <w:rPr>
          <w:rFonts w:eastAsia="Times New Roman" w:cs="Times New Roman"/>
          <w:color w:val="000000"/>
          <w:sz w:val="20"/>
          <w:szCs w:val="20"/>
        </w:rPr>
        <w:t>– въведените като временна мярка намалени данъчни ставки на ДДС (от 20% на 9%) за доставка на книги, на храна, подходяща за бебета или за малки деца и на бебешки пелени и подобни хигиенни артикули, считано от 1 януари 2023 г. действат като постоянна мярка (ДВ, бр. 102 от 2022 г.).</w:t>
      </w:r>
    </w:p>
    <w:p w:rsidR="00AE303E" w:rsidRPr="00E47D5D" w:rsidRDefault="00AE303E" w:rsidP="00AE303E">
      <w:pPr>
        <w:spacing w:after="0"/>
        <w:rPr>
          <w:rFonts w:eastAsia="Times New Roman" w:cs="Times New Roman"/>
          <w:sz w:val="20"/>
          <w:szCs w:val="20"/>
        </w:rPr>
      </w:pPr>
      <w:r w:rsidRPr="005424E4">
        <w:rPr>
          <w:rFonts w:eastAsia="Times New Roman" w:cs="Times New Roman"/>
          <w:b/>
          <w:bCs/>
          <w:sz w:val="20"/>
          <w:szCs w:val="20"/>
          <w:vertAlign w:val="superscript"/>
        </w:rPr>
        <w:t>2</w:t>
      </w:r>
      <w:r w:rsidRPr="005424E4">
        <w:rPr>
          <w:rFonts w:eastAsia="Times New Roman" w:cs="Times New Roman"/>
          <w:b/>
          <w:bCs/>
          <w:sz w:val="20"/>
          <w:szCs w:val="20"/>
        </w:rPr>
        <w:t xml:space="preserve"> По т. 1</w:t>
      </w:r>
      <w:r w:rsidRPr="005424E4">
        <w:rPr>
          <w:rFonts w:eastAsia="Times New Roman" w:cs="Times New Roman"/>
          <w:sz w:val="20"/>
          <w:szCs w:val="20"/>
        </w:rPr>
        <w:t xml:space="preserve"> – </w:t>
      </w:r>
      <w:r w:rsidRPr="00E47D5D">
        <w:rPr>
          <w:rFonts w:eastAsia="Times New Roman" w:cs="Times New Roman"/>
          <w:sz w:val="20"/>
          <w:szCs w:val="20"/>
        </w:rPr>
        <w:t>предложено е удължаване на действието на намалените данъчни ставки на ДДС (от 20% на 9%) за ресторантьорски и кетъринг услуги от 31 декември 2023 г. на 31 декември 2024 г. Останалите ставки за доставка на обща туристическа услуга, както и за доставка на услуга за използване на спортни съоръжения действат до 31 декември 2023 г.</w:t>
      </w:r>
    </w:p>
    <w:p w:rsidR="00AE303E" w:rsidRPr="005424E4" w:rsidRDefault="00AE303E" w:rsidP="00AE303E">
      <w:pPr>
        <w:spacing w:after="0"/>
        <w:rPr>
          <w:rFonts w:eastAsia="Times New Roman" w:cs="Times New Roman"/>
          <w:b/>
          <w:bCs/>
          <w:color w:val="000000"/>
          <w:sz w:val="20"/>
          <w:szCs w:val="20"/>
        </w:rPr>
      </w:pPr>
      <w:r w:rsidRPr="005424E4">
        <w:rPr>
          <w:rFonts w:eastAsia="Times New Roman" w:cs="Times New Roman"/>
          <w:b/>
          <w:bCs/>
          <w:color w:val="000000"/>
          <w:sz w:val="20"/>
          <w:szCs w:val="20"/>
          <w:vertAlign w:val="superscript"/>
        </w:rPr>
        <w:t>3</w:t>
      </w:r>
      <w:r w:rsidRPr="005424E4">
        <w:rPr>
          <w:rFonts w:eastAsia="Times New Roman" w:cs="Times New Roman"/>
          <w:b/>
          <w:bCs/>
          <w:color w:val="000000"/>
          <w:sz w:val="20"/>
          <w:szCs w:val="20"/>
        </w:rPr>
        <w:t xml:space="preserve"> По т. 1 </w:t>
      </w:r>
      <w:r w:rsidRPr="005424E4">
        <w:rPr>
          <w:rFonts w:eastAsia="Times New Roman" w:cs="Times New Roman"/>
          <w:color w:val="000000"/>
          <w:sz w:val="20"/>
          <w:szCs w:val="20"/>
        </w:rPr>
        <w:t>– временните намалени ставки на ДДС за доставка на централно отопление и природен газ са в сила за периода от 9 юли 2022 г. до 1 юли 2023 г. (ДВ, бр. 52 от 2022 г.).</w:t>
      </w:r>
    </w:p>
    <w:p w:rsidR="00AE303E" w:rsidRPr="005424E4" w:rsidRDefault="00AE303E" w:rsidP="00AE303E">
      <w:pPr>
        <w:spacing w:after="0"/>
        <w:rPr>
          <w:rFonts w:eastAsia="Times New Roman" w:cs="Times New Roman"/>
          <w:b/>
          <w:bCs/>
          <w:color w:val="000000"/>
          <w:sz w:val="20"/>
          <w:szCs w:val="20"/>
        </w:rPr>
      </w:pPr>
      <w:r w:rsidRPr="005424E4">
        <w:rPr>
          <w:rFonts w:eastAsia="Times New Roman" w:cs="Times New Roman"/>
          <w:b/>
          <w:bCs/>
          <w:color w:val="000000"/>
          <w:sz w:val="20"/>
          <w:szCs w:val="20"/>
          <w:vertAlign w:val="superscript"/>
        </w:rPr>
        <w:t>4</w:t>
      </w:r>
      <w:r w:rsidRPr="005424E4">
        <w:rPr>
          <w:rFonts w:eastAsia="Times New Roman" w:cs="Times New Roman"/>
          <w:b/>
          <w:bCs/>
          <w:color w:val="000000"/>
          <w:sz w:val="20"/>
          <w:szCs w:val="20"/>
        </w:rPr>
        <w:t xml:space="preserve"> По т. 1</w:t>
      </w:r>
      <w:r w:rsidRPr="005424E4">
        <w:rPr>
          <w:rFonts w:eastAsia="Times New Roman" w:cs="Times New Roman"/>
          <w:color w:val="000000"/>
          <w:sz w:val="20"/>
          <w:szCs w:val="20"/>
        </w:rPr>
        <w:t xml:space="preserve"> – нулевата ставка на ДДС за брашно и хляб се прилага в периода от 9 юли 2022 г. до 31 декември 2023 г. (ДВ, бр. 102 от 2022 г.). Предложено е удължаване на срока до 30 юни 2024 г. за прилагане на нулевата ставка.</w:t>
      </w:r>
    </w:p>
    <w:p w:rsidR="00AE303E" w:rsidRPr="005424E4" w:rsidRDefault="00AE303E" w:rsidP="00AE303E">
      <w:pPr>
        <w:spacing w:after="0"/>
        <w:rPr>
          <w:rFonts w:eastAsia="Times New Roman" w:cs="Times New Roman"/>
          <w:b/>
          <w:bCs/>
          <w:color w:val="000000"/>
          <w:sz w:val="20"/>
          <w:szCs w:val="20"/>
        </w:rPr>
      </w:pPr>
      <w:r w:rsidRPr="005424E4">
        <w:rPr>
          <w:rFonts w:eastAsia="Times New Roman" w:cs="Times New Roman"/>
          <w:b/>
          <w:bCs/>
          <w:color w:val="000000"/>
          <w:sz w:val="20"/>
          <w:szCs w:val="20"/>
          <w:vertAlign w:val="superscript"/>
        </w:rPr>
        <w:t xml:space="preserve">5 </w:t>
      </w:r>
      <w:r w:rsidRPr="005424E4">
        <w:rPr>
          <w:rFonts w:eastAsia="Times New Roman" w:cs="Times New Roman"/>
          <w:b/>
          <w:bCs/>
          <w:color w:val="000000"/>
          <w:sz w:val="20"/>
          <w:szCs w:val="20"/>
        </w:rPr>
        <w:t xml:space="preserve">По т. 2 – </w:t>
      </w:r>
      <w:r w:rsidRPr="005424E4">
        <w:rPr>
          <w:rFonts w:eastAsia="Times New Roman" w:cs="Times New Roman"/>
          <w:color w:val="000000"/>
          <w:sz w:val="20"/>
          <w:szCs w:val="20"/>
        </w:rPr>
        <w:t>от 1 януари 2024 г. е предвидено въвеждането на национален допълнителен данък (domestic top-up tax) в съответствие с Директива (ЕС) 2022/2523 на Съвета за осигуряване на глобално минимално ниво на данъчно облагане за групите на мултинационалните предприятия (MNE) и големите местни групи в Съюза.</w:t>
      </w:r>
    </w:p>
    <w:p w:rsidR="00AE303E" w:rsidRPr="005424E4" w:rsidRDefault="00AE303E" w:rsidP="00AE303E">
      <w:pPr>
        <w:spacing w:after="0"/>
        <w:rPr>
          <w:rFonts w:eastAsia="Times New Roman" w:cs="Times New Roman"/>
          <w:b/>
          <w:bCs/>
          <w:color w:val="000000"/>
          <w:sz w:val="20"/>
          <w:szCs w:val="20"/>
        </w:rPr>
      </w:pPr>
      <w:r w:rsidRPr="005424E4">
        <w:rPr>
          <w:rFonts w:eastAsia="Times New Roman" w:cs="Times New Roman"/>
          <w:b/>
          <w:bCs/>
          <w:color w:val="000000"/>
          <w:sz w:val="20"/>
          <w:szCs w:val="20"/>
          <w:vertAlign w:val="superscript"/>
        </w:rPr>
        <w:t>6</w:t>
      </w:r>
      <w:r w:rsidRPr="005424E4">
        <w:rPr>
          <w:rFonts w:eastAsia="Times New Roman" w:cs="Times New Roman"/>
          <w:b/>
          <w:bCs/>
          <w:color w:val="000000"/>
          <w:sz w:val="20"/>
          <w:szCs w:val="20"/>
        </w:rPr>
        <w:t xml:space="preserve"> По т. 5</w:t>
      </w:r>
      <w:r w:rsidRPr="005424E4">
        <w:rPr>
          <w:rFonts w:eastAsia="Times New Roman" w:cs="Times New Roman"/>
          <w:color w:val="000000"/>
          <w:sz w:val="20"/>
          <w:szCs w:val="20"/>
        </w:rPr>
        <w:t xml:space="preserve"> – ставката на данъка върху разходите в натура по чл. 204, ал. 1, т. 4 на ЗКПО от 1 януари 2022 г. е намалена от 10% на 3%.</w:t>
      </w:r>
    </w:p>
    <w:p w:rsidR="00AE303E" w:rsidRPr="005424E4" w:rsidRDefault="00AE303E" w:rsidP="00AE303E">
      <w:pPr>
        <w:spacing w:after="0"/>
        <w:rPr>
          <w:rFonts w:eastAsia="Times New Roman" w:cs="Times New Roman"/>
          <w:b/>
          <w:bCs/>
          <w:color w:val="000000"/>
          <w:sz w:val="20"/>
          <w:szCs w:val="20"/>
        </w:rPr>
      </w:pPr>
      <w:r w:rsidRPr="005424E4">
        <w:rPr>
          <w:rFonts w:eastAsia="Times New Roman" w:cs="Times New Roman"/>
          <w:b/>
          <w:bCs/>
          <w:color w:val="000000"/>
          <w:sz w:val="20"/>
          <w:szCs w:val="20"/>
          <w:vertAlign w:val="superscript"/>
        </w:rPr>
        <w:t>7</w:t>
      </w:r>
      <w:r w:rsidRPr="005424E4">
        <w:rPr>
          <w:rFonts w:eastAsia="Times New Roman" w:cs="Times New Roman"/>
          <w:b/>
          <w:bCs/>
          <w:color w:val="000000"/>
          <w:sz w:val="20"/>
          <w:szCs w:val="20"/>
        </w:rPr>
        <w:t xml:space="preserve"> По т. 8.3 и 8.17</w:t>
      </w:r>
      <w:r w:rsidRPr="005424E4">
        <w:rPr>
          <w:rFonts w:eastAsia="Times New Roman" w:cs="Times New Roman"/>
          <w:color w:val="000000"/>
          <w:sz w:val="20"/>
          <w:szCs w:val="20"/>
        </w:rPr>
        <w:t xml:space="preserve"> </w:t>
      </w:r>
      <w:r w:rsidRPr="005424E4">
        <w:rPr>
          <w:rFonts w:eastAsia="Times New Roman" w:cs="Times New Roman"/>
          <w:b/>
          <w:bCs/>
          <w:color w:val="000000"/>
          <w:sz w:val="20"/>
          <w:szCs w:val="20"/>
        </w:rPr>
        <w:t>–</w:t>
      </w:r>
      <w:r w:rsidRPr="005424E4">
        <w:rPr>
          <w:rFonts w:eastAsia="Times New Roman" w:cs="Times New Roman"/>
          <w:color w:val="000000"/>
          <w:sz w:val="20"/>
          <w:szCs w:val="20"/>
        </w:rPr>
        <w:t xml:space="preserve"> нулева акцизна ставка за втечнен нефтен газ (LPG) с кодове по КН от 2711 12 11 до 2711 19 00 и за природен газ с кодове по КН 2711 11 00 и 2711 21 00, използвани като моторно гориво, действа от 9 юли 2022 г. до 31 юли 2023 г. (първоначалният срок до 30 юни 2025 г. е съкратен).</w:t>
      </w:r>
    </w:p>
    <w:p w:rsidR="00AE303E" w:rsidRPr="005424E4" w:rsidRDefault="00AE303E" w:rsidP="00AE303E">
      <w:pPr>
        <w:spacing w:after="0"/>
        <w:rPr>
          <w:rFonts w:eastAsia="Times New Roman" w:cs="Times New Roman"/>
          <w:b/>
          <w:bCs/>
          <w:color w:val="000000"/>
          <w:sz w:val="20"/>
          <w:szCs w:val="20"/>
        </w:rPr>
      </w:pPr>
      <w:r w:rsidRPr="005424E4">
        <w:rPr>
          <w:rFonts w:eastAsia="Times New Roman" w:cs="Times New Roman"/>
          <w:b/>
          <w:bCs/>
          <w:color w:val="000000"/>
          <w:sz w:val="20"/>
          <w:szCs w:val="20"/>
          <w:vertAlign w:val="superscript"/>
        </w:rPr>
        <w:t>8</w:t>
      </w:r>
      <w:r w:rsidRPr="005424E4">
        <w:rPr>
          <w:rFonts w:eastAsia="Times New Roman" w:cs="Times New Roman"/>
          <w:b/>
          <w:bCs/>
          <w:color w:val="000000"/>
          <w:sz w:val="20"/>
          <w:szCs w:val="20"/>
        </w:rPr>
        <w:t xml:space="preserve"> По т. 8.6</w:t>
      </w:r>
      <w:r w:rsidRPr="005424E4">
        <w:rPr>
          <w:rFonts w:eastAsia="Times New Roman" w:cs="Times New Roman"/>
          <w:color w:val="000000"/>
          <w:sz w:val="20"/>
          <w:szCs w:val="20"/>
        </w:rPr>
        <w:t xml:space="preserve"> – освобождаването от облагане с акциз на електрическата енергия с код по КН 2716 действа от 9 юли 2022 г. до 31 юли 2023 г.(първоначалният срок до 30 юни 2025 г. е съкратен).</w:t>
      </w:r>
    </w:p>
    <w:p w:rsidR="00AE303E" w:rsidRPr="005424E4" w:rsidRDefault="00AE303E" w:rsidP="00AE303E">
      <w:pPr>
        <w:spacing w:after="0"/>
        <w:rPr>
          <w:rFonts w:eastAsia="Times New Roman" w:cs="Times New Roman"/>
          <w:b/>
          <w:bCs/>
          <w:sz w:val="20"/>
          <w:szCs w:val="20"/>
        </w:rPr>
      </w:pPr>
      <w:r w:rsidRPr="005424E4">
        <w:rPr>
          <w:rFonts w:eastAsia="Times New Roman" w:cs="Times New Roman"/>
          <w:b/>
          <w:bCs/>
          <w:sz w:val="20"/>
          <w:szCs w:val="20"/>
          <w:vertAlign w:val="superscript"/>
        </w:rPr>
        <w:t>9</w:t>
      </w:r>
      <w:r w:rsidRPr="005424E4">
        <w:rPr>
          <w:rFonts w:eastAsia="Times New Roman" w:cs="Times New Roman"/>
          <w:b/>
          <w:bCs/>
          <w:sz w:val="20"/>
          <w:szCs w:val="20"/>
        </w:rPr>
        <w:t xml:space="preserve"> По т. от 8.7 до 8.13</w:t>
      </w:r>
      <w:r w:rsidRPr="005424E4">
        <w:rPr>
          <w:rFonts w:eastAsia="Times New Roman" w:cs="Times New Roman"/>
          <w:sz w:val="20"/>
          <w:szCs w:val="20"/>
        </w:rPr>
        <w:t xml:space="preserve"> </w:t>
      </w:r>
      <w:r w:rsidRPr="005424E4">
        <w:rPr>
          <w:rFonts w:eastAsia="Times New Roman" w:cs="Times New Roman"/>
          <w:b/>
          <w:bCs/>
          <w:sz w:val="20"/>
          <w:szCs w:val="20"/>
        </w:rPr>
        <w:t>–</w:t>
      </w:r>
      <w:r w:rsidRPr="005424E4">
        <w:rPr>
          <w:rFonts w:eastAsia="Times New Roman" w:cs="Times New Roman"/>
          <w:sz w:val="20"/>
          <w:szCs w:val="20"/>
        </w:rPr>
        <w:t xml:space="preserve"> считано от 1 март 2023 г. е въведено поетапно увеличаване на акцизните ставки за пури и пурети, тютюн за пушене (за лула и цигари), нагреваеми тютюневи изделия, течност за електронна цигара, съдържаща никотин, както и изменение на специфичния и пропорционалния акциз за цигарите. От 1 август 2023 г. се повишава ставката на течност за електронна цигара и се включва и течността несъдържаща никотин. Предложено е въвеждането на акциз на нагреваемо изделие със съдържание, различно от тютюн, от 1 януари 2024 г.</w:t>
      </w:r>
    </w:p>
    <w:p w:rsidR="00AE303E" w:rsidRPr="005424E4" w:rsidRDefault="00AE303E" w:rsidP="00AE303E">
      <w:pPr>
        <w:spacing w:after="0"/>
        <w:rPr>
          <w:rFonts w:eastAsia="Times New Roman" w:cs="Times New Roman"/>
          <w:b/>
          <w:bCs/>
          <w:color w:val="000000"/>
          <w:sz w:val="20"/>
          <w:szCs w:val="20"/>
        </w:rPr>
      </w:pPr>
      <w:r w:rsidRPr="005424E4">
        <w:rPr>
          <w:rFonts w:eastAsia="Times New Roman" w:cs="Times New Roman"/>
          <w:b/>
          <w:bCs/>
          <w:color w:val="000000"/>
          <w:sz w:val="20"/>
          <w:szCs w:val="20"/>
          <w:vertAlign w:val="superscript"/>
        </w:rPr>
        <w:t>10</w:t>
      </w:r>
      <w:r w:rsidRPr="005424E4">
        <w:rPr>
          <w:rFonts w:eastAsia="Times New Roman" w:cs="Times New Roman"/>
          <w:b/>
          <w:bCs/>
          <w:color w:val="000000"/>
          <w:sz w:val="20"/>
          <w:szCs w:val="20"/>
        </w:rPr>
        <w:t xml:space="preserve"> По т. 11.1 и 11.2</w:t>
      </w:r>
      <w:r w:rsidRPr="005424E4">
        <w:rPr>
          <w:rFonts w:eastAsia="Times New Roman" w:cs="Times New Roman"/>
          <w:color w:val="000000"/>
          <w:sz w:val="20"/>
          <w:szCs w:val="20"/>
        </w:rPr>
        <w:t xml:space="preserve"> – посочените размери за осигурителната вноска за фонд „Пенсии” и за фонд „Пенсии за лицата по чл. 69“ за лицата, родени след 31 декември 1959 г. са за лицата, които се осигуряват и за допълнително задължително пенсионно осигуряване в универсален пенсионен фонд.</w:t>
      </w:r>
    </w:p>
    <w:p w:rsidR="00AE303E" w:rsidRPr="005424E4" w:rsidRDefault="00AE303E" w:rsidP="00AE303E">
      <w:pPr>
        <w:spacing w:after="0"/>
        <w:rPr>
          <w:rFonts w:eastAsia="Times New Roman" w:cs="Times New Roman"/>
          <w:b/>
          <w:bCs/>
          <w:color w:val="000000"/>
          <w:sz w:val="20"/>
          <w:szCs w:val="20"/>
        </w:rPr>
      </w:pPr>
      <w:r w:rsidRPr="005424E4">
        <w:rPr>
          <w:rFonts w:eastAsia="Times New Roman" w:cs="Times New Roman"/>
          <w:b/>
          <w:bCs/>
          <w:color w:val="000000"/>
          <w:sz w:val="20"/>
          <w:szCs w:val="20"/>
          <w:vertAlign w:val="superscript"/>
        </w:rPr>
        <w:t>11</w:t>
      </w:r>
      <w:r w:rsidRPr="005424E4">
        <w:rPr>
          <w:rFonts w:eastAsia="Times New Roman" w:cs="Times New Roman"/>
          <w:b/>
          <w:bCs/>
          <w:color w:val="000000"/>
          <w:sz w:val="20"/>
          <w:szCs w:val="20"/>
        </w:rPr>
        <w:t xml:space="preserve"> По т. 44 – </w:t>
      </w:r>
      <w:r w:rsidRPr="005424E4">
        <w:rPr>
          <w:rFonts w:eastAsia="Times New Roman" w:cs="Times New Roman"/>
          <w:color w:val="000000"/>
          <w:sz w:val="20"/>
          <w:szCs w:val="20"/>
        </w:rPr>
        <w:t xml:space="preserve">въведена е временна солидарна вноска по Регламент (ЕС) 2022/1854 на Съвета от 6 октомври 2022 година за спешна намеса за справяне с високите цени на енергията, която се внася за генерираните свръхпечалби от дружествата и местата на стопанска дейност от Съюза, извършващи дейност в отраслите на суровия нефт, природния газ, въглищата и нефтопреработването. Прието е ставката за солидарната вноска да е 33 на сто за периода до септември 2023 г. и 50 на сто за периода октомври - декември 2023 г. </w:t>
      </w:r>
    </w:p>
    <w:p w:rsidR="00AE303E" w:rsidRPr="005424E4" w:rsidRDefault="00AE303E" w:rsidP="00AE303E">
      <w:pPr>
        <w:tabs>
          <w:tab w:val="left" w:pos="610"/>
          <w:tab w:val="left" w:pos="26077"/>
          <w:tab w:val="left" w:pos="27968"/>
          <w:tab w:val="left" w:pos="29859"/>
        </w:tabs>
        <w:spacing w:after="0"/>
        <w:ind w:left="70"/>
        <w:rPr>
          <w:rFonts w:eastAsiaTheme="majorEastAsia" w:cs="Times New Roman"/>
          <w:b/>
          <w:bCs/>
          <w:caps/>
          <w:spacing w:val="10"/>
          <w:w w:val="90"/>
          <w:sz w:val="28"/>
          <w:szCs w:val="26"/>
        </w:rPr>
      </w:pPr>
    </w:p>
    <w:p w:rsidR="001A5D18" w:rsidRPr="00AA3F66" w:rsidRDefault="001A5D18" w:rsidP="00DE2D7B">
      <w:pPr>
        <w:tabs>
          <w:tab w:val="left" w:pos="557"/>
          <w:tab w:val="left" w:pos="5852"/>
          <w:tab w:val="left" w:pos="7359"/>
          <w:tab w:val="left" w:pos="9805"/>
          <w:tab w:val="left" w:pos="12251"/>
        </w:tabs>
        <w:spacing w:after="0"/>
        <w:ind w:right="536"/>
        <w:rPr>
          <w:rFonts w:eastAsia="Times New Roman" w:cs="Times New Roman"/>
          <w:b/>
          <w:sz w:val="20"/>
          <w:szCs w:val="20"/>
        </w:rPr>
        <w:sectPr w:rsidR="001A5D18" w:rsidRPr="00AA3F66" w:rsidSect="002D7CED">
          <w:footerReference w:type="first" r:id="rId54"/>
          <w:pgSz w:w="16838" w:h="11906" w:orient="landscape" w:code="9"/>
          <w:pgMar w:top="1134" w:right="1134" w:bottom="284" w:left="1134" w:header="709" w:footer="709" w:gutter="0"/>
          <w:cols w:space="708"/>
          <w:titlePg/>
          <w:docGrid w:linePitch="360"/>
        </w:sectPr>
      </w:pPr>
    </w:p>
    <w:p w:rsidR="00C056E6" w:rsidRDefault="0063780D" w:rsidP="00C056E6">
      <w:pPr>
        <w:pStyle w:val="Heading2"/>
        <w:numPr>
          <w:ilvl w:val="0"/>
          <w:numId w:val="0"/>
        </w:numPr>
        <w:spacing w:after="240"/>
      </w:pPr>
      <w:bookmarkStart w:id="608" w:name="_Toc151557324"/>
      <w:bookmarkEnd w:id="595"/>
      <w:bookmarkEnd w:id="596"/>
      <w:bookmarkEnd w:id="597"/>
      <w:bookmarkEnd w:id="598"/>
      <w:bookmarkEnd w:id="599"/>
      <w:bookmarkEnd w:id="600"/>
      <w:bookmarkEnd w:id="601"/>
      <w:bookmarkEnd w:id="602"/>
      <w:bookmarkEnd w:id="603"/>
      <w:bookmarkEnd w:id="604"/>
      <w:bookmarkEnd w:id="605"/>
      <w:bookmarkEnd w:id="606"/>
      <w:bookmarkEnd w:id="607"/>
      <w:r w:rsidRPr="00AA3F66">
        <w:t xml:space="preserve">Приложение № 3: </w:t>
      </w:r>
      <w:r w:rsidRPr="00AA3F66">
        <w:br/>
      </w:r>
      <w:r w:rsidR="00F60E52" w:rsidRPr="00AA3F66">
        <w:t>К</w:t>
      </w:r>
      <w:r w:rsidRPr="00AA3F66">
        <w:t>онсолидирана фискална програма</w:t>
      </w:r>
      <w:r w:rsidRPr="00AA3F66" w:rsidDel="00FE5F37">
        <w:t xml:space="preserve"> </w:t>
      </w:r>
      <w:r w:rsidR="0098294A" w:rsidRPr="00AA3F66">
        <w:t>за периода 202</w:t>
      </w:r>
      <w:r w:rsidR="008D0239" w:rsidRPr="00AA3F66">
        <w:t>1</w:t>
      </w:r>
      <w:r w:rsidRPr="00AA3F66">
        <w:t>-202</w:t>
      </w:r>
      <w:r w:rsidR="0098294A" w:rsidRPr="00AA3F66">
        <w:t>6</w:t>
      </w:r>
      <w:r w:rsidRPr="00AA3F66">
        <w:t xml:space="preserve"> г.</w:t>
      </w:r>
      <w:bookmarkEnd w:id="608"/>
    </w:p>
    <w:p w:rsidR="00A20DC3" w:rsidRDefault="00A20DC3" w:rsidP="00A20DC3">
      <w:r w:rsidRPr="00A20DC3">
        <w:rPr>
          <w:noProof/>
        </w:rPr>
        <w:drawing>
          <wp:inline distT="0" distB="0" distL="0" distR="0" wp14:anchorId="20083AEF" wp14:editId="76C9B564">
            <wp:extent cx="9251950" cy="4873765"/>
            <wp:effectExtent l="0" t="0" r="635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9251950" cy="4873765"/>
                    </a:xfrm>
                    <a:prstGeom prst="rect">
                      <a:avLst/>
                    </a:prstGeom>
                    <a:noFill/>
                    <a:ln>
                      <a:noFill/>
                    </a:ln>
                  </pic:spPr>
                </pic:pic>
              </a:graphicData>
            </a:graphic>
          </wp:inline>
        </w:drawing>
      </w:r>
    </w:p>
    <w:p w:rsidR="00A20DC3" w:rsidRPr="00A20DC3" w:rsidRDefault="00A20DC3" w:rsidP="00A20DC3"/>
    <w:p w:rsidR="00107F4E" w:rsidRDefault="00A20DC3" w:rsidP="00C20F3B">
      <w:r w:rsidRPr="00A20DC3">
        <w:rPr>
          <w:noProof/>
        </w:rPr>
        <w:drawing>
          <wp:inline distT="0" distB="0" distL="0" distR="0" wp14:anchorId="3340C3FA" wp14:editId="56AB1108">
            <wp:extent cx="9251950" cy="5503207"/>
            <wp:effectExtent l="0" t="0" r="6350" b="25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9251950" cy="5503207"/>
                    </a:xfrm>
                    <a:prstGeom prst="rect">
                      <a:avLst/>
                    </a:prstGeom>
                    <a:noFill/>
                    <a:ln>
                      <a:noFill/>
                    </a:ln>
                  </pic:spPr>
                </pic:pic>
              </a:graphicData>
            </a:graphic>
          </wp:inline>
        </w:drawing>
      </w:r>
    </w:p>
    <w:p w:rsidR="00067D13" w:rsidRDefault="00067D13" w:rsidP="00C20F3B"/>
    <w:p w:rsidR="00067D13" w:rsidRPr="00703868" w:rsidRDefault="00067D13" w:rsidP="00C20F3B"/>
    <w:p w:rsidR="008D0239" w:rsidRPr="00AA3F66" w:rsidRDefault="00A20DC3" w:rsidP="008D0239">
      <w:r w:rsidRPr="00A20DC3">
        <w:rPr>
          <w:noProof/>
        </w:rPr>
        <w:drawing>
          <wp:inline distT="0" distB="0" distL="0" distR="0" wp14:anchorId="7BB9371F" wp14:editId="0B848A97">
            <wp:extent cx="9251950" cy="4877922"/>
            <wp:effectExtent l="0" t="0" r="6350" b="0"/>
            <wp:docPr id="673" name="Picture 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9251950" cy="4877922"/>
                    </a:xfrm>
                    <a:prstGeom prst="rect">
                      <a:avLst/>
                    </a:prstGeom>
                    <a:noFill/>
                    <a:ln>
                      <a:noFill/>
                    </a:ln>
                  </pic:spPr>
                </pic:pic>
              </a:graphicData>
            </a:graphic>
          </wp:inline>
        </w:drawing>
      </w:r>
    </w:p>
    <w:p w:rsidR="008D0239" w:rsidRPr="00AA3F66" w:rsidRDefault="008D0239" w:rsidP="008D0239"/>
    <w:p w:rsidR="00171BB8" w:rsidRPr="00AA3F66" w:rsidRDefault="00171BB8" w:rsidP="00171BB8"/>
    <w:p w:rsidR="00171BB8" w:rsidRPr="00AA3F66" w:rsidRDefault="00171BB8" w:rsidP="00171BB8"/>
    <w:p w:rsidR="005F57D2" w:rsidRPr="00AA3F66" w:rsidRDefault="005F57D2" w:rsidP="00C056E6">
      <w:pPr>
        <w:jc w:val="center"/>
        <w:rPr>
          <w:noProof/>
        </w:rPr>
      </w:pPr>
    </w:p>
    <w:p w:rsidR="008D0239" w:rsidRPr="00AA3F66" w:rsidRDefault="00A20DC3" w:rsidP="00C056E6">
      <w:pPr>
        <w:jc w:val="center"/>
        <w:rPr>
          <w:noProof/>
        </w:rPr>
      </w:pPr>
      <w:r w:rsidRPr="00A20DC3">
        <w:rPr>
          <w:noProof/>
        </w:rPr>
        <w:drawing>
          <wp:inline distT="0" distB="0" distL="0" distR="0" wp14:anchorId="76C56CBD" wp14:editId="0EE97D1C">
            <wp:extent cx="9251950" cy="5382395"/>
            <wp:effectExtent l="0" t="0" r="6350" b="8890"/>
            <wp:docPr id="674" name="Picture 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9251950" cy="5382395"/>
                    </a:xfrm>
                    <a:prstGeom prst="rect">
                      <a:avLst/>
                    </a:prstGeom>
                    <a:noFill/>
                    <a:ln>
                      <a:noFill/>
                    </a:ln>
                  </pic:spPr>
                </pic:pic>
              </a:graphicData>
            </a:graphic>
          </wp:inline>
        </w:drawing>
      </w:r>
    </w:p>
    <w:p w:rsidR="008D0239" w:rsidRPr="00AA3F66" w:rsidRDefault="008D0239" w:rsidP="00C056E6">
      <w:pPr>
        <w:jc w:val="center"/>
      </w:pPr>
    </w:p>
    <w:p w:rsidR="006E7A4B" w:rsidRPr="00AA3F66" w:rsidRDefault="006E7A4B" w:rsidP="00083580"/>
    <w:p w:rsidR="00927160" w:rsidRPr="00AA3F66" w:rsidRDefault="00927160" w:rsidP="00083580">
      <w:pPr>
        <w:sectPr w:rsidR="00927160" w:rsidRPr="00AA3F66" w:rsidSect="005B2AB9">
          <w:pgSz w:w="16838" w:h="11906" w:orient="landscape" w:code="9"/>
          <w:pgMar w:top="851" w:right="1134" w:bottom="284" w:left="1134" w:header="709" w:footer="709" w:gutter="0"/>
          <w:cols w:space="708"/>
          <w:titlePg/>
          <w:docGrid w:linePitch="360"/>
        </w:sectPr>
      </w:pPr>
    </w:p>
    <w:p w:rsidR="002B149E" w:rsidRPr="00AA3F66" w:rsidRDefault="002B149E" w:rsidP="00DE2BDB">
      <w:pPr>
        <w:pStyle w:val="Heading2"/>
        <w:numPr>
          <w:ilvl w:val="0"/>
          <w:numId w:val="0"/>
        </w:numPr>
      </w:pPr>
      <w:bookmarkStart w:id="609" w:name="_Toc464224826"/>
      <w:bookmarkStart w:id="610" w:name="_Toc464225476"/>
      <w:bookmarkStart w:id="611" w:name="_Toc464459023"/>
      <w:bookmarkStart w:id="612" w:name="_Toc464459771"/>
      <w:bookmarkStart w:id="613" w:name="_Toc464460724"/>
      <w:bookmarkStart w:id="614" w:name="_Toc464463123"/>
      <w:bookmarkStart w:id="615" w:name="_Toc464464952"/>
      <w:bookmarkStart w:id="616" w:name="_Toc464465459"/>
      <w:bookmarkStart w:id="617" w:name="_Toc464465647"/>
      <w:bookmarkStart w:id="618" w:name="_Toc464466471"/>
      <w:bookmarkStart w:id="619" w:name="_Toc464466714"/>
      <w:bookmarkStart w:id="620" w:name="_Toc464645431"/>
      <w:bookmarkStart w:id="621" w:name="_Toc465205589"/>
      <w:bookmarkStart w:id="622" w:name="_Toc151557325"/>
      <w:r w:rsidRPr="00AA3F66">
        <w:t xml:space="preserve">Приложение № 4: </w:t>
      </w:r>
      <w:r w:rsidR="002463FB" w:rsidRPr="00AA3F66">
        <w:br/>
      </w:r>
      <w:r w:rsidRPr="00AA3F66">
        <w:t xml:space="preserve">Тавани на разходите по </w:t>
      </w:r>
      <w:r w:rsidR="00FE5F37" w:rsidRPr="00AA3F66">
        <w:t>бюджетни организации</w:t>
      </w:r>
      <w:r w:rsidR="00FE5F37" w:rsidRPr="00AA3F66" w:rsidDel="00FE5F37">
        <w:t xml:space="preserve"> </w:t>
      </w:r>
      <w:r w:rsidR="00382492" w:rsidRPr="00AA3F66">
        <w:t>за</w:t>
      </w:r>
      <w:r w:rsidR="0098294A" w:rsidRPr="00AA3F66">
        <w:t xml:space="preserve"> периода 2024</w:t>
      </w:r>
      <w:r w:rsidR="00C40D40" w:rsidRPr="00AA3F66">
        <w:t>-202</w:t>
      </w:r>
      <w:r w:rsidR="0098294A" w:rsidRPr="00AA3F66">
        <w:t>6</w:t>
      </w:r>
      <w:r w:rsidRPr="00AA3F66">
        <w:t xml:space="preserve"> г</w:t>
      </w:r>
      <w:r w:rsidR="00FE5F37" w:rsidRPr="00AA3F66">
        <w:t>.</w:t>
      </w:r>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p>
    <w:p w:rsidR="005B6198" w:rsidRDefault="005B6198" w:rsidP="005B6198">
      <w:pPr>
        <w:spacing w:after="120"/>
        <w:jc w:val="right"/>
        <w:rPr>
          <w:sz w:val="20"/>
          <w:szCs w:val="20"/>
        </w:rPr>
      </w:pPr>
      <w:r w:rsidRPr="00AA3F66">
        <w:rPr>
          <w:sz w:val="20"/>
          <w:szCs w:val="20"/>
        </w:rPr>
        <w:t>(в хил. лв.)</w:t>
      </w:r>
    </w:p>
    <w:tbl>
      <w:tblPr>
        <w:tblW w:w="14860" w:type="dxa"/>
        <w:tblCellMar>
          <w:left w:w="70" w:type="dxa"/>
          <w:right w:w="70" w:type="dxa"/>
        </w:tblCellMar>
        <w:tblLook w:val="04A0" w:firstRow="1" w:lastRow="0" w:firstColumn="1" w:lastColumn="0" w:noHBand="0" w:noVBand="1"/>
      </w:tblPr>
      <w:tblGrid>
        <w:gridCol w:w="500"/>
        <w:gridCol w:w="9340"/>
        <w:gridCol w:w="1660"/>
        <w:gridCol w:w="1660"/>
        <w:gridCol w:w="1700"/>
      </w:tblGrid>
      <w:tr w:rsidR="00A20DC3" w:rsidRPr="00A20DC3" w:rsidTr="00A20DC3">
        <w:trPr>
          <w:trHeight w:val="330"/>
          <w:tblHeader/>
        </w:trPr>
        <w:tc>
          <w:tcPr>
            <w:tcW w:w="500" w:type="dxa"/>
            <w:tcBorders>
              <w:top w:val="single" w:sz="4" w:space="0" w:color="auto"/>
              <w:left w:val="nil"/>
              <w:bottom w:val="single" w:sz="4" w:space="0" w:color="auto"/>
              <w:right w:val="nil"/>
            </w:tcBorders>
            <w:shd w:val="clear" w:color="auto" w:fill="auto"/>
            <w:noWrap/>
            <w:hideMark/>
          </w:tcPr>
          <w:p w:rsidR="00A20DC3" w:rsidRPr="00A20DC3" w:rsidRDefault="00A20DC3" w:rsidP="00A20DC3">
            <w:pPr>
              <w:spacing w:after="0"/>
              <w:jc w:val="center"/>
              <w:rPr>
                <w:rFonts w:eastAsia="Times New Roman" w:cs="Times New Roman"/>
                <w:b/>
                <w:bCs/>
                <w:sz w:val="20"/>
                <w:szCs w:val="20"/>
              </w:rPr>
            </w:pPr>
            <w:r w:rsidRPr="00A20DC3">
              <w:rPr>
                <w:rFonts w:eastAsia="Times New Roman" w:cs="Times New Roman"/>
                <w:b/>
                <w:bCs/>
                <w:sz w:val="20"/>
                <w:szCs w:val="20"/>
              </w:rPr>
              <w:t>№</w:t>
            </w:r>
          </w:p>
        </w:tc>
        <w:tc>
          <w:tcPr>
            <w:tcW w:w="9340" w:type="dxa"/>
            <w:tcBorders>
              <w:top w:val="single" w:sz="4" w:space="0" w:color="auto"/>
              <w:left w:val="nil"/>
              <w:bottom w:val="single" w:sz="4" w:space="0" w:color="auto"/>
              <w:right w:val="nil"/>
            </w:tcBorders>
            <w:shd w:val="clear" w:color="auto" w:fill="auto"/>
            <w:noWrap/>
            <w:hideMark/>
          </w:tcPr>
          <w:p w:rsidR="00A20DC3" w:rsidRPr="00A20DC3" w:rsidRDefault="00A20DC3" w:rsidP="00A20DC3">
            <w:pPr>
              <w:spacing w:after="0"/>
              <w:jc w:val="center"/>
              <w:rPr>
                <w:rFonts w:eastAsia="Times New Roman" w:cs="Times New Roman"/>
                <w:b/>
                <w:bCs/>
                <w:sz w:val="20"/>
                <w:szCs w:val="20"/>
              </w:rPr>
            </w:pPr>
            <w:r w:rsidRPr="00A20DC3">
              <w:rPr>
                <w:rFonts w:eastAsia="Times New Roman" w:cs="Times New Roman"/>
                <w:b/>
                <w:bCs/>
                <w:sz w:val="20"/>
                <w:szCs w:val="20"/>
              </w:rPr>
              <w:t>Бюджетни организации</w:t>
            </w:r>
          </w:p>
        </w:tc>
        <w:tc>
          <w:tcPr>
            <w:tcW w:w="1660" w:type="dxa"/>
            <w:tcBorders>
              <w:top w:val="single" w:sz="4" w:space="0" w:color="auto"/>
              <w:left w:val="nil"/>
              <w:bottom w:val="single" w:sz="4" w:space="0" w:color="auto"/>
              <w:right w:val="nil"/>
            </w:tcBorders>
            <w:shd w:val="clear" w:color="auto" w:fill="auto"/>
            <w:hideMark/>
          </w:tcPr>
          <w:p w:rsidR="00A20DC3" w:rsidRPr="00A20DC3" w:rsidRDefault="00A20DC3" w:rsidP="00A20DC3">
            <w:pPr>
              <w:spacing w:after="0"/>
              <w:jc w:val="center"/>
              <w:rPr>
                <w:rFonts w:eastAsia="Times New Roman" w:cs="Times New Roman"/>
                <w:b/>
                <w:bCs/>
                <w:sz w:val="20"/>
                <w:szCs w:val="20"/>
              </w:rPr>
            </w:pPr>
            <w:r w:rsidRPr="00A20DC3">
              <w:rPr>
                <w:rFonts w:eastAsia="Times New Roman" w:cs="Times New Roman"/>
                <w:b/>
                <w:bCs/>
                <w:sz w:val="20"/>
                <w:szCs w:val="20"/>
              </w:rPr>
              <w:t>2024 г.</w:t>
            </w:r>
          </w:p>
        </w:tc>
        <w:tc>
          <w:tcPr>
            <w:tcW w:w="1660" w:type="dxa"/>
            <w:tcBorders>
              <w:top w:val="single" w:sz="4" w:space="0" w:color="auto"/>
              <w:left w:val="nil"/>
              <w:bottom w:val="single" w:sz="4" w:space="0" w:color="auto"/>
              <w:right w:val="nil"/>
            </w:tcBorders>
            <w:shd w:val="clear" w:color="auto" w:fill="auto"/>
            <w:hideMark/>
          </w:tcPr>
          <w:p w:rsidR="00A20DC3" w:rsidRPr="00A20DC3" w:rsidRDefault="00A20DC3" w:rsidP="00A20DC3">
            <w:pPr>
              <w:spacing w:after="0"/>
              <w:jc w:val="center"/>
              <w:rPr>
                <w:rFonts w:eastAsia="Times New Roman" w:cs="Times New Roman"/>
                <w:b/>
                <w:bCs/>
                <w:sz w:val="20"/>
                <w:szCs w:val="20"/>
              </w:rPr>
            </w:pPr>
            <w:r w:rsidRPr="00A20DC3">
              <w:rPr>
                <w:rFonts w:eastAsia="Times New Roman" w:cs="Times New Roman"/>
                <w:b/>
                <w:bCs/>
                <w:sz w:val="20"/>
                <w:szCs w:val="20"/>
              </w:rPr>
              <w:t>2025 г.</w:t>
            </w:r>
          </w:p>
        </w:tc>
        <w:tc>
          <w:tcPr>
            <w:tcW w:w="1700" w:type="dxa"/>
            <w:tcBorders>
              <w:top w:val="single" w:sz="4" w:space="0" w:color="auto"/>
              <w:left w:val="nil"/>
              <w:bottom w:val="single" w:sz="4" w:space="0" w:color="auto"/>
              <w:right w:val="nil"/>
            </w:tcBorders>
            <w:shd w:val="clear" w:color="auto" w:fill="auto"/>
            <w:hideMark/>
          </w:tcPr>
          <w:p w:rsidR="00A20DC3" w:rsidRPr="00A20DC3" w:rsidRDefault="00A20DC3" w:rsidP="00A20DC3">
            <w:pPr>
              <w:spacing w:after="0"/>
              <w:jc w:val="center"/>
              <w:rPr>
                <w:rFonts w:eastAsia="Times New Roman" w:cs="Times New Roman"/>
                <w:b/>
                <w:bCs/>
                <w:sz w:val="20"/>
                <w:szCs w:val="20"/>
              </w:rPr>
            </w:pPr>
            <w:r w:rsidRPr="00A20DC3">
              <w:rPr>
                <w:rFonts w:eastAsia="Times New Roman" w:cs="Times New Roman"/>
                <w:b/>
                <w:bCs/>
                <w:sz w:val="20"/>
                <w:szCs w:val="20"/>
              </w:rPr>
              <w:t>2026 г.</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Администрация на президента</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10 720,8</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10 744,5</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10 770,0</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Министерски съвет</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158 445,3</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160 041,5</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161 401,6</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3</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Конституционен съд</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8 858,0</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5 858,0</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5 858,0</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Омбудсман</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4 669,5</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4 669,5</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4 669,5</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5</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Министерство на финансите</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734 112,4</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735 591,3</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735 064,8</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6</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Министерство на външните работи</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179 087,8</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179 327,3</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179 550,7</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7</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Министерство на отбраната</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2 129 194,0</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2 141 505,0</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2 156 041,0</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8</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Министерство на вътрешните работи</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2 767 327,8</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2 770 683,3</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2 776 494,8</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9</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Министерство на правосъдието</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486 990,6</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488 042,3</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489 123,9</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10</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Министерство на труда и социалната политика</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2 862 221,0</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3 062 097,9</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3 238 612,8</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11</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Министерство на здравеопазването</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1 058 723,4</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1 061 333,9</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1 066 644,3</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12</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Министерство на образованието и науката</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1 133 025,2</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1 195 178,9</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1 245 595,1</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13</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Министерство на културата</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403 350,5</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413 537,2</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421 288,3</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14</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Министерство на околната среда и водите</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117 986,4</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116 250,4</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117 878,9</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15</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Министерство на икономиката и индустрията</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92 469,7</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90 822,7</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90 458,5</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16</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Министерство на иновациите и растежа</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58 323,7</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57 537,5</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42 382,2</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17</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Министерство на енергетиката</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67 132,5</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67 202,0</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67 269,0</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18</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Министерство на туризма</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28 342,3</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27 707,1</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27 724,0</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19</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Министерство на регионалното развитие и благоустройството</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1 103 595,5</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1 052 083,3</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1 051 948,7</w:t>
            </w:r>
          </w:p>
        </w:tc>
      </w:tr>
      <w:tr w:rsidR="00A20DC3" w:rsidRPr="00A20DC3" w:rsidTr="00A20DC3">
        <w:trPr>
          <w:trHeight w:val="28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20</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Министерство на земеделието и храните</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303 743,7</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305 283,1</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308 721,2</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21</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Министерство на транспорта и съобщенията</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696 301,8</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733 926,4</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739 669,1</w:t>
            </w:r>
          </w:p>
        </w:tc>
      </w:tr>
      <w:tr w:rsidR="00A20DC3" w:rsidRPr="00A20DC3" w:rsidTr="00A20DC3">
        <w:trPr>
          <w:trHeight w:val="28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22</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Министерство на електронното управление</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42 935,6</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44 588,4</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46 383,5</w:t>
            </w:r>
          </w:p>
        </w:tc>
      </w:tr>
      <w:tr w:rsidR="00A20DC3" w:rsidRPr="00A20DC3" w:rsidTr="00A20DC3">
        <w:trPr>
          <w:trHeight w:val="31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23</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Министерство на младежта и спорта</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137 444,4</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140 454,9</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143 100,5</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24</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Държавна агенция „Национална сигурност“</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171 035,5</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171 501,5</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172 000,1</w:t>
            </w:r>
          </w:p>
        </w:tc>
      </w:tr>
      <w:tr w:rsidR="00A20DC3" w:rsidRPr="00A20DC3" w:rsidTr="00A20DC3">
        <w:trPr>
          <w:trHeight w:val="510"/>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25</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Комисия за разкриване на документите и за обявяване на принадлежност на български граждани към Държавна сигурност и разузнавателните служби на Българската народна армия</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4 855,0</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4 863,0</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4 887,0</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26</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Комисия за защита от дискриминация</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3 629,9</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3 631,5</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3 633,6</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27</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Комисия за защита на личните данни</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5 808,9</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5 817,6</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5 818,1</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28</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Комисия за отнемане на незаконно придобитото имущество</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14 214,5</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14 257,7</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14 304,3</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29</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Комисия за противодействие на корупцията</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10 887,1</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10 922,0</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10 959,0</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30</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Национална служба за охрана</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54 968,4</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53 975,6</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53 983,4</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31</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Държавна агенция „Разузнаване“</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49 467,0</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49 622,0</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49 762,0</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32</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Национален статистически институт</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29 216,6</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29 414,3</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29 811,1</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33</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Комисия за защита на конкуренцията</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6 960,5</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6 630,2</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6 647,4</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34</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Комисия за регулиране на съобщенията</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15 466,3</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14 736,2</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14 847,6</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35</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Съвет за електронни медии</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2 909,7</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2 909,7</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2 909,7</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36</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Комисия за енергийно и водно регулиране</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13 072,2</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14 310,1</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15 300,1</w:t>
            </w:r>
          </w:p>
        </w:tc>
      </w:tr>
      <w:tr w:rsidR="00A20DC3" w:rsidRPr="00A20DC3" w:rsidTr="00A20DC3">
        <w:trPr>
          <w:trHeight w:val="28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37</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Агенция за ядрено регулиране</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8 233,0</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8 247,4</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8 262,2</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38</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Държавна комисия по сигурността на информацията</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13 730,9</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13 750,5</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13 771,5</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39</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Държавна агенция „Държавен резерв и военновременни запаси“</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58 262,4</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58 440,0</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58 775,5</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40</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Комисия за финансов надзор</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21 050,4</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20 947,5</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21 186,2</w:t>
            </w:r>
          </w:p>
        </w:tc>
      </w:tr>
      <w:tr w:rsidR="00A20DC3" w:rsidRPr="00A20DC3" w:rsidTr="00A20DC3">
        <w:trPr>
          <w:trHeight w:val="28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41</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Комисия за публичен надзор над регистрираните одитори</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2 317,0</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2 317,0</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2 317,0</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42</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Централна избирателна комисия</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7 360,8</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7 360,8</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7 360,8</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43</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Държавен фонд „Земеделие“</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528 807,9</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528 891,9</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528 981,9</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44</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Национално бюро за контрол на специалните разузнавателни средства</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2 142,4</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1 942,4</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1 942,4</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45</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Държавна агенция „Технически операции“</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85 623,9</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85 822,6</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86 026,5</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46</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Сметна палата</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29 271,8</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29 623,3</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30 009,1</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47</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Национален осигурителен институт</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24 336 092,0</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26 569 311,9</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28 229 059,2</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p>
        </w:tc>
        <w:tc>
          <w:tcPr>
            <w:tcW w:w="9340" w:type="dxa"/>
            <w:tcBorders>
              <w:top w:val="nil"/>
              <w:left w:val="nil"/>
              <w:bottom w:val="nil"/>
              <w:right w:val="nil"/>
            </w:tcBorders>
            <w:shd w:val="clear" w:color="auto" w:fill="auto"/>
            <w:hideMark/>
          </w:tcPr>
          <w:p w:rsidR="00A20DC3" w:rsidRPr="00A20DC3" w:rsidRDefault="00A20DC3" w:rsidP="00A20DC3">
            <w:pPr>
              <w:spacing w:after="0"/>
              <w:ind w:firstLineChars="200" w:firstLine="400"/>
              <w:jc w:val="left"/>
              <w:rPr>
                <w:rFonts w:eastAsia="Times New Roman" w:cs="Times New Roman"/>
                <w:sz w:val="20"/>
                <w:szCs w:val="20"/>
              </w:rPr>
            </w:pPr>
            <w:r w:rsidRPr="00A20DC3">
              <w:rPr>
                <w:rFonts w:eastAsia="Times New Roman" w:cs="Times New Roman"/>
                <w:sz w:val="20"/>
                <w:szCs w:val="20"/>
              </w:rPr>
              <w:t>в т.ч. Пенсии</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21 603 997,7</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23 802 776,9</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25 419 888,6</w:t>
            </w:r>
          </w:p>
        </w:tc>
      </w:tr>
      <w:tr w:rsidR="00A20DC3" w:rsidRPr="00A20DC3" w:rsidTr="00A20DC3">
        <w:trPr>
          <w:trHeight w:val="300"/>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48</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Фонд „Гарантирани вземания на работниците и служителите“</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4 801,7</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4 813,0</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4 821,9</w:t>
            </w:r>
          </w:p>
        </w:tc>
      </w:tr>
      <w:tr w:rsidR="00A20DC3" w:rsidRPr="00A20DC3" w:rsidTr="00A20DC3">
        <w:trPr>
          <w:trHeight w:val="255"/>
        </w:trPr>
        <w:tc>
          <w:tcPr>
            <w:tcW w:w="5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49</w:t>
            </w:r>
          </w:p>
        </w:tc>
        <w:tc>
          <w:tcPr>
            <w:tcW w:w="9340" w:type="dxa"/>
            <w:tcBorders>
              <w:top w:val="nil"/>
              <w:left w:val="nil"/>
              <w:bottom w:val="nil"/>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Учителски пенсионен фонд</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105 202,7</w:t>
            </w:r>
          </w:p>
        </w:tc>
        <w:tc>
          <w:tcPr>
            <w:tcW w:w="166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126 851,8</w:t>
            </w:r>
          </w:p>
        </w:tc>
        <w:tc>
          <w:tcPr>
            <w:tcW w:w="1700" w:type="dxa"/>
            <w:tcBorders>
              <w:top w:val="nil"/>
              <w:left w:val="nil"/>
              <w:bottom w:val="nil"/>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149 519,7</w:t>
            </w:r>
          </w:p>
        </w:tc>
      </w:tr>
      <w:tr w:rsidR="00A20DC3" w:rsidRPr="00A20DC3" w:rsidTr="00A20DC3">
        <w:trPr>
          <w:trHeight w:val="255"/>
        </w:trPr>
        <w:tc>
          <w:tcPr>
            <w:tcW w:w="500" w:type="dxa"/>
            <w:tcBorders>
              <w:top w:val="nil"/>
              <w:left w:val="nil"/>
              <w:bottom w:val="single" w:sz="4" w:space="0" w:color="auto"/>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50</w:t>
            </w:r>
          </w:p>
        </w:tc>
        <w:tc>
          <w:tcPr>
            <w:tcW w:w="9340" w:type="dxa"/>
            <w:tcBorders>
              <w:top w:val="nil"/>
              <w:left w:val="nil"/>
              <w:bottom w:val="single" w:sz="4" w:space="0" w:color="auto"/>
              <w:right w:val="nil"/>
            </w:tcBorders>
            <w:shd w:val="clear" w:color="auto" w:fill="auto"/>
            <w:hideMark/>
          </w:tcPr>
          <w:p w:rsidR="00A20DC3" w:rsidRPr="00A20DC3" w:rsidRDefault="00A20DC3" w:rsidP="00A20DC3">
            <w:pPr>
              <w:spacing w:after="0"/>
              <w:jc w:val="left"/>
              <w:rPr>
                <w:rFonts w:eastAsia="Times New Roman" w:cs="Times New Roman"/>
                <w:sz w:val="20"/>
                <w:szCs w:val="20"/>
              </w:rPr>
            </w:pPr>
            <w:r w:rsidRPr="00A20DC3">
              <w:rPr>
                <w:rFonts w:eastAsia="Times New Roman" w:cs="Times New Roman"/>
                <w:sz w:val="20"/>
                <w:szCs w:val="20"/>
              </w:rPr>
              <w:t>Национална здравноосигурителна каса</w:t>
            </w:r>
          </w:p>
        </w:tc>
        <w:tc>
          <w:tcPr>
            <w:tcW w:w="1660" w:type="dxa"/>
            <w:tcBorders>
              <w:top w:val="nil"/>
              <w:left w:val="nil"/>
              <w:bottom w:val="single" w:sz="4" w:space="0" w:color="auto"/>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8 163 353,1</w:t>
            </w:r>
          </w:p>
        </w:tc>
        <w:tc>
          <w:tcPr>
            <w:tcW w:w="1660" w:type="dxa"/>
            <w:tcBorders>
              <w:top w:val="nil"/>
              <w:left w:val="nil"/>
              <w:bottom w:val="single" w:sz="4" w:space="0" w:color="auto"/>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9 049 575,6</w:t>
            </w:r>
          </w:p>
        </w:tc>
        <w:tc>
          <w:tcPr>
            <w:tcW w:w="1700" w:type="dxa"/>
            <w:tcBorders>
              <w:top w:val="nil"/>
              <w:left w:val="nil"/>
              <w:bottom w:val="single" w:sz="4" w:space="0" w:color="auto"/>
              <w:right w:val="nil"/>
            </w:tcBorders>
            <w:shd w:val="clear" w:color="auto" w:fill="auto"/>
            <w:noWrap/>
            <w:hideMark/>
          </w:tcPr>
          <w:p w:rsidR="00A20DC3" w:rsidRPr="00A20DC3" w:rsidRDefault="00A20DC3" w:rsidP="00A20DC3">
            <w:pPr>
              <w:spacing w:after="0"/>
              <w:jc w:val="right"/>
              <w:rPr>
                <w:rFonts w:eastAsia="Times New Roman" w:cs="Times New Roman"/>
                <w:sz w:val="20"/>
                <w:szCs w:val="20"/>
              </w:rPr>
            </w:pPr>
            <w:r w:rsidRPr="00A20DC3">
              <w:rPr>
                <w:rFonts w:eastAsia="Times New Roman" w:cs="Times New Roman"/>
                <w:sz w:val="20"/>
                <w:szCs w:val="20"/>
              </w:rPr>
              <w:t>9 738 609,2</w:t>
            </w:r>
          </w:p>
        </w:tc>
      </w:tr>
    </w:tbl>
    <w:p w:rsidR="00A20DC3" w:rsidRDefault="00A20DC3" w:rsidP="005B6198">
      <w:pPr>
        <w:spacing w:after="120"/>
        <w:jc w:val="right"/>
        <w:rPr>
          <w:sz w:val="20"/>
          <w:szCs w:val="20"/>
        </w:rPr>
      </w:pPr>
    </w:p>
    <w:p w:rsidR="006A2189" w:rsidRDefault="006A2189" w:rsidP="005B6198">
      <w:pPr>
        <w:spacing w:after="120"/>
        <w:jc w:val="right"/>
        <w:rPr>
          <w:sz w:val="20"/>
          <w:szCs w:val="20"/>
        </w:rPr>
      </w:pPr>
    </w:p>
    <w:p w:rsidR="006A2189" w:rsidRPr="00AA3F66" w:rsidRDefault="006A2189" w:rsidP="005B6198">
      <w:pPr>
        <w:spacing w:after="120"/>
        <w:jc w:val="right"/>
        <w:rPr>
          <w:sz w:val="20"/>
          <w:szCs w:val="20"/>
        </w:rPr>
      </w:pPr>
    </w:p>
    <w:p w:rsidR="008A7CA0" w:rsidRPr="00AA3F66" w:rsidRDefault="008A7CA0" w:rsidP="005B6198">
      <w:pPr>
        <w:spacing w:after="120"/>
        <w:jc w:val="right"/>
        <w:rPr>
          <w:sz w:val="20"/>
          <w:szCs w:val="20"/>
        </w:rPr>
      </w:pPr>
    </w:p>
    <w:p w:rsidR="00E11B41" w:rsidRPr="00AA3F66" w:rsidRDefault="00E11B41" w:rsidP="005B6198">
      <w:pPr>
        <w:spacing w:after="120"/>
        <w:jc w:val="right"/>
        <w:rPr>
          <w:sz w:val="20"/>
          <w:szCs w:val="20"/>
        </w:rPr>
      </w:pPr>
    </w:p>
    <w:p w:rsidR="00E11B41" w:rsidRPr="00AA3F66" w:rsidRDefault="00E11B41" w:rsidP="005B6198">
      <w:pPr>
        <w:spacing w:after="120"/>
        <w:jc w:val="right"/>
        <w:rPr>
          <w:sz w:val="20"/>
          <w:szCs w:val="20"/>
        </w:rPr>
      </w:pPr>
    </w:p>
    <w:p w:rsidR="00AE13C4" w:rsidRPr="00AA3F66" w:rsidRDefault="00AE13C4" w:rsidP="005B6198">
      <w:pPr>
        <w:spacing w:after="120"/>
        <w:jc w:val="right"/>
        <w:rPr>
          <w:sz w:val="20"/>
          <w:szCs w:val="20"/>
        </w:rPr>
      </w:pPr>
    </w:p>
    <w:p w:rsidR="00576C39" w:rsidRPr="00AA3F66" w:rsidRDefault="00576C39">
      <w:pPr>
        <w:spacing w:line="276" w:lineRule="auto"/>
        <w:jc w:val="left"/>
        <w:rPr>
          <w:sz w:val="20"/>
          <w:szCs w:val="20"/>
        </w:rPr>
      </w:pPr>
      <w:r w:rsidRPr="00AA3F66">
        <w:rPr>
          <w:sz w:val="20"/>
          <w:szCs w:val="20"/>
        </w:rPr>
        <w:br w:type="page"/>
      </w:r>
    </w:p>
    <w:p w:rsidR="002B149E" w:rsidRPr="00AA3F66" w:rsidRDefault="002B149E" w:rsidP="00DE2BDB">
      <w:pPr>
        <w:pStyle w:val="Heading2"/>
        <w:numPr>
          <w:ilvl w:val="0"/>
          <w:numId w:val="0"/>
        </w:numPr>
      </w:pPr>
      <w:bookmarkStart w:id="623" w:name="_Toc464224827"/>
      <w:bookmarkStart w:id="624" w:name="_Toc464225477"/>
      <w:bookmarkStart w:id="625" w:name="_Toc464459024"/>
      <w:bookmarkStart w:id="626" w:name="_Toc464459772"/>
      <w:bookmarkStart w:id="627" w:name="_Toc464460725"/>
      <w:bookmarkStart w:id="628" w:name="_Toc464463124"/>
      <w:bookmarkStart w:id="629" w:name="_Toc464464953"/>
      <w:bookmarkStart w:id="630" w:name="_Toc464465460"/>
      <w:bookmarkStart w:id="631" w:name="_Toc464465648"/>
      <w:bookmarkStart w:id="632" w:name="_Toc464466472"/>
      <w:bookmarkStart w:id="633" w:name="_Toc464466715"/>
      <w:bookmarkStart w:id="634" w:name="_Toc464645432"/>
      <w:bookmarkStart w:id="635" w:name="_Toc465205590"/>
      <w:bookmarkStart w:id="636" w:name="_Toc151557326"/>
      <w:r w:rsidRPr="00AA3F66">
        <w:t xml:space="preserve">Приложение № 5: </w:t>
      </w:r>
      <w:r w:rsidR="006F7FE4" w:rsidRPr="00AA3F66">
        <w:br/>
      </w:r>
      <w:r w:rsidRPr="00AA3F66">
        <w:t>Препоръчителни тавани на разходите по бюджетите на Народното събрание и н</w:t>
      </w:r>
      <w:r w:rsidR="00931F81" w:rsidRPr="00AA3F66">
        <w:t>а</w:t>
      </w:r>
      <w:r w:rsidR="0098294A" w:rsidRPr="00AA3F66">
        <w:t xml:space="preserve"> съдебната власт за периода 2024-2026</w:t>
      </w:r>
      <w:r w:rsidR="00AA3035" w:rsidRPr="00AA3F66">
        <w:t> г.</w:t>
      </w:r>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p>
    <w:p w:rsidR="00A63B35" w:rsidRPr="00AA3F66" w:rsidRDefault="00A63B35" w:rsidP="00A63B35">
      <w:pPr>
        <w:spacing w:after="120"/>
        <w:jc w:val="right"/>
        <w:rPr>
          <w:sz w:val="20"/>
          <w:szCs w:val="20"/>
        </w:rPr>
      </w:pPr>
      <w:r w:rsidRPr="00AA3F66">
        <w:rPr>
          <w:sz w:val="20"/>
          <w:szCs w:val="20"/>
        </w:rPr>
        <w:t>(в хил. лв.)</w:t>
      </w:r>
    </w:p>
    <w:tbl>
      <w:tblPr>
        <w:tblW w:w="14798" w:type="dxa"/>
        <w:tblCellMar>
          <w:left w:w="70" w:type="dxa"/>
          <w:right w:w="70" w:type="dxa"/>
        </w:tblCellMar>
        <w:tblLook w:val="04A0" w:firstRow="1" w:lastRow="0" w:firstColumn="1" w:lastColumn="0" w:noHBand="0" w:noVBand="1"/>
      </w:tblPr>
      <w:tblGrid>
        <w:gridCol w:w="460"/>
        <w:gridCol w:w="9038"/>
        <w:gridCol w:w="1780"/>
        <w:gridCol w:w="1840"/>
        <w:gridCol w:w="1680"/>
      </w:tblGrid>
      <w:tr w:rsidR="00F648FC" w:rsidRPr="00AA3F66" w:rsidTr="00A418AA">
        <w:trPr>
          <w:trHeight w:val="345"/>
        </w:trPr>
        <w:tc>
          <w:tcPr>
            <w:tcW w:w="460" w:type="dxa"/>
            <w:tcBorders>
              <w:top w:val="single" w:sz="4" w:space="0" w:color="auto"/>
              <w:left w:val="nil"/>
              <w:bottom w:val="single" w:sz="4" w:space="0" w:color="auto"/>
              <w:right w:val="nil"/>
            </w:tcBorders>
            <w:shd w:val="clear" w:color="000000" w:fill="FFFFFF"/>
            <w:noWrap/>
            <w:hideMark/>
          </w:tcPr>
          <w:p w:rsidR="00F648FC" w:rsidRPr="00AA3F66" w:rsidRDefault="00F648FC" w:rsidP="00F648FC">
            <w:pPr>
              <w:spacing w:after="0"/>
              <w:jc w:val="center"/>
              <w:rPr>
                <w:rFonts w:eastAsia="Times New Roman" w:cs="Times New Roman"/>
                <w:b/>
                <w:bCs/>
                <w:sz w:val="20"/>
                <w:szCs w:val="20"/>
              </w:rPr>
            </w:pPr>
            <w:r w:rsidRPr="00AA3F66">
              <w:rPr>
                <w:rFonts w:eastAsia="Times New Roman" w:cs="Times New Roman"/>
                <w:b/>
                <w:bCs/>
                <w:sz w:val="20"/>
                <w:szCs w:val="20"/>
              </w:rPr>
              <w:t>№</w:t>
            </w:r>
          </w:p>
        </w:tc>
        <w:tc>
          <w:tcPr>
            <w:tcW w:w="9038" w:type="dxa"/>
            <w:tcBorders>
              <w:top w:val="single" w:sz="4" w:space="0" w:color="auto"/>
              <w:left w:val="nil"/>
              <w:bottom w:val="single" w:sz="4" w:space="0" w:color="auto"/>
              <w:right w:val="nil"/>
            </w:tcBorders>
            <w:shd w:val="clear" w:color="000000" w:fill="FFFFFF"/>
            <w:noWrap/>
            <w:hideMark/>
          </w:tcPr>
          <w:p w:rsidR="00F648FC" w:rsidRPr="00AA3F66" w:rsidRDefault="00F648FC" w:rsidP="00F648FC">
            <w:pPr>
              <w:spacing w:after="0"/>
              <w:jc w:val="center"/>
              <w:rPr>
                <w:rFonts w:eastAsia="Times New Roman" w:cs="Times New Roman"/>
                <w:b/>
                <w:bCs/>
                <w:sz w:val="20"/>
                <w:szCs w:val="20"/>
              </w:rPr>
            </w:pPr>
            <w:r w:rsidRPr="00AA3F66">
              <w:rPr>
                <w:rFonts w:eastAsia="Times New Roman" w:cs="Times New Roman"/>
                <w:b/>
                <w:bCs/>
                <w:sz w:val="20"/>
                <w:szCs w:val="20"/>
              </w:rPr>
              <w:t>Бюджетни организации</w:t>
            </w:r>
          </w:p>
        </w:tc>
        <w:tc>
          <w:tcPr>
            <w:tcW w:w="1780" w:type="dxa"/>
            <w:tcBorders>
              <w:top w:val="single" w:sz="4" w:space="0" w:color="auto"/>
              <w:left w:val="nil"/>
              <w:bottom w:val="single" w:sz="4" w:space="0" w:color="auto"/>
              <w:right w:val="nil"/>
            </w:tcBorders>
            <w:shd w:val="clear" w:color="000000" w:fill="FFFFFF"/>
            <w:noWrap/>
            <w:hideMark/>
          </w:tcPr>
          <w:p w:rsidR="00F648FC" w:rsidRPr="00AA3F66" w:rsidRDefault="00F648FC" w:rsidP="00F648FC">
            <w:pPr>
              <w:spacing w:after="0"/>
              <w:jc w:val="center"/>
              <w:rPr>
                <w:rFonts w:eastAsia="Times New Roman" w:cs="Times New Roman"/>
                <w:b/>
                <w:bCs/>
                <w:sz w:val="20"/>
                <w:szCs w:val="20"/>
              </w:rPr>
            </w:pPr>
            <w:r w:rsidRPr="00AA3F66">
              <w:rPr>
                <w:rFonts w:eastAsia="Times New Roman" w:cs="Times New Roman"/>
                <w:b/>
                <w:bCs/>
                <w:sz w:val="20"/>
                <w:szCs w:val="20"/>
              </w:rPr>
              <w:t>2024 г.</w:t>
            </w:r>
          </w:p>
        </w:tc>
        <w:tc>
          <w:tcPr>
            <w:tcW w:w="1840" w:type="dxa"/>
            <w:tcBorders>
              <w:top w:val="single" w:sz="4" w:space="0" w:color="auto"/>
              <w:left w:val="nil"/>
              <w:bottom w:val="single" w:sz="4" w:space="0" w:color="auto"/>
              <w:right w:val="nil"/>
            </w:tcBorders>
            <w:shd w:val="clear" w:color="000000" w:fill="FFFFFF"/>
            <w:noWrap/>
            <w:hideMark/>
          </w:tcPr>
          <w:p w:rsidR="00F648FC" w:rsidRPr="00AA3F66" w:rsidRDefault="00F648FC" w:rsidP="00F648FC">
            <w:pPr>
              <w:spacing w:after="0"/>
              <w:jc w:val="center"/>
              <w:rPr>
                <w:rFonts w:eastAsia="Times New Roman" w:cs="Times New Roman"/>
                <w:b/>
                <w:bCs/>
                <w:sz w:val="20"/>
                <w:szCs w:val="20"/>
              </w:rPr>
            </w:pPr>
            <w:r w:rsidRPr="00AA3F66">
              <w:rPr>
                <w:rFonts w:eastAsia="Times New Roman" w:cs="Times New Roman"/>
                <w:b/>
                <w:bCs/>
                <w:sz w:val="20"/>
                <w:szCs w:val="20"/>
              </w:rPr>
              <w:t>2025 г.</w:t>
            </w:r>
          </w:p>
        </w:tc>
        <w:tc>
          <w:tcPr>
            <w:tcW w:w="1680" w:type="dxa"/>
            <w:tcBorders>
              <w:top w:val="single" w:sz="4" w:space="0" w:color="auto"/>
              <w:left w:val="nil"/>
              <w:bottom w:val="single" w:sz="4" w:space="0" w:color="auto"/>
              <w:right w:val="nil"/>
            </w:tcBorders>
            <w:shd w:val="clear" w:color="000000" w:fill="FFFFFF"/>
            <w:noWrap/>
            <w:hideMark/>
          </w:tcPr>
          <w:p w:rsidR="00F648FC" w:rsidRPr="00AA3F66" w:rsidRDefault="00F648FC" w:rsidP="00F648FC">
            <w:pPr>
              <w:spacing w:after="0"/>
              <w:jc w:val="center"/>
              <w:rPr>
                <w:rFonts w:eastAsia="Times New Roman" w:cs="Times New Roman"/>
                <w:b/>
                <w:bCs/>
                <w:sz w:val="20"/>
                <w:szCs w:val="20"/>
              </w:rPr>
            </w:pPr>
            <w:r w:rsidRPr="00AA3F66">
              <w:rPr>
                <w:rFonts w:eastAsia="Times New Roman" w:cs="Times New Roman"/>
                <w:b/>
                <w:bCs/>
                <w:sz w:val="20"/>
                <w:szCs w:val="20"/>
              </w:rPr>
              <w:t>2026 г.</w:t>
            </w:r>
          </w:p>
        </w:tc>
      </w:tr>
      <w:tr w:rsidR="00F648FC" w:rsidRPr="00AA3F66" w:rsidTr="00A418AA">
        <w:trPr>
          <w:trHeight w:val="319"/>
        </w:trPr>
        <w:tc>
          <w:tcPr>
            <w:tcW w:w="460" w:type="dxa"/>
            <w:tcBorders>
              <w:top w:val="nil"/>
              <w:left w:val="nil"/>
              <w:bottom w:val="nil"/>
              <w:right w:val="nil"/>
            </w:tcBorders>
            <w:shd w:val="clear" w:color="000000" w:fill="FFFFFF"/>
            <w:noWrap/>
            <w:hideMark/>
          </w:tcPr>
          <w:p w:rsidR="00F648FC" w:rsidRPr="00AA3F66" w:rsidRDefault="00F648FC" w:rsidP="00F648FC">
            <w:pPr>
              <w:spacing w:after="0"/>
              <w:jc w:val="right"/>
              <w:rPr>
                <w:rFonts w:eastAsia="Times New Roman" w:cs="Times New Roman"/>
                <w:sz w:val="20"/>
                <w:szCs w:val="20"/>
              </w:rPr>
            </w:pPr>
            <w:r w:rsidRPr="00AA3F66">
              <w:rPr>
                <w:rFonts w:eastAsia="Times New Roman" w:cs="Times New Roman"/>
                <w:sz w:val="20"/>
                <w:szCs w:val="20"/>
              </w:rPr>
              <w:t>1</w:t>
            </w:r>
          </w:p>
        </w:tc>
        <w:tc>
          <w:tcPr>
            <w:tcW w:w="9038" w:type="dxa"/>
            <w:tcBorders>
              <w:top w:val="nil"/>
              <w:left w:val="nil"/>
              <w:bottom w:val="nil"/>
              <w:right w:val="nil"/>
            </w:tcBorders>
            <w:shd w:val="clear" w:color="000000" w:fill="FFFFFF"/>
            <w:noWrap/>
            <w:hideMark/>
          </w:tcPr>
          <w:p w:rsidR="00F648FC" w:rsidRPr="00AA3F66" w:rsidRDefault="00F648FC" w:rsidP="00F648FC">
            <w:pPr>
              <w:spacing w:after="0"/>
              <w:jc w:val="left"/>
              <w:rPr>
                <w:rFonts w:eastAsia="Times New Roman" w:cs="Times New Roman"/>
                <w:sz w:val="20"/>
                <w:szCs w:val="20"/>
              </w:rPr>
            </w:pPr>
            <w:r w:rsidRPr="00AA3F66">
              <w:rPr>
                <w:rFonts w:eastAsia="Times New Roman" w:cs="Times New Roman"/>
                <w:sz w:val="20"/>
                <w:szCs w:val="20"/>
              </w:rPr>
              <w:t>Народно събрание</w:t>
            </w:r>
          </w:p>
        </w:tc>
        <w:tc>
          <w:tcPr>
            <w:tcW w:w="1780" w:type="dxa"/>
            <w:tcBorders>
              <w:top w:val="nil"/>
              <w:left w:val="nil"/>
              <w:bottom w:val="nil"/>
              <w:right w:val="nil"/>
            </w:tcBorders>
            <w:shd w:val="clear" w:color="000000" w:fill="FFFFFF"/>
            <w:noWrap/>
            <w:hideMark/>
          </w:tcPr>
          <w:p w:rsidR="00F648FC" w:rsidRPr="00AA3F66" w:rsidRDefault="00F648FC" w:rsidP="00F648FC">
            <w:pPr>
              <w:spacing w:after="0"/>
              <w:jc w:val="right"/>
              <w:rPr>
                <w:rFonts w:eastAsia="Times New Roman" w:cs="Times New Roman"/>
                <w:sz w:val="20"/>
                <w:szCs w:val="20"/>
              </w:rPr>
            </w:pPr>
            <w:r w:rsidRPr="00AA3F66">
              <w:rPr>
                <w:rFonts w:eastAsia="Times New Roman" w:cs="Times New Roman"/>
                <w:sz w:val="20"/>
                <w:szCs w:val="20"/>
              </w:rPr>
              <w:t>116 172,9</w:t>
            </w:r>
          </w:p>
        </w:tc>
        <w:tc>
          <w:tcPr>
            <w:tcW w:w="1840" w:type="dxa"/>
            <w:tcBorders>
              <w:top w:val="nil"/>
              <w:left w:val="nil"/>
              <w:bottom w:val="nil"/>
              <w:right w:val="nil"/>
            </w:tcBorders>
            <w:shd w:val="clear" w:color="000000" w:fill="FFFFFF"/>
            <w:noWrap/>
            <w:hideMark/>
          </w:tcPr>
          <w:p w:rsidR="00F648FC" w:rsidRPr="00AA3F66" w:rsidRDefault="00F648FC" w:rsidP="00F648FC">
            <w:pPr>
              <w:spacing w:after="0"/>
              <w:jc w:val="right"/>
              <w:rPr>
                <w:rFonts w:eastAsia="Times New Roman" w:cs="Times New Roman"/>
                <w:sz w:val="20"/>
                <w:szCs w:val="20"/>
              </w:rPr>
            </w:pPr>
            <w:r w:rsidRPr="00AA3F66">
              <w:rPr>
                <w:rFonts w:eastAsia="Times New Roman" w:cs="Times New Roman"/>
                <w:sz w:val="20"/>
                <w:szCs w:val="20"/>
              </w:rPr>
              <w:t>138 293,9</w:t>
            </w:r>
          </w:p>
        </w:tc>
        <w:tc>
          <w:tcPr>
            <w:tcW w:w="1680" w:type="dxa"/>
            <w:tcBorders>
              <w:top w:val="nil"/>
              <w:left w:val="nil"/>
              <w:bottom w:val="nil"/>
              <w:right w:val="nil"/>
            </w:tcBorders>
            <w:shd w:val="clear" w:color="000000" w:fill="FFFFFF"/>
            <w:noWrap/>
            <w:hideMark/>
          </w:tcPr>
          <w:p w:rsidR="00F648FC" w:rsidRPr="00AA3F66" w:rsidRDefault="00F648FC" w:rsidP="00F648FC">
            <w:pPr>
              <w:spacing w:after="0"/>
              <w:jc w:val="right"/>
              <w:rPr>
                <w:rFonts w:eastAsia="Times New Roman" w:cs="Times New Roman"/>
                <w:sz w:val="20"/>
                <w:szCs w:val="20"/>
              </w:rPr>
            </w:pPr>
            <w:r w:rsidRPr="00AA3F66">
              <w:rPr>
                <w:rFonts w:eastAsia="Times New Roman" w:cs="Times New Roman"/>
                <w:sz w:val="20"/>
                <w:szCs w:val="20"/>
              </w:rPr>
              <w:t>105 765,9</w:t>
            </w:r>
          </w:p>
        </w:tc>
      </w:tr>
      <w:tr w:rsidR="00F648FC" w:rsidRPr="00AA3F66" w:rsidTr="00A418AA">
        <w:trPr>
          <w:trHeight w:val="319"/>
        </w:trPr>
        <w:tc>
          <w:tcPr>
            <w:tcW w:w="460" w:type="dxa"/>
            <w:tcBorders>
              <w:top w:val="nil"/>
              <w:left w:val="nil"/>
              <w:bottom w:val="single" w:sz="4" w:space="0" w:color="auto"/>
              <w:right w:val="nil"/>
            </w:tcBorders>
            <w:shd w:val="clear" w:color="000000" w:fill="FFFFFF"/>
            <w:noWrap/>
            <w:hideMark/>
          </w:tcPr>
          <w:p w:rsidR="00F648FC" w:rsidRPr="00AA3F66" w:rsidRDefault="00F648FC" w:rsidP="00F648FC">
            <w:pPr>
              <w:spacing w:after="0"/>
              <w:jc w:val="right"/>
              <w:rPr>
                <w:rFonts w:eastAsia="Times New Roman" w:cs="Times New Roman"/>
                <w:sz w:val="20"/>
                <w:szCs w:val="20"/>
              </w:rPr>
            </w:pPr>
            <w:r w:rsidRPr="00AA3F66">
              <w:rPr>
                <w:rFonts w:eastAsia="Times New Roman" w:cs="Times New Roman"/>
                <w:sz w:val="20"/>
                <w:szCs w:val="20"/>
              </w:rPr>
              <w:t>2</w:t>
            </w:r>
          </w:p>
        </w:tc>
        <w:tc>
          <w:tcPr>
            <w:tcW w:w="9038" w:type="dxa"/>
            <w:tcBorders>
              <w:top w:val="nil"/>
              <w:left w:val="nil"/>
              <w:bottom w:val="single" w:sz="4" w:space="0" w:color="auto"/>
              <w:right w:val="nil"/>
            </w:tcBorders>
            <w:shd w:val="clear" w:color="000000" w:fill="FFFFFF"/>
            <w:noWrap/>
            <w:hideMark/>
          </w:tcPr>
          <w:p w:rsidR="00F648FC" w:rsidRPr="00AA3F66" w:rsidRDefault="00F648FC" w:rsidP="00F648FC">
            <w:pPr>
              <w:spacing w:after="0"/>
              <w:jc w:val="left"/>
              <w:rPr>
                <w:rFonts w:eastAsia="Times New Roman" w:cs="Times New Roman"/>
                <w:sz w:val="20"/>
                <w:szCs w:val="20"/>
              </w:rPr>
            </w:pPr>
            <w:r w:rsidRPr="00AA3F66">
              <w:rPr>
                <w:rFonts w:eastAsia="Times New Roman" w:cs="Times New Roman"/>
                <w:sz w:val="20"/>
                <w:szCs w:val="20"/>
              </w:rPr>
              <w:t>Висш съдебен съвет</w:t>
            </w:r>
          </w:p>
        </w:tc>
        <w:tc>
          <w:tcPr>
            <w:tcW w:w="1780" w:type="dxa"/>
            <w:tcBorders>
              <w:top w:val="nil"/>
              <w:left w:val="nil"/>
              <w:bottom w:val="single" w:sz="4" w:space="0" w:color="auto"/>
              <w:right w:val="nil"/>
            </w:tcBorders>
            <w:shd w:val="clear" w:color="000000" w:fill="FFFFFF"/>
            <w:noWrap/>
            <w:hideMark/>
          </w:tcPr>
          <w:p w:rsidR="00F648FC" w:rsidRPr="00AA3F66" w:rsidRDefault="00F648FC" w:rsidP="00F648FC">
            <w:pPr>
              <w:spacing w:after="0"/>
              <w:jc w:val="right"/>
              <w:rPr>
                <w:rFonts w:eastAsia="Times New Roman" w:cs="Times New Roman"/>
                <w:sz w:val="20"/>
                <w:szCs w:val="20"/>
              </w:rPr>
            </w:pPr>
            <w:r w:rsidRPr="00AA3F66">
              <w:rPr>
                <w:rFonts w:eastAsia="Times New Roman" w:cs="Times New Roman"/>
                <w:sz w:val="20"/>
                <w:szCs w:val="20"/>
              </w:rPr>
              <w:t>1 221 324,9</w:t>
            </w:r>
          </w:p>
        </w:tc>
        <w:tc>
          <w:tcPr>
            <w:tcW w:w="1840" w:type="dxa"/>
            <w:tcBorders>
              <w:top w:val="nil"/>
              <w:left w:val="nil"/>
              <w:bottom w:val="single" w:sz="4" w:space="0" w:color="auto"/>
              <w:right w:val="nil"/>
            </w:tcBorders>
            <w:shd w:val="clear" w:color="000000" w:fill="FFFFFF"/>
            <w:noWrap/>
            <w:hideMark/>
          </w:tcPr>
          <w:p w:rsidR="00F648FC" w:rsidRPr="00AA3F66" w:rsidRDefault="00F648FC" w:rsidP="00F648FC">
            <w:pPr>
              <w:spacing w:after="0"/>
              <w:jc w:val="right"/>
              <w:rPr>
                <w:rFonts w:eastAsia="Times New Roman" w:cs="Times New Roman"/>
                <w:sz w:val="20"/>
                <w:szCs w:val="20"/>
              </w:rPr>
            </w:pPr>
            <w:r w:rsidRPr="00AA3F66">
              <w:rPr>
                <w:rFonts w:eastAsia="Times New Roman" w:cs="Times New Roman"/>
                <w:sz w:val="20"/>
                <w:szCs w:val="20"/>
              </w:rPr>
              <w:t>1 222 673,9</w:t>
            </w:r>
          </w:p>
        </w:tc>
        <w:tc>
          <w:tcPr>
            <w:tcW w:w="1680" w:type="dxa"/>
            <w:tcBorders>
              <w:top w:val="nil"/>
              <w:left w:val="nil"/>
              <w:bottom w:val="single" w:sz="4" w:space="0" w:color="auto"/>
              <w:right w:val="nil"/>
            </w:tcBorders>
            <w:shd w:val="clear" w:color="000000" w:fill="FFFFFF"/>
            <w:noWrap/>
            <w:hideMark/>
          </w:tcPr>
          <w:p w:rsidR="00F648FC" w:rsidRPr="00AA3F66" w:rsidRDefault="00F648FC" w:rsidP="00F648FC">
            <w:pPr>
              <w:spacing w:after="0"/>
              <w:jc w:val="right"/>
              <w:rPr>
                <w:rFonts w:eastAsia="Times New Roman" w:cs="Times New Roman"/>
                <w:sz w:val="20"/>
                <w:szCs w:val="20"/>
              </w:rPr>
            </w:pPr>
            <w:r w:rsidRPr="00AA3F66">
              <w:rPr>
                <w:rFonts w:eastAsia="Times New Roman" w:cs="Times New Roman"/>
                <w:sz w:val="20"/>
                <w:szCs w:val="20"/>
              </w:rPr>
              <w:t>1 226 925,5</w:t>
            </w:r>
          </w:p>
        </w:tc>
      </w:tr>
    </w:tbl>
    <w:p w:rsidR="00F648FC" w:rsidRPr="00AA3F66" w:rsidRDefault="00F648FC" w:rsidP="00A63B35">
      <w:pPr>
        <w:spacing w:after="120"/>
        <w:jc w:val="right"/>
        <w:rPr>
          <w:sz w:val="20"/>
          <w:szCs w:val="20"/>
        </w:rPr>
      </w:pPr>
    </w:p>
    <w:p w:rsidR="002B149E" w:rsidRPr="00AA3F66" w:rsidRDefault="002B149E" w:rsidP="00DE2BDB">
      <w:pPr>
        <w:pStyle w:val="Heading2"/>
        <w:numPr>
          <w:ilvl w:val="0"/>
          <w:numId w:val="0"/>
        </w:numPr>
      </w:pPr>
      <w:bookmarkStart w:id="637" w:name="_Toc464224828"/>
      <w:bookmarkStart w:id="638" w:name="_Toc464225478"/>
      <w:bookmarkStart w:id="639" w:name="_Toc464459025"/>
      <w:bookmarkStart w:id="640" w:name="_Toc464459773"/>
      <w:bookmarkStart w:id="641" w:name="_Toc464460726"/>
      <w:bookmarkStart w:id="642" w:name="_Toc464463125"/>
      <w:bookmarkStart w:id="643" w:name="_Toc464464954"/>
      <w:bookmarkStart w:id="644" w:name="_Toc464465461"/>
      <w:bookmarkStart w:id="645" w:name="_Toc464465649"/>
      <w:bookmarkStart w:id="646" w:name="_Toc464466473"/>
      <w:bookmarkStart w:id="647" w:name="_Toc464466716"/>
      <w:bookmarkStart w:id="648" w:name="_Toc464645433"/>
      <w:bookmarkStart w:id="649" w:name="_Toc465205591"/>
      <w:bookmarkStart w:id="650" w:name="_Toc151557327"/>
      <w:r w:rsidRPr="00AA3F66">
        <w:t xml:space="preserve">Приложение № 6: </w:t>
      </w:r>
      <w:r w:rsidR="0002045D" w:rsidRPr="00AA3F66">
        <w:br/>
      </w:r>
      <w:r w:rsidR="001C02F3" w:rsidRPr="00AA3F66">
        <w:t>Р</w:t>
      </w:r>
      <w:r w:rsidRPr="00AA3F66">
        <w:t>азмери на бюджетните взаимоотношения (трансферите) на държавния бюджет с бю</w:t>
      </w:r>
      <w:r w:rsidR="008F3D61" w:rsidRPr="00AA3F66">
        <w:t>джетите на БНТ, БНР, БТА, БАН, държавните висши училища</w:t>
      </w:r>
      <w:r w:rsidR="00931F81" w:rsidRPr="00AA3F66">
        <w:t xml:space="preserve"> и</w:t>
      </w:r>
      <w:r w:rsidR="008F3D61" w:rsidRPr="00AA3F66">
        <w:t xml:space="preserve"> д</w:t>
      </w:r>
      <w:r w:rsidRPr="00AA3F66">
        <w:t xml:space="preserve">ържавните висши военни училища </w:t>
      </w:r>
      <w:r w:rsidR="00BE4275" w:rsidRPr="00AA3F66">
        <w:t xml:space="preserve">за </w:t>
      </w:r>
      <w:r w:rsidR="0098294A" w:rsidRPr="00AA3F66">
        <w:t>периода 2024-2026</w:t>
      </w:r>
      <w:r w:rsidR="00AA3035" w:rsidRPr="00AA3F66">
        <w:t> г.</w:t>
      </w:r>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p>
    <w:p w:rsidR="00A63B35" w:rsidRPr="00AA3F66" w:rsidRDefault="00A63B35" w:rsidP="00A63B35">
      <w:pPr>
        <w:spacing w:after="120"/>
        <w:jc w:val="right"/>
        <w:rPr>
          <w:sz w:val="20"/>
          <w:szCs w:val="20"/>
        </w:rPr>
      </w:pPr>
      <w:r w:rsidRPr="00AA3F66">
        <w:rPr>
          <w:sz w:val="20"/>
          <w:szCs w:val="20"/>
        </w:rPr>
        <w:t>(в хил. лв.)</w:t>
      </w:r>
    </w:p>
    <w:tbl>
      <w:tblPr>
        <w:tblW w:w="14600" w:type="dxa"/>
        <w:tblCellMar>
          <w:left w:w="70" w:type="dxa"/>
          <w:right w:w="70" w:type="dxa"/>
        </w:tblCellMar>
        <w:tblLook w:val="04A0" w:firstRow="1" w:lastRow="0" w:firstColumn="1" w:lastColumn="0" w:noHBand="0" w:noVBand="1"/>
      </w:tblPr>
      <w:tblGrid>
        <w:gridCol w:w="460"/>
        <w:gridCol w:w="9340"/>
        <w:gridCol w:w="1600"/>
        <w:gridCol w:w="1600"/>
        <w:gridCol w:w="1600"/>
      </w:tblGrid>
      <w:tr w:rsidR="004A4950" w:rsidRPr="00AA3F66" w:rsidTr="004A4950">
        <w:trPr>
          <w:trHeight w:val="330"/>
        </w:trPr>
        <w:tc>
          <w:tcPr>
            <w:tcW w:w="460" w:type="dxa"/>
            <w:tcBorders>
              <w:top w:val="single" w:sz="4" w:space="0" w:color="auto"/>
              <w:left w:val="nil"/>
              <w:bottom w:val="single" w:sz="4" w:space="0" w:color="auto"/>
              <w:right w:val="nil"/>
            </w:tcBorders>
            <w:shd w:val="clear" w:color="000000" w:fill="FFFFFF"/>
            <w:noWrap/>
            <w:hideMark/>
          </w:tcPr>
          <w:p w:rsidR="004A4950" w:rsidRPr="00AA3F66" w:rsidRDefault="004A4950" w:rsidP="004A4950">
            <w:pPr>
              <w:spacing w:after="0"/>
              <w:jc w:val="center"/>
              <w:rPr>
                <w:rFonts w:eastAsia="Times New Roman" w:cs="Times New Roman"/>
                <w:b/>
                <w:bCs/>
                <w:sz w:val="20"/>
                <w:szCs w:val="20"/>
              </w:rPr>
            </w:pPr>
            <w:r w:rsidRPr="00AA3F66">
              <w:rPr>
                <w:rFonts w:eastAsia="Times New Roman" w:cs="Times New Roman"/>
                <w:b/>
                <w:bCs/>
                <w:sz w:val="20"/>
                <w:szCs w:val="20"/>
              </w:rPr>
              <w:t>№</w:t>
            </w:r>
          </w:p>
        </w:tc>
        <w:tc>
          <w:tcPr>
            <w:tcW w:w="9340" w:type="dxa"/>
            <w:tcBorders>
              <w:top w:val="single" w:sz="4" w:space="0" w:color="auto"/>
              <w:left w:val="nil"/>
              <w:bottom w:val="single" w:sz="4" w:space="0" w:color="auto"/>
              <w:right w:val="nil"/>
            </w:tcBorders>
            <w:shd w:val="clear" w:color="000000" w:fill="FFFFFF"/>
            <w:noWrap/>
            <w:hideMark/>
          </w:tcPr>
          <w:p w:rsidR="004A4950" w:rsidRPr="00AA3F66" w:rsidRDefault="004A4950" w:rsidP="004A4950">
            <w:pPr>
              <w:spacing w:after="0"/>
              <w:jc w:val="center"/>
              <w:rPr>
                <w:rFonts w:eastAsia="Times New Roman" w:cs="Times New Roman"/>
                <w:b/>
                <w:bCs/>
                <w:sz w:val="20"/>
                <w:szCs w:val="20"/>
              </w:rPr>
            </w:pPr>
            <w:r w:rsidRPr="00AA3F66">
              <w:rPr>
                <w:rFonts w:eastAsia="Times New Roman" w:cs="Times New Roman"/>
                <w:b/>
                <w:bCs/>
                <w:sz w:val="20"/>
                <w:szCs w:val="20"/>
              </w:rPr>
              <w:t>Бюджетни взаимоотношения (трансфери)</w:t>
            </w:r>
          </w:p>
        </w:tc>
        <w:tc>
          <w:tcPr>
            <w:tcW w:w="1600" w:type="dxa"/>
            <w:tcBorders>
              <w:top w:val="single" w:sz="4" w:space="0" w:color="auto"/>
              <w:left w:val="nil"/>
              <w:bottom w:val="single" w:sz="4" w:space="0" w:color="auto"/>
              <w:right w:val="nil"/>
            </w:tcBorders>
            <w:shd w:val="clear" w:color="000000" w:fill="FFFFFF"/>
            <w:hideMark/>
          </w:tcPr>
          <w:p w:rsidR="004A4950" w:rsidRPr="00AA3F66" w:rsidRDefault="004A4950" w:rsidP="004A4950">
            <w:pPr>
              <w:spacing w:after="0"/>
              <w:jc w:val="center"/>
              <w:rPr>
                <w:rFonts w:eastAsia="Times New Roman" w:cs="Times New Roman"/>
                <w:b/>
                <w:bCs/>
                <w:sz w:val="20"/>
                <w:szCs w:val="20"/>
              </w:rPr>
            </w:pPr>
            <w:r w:rsidRPr="00AA3F66">
              <w:rPr>
                <w:rFonts w:eastAsia="Times New Roman" w:cs="Times New Roman"/>
                <w:b/>
                <w:bCs/>
                <w:sz w:val="20"/>
                <w:szCs w:val="20"/>
              </w:rPr>
              <w:t>2024 г.</w:t>
            </w:r>
          </w:p>
        </w:tc>
        <w:tc>
          <w:tcPr>
            <w:tcW w:w="1600" w:type="dxa"/>
            <w:tcBorders>
              <w:top w:val="single" w:sz="4" w:space="0" w:color="auto"/>
              <w:left w:val="nil"/>
              <w:bottom w:val="single" w:sz="4" w:space="0" w:color="auto"/>
              <w:right w:val="nil"/>
            </w:tcBorders>
            <w:shd w:val="clear" w:color="000000" w:fill="FFFFFF"/>
            <w:hideMark/>
          </w:tcPr>
          <w:p w:rsidR="004A4950" w:rsidRPr="00AA3F66" w:rsidRDefault="004A4950" w:rsidP="004A4950">
            <w:pPr>
              <w:spacing w:after="0"/>
              <w:jc w:val="center"/>
              <w:rPr>
                <w:rFonts w:eastAsia="Times New Roman" w:cs="Times New Roman"/>
                <w:b/>
                <w:bCs/>
                <w:sz w:val="20"/>
                <w:szCs w:val="20"/>
              </w:rPr>
            </w:pPr>
            <w:r w:rsidRPr="00AA3F66">
              <w:rPr>
                <w:rFonts w:eastAsia="Times New Roman" w:cs="Times New Roman"/>
                <w:b/>
                <w:bCs/>
                <w:sz w:val="20"/>
                <w:szCs w:val="20"/>
              </w:rPr>
              <w:t>2025 г.</w:t>
            </w:r>
          </w:p>
        </w:tc>
        <w:tc>
          <w:tcPr>
            <w:tcW w:w="1600" w:type="dxa"/>
            <w:tcBorders>
              <w:top w:val="single" w:sz="4" w:space="0" w:color="auto"/>
              <w:left w:val="nil"/>
              <w:bottom w:val="single" w:sz="4" w:space="0" w:color="auto"/>
              <w:right w:val="nil"/>
            </w:tcBorders>
            <w:shd w:val="clear" w:color="000000" w:fill="FFFFFF"/>
            <w:hideMark/>
          </w:tcPr>
          <w:p w:rsidR="004A4950" w:rsidRPr="00AA3F66" w:rsidRDefault="004A4950" w:rsidP="004A4950">
            <w:pPr>
              <w:spacing w:after="0"/>
              <w:jc w:val="center"/>
              <w:rPr>
                <w:rFonts w:eastAsia="Times New Roman" w:cs="Times New Roman"/>
                <w:b/>
                <w:bCs/>
                <w:sz w:val="20"/>
                <w:szCs w:val="20"/>
              </w:rPr>
            </w:pPr>
            <w:r w:rsidRPr="00AA3F66">
              <w:rPr>
                <w:rFonts w:eastAsia="Times New Roman" w:cs="Times New Roman"/>
                <w:b/>
                <w:bCs/>
                <w:sz w:val="20"/>
                <w:szCs w:val="20"/>
              </w:rPr>
              <w:t>2026 г.</w:t>
            </w:r>
          </w:p>
        </w:tc>
      </w:tr>
      <w:tr w:rsidR="004A4950" w:rsidRPr="00AA3F66" w:rsidTr="004A4950">
        <w:trPr>
          <w:trHeight w:val="259"/>
        </w:trPr>
        <w:tc>
          <w:tcPr>
            <w:tcW w:w="460" w:type="dxa"/>
            <w:tcBorders>
              <w:top w:val="nil"/>
              <w:left w:val="nil"/>
              <w:bottom w:val="nil"/>
              <w:right w:val="nil"/>
            </w:tcBorders>
            <w:shd w:val="clear" w:color="000000" w:fill="FFFFFF"/>
            <w:noWrap/>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1</w:t>
            </w:r>
          </w:p>
        </w:tc>
        <w:tc>
          <w:tcPr>
            <w:tcW w:w="9340" w:type="dxa"/>
            <w:tcBorders>
              <w:top w:val="nil"/>
              <w:left w:val="nil"/>
              <w:bottom w:val="nil"/>
              <w:right w:val="nil"/>
            </w:tcBorders>
            <w:shd w:val="clear" w:color="000000" w:fill="FFFFFF"/>
            <w:hideMark/>
          </w:tcPr>
          <w:p w:rsidR="004A4950" w:rsidRPr="00AA3F66" w:rsidRDefault="004A4950" w:rsidP="004A4950">
            <w:pPr>
              <w:spacing w:after="0"/>
              <w:jc w:val="left"/>
              <w:rPr>
                <w:rFonts w:eastAsia="Times New Roman" w:cs="Times New Roman"/>
                <w:sz w:val="20"/>
                <w:szCs w:val="20"/>
              </w:rPr>
            </w:pPr>
            <w:r w:rsidRPr="00AA3F66">
              <w:rPr>
                <w:rFonts w:eastAsia="Times New Roman" w:cs="Times New Roman"/>
                <w:sz w:val="20"/>
                <w:szCs w:val="20"/>
              </w:rPr>
              <w:t>Предоставени трансфери от централния бюджет за бюджета на Българската национална телевизия</w:t>
            </w:r>
          </w:p>
        </w:tc>
        <w:tc>
          <w:tcPr>
            <w:tcW w:w="1600" w:type="dxa"/>
            <w:tcBorders>
              <w:top w:val="nil"/>
              <w:left w:val="nil"/>
              <w:bottom w:val="nil"/>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86 980,6</w:t>
            </w:r>
          </w:p>
        </w:tc>
        <w:tc>
          <w:tcPr>
            <w:tcW w:w="1600" w:type="dxa"/>
            <w:tcBorders>
              <w:top w:val="nil"/>
              <w:left w:val="nil"/>
              <w:bottom w:val="nil"/>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87 344,8</w:t>
            </w:r>
          </w:p>
        </w:tc>
        <w:tc>
          <w:tcPr>
            <w:tcW w:w="1600" w:type="dxa"/>
            <w:tcBorders>
              <w:top w:val="nil"/>
              <w:left w:val="nil"/>
              <w:bottom w:val="nil"/>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87 691,2</w:t>
            </w:r>
          </w:p>
        </w:tc>
      </w:tr>
      <w:tr w:rsidR="004A4950" w:rsidRPr="00AA3F66" w:rsidTr="004A4950">
        <w:trPr>
          <w:trHeight w:val="259"/>
        </w:trPr>
        <w:tc>
          <w:tcPr>
            <w:tcW w:w="460" w:type="dxa"/>
            <w:tcBorders>
              <w:top w:val="nil"/>
              <w:left w:val="nil"/>
              <w:bottom w:val="nil"/>
              <w:right w:val="nil"/>
            </w:tcBorders>
            <w:shd w:val="clear" w:color="000000" w:fill="FFFFFF"/>
            <w:noWrap/>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 </w:t>
            </w:r>
          </w:p>
        </w:tc>
        <w:tc>
          <w:tcPr>
            <w:tcW w:w="9340" w:type="dxa"/>
            <w:tcBorders>
              <w:top w:val="nil"/>
              <w:left w:val="nil"/>
              <w:bottom w:val="nil"/>
              <w:right w:val="nil"/>
            </w:tcBorders>
            <w:shd w:val="clear" w:color="000000" w:fill="FFFFFF"/>
            <w:hideMark/>
          </w:tcPr>
          <w:p w:rsidR="004A4950" w:rsidRPr="00AA3F66" w:rsidRDefault="004A4950" w:rsidP="004A4950">
            <w:pPr>
              <w:spacing w:after="0"/>
              <w:ind w:firstLineChars="100" w:firstLine="200"/>
              <w:jc w:val="left"/>
              <w:rPr>
                <w:rFonts w:eastAsia="Times New Roman" w:cs="Times New Roman"/>
                <w:sz w:val="20"/>
                <w:szCs w:val="20"/>
              </w:rPr>
            </w:pPr>
            <w:r w:rsidRPr="00AA3F66">
              <w:rPr>
                <w:rFonts w:eastAsia="Times New Roman" w:cs="Times New Roman"/>
                <w:sz w:val="20"/>
                <w:szCs w:val="20"/>
              </w:rPr>
              <w:t>в т. ч. по чл. 70, ал. 4, т. 2 от Закона за радиото и телевизията</w:t>
            </w:r>
          </w:p>
        </w:tc>
        <w:tc>
          <w:tcPr>
            <w:tcW w:w="1600" w:type="dxa"/>
            <w:tcBorders>
              <w:top w:val="nil"/>
              <w:left w:val="nil"/>
              <w:bottom w:val="nil"/>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6 100,0</w:t>
            </w:r>
          </w:p>
        </w:tc>
        <w:tc>
          <w:tcPr>
            <w:tcW w:w="1600" w:type="dxa"/>
            <w:tcBorders>
              <w:top w:val="nil"/>
              <w:left w:val="nil"/>
              <w:bottom w:val="nil"/>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6 100,0</w:t>
            </w:r>
          </w:p>
        </w:tc>
        <w:tc>
          <w:tcPr>
            <w:tcW w:w="1600" w:type="dxa"/>
            <w:tcBorders>
              <w:top w:val="nil"/>
              <w:left w:val="nil"/>
              <w:bottom w:val="nil"/>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6 100,0</w:t>
            </w:r>
          </w:p>
        </w:tc>
      </w:tr>
      <w:tr w:rsidR="004A4950" w:rsidRPr="00AA3F66" w:rsidTr="004A4950">
        <w:trPr>
          <w:trHeight w:val="300"/>
        </w:trPr>
        <w:tc>
          <w:tcPr>
            <w:tcW w:w="460" w:type="dxa"/>
            <w:tcBorders>
              <w:top w:val="nil"/>
              <w:left w:val="nil"/>
              <w:bottom w:val="nil"/>
              <w:right w:val="nil"/>
            </w:tcBorders>
            <w:shd w:val="clear" w:color="000000" w:fill="FFFFFF"/>
            <w:noWrap/>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2</w:t>
            </w:r>
          </w:p>
        </w:tc>
        <w:tc>
          <w:tcPr>
            <w:tcW w:w="9340" w:type="dxa"/>
            <w:tcBorders>
              <w:top w:val="nil"/>
              <w:left w:val="nil"/>
              <w:bottom w:val="nil"/>
              <w:right w:val="nil"/>
            </w:tcBorders>
            <w:shd w:val="clear" w:color="000000" w:fill="FFFFFF"/>
            <w:hideMark/>
          </w:tcPr>
          <w:p w:rsidR="004A4950" w:rsidRPr="00AA3F66" w:rsidRDefault="004A4950" w:rsidP="004A4950">
            <w:pPr>
              <w:spacing w:after="0"/>
              <w:jc w:val="left"/>
              <w:rPr>
                <w:rFonts w:eastAsia="Times New Roman" w:cs="Times New Roman"/>
                <w:sz w:val="20"/>
                <w:szCs w:val="20"/>
              </w:rPr>
            </w:pPr>
            <w:r w:rsidRPr="00AA3F66">
              <w:rPr>
                <w:rFonts w:eastAsia="Times New Roman" w:cs="Times New Roman"/>
                <w:sz w:val="20"/>
                <w:szCs w:val="20"/>
              </w:rPr>
              <w:t>Предоставени трансфери от централния бюджет за бюджета на Българското национално радио</w:t>
            </w:r>
          </w:p>
        </w:tc>
        <w:tc>
          <w:tcPr>
            <w:tcW w:w="1600" w:type="dxa"/>
            <w:tcBorders>
              <w:top w:val="nil"/>
              <w:left w:val="nil"/>
              <w:bottom w:val="nil"/>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62 974,4</w:t>
            </w:r>
          </w:p>
        </w:tc>
        <w:tc>
          <w:tcPr>
            <w:tcW w:w="1600" w:type="dxa"/>
            <w:tcBorders>
              <w:top w:val="nil"/>
              <w:left w:val="nil"/>
              <w:bottom w:val="nil"/>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63 021,8</w:t>
            </w:r>
          </w:p>
        </w:tc>
        <w:tc>
          <w:tcPr>
            <w:tcW w:w="1600" w:type="dxa"/>
            <w:tcBorders>
              <w:top w:val="nil"/>
              <w:left w:val="nil"/>
              <w:bottom w:val="nil"/>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63 066,4</w:t>
            </w:r>
          </w:p>
        </w:tc>
      </w:tr>
      <w:tr w:rsidR="004A4950" w:rsidRPr="00AA3F66" w:rsidTr="004A4950">
        <w:trPr>
          <w:trHeight w:val="259"/>
        </w:trPr>
        <w:tc>
          <w:tcPr>
            <w:tcW w:w="460" w:type="dxa"/>
            <w:tcBorders>
              <w:top w:val="nil"/>
              <w:left w:val="nil"/>
              <w:bottom w:val="nil"/>
              <w:right w:val="nil"/>
            </w:tcBorders>
            <w:shd w:val="clear" w:color="000000" w:fill="FFFFFF"/>
            <w:noWrap/>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 </w:t>
            </w:r>
          </w:p>
        </w:tc>
        <w:tc>
          <w:tcPr>
            <w:tcW w:w="9340" w:type="dxa"/>
            <w:tcBorders>
              <w:top w:val="nil"/>
              <w:left w:val="nil"/>
              <w:bottom w:val="nil"/>
              <w:right w:val="nil"/>
            </w:tcBorders>
            <w:shd w:val="clear" w:color="000000" w:fill="FFFFFF"/>
            <w:hideMark/>
          </w:tcPr>
          <w:p w:rsidR="004A4950" w:rsidRPr="00AA3F66" w:rsidRDefault="004A4950" w:rsidP="004A4950">
            <w:pPr>
              <w:spacing w:after="0"/>
              <w:ind w:firstLineChars="100" w:firstLine="200"/>
              <w:jc w:val="left"/>
              <w:rPr>
                <w:rFonts w:eastAsia="Times New Roman" w:cs="Times New Roman"/>
                <w:sz w:val="20"/>
                <w:szCs w:val="20"/>
              </w:rPr>
            </w:pPr>
            <w:r w:rsidRPr="00AA3F66">
              <w:rPr>
                <w:rFonts w:eastAsia="Times New Roman" w:cs="Times New Roman"/>
                <w:sz w:val="20"/>
                <w:szCs w:val="20"/>
              </w:rPr>
              <w:t>в т. ч. по чл. 70, ал. 4, т. 2 от Закона за радиото и телевизията</w:t>
            </w:r>
          </w:p>
        </w:tc>
        <w:tc>
          <w:tcPr>
            <w:tcW w:w="1600" w:type="dxa"/>
            <w:tcBorders>
              <w:top w:val="nil"/>
              <w:left w:val="nil"/>
              <w:bottom w:val="nil"/>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3 900,0</w:t>
            </w:r>
          </w:p>
        </w:tc>
        <w:tc>
          <w:tcPr>
            <w:tcW w:w="1600" w:type="dxa"/>
            <w:tcBorders>
              <w:top w:val="nil"/>
              <w:left w:val="nil"/>
              <w:bottom w:val="nil"/>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3 900,0</w:t>
            </w:r>
          </w:p>
        </w:tc>
        <w:tc>
          <w:tcPr>
            <w:tcW w:w="1600" w:type="dxa"/>
            <w:tcBorders>
              <w:top w:val="nil"/>
              <w:left w:val="nil"/>
              <w:bottom w:val="nil"/>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3 900,0</w:t>
            </w:r>
          </w:p>
        </w:tc>
      </w:tr>
      <w:tr w:rsidR="004A4950" w:rsidRPr="00AA3F66" w:rsidTr="004A4950">
        <w:trPr>
          <w:trHeight w:val="259"/>
        </w:trPr>
        <w:tc>
          <w:tcPr>
            <w:tcW w:w="460" w:type="dxa"/>
            <w:tcBorders>
              <w:top w:val="nil"/>
              <w:left w:val="nil"/>
              <w:bottom w:val="nil"/>
              <w:right w:val="nil"/>
            </w:tcBorders>
            <w:shd w:val="clear" w:color="000000" w:fill="FFFFFF"/>
            <w:noWrap/>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3</w:t>
            </w:r>
          </w:p>
        </w:tc>
        <w:tc>
          <w:tcPr>
            <w:tcW w:w="9340" w:type="dxa"/>
            <w:tcBorders>
              <w:top w:val="nil"/>
              <w:left w:val="nil"/>
              <w:bottom w:val="nil"/>
              <w:right w:val="nil"/>
            </w:tcBorders>
            <w:shd w:val="clear" w:color="000000" w:fill="FFFFFF"/>
            <w:hideMark/>
          </w:tcPr>
          <w:p w:rsidR="004A4950" w:rsidRPr="00AA3F66" w:rsidRDefault="004A4950" w:rsidP="004A4950">
            <w:pPr>
              <w:spacing w:after="0"/>
              <w:jc w:val="left"/>
              <w:rPr>
                <w:rFonts w:eastAsia="Times New Roman" w:cs="Times New Roman"/>
                <w:sz w:val="20"/>
                <w:szCs w:val="20"/>
              </w:rPr>
            </w:pPr>
            <w:r w:rsidRPr="00AA3F66">
              <w:rPr>
                <w:rFonts w:eastAsia="Times New Roman" w:cs="Times New Roman"/>
                <w:sz w:val="20"/>
                <w:szCs w:val="20"/>
              </w:rPr>
              <w:t>Предоставени трансфери от централния бюджет за бюджета на Българската телеграфна агенция</w:t>
            </w:r>
          </w:p>
        </w:tc>
        <w:tc>
          <w:tcPr>
            <w:tcW w:w="1600" w:type="dxa"/>
            <w:tcBorders>
              <w:top w:val="nil"/>
              <w:left w:val="nil"/>
              <w:bottom w:val="nil"/>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11 856,5</w:t>
            </w:r>
          </w:p>
        </w:tc>
        <w:tc>
          <w:tcPr>
            <w:tcW w:w="1600" w:type="dxa"/>
            <w:tcBorders>
              <w:top w:val="nil"/>
              <w:left w:val="nil"/>
              <w:bottom w:val="nil"/>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11 856,5</w:t>
            </w:r>
          </w:p>
        </w:tc>
        <w:tc>
          <w:tcPr>
            <w:tcW w:w="1600" w:type="dxa"/>
            <w:tcBorders>
              <w:top w:val="nil"/>
              <w:left w:val="nil"/>
              <w:bottom w:val="nil"/>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11 856,5</w:t>
            </w:r>
          </w:p>
        </w:tc>
      </w:tr>
      <w:tr w:rsidR="004A4950" w:rsidRPr="00AA3F66" w:rsidTr="004A4950">
        <w:trPr>
          <w:trHeight w:val="570"/>
        </w:trPr>
        <w:tc>
          <w:tcPr>
            <w:tcW w:w="460" w:type="dxa"/>
            <w:tcBorders>
              <w:top w:val="nil"/>
              <w:left w:val="nil"/>
              <w:bottom w:val="nil"/>
              <w:right w:val="nil"/>
            </w:tcBorders>
            <w:shd w:val="clear" w:color="000000" w:fill="FFFFFF"/>
            <w:noWrap/>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4</w:t>
            </w:r>
          </w:p>
        </w:tc>
        <w:tc>
          <w:tcPr>
            <w:tcW w:w="9340" w:type="dxa"/>
            <w:tcBorders>
              <w:top w:val="nil"/>
              <w:left w:val="nil"/>
              <w:bottom w:val="nil"/>
              <w:right w:val="nil"/>
            </w:tcBorders>
            <w:shd w:val="clear" w:color="000000" w:fill="FFFFFF"/>
            <w:hideMark/>
          </w:tcPr>
          <w:p w:rsidR="004A4950" w:rsidRPr="00AA3F66" w:rsidRDefault="004A4950" w:rsidP="004A4950">
            <w:pPr>
              <w:spacing w:after="0"/>
              <w:jc w:val="left"/>
              <w:rPr>
                <w:rFonts w:eastAsia="Times New Roman" w:cs="Times New Roman"/>
                <w:sz w:val="20"/>
                <w:szCs w:val="20"/>
              </w:rPr>
            </w:pPr>
            <w:r w:rsidRPr="00AA3F66">
              <w:rPr>
                <w:rFonts w:eastAsia="Times New Roman" w:cs="Times New Roman"/>
                <w:sz w:val="20"/>
                <w:szCs w:val="20"/>
              </w:rPr>
              <w:t>Предоставени трансфери от бюджета на Министерството на образованието и науката за бюджетите на Българската академия на науките и държавните висши училища - общо</w:t>
            </w:r>
          </w:p>
        </w:tc>
        <w:tc>
          <w:tcPr>
            <w:tcW w:w="1600" w:type="dxa"/>
            <w:tcBorders>
              <w:top w:val="nil"/>
              <w:left w:val="nil"/>
              <w:bottom w:val="nil"/>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979 079,0</w:t>
            </w:r>
          </w:p>
        </w:tc>
        <w:tc>
          <w:tcPr>
            <w:tcW w:w="1600" w:type="dxa"/>
            <w:tcBorders>
              <w:top w:val="nil"/>
              <w:left w:val="nil"/>
              <w:bottom w:val="nil"/>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990 006,3</w:t>
            </w:r>
          </w:p>
        </w:tc>
        <w:tc>
          <w:tcPr>
            <w:tcW w:w="1600" w:type="dxa"/>
            <w:tcBorders>
              <w:top w:val="nil"/>
              <w:left w:val="nil"/>
              <w:bottom w:val="nil"/>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1 002 911,5</w:t>
            </w:r>
          </w:p>
        </w:tc>
      </w:tr>
      <w:tr w:rsidR="004A4950" w:rsidRPr="00AA3F66" w:rsidTr="004A4950">
        <w:trPr>
          <w:trHeight w:val="259"/>
        </w:trPr>
        <w:tc>
          <w:tcPr>
            <w:tcW w:w="460" w:type="dxa"/>
            <w:tcBorders>
              <w:top w:val="nil"/>
              <w:left w:val="nil"/>
              <w:bottom w:val="nil"/>
              <w:right w:val="nil"/>
            </w:tcBorders>
            <w:shd w:val="clear" w:color="000000" w:fill="FFFFFF"/>
            <w:noWrap/>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4.1</w:t>
            </w:r>
          </w:p>
        </w:tc>
        <w:tc>
          <w:tcPr>
            <w:tcW w:w="9340" w:type="dxa"/>
            <w:tcBorders>
              <w:top w:val="nil"/>
              <w:left w:val="nil"/>
              <w:bottom w:val="nil"/>
              <w:right w:val="nil"/>
            </w:tcBorders>
            <w:shd w:val="clear" w:color="000000" w:fill="FFFFFF"/>
            <w:hideMark/>
          </w:tcPr>
          <w:p w:rsidR="004A4950" w:rsidRPr="00AA3F66" w:rsidRDefault="004A4950" w:rsidP="004A4950">
            <w:pPr>
              <w:spacing w:after="0"/>
              <w:ind w:firstLineChars="200" w:firstLine="400"/>
              <w:jc w:val="left"/>
              <w:rPr>
                <w:rFonts w:eastAsia="Times New Roman" w:cs="Times New Roman"/>
                <w:sz w:val="20"/>
                <w:szCs w:val="20"/>
              </w:rPr>
            </w:pPr>
            <w:r w:rsidRPr="00AA3F66">
              <w:rPr>
                <w:rFonts w:eastAsia="Times New Roman" w:cs="Times New Roman"/>
                <w:sz w:val="20"/>
                <w:szCs w:val="20"/>
              </w:rPr>
              <w:t xml:space="preserve"> - за бюджета на Българската академия на науките</w:t>
            </w:r>
          </w:p>
        </w:tc>
        <w:tc>
          <w:tcPr>
            <w:tcW w:w="1600" w:type="dxa"/>
            <w:tcBorders>
              <w:top w:val="nil"/>
              <w:left w:val="nil"/>
              <w:bottom w:val="nil"/>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171 899,8</w:t>
            </w:r>
          </w:p>
        </w:tc>
        <w:tc>
          <w:tcPr>
            <w:tcW w:w="1600" w:type="dxa"/>
            <w:tcBorders>
              <w:top w:val="nil"/>
              <w:left w:val="nil"/>
              <w:bottom w:val="nil"/>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174 019,7</w:t>
            </w:r>
          </w:p>
        </w:tc>
        <w:tc>
          <w:tcPr>
            <w:tcW w:w="1600" w:type="dxa"/>
            <w:tcBorders>
              <w:top w:val="nil"/>
              <w:left w:val="nil"/>
              <w:bottom w:val="nil"/>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176 627,2</w:t>
            </w:r>
          </w:p>
        </w:tc>
      </w:tr>
      <w:tr w:rsidR="004A4950" w:rsidRPr="00AA3F66" w:rsidTr="004A4950">
        <w:trPr>
          <w:trHeight w:val="259"/>
        </w:trPr>
        <w:tc>
          <w:tcPr>
            <w:tcW w:w="460" w:type="dxa"/>
            <w:tcBorders>
              <w:top w:val="nil"/>
              <w:left w:val="nil"/>
              <w:bottom w:val="nil"/>
              <w:right w:val="nil"/>
            </w:tcBorders>
            <w:shd w:val="clear" w:color="000000" w:fill="FFFFFF"/>
            <w:noWrap/>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4.2</w:t>
            </w:r>
          </w:p>
        </w:tc>
        <w:tc>
          <w:tcPr>
            <w:tcW w:w="9340" w:type="dxa"/>
            <w:tcBorders>
              <w:top w:val="nil"/>
              <w:left w:val="nil"/>
              <w:bottom w:val="nil"/>
              <w:right w:val="nil"/>
            </w:tcBorders>
            <w:shd w:val="clear" w:color="000000" w:fill="FFFFFF"/>
            <w:hideMark/>
          </w:tcPr>
          <w:p w:rsidR="004A4950" w:rsidRPr="00AA3F66" w:rsidRDefault="004A4950" w:rsidP="004A4950">
            <w:pPr>
              <w:spacing w:after="0"/>
              <w:ind w:firstLineChars="200" w:firstLine="400"/>
              <w:jc w:val="left"/>
              <w:rPr>
                <w:rFonts w:eastAsia="Times New Roman" w:cs="Times New Roman"/>
                <w:sz w:val="20"/>
                <w:szCs w:val="20"/>
              </w:rPr>
            </w:pPr>
            <w:r w:rsidRPr="00AA3F66">
              <w:rPr>
                <w:rFonts w:eastAsia="Times New Roman" w:cs="Times New Roman"/>
                <w:sz w:val="20"/>
                <w:szCs w:val="20"/>
              </w:rPr>
              <w:t xml:space="preserve"> - за бюджетите на държавните висши училища</w:t>
            </w:r>
          </w:p>
        </w:tc>
        <w:tc>
          <w:tcPr>
            <w:tcW w:w="1600" w:type="dxa"/>
            <w:tcBorders>
              <w:top w:val="nil"/>
              <w:left w:val="nil"/>
              <w:bottom w:val="nil"/>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807 179,2</w:t>
            </w:r>
          </w:p>
        </w:tc>
        <w:tc>
          <w:tcPr>
            <w:tcW w:w="1600" w:type="dxa"/>
            <w:tcBorders>
              <w:top w:val="nil"/>
              <w:left w:val="nil"/>
              <w:bottom w:val="nil"/>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815 986,6</w:t>
            </w:r>
          </w:p>
        </w:tc>
        <w:tc>
          <w:tcPr>
            <w:tcW w:w="1600" w:type="dxa"/>
            <w:tcBorders>
              <w:top w:val="nil"/>
              <w:left w:val="nil"/>
              <w:bottom w:val="nil"/>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826 284,3</w:t>
            </w:r>
          </w:p>
        </w:tc>
      </w:tr>
      <w:tr w:rsidR="004A4950" w:rsidRPr="00AA3F66" w:rsidTr="004A4950">
        <w:trPr>
          <w:trHeight w:val="540"/>
        </w:trPr>
        <w:tc>
          <w:tcPr>
            <w:tcW w:w="460" w:type="dxa"/>
            <w:tcBorders>
              <w:top w:val="nil"/>
              <w:left w:val="nil"/>
              <w:bottom w:val="nil"/>
              <w:right w:val="nil"/>
            </w:tcBorders>
            <w:shd w:val="clear" w:color="000000" w:fill="FFFFFF"/>
            <w:noWrap/>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5</w:t>
            </w:r>
          </w:p>
        </w:tc>
        <w:tc>
          <w:tcPr>
            <w:tcW w:w="9340" w:type="dxa"/>
            <w:tcBorders>
              <w:top w:val="nil"/>
              <w:left w:val="nil"/>
              <w:bottom w:val="nil"/>
              <w:right w:val="nil"/>
            </w:tcBorders>
            <w:shd w:val="clear" w:color="000000" w:fill="FFFFFF"/>
            <w:hideMark/>
          </w:tcPr>
          <w:p w:rsidR="004A4950" w:rsidRPr="00AA3F66" w:rsidRDefault="004A4950" w:rsidP="004A4950">
            <w:pPr>
              <w:spacing w:after="0"/>
              <w:jc w:val="left"/>
              <w:rPr>
                <w:rFonts w:eastAsia="Times New Roman" w:cs="Times New Roman"/>
                <w:sz w:val="20"/>
                <w:szCs w:val="20"/>
              </w:rPr>
            </w:pPr>
            <w:r w:rsidRPr="00AA3F66">
              <w:rPr>
                <w:rFonts w:eastAsia="Times New Roman" w:cs="Times New Roman"/>
                <w:sz w:val="20"/>
                <w:szCs w:val="20"/>
              </w:rPr>
              <w:t>Предоставени трансфери от бюджета на Министерството на околната среда и водите за бюджета на Българската академия на науките</w:t>
            </w:r>
          </w:p>
        </w:tc>
        <w:tc>
          <w:tcPr>
            <w:tcW w:w="1600" w:type="dxa"/>
            <w:tcBorders>
              <w:top w:val="nil"/>
              <w:left w:val="nil"/>
              <w:bottom w:val="nil"/>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675,0</w:t>
            </w:r>
          </w:p>
        </w:tc>
        <w:tc>
          <w:tcPr>
            <w:tcW w:w="1600" w:type="dxa"/>
            <w:tcBorders>
              <w:top w:val="nil"/>
              <w:left w:val="nil"/>
              <w:bottom w:val="nil"/>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675,0</w:t>
            </w:r>
          </w:p>
        </w:tc>
        <w:tc>
          <w:tcPr>
            <w:tcW w:w="1600" w:type="dxa"/>
            <w:tcBorders>
              <w:top w:val="nil"/>
              <w:left w:val="nil"/>
              <w:bottom w:val="nil"/>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675,0</w:t>
            </w:r>
          </w:p>
        </w:tc>
      </w:tr>
      <w:tr w:rsidR="004A4950" w:rsidRPr="00AA3F66" w:rsidTr="004A4950">
        <w:trPr>
          <w:trHeight w:val="540"/>
        </w:trPr>
        <w:tc>
          <w:tcPr>
            <w:tcW w:w="460" w:type="dxa"/>
            <w:tcBorders>
              <w:top w:val="nil"/>
              <w:left w:val="nil"/>
              <w:bottom w:val="single" w:sz="4" w:space="0" w:color="auto"/>
              <w:right w:val="nil"/>
            </w:tcBorders>
            <w:shd w:val="clear" w:color="000000" w:fill="FFFFFF"/>
            <w:noWrap/>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6</w:t>
            </w:r>
          </w:p>
        </w:tc>
        <w:tc>
          <w:tcPr>
            <w:tcW w:w="9340" w:type="dxa"/>
            <w:tcBorders>
              <w:top w:val="nil"/>
              <w:left w:val="nil"/>
              <w:bottom w:val="single" w:sz="4" w:space="0" w:color="auto"/>
              <w:right w:val="nil"/>
            </w:tcBorders>
            <w:shd w:val="clear" w:color="000000" w:fill="FFFFFF"/>
            <w:hideMark/>
          </w:tcPr>
          <w:p w:rsidR="004A4950" w:rsidRPr="00AA3F66" w:rsidRDefault="004A4950" w:rsidP="004A4950">
            <w:pPr>
              <w:spacing w:after="0"/>
              <w:jc w:val="left"/>
              <w:rPr>
                <w:rFonts w:eastAsia="Times New Roman" w:cs="Times New Roman"/>
                <w:sz w:val="20"/>
                <w:szCs w:val="20"/>
              </w:rPr>
            </w:pPr>
            <w:r w:rsidRPr="00AA3F66">
              <w:rPr>
                <w:rFonts w:eastAsia="Times New Roman" w:cs="Times New Roman"/>
                <w:sz w:val="20"/>
                <w:szCs w:val="20"/>
              </w:rPr>
              <w:t>Предоставени трансфери от бюджета на Министерството на отбраната за бюджетите на държавните висши военни училища</w:t>
            </w:r>
          </w:p>
        </w:tc>
        <w:tc>
          <w:tcPr>
            <w:tcW w:w="1600" w:type="dxa"/>
            <w:tcBorders>
              <w:top w:val="nil"/>
              <w:left w:val="nil"/>
              <w:bottom w:val="single" w:sz="4" w:space="0" w:color="auto"/>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59 040,2</w:t>
            </w:r>
          </w:p>
        </w:tc>
        <w:tc>
          <w:tcPr>
            <w:tcW w:w="1600" w:type="dxa"/>
            <w:tcBorders>
              <w:top w:val="nil"/>
              <w:left w:val="nil"/>
              <w:bottom w:val="single" w:sz="4" w:space="0" w:color="auto"/>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61 326,4</w:t>
            </w:r>
          </w:p>
        </w:tc>
        <w:tc>
          <w:tcPr>
            <w:tcW w:w="1600" w:type="dxa"/>
            <w:tcBorders>
              <w:top w:val="nil"/>
              <w:left w:val="nil"/>
              <w:bottom w:val="single" w:sz="4" w:space="0" w:color="auto"/>
              <w:right w:val="nil"/>
            </w:tcBorders>
            <w:shd w:val="clear" w:color="000000" w:fill="FFFFFF"/>
            <w:noWrap/>
            <w:vAlign w:val="bottom"/>
            <w:hideMark/>
          </w:tcPr>
          <w:p w:rsidR="004A4950" w:rsidRPr="00AA3F66" w:rsidRDefault="004A4950" w:rsidP="004A4950">
            <w:pPr>
              <w:spacing w:after="0"/>
              <w:jc w:val="right"/>
              <w:rPr>
                <w:rFonts w:eastAsia="Times New Roman" w:cs="Times New Roman"/>
                <w:sz w:val="20"/>
                <w:szCs w:val="20"/>
              </w:rPr>
            </w:pPr>
            <w:r w:rsidRPr="00AA3F66">
              <w:rPr>
                <w:rFonts w:eastAsia="Times New Roman" w:cs="Times New Roman"/>
                <w:sz w:val="20"/>
                <w:szCs w:val="20"/>
              </w:rPr>
              <w:t>63 594,5</w:t>
            </w:r>
          </w:p>
        </w:tc>
      </w:tr>
    </w:tbl>
    <w:p w:rsidR="004A4950" w:rsidRPr="00AA3F66" w:rsidRDefault="004A4950" w:rsidP="00A63B35">
      <w:pPr>
        <w:spacing w:after="120"/>
        <w:jc w:val="right"/>
        <w:rPr>
          <w:sz w:val="20"/>
          <w:szCs w:val="20"/>
        </w:rPr>
      </w:pPr>
    </w:p>
    <w:p w:rsidR="002B149E" w:rsidRPr="00AA3F66" w:rsidRDefault="002B149E" w:rsidP="00DE2BDB">
      <w:pPr>
        <w:pStyle w:val="Heading2"/>
        <w:numPr>
          <w:ilvl w:val="0"/>
          <w:numId w:val="0"/>
        </w:numPr>
      </w:pPr>
      <w:bookmarkStart w:id="651" w:name="_Toc464224829"/>
      <w:bookmarkStart w:id="652" w:name="_Toc464225479"/>
      <w:bookmarkStart w:id="653" w:name="_Toc464459026"/>
      <w:bookmarkStart w:id="654" w:name="_Toc464459774"/>
      <w:bookmarkStart w:id="655" w:name="_Toc464460727"/>
      <w:bookmarkStart w:id="656" w:name="_Toc464463126"/>
      <w:bookmarkStart w:id="657" w:name="_Toc464464955"/>
      <w:bookmarkStart w:id="658" w:name="_Toc464465462"/>
      <w:bookmarkStart w:id="659" w:name="_Toc464465650"/>
      <w:bookmarkStart w:id="660" w:name="_Toc464466474"/>
      <w:bookmarkStart w:id="661" w:name="_Toc464466717"/>
      <w:bookmarkStart w:id="662" w:name="_Toc464645434"/>
      <w:bookmarkStart w:id="663" w:name="_Toc465205592"/>
      <w:bookmarkStart w:id="664" w:name="_Toc151557328"/>
      <w:r w:rsidRPr="00AA3F66">
        <w:t xml:space="preserve">Приложение № 7: </w:t>
      </w:r>
      <w:r w:rsidR="00232AC7" w:rsidRPr="00AA3F66">
        <w:br/>
      </w:r>
      <w:r w:rsidR="00F60E52" w:rsidRPr="00AA3F66">
        <w:t>Размери</w:t>
      </w:r>
      <w:r w:rsidR="00382492" w:rsidRPr="00AA3F66">
        <w:t xml:space="preserve"> на разходите и</w:t>
      </w:r>
      <w:r w:rsidRPr="00AA3F66">
        <w:t xml:space="preserve"> трансферите (нето) по сметките за средствата от</w:t>
      </w:r>
      <w:r w:rsidR="00931F81" w:rsidRPr="00AA3F66">
        <w:t xml:space="preserve"> </w:t>
      </w:r>
      <w:r w:rsidR="0098294A" w:rsidRPr="00AA3F66">
        <w:t>Европейския съюз за периода 2024</w:t>
      </w:r>
      <w:r w:rsidR="00C40D40" w:rsidRPr="00AA3F66">
        <w:t>-202</w:t>
      </w:r>
      <w:r w:rsidR="0098294A" w:rsidRPr="00AA3F66">
        <w:t>6</w:t>
      </w:r>
      <w:r w:rsidR="00AA3035" w:rsidRPr="00AA3F66">
        <w:t> г.</w:t>
      </w:r>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p>
    <w:p w:rsidR="00BE48CA" w:rsidRPr="00AA3F66" w:rsidRDefault="00A63B35" w:rsidP="00363F6B">
      <w:pPr>
        <w:spacing w:after="120"/>
        <w:jc w:val="right"/>
        <w:rPr>
          <w:sz w:val="20"/>
          <w:szCs w:val="20"/>
        </w:rPr>
      </w:pPr>
      <w:r w:rsidRPr="00AA3F66">
        <w:rPr>
          <w:sz w:val="20"/>
          <w:szCs w:val="20"/>
        </w:rPr>
        <w:t>(в хил. лв.)</w:t>
      </w:r>
    </w:p>
    <w:tbl>
      <w:tblPr>
        <w:tblW w:w="14780" w:type="dxa"/>
        <w:tblCellMar>
          <w:left w:w="70" w:type="dxa"/>
          <w:right w:w="70" w:type="dxa"/>
        </w:tblCellMar>
        <w:tblLook w:val="04A0" w:firstRow="1" w:lastRow="0" w:firstColumn="1" w:lastColumn="0" w:noHBand="0" w:noVBand="1"/>
      </w:tblPr>
      <w:tblGrid>
        <w:gridCol w:w="460"/>
        <w:gridCol w:w="3640"/>
        <w:gridCol w:w="1180"/>
        <w:gridCol w:w="1200"/>
        <w:gridCol w:w="1160"/>
        <w:gridCol w:w="1180"/>
        <w:gridCol w:w="1180"/>
        <w:gridCol w:w="1160"/>
        <w:gridCol w:w="1120"/>
        <w:gridCol w:w="1280"/>
        <w:gridCol w:w="1220"/>
      </w:tblGrid>
      <w:tr w:rsidR="00070F3F" w:rsidRPr="00AA3F66" w:rsidTr="00070F3F">
        <w:trPr>
          <w:trHeight w:val="255"/>
        </w:trPr>
        <w:tc>
          <w:tcPr>
            <w:tcW w:w="460" w:type="dxa"/>
            <w:tcBorders>
              <w:top w:val="single" w:sz="4" w:space="0" w:color="auto"/>
              <w:left w:val="nil"/>
              <w:bottom w:val="nil"/>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 </w:t>
            </w:r>
          </w:p>
        </w:tc>
        <w:tc>
          <w:tcPr>
            <w:tcW w:w="3640" w:type="dxa"/>
            <w:tcBorders>
              <w:top w:val="single" w:sz="4" w:space="0" w:color="auto"/>
              <w:left w:val="nil"/>
              <w:bottom w:val="nil"/>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 </w:t>
            </w:r>
          </w:p>
        </w:tc>
        <w:tc>
          <w:tcPr>
            <w:tcW w:w="3540" w:type="dxa"/>
            <w:gridSpan w:val="3"/>
            <w:tcBorders>
              <w:top w:val="single" w:sz="4" w:space="0" w:color="auto"/>
              <w:left w:val="nil"/>
              <w:bottom w:val="single" w:sz="4" w:space="0" w:color="595959"/>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 xml:space="preserve"> 2024 г.</w:t>
            </w:r>
          </w:p>
        </w:tc>
        <w:tc>
          <w:tcPr>
            <w:tcW w:w="3520" w:type="dxa"/>
            <w:gridSpan w:val="3"/>
            <w:tcBorders>
              <w:top w:val="single" w:sz="4" w:space="0" w:color="auto"/>
              <w:left w:val="nil"/>
              <w:bottom w:val="single" w:sz="4" w:space="0" w:color="595959"/>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 xml:space="preserve"> 2025 г.</w:t>
            </w:r>
          </w:p>
        </w:tc>
        <w:tc>
          <w:tcPr>
            <w:tcW w:w="3620" w:type="dxa"/>
            <w:gridSpan w:val="3"/>
            <w:tcBorders>
              <w:top w:val="single" w:sz="4" w:space="0" w:color="auto"/>
              <w:left w:val="nil"/>
              <w:bottom w:val="single" w:sz="4" w:space="0" w:color="595959"/>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 xml:space="preserve"> 2026 г.</w:t>
            </w:r>
          </w:p>
        </w:tc>
      </w:tr>
      <w:tr w:rsidR="00070F3F" w:rsidRPr="00AA3F66" w:rsidTr="00070F3F">
        <w:trPr>
          <w:trHeight w:val="1110"/>
        </w:trPr>
        <w:tc>
          <w:tcPr>
            <w:tcW w:w="460" w:type="dxa"/>
            <w:tcBorders>
              <w:top w:val="nil"/>
              <w:left w:val="nil"/>
              <w:bottom w:val="nil"/>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w:t>
            </w:r>
          </w:p>
        </w:tc>
        <w:tc>
          <w:tcPr>
            <w:tcW w:w="3640" w:type="dxa"/>
            <w:tcBorders>
              <w:top w:val="nil"/>
              <w:left w:val="nil"/>
              <w:bottom w:val="nil"/>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Сметки за средствата от Европейския съюз</w:t>
            </w:r>
          </w:p>
        </w:tc>
        <w:tc>
          <w:tcPr>
            <w:tcW w:w="1180" w:type="dxa"/>
            <w:tcBorders>
              <w:top w:val="nil"/>
              <w:left w:val="nil"/>
              <w:bottom w:val="single" w:sz="4" w:space="0" w:color="auto"/>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Общо разходи и трансфери (нето)</w:t>
            </w:r>
          </w:p>
        </w:tc>
        <w:tc>
          <w:tcPr>
            <w:tcW w:w="2360" w:type="dxa"/>
            <w:gridSpan w:val="2"/>
            <w:tcBorders>
              <w:top w:val="single" w:sz="4" w:space="0" w:color="595959"/>
              <w:left w:val="nil"/>
              <w:bottom w:val="single" w:sz="4" w:space="0" w:color="auto"/>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в т.ч.</w:t>
            </w:r>
          </w:p>
        </w:tc>
        <w:tc>
          <w:tcPr>
            <w:tcW w:w="1180" w:type="dxa"/>
            <w:tcBorders>
              <w:top w:val="nil"/>
              <w:left w:val="nil"/>
              <w:bottom w:val="single" w:sz="4" w:space="0" w:color="auto"/>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Общо разходи и трансфери (нето)</w:t>
            </w:r>
          </w:p>
        </w:tc>
        <w:tc>
          <w:tcPr>
            <w:tcW w:w="2340" w:type="dxa"/>
            <w:gridSpan w:val="2"/>
            <w:tcBorders>
              <w:top w:val="single" w:sz="4" w:space="0" w:color="595959"/>
              <w:left w:val="nil"/>
              <w:bottom w:val="single" w:sz="4" w:space="0" w:color="auto"/>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в т.ч.</w:t>
            </w:r>
          </w:p>
        </w:tc>
        <w:tc>
          <w:tcPr>
            <w:tcW w:w="1120" w:type="dxa"/>
            <w:tcBorders>
              <w:top w:val="nil"/>
              <w:left w:val="nil"/>
              <w:bottom w:val="single" w:sz="4" w:space="0" w:color="auto"/>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Общо разходи и трансфери (нето)</w:t>
            </w:r>
          </w:p>
        </w:tc>
        <w:tc>
          <w:tcPr>
            <w:tcW w:w="2500" w:type="dxa"/>
            <w:gridSpan w:val="2"/>
            <w:tcBorders>
              <w:top w:val="single" w:sz="4" w:space="0" w:color="595959"/>
              <w:left w:val="nil"/>
              <w:bottom w:val="single" w:sz="4" w:space="0" w:color="auto"/>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в т.ч.</w:t>
            </w:r>
          </w:p>
        </w:tc>
      </w:tr>
      <w:tr w:rsidR="00070F3F" w:rsidRPr="00AA3F66" w:rsidTr="00070F3F">
        <w:trPr>
          <w:trHeight w:val="510"/>
        </w:trPr>
        <w:tc>
          <w:tcPr>
            <w:tcW w:w="460" w:type="dxa"/>
            <w:tcBorders>
              <w:top w:val="nil"/>
              <w:left w:val="nil"/>
              <w:bottom w:val="single" w:sz="4" w:space="0" w:color="auto"/>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 </w:t>
            </w:r>
          </w:p>
        </w:tc>
        <w:tc>
          <w:tcPr>
            <w:tcW w:w="3640" w:type="dxa"/>
            <w:tcBorders>
              <w:top w:val="nil"/>
              <w:left w:val="nil"/>
              <w:bottom w:val="single" w:sz="4" w:space="0" w:color="auto"/>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 </w:t>
            </w:r>
          </w:p>
        </w:tc>
        <w:tc>
          <w:tcPr>
            <w:tcW w:w="1180" w:type="dxa"/>
            <w:tcBorders>
              <w:top w:val="nil"/>
              <w:left w:val="nil"/>
              <w:bottom w:val="single" w:sz="4" w:space="0" w:color="auto"/>
              <w:right w:val="nil"/>
            </w:tcBorders>
            <w:shd w:val="clear" w:color="000000" w:fill="FFFFFF"/>
            <w:vAlign w:val="center"/>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к.2.1-к.2.2</w:t>
            </w:r>
          </w:p>
        </w:tc>
        <w:tc>
          <w:tcPr>
            <w:tcW w:w="1200" w:type="dxa"/>
            <w:tcBorders>
              <w:top w:val="nil"/>
              <w:left w:val="nil"/>
              <w:bottom w:val="single" w:sz="4" w:space="0" w:color="auto"/>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Разходи</w:t>
            </w:r>
          </w:p>
        </w:tc>
        <w:tc>
          <w:tcPr>
            <w:tcW w:w="1160" w:type="dxa"/>
            <w:tcBorders>
              <w:top w:val="nil"/>
              <w:left w:val="nil"/>
              <w:bottom w:val="single" w:sz="4" w:space="0" w:color="auto"/>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Трансфери (нето)</w:t>
            </w:r>
          </w:p>
        </w:tc>
        <w:tc>
          <w:tcPr>
            <w:tcW w:w="1180" w:type="dxa"/>
            <w:tcBorders>
              <w:top w:val="nil"/>
              <w:left w:val="nil"/>
              <w:bottom w:val="single" w:sz="4" w:space="0" w:color="auto"/>
              <w:right w:val="nil"/>
            </w:tcBorders>
            <w:shd w:val="clear" w:color="000000" w:fill="FFFFFF"/>
            <w:vAlign w:val="center"/>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к.3.1-к.3.2</w:t>
            </w:r>
          </w:p>
        </w:tc>
        <w:tc>
          <w:tcPr>
            <w:tcW w:w="1180" w:type="dxa"/>
            <w:tcBorders>
              <w:top w:val="nil"/>
              <w:left w:val="nil"/>
              <w:bottom w:val="single" w:sz="4" w:space="0" w:color="auto"/>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Разходи</w:t>
            </w:r>
          </w:p>
        </w:tc>
        <w:tc>
          <w:tcPr>
            <w:tcW w:w="1160" w:type="dxa"/>
            <w:tcBorders>
              <w:top w:val="nil"/>
              <w:left w:val="nil"/>
              <w:bottom w:val="single" w:sz="4" w:space="0" w:color="auto"/>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Трансфери (нето)</w:t>
            </w:r>
          </w:p>
        </w:tc>
        <w:tc>
          <w:tcPr>
            <w:tcW w:w="1120" w:type="dxa"/>
            <w:tcBorders>
              <w:top w:val="nil"/>
              <w:left w:val="nil"/>
              <w:bottom w:val="single" w:sz="4" w:space="0" w:color="auto"/>
              <w:right w:val="nil"/>
            </w:tcBorders>
            <w:shd w:val="clear" w:color="000000" w:fill="FFFFFF"/>
            <w:vAlign w:val="center"/>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к.4.1-к.4.2</w:t>
            </w:r>
          </w:p>
        </w:tc>
        <w:tc>
          <w:tcPr>
            <w:tcW w:w="1280" w:type="dxa"/>
            <w:tcBorders>
              <w:top w:val="nil"/>
              <w:left w:val="nil"/>
              <w:bottom w:val="single" w:sz="4" w:space="0" w:color="auto"/>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Разходи</w:t>
            </w:r>
          </w:p>
        </w:tc>
        <w:tc>
          <w:tcPr>
            <w:tcW w:w="1220" w:type="dxa"/>
            <w:tcBorders>
              <w:top w:val="nil"/>
              <w:left w:val="nil"/>
              <w:bottom w:val="single" w:sz="4" w:space="0" w:color="auto"/>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Трансфери (нето)</w:t>
            </w:r>
          </w:p>
        </w:tc>
      </w:tr>
      <w:tr w:rsidR="00070F3F" w:rsidRPr="00AA3F66" w:rsidTr="00070F3F">
        <w:trPr>
          <w:trHeight w:val="255"/>
        </w:trPr>
        <w:tc>
          <w:tcPr>
            <w:tcW w:w="460" w:type="dxa"/>
            <w:tcBorders>
              <w:top w:val="nil"/>
              <w:left w:val="nil"/>
              <w:bottom w:val="single" w:sz="4" w:space="0" w:color="366092"/>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 </w:t>
            </w:r>
          </w:p>
        </w:tc>
        <w:tc>
          <w:tcPr>
            <w:tcW w:w="3640" w:type="dxa"/>
            <w:tcBorders>
              <w:top w:val="nil"/>
              <w:left w:val="nil"/>
              <w:bottom w:val="single" w:sz="4" w:space="0" w:color="auto"/>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1</w:t>
            </w:r>
          </w:p>
        </w:tc>
        <w:tc>
          <w:tcPr>
            <w:tcW w:w="1180" w:type="dxa"/>
            <w:tcBorders>
              <w:top w:val="nil"/>
              <w:left w:val="nil"/>
              <w:bottom w:val="single" w:sz="4" w:space="0" w:color="auto"/>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2</w:t>
            </w:r>
          </w:p>
        </w:tc>
        <w:tc>
          <w:tcPr>
            <w:tcW w:w="1200" w:type="dxa"/>
            <w:tcBorders>
              <w:top w:val="nil"/>
              <w:left w:val="nil"/>
              <w:bottom w:val="single" w:sz="4" w:space="0" w:color="auto"/>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2.1</w:t>
            </w:r>
          </w:p>
        </w:tc>
        <w:tc>
          <w:tcPr>
            <w:tcW w:w="1160" w:type="dxa"/>
            <w:tcBorders>
              <w:top w:val="nil"/>
              <w:left w:val="nil"/>
              <w:bottom w:val="single" w:sz="4" w:space="0" w:color="auto"/>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2.2</w:t>
            </w:r>
          </w:p>
        </w:tc>
        <w:tc>
          <w:tcPr>
            <w:tcW w:w="1180" w:type="dxa"/>
            <w:tcBorders>
              <w:top w:val="nil"/>
              <w:left w:val="nil"/>
              <w:bottom w:val="single" w:sz="4" w:space="0" w:color="auto"/>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3</w:t>
            </w:r>
          </w:p>
        </w:tc>
        <w:tc>
          <w:tcPr>
            <w:tcW w:w="1180" w:type="dxa"/>
            <w:tcBorders>
              <w:top w:val="nil"/>
              <w:left w:val="nil"/>
              <w:bottom w:val="single" w:sz="4" w:space="0" w:color="auto"/>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3.1</w:t>
            </w:r>
          </w:p>
        </w:tc>
        <w:tc>
          <w:tcPr>
            <w:tcW w:w="1160" w:type="dxa"/>
            <w:tcBorders>
              <w:top w:val="nil"/>
              <w:left w:val="nil"/>
              <w:bottom w:val="single" w:sz="4" w:space="0" w:color="auto"/>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3.2</w:t>
            </w:r>
          </w:p>
        </w:tc>
        <w:tc>
          <w:tcPr>
            <w:tcW w:w="1120" w:type="dxa"/>
            <w:tcBorders>
              <w:top w:val="nil"/>
              <w:left w:val="nil"/>
              <w:bottom w:val="single" w:sz="4" w:space="0" w:color="auto"/>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4</w:t>
            </w:r>
          </w:p>
        </w:tc>
        <w:tc>
          <w:tcPr>
            <w:tcW w:w="1280" w:type="dxa"/>
            <w:tcBorders>
              <w:top w:val="nil"/>
              <w:left w:val="nil"/>
              <w:bottom w:val="single" w:sz="4" w:space="0" w:color="auto"/>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4.1</w:t>
            </w:r>
          </w:p>
        </w:tc>
        <w:tc>
          <w:tcPr>
            <w:tcW w:w="1220" w:type="dxa"/>
            <w:tcBorders>
              <w:top w:val="nil"/>
              <w:left w:val="nil"/>
              <w:bottom w:val="single" w:sz="4" w:space="0" w:color="auto"/>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4.2</w:t>
            </w:r>
          </w:p>
        </w:tc>
      </w:tr>
      <w:tr w:rsidR="00070F3F" w:rsidRPr="00AA3F66" w:rsidTr="00070F3F">
        <w:trPr>
          <w:trHeight w:val="525"/>
        </w:trPr>
        <w:tc>
          <w:tcPr>
            <w:tcW w:w="460" w:type="dxa"/>
            <w:tcBorders>
              <w:top w:val="nil"/>
              <w:left w:val="nil"/>
              <w:bottom w:val="nil"/>
              <w:right w:val="nil"/>
            </w:tcBorders>
            <w:shd w:val="clear" w:color="000000" w:fill="FFFFFF"/>
            <w:noWrap/>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1</w:t>
            </w:r>
          </w:p>
        </w:tc>
        <w:tc>
          <w:tcPr>
            <w:tcW w:w="3640" w:type="dxa"/>
            <w:tcBorders>
              <w:top w:val="nil"/>
              <w:left w:val="nil"/>
              <w:bottom w:val="nil"/>
              <w:right w:val="nil"/>
            </w:tcBorders>
            <w:shd w:val="clear" w:color="000000" w:fill="FFFFFF"/>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Сметка за средствата от Европейския съюз на Държавния фонд „Земеделие“</w:t>
            </w:r>
          </w:p>
        </w:tc>
        <w:tc>
          <w:tcPr>
            <w:tcW w:w="118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854 510,3</w:t>
            </w:r>
          </w:p>
        </w:tc>
        <w:tc>
          <w:tcPr>
            <w:tcW w:w="120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1 310 812,0</w:t>
            </w:r>
          </w:p>
        </w:tc>
        <w:tc>
          <w:tcPr>
            <w:tcW w:w="116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456 301,7</w:t>
            </w:r>
          </w:p>
        </w:tc>
        <w:tc>
          <w:tcPr>
            <w:tcW w:w="118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1 261 487,9</w:t>
            </w:r>
          </w:p>
        </w:tc>
        <w:tc>
          <w:tcPr>
            <w:tcW w:w="118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2 053 918,2</w:t>
            </w:r>
          </w:p>
        </w:tc>
        <w:tc>
          <w:tcPr>
            <w:tcW w:w="116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792 430,3</w:t>
            </w:r>
          </w:p>
        </w:tc>
        <w:tc>
          <w:tcPr>
            <w:tcW w:w="112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413 843,7</w:t>
            </w:r>
          </w:p>
        </w:tc>
        <w:tc>
          <w:tcPr>
            <w:tcW w:w="128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1 319 875,7</w:t>
            </w:r>
          </w:p>
        </w:tc>
        <w:tc>
          <w:tcPr>
            <w:tcW w:w="122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906 032,0</w:t>
            </w:r>
          </w:p>
        </w:tc>
      </w:tr>
      <w:tr w:rsidR="00070F3F" w:rsidRPr="00AA3F66" w:rsidTr="00070F3F">
        <w:trPr>
          <w:trHeight w:val="525"/>
        </w:trPr>
        <w:tc>
          <w:tcPr>
            <w:tcW w:w="460" w:type="dxa"/>
            <w:tcBorders>
              <w:top w:val="nil"/>
              <w:left w:val="nil"/>
              <w:bottom w:val="nil"/>
              <w:right w:val="nil"/>
            </w:tcBorders>
            <w:shd w:val="clear" w:color="000000" w:fill="FFFFFF"/>
            <w:noWrap/>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2</w:t>
            </w:r>
          </w:p>
        </w:tc>
        <w:tc>
          <w:tcPr>
            <w:tcW w:w="3640" w:type="dxa"/>
            <w:tcBorders>
              <w:top w:val="nil"/>
              <w:left w:val="nil"/>
              <w:bottom w:val="nil"/>
              <w:right w:val="nil"/>
            </w:tcBorders>
            <w:shd w:val="clear" w:color="000000" w:fill="FFFFFF"/>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Сметка за средствата от Европейския съюз на Националния фонд</w:t>
            </w:r>
          </w:p>
        </w:tc>
        <w:tc>
          <w:tcPr>
            <w:tcW w:w="1180" w:type="dxa"/>
            <w:tcBorders>
              <w:top w:val="nil"/>
              <w:left w:val="nil"/>
              <w:bottom w:val="nil"/>
              <w:right w:val="nil"/>
            </w:tcBorders>
            <w:shd w:val="clear" w:color="auto" w:fill="auto"/>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5 695 556,2</w:t>
            </w:r>
          </w:p>
        </w:tc>
        <w:tc>
          <w:tcPr>
            <w:tcW w:w="1200" w:type="dxa"/>
            <w:tcBorders>
              <w:top w:val="nil"/>
              <w:left w:val="nil"/>
              <w:bottom w:val="nil"/>
              <w:right w:val="nil"/>
            </w:tcBorders>
            <w:shd w:val="clear" w:color="auto" w:fill="auto"/>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6 703 610,8</w:t>
            </w:r>
          </w:p>
        </w:tc>
        <w:tc>
          <w:tcPr>
            <w:tcW w:w="1160" w:type="dxa"/>
            <w:tcBorders>
              <w:top w:val="nil"/>
              <w:left w:val="nil"/>
              <w:bottom w:val="nil"/>
              <w:right w:val="nil"/>
            </w:tcBorders>
            <w:shd w:val="clear" w:color="auto" w:fill="auto"/>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1 008 054,6</w:t>
            </w:r>
          </w:p>
        </w:tc>
        <w:tc>
          <w:tcPr>
            <w:tcW w:w="1180" w:type="dxa"/>
            <w:tcBorders>
              <w:top w:val="nil"/>
              <w:left w:val="nil"/>
              <w:bottom w:val="nil"/>
              <w:right w:val="nil"/>
            </w:tcBorders>
            <w:shd w:val="clear" w:color="auto" w:fill="auto"/>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6 426 089,8</w:t>
            </w:r>
          </w:p>
        </w:tc>
        <w:tc>
          <w:tcPr>
            <w:tcW w:w="1180" w:type="dxa"/>
            <w:tcBorders>
              <w:top w:val="nil"/>
              <w:left w:val="nil"/>
              <w:bottom w:val="nil"/>
              <w:right w:val="nil"/>
            </w:tcBorders>
            <w:shd w:val="clear" w:color="auto" w:fill="auto"/>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7 730 311,7</w:t>
            </w:r>
          </w:p>
        </w:tc>
        <w:tc>
          <w:tcPr>
            <w:tcW w:w="1160" w:type="dxa"/>
            <w:tcBorders>
              <w:top w:val="nil"/>
              <w:left w:val="nil"/>
              <w:bottom w:val="nil"/>
              <w:right w:val="nil"/>
            </w:tcBorders>
            <w:shd w:val="clear" w:color="auto" w:fill="auto"/>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1 304 221,9</w:t>
            </w:r>
          </w:p>
        </w:tc>
        <w:tc>
          <w:tcPr>
            <w:tcW w:w="1120" w:type="dxa"/>
            <w:tcBorders>
              <w:top w:val="nil"/>
              <w:left w:val="nil"/>
              <w:bottom w:val="nil"/>
              <w:right w:val="nil"/>
            </w:tcBorders>
            <w:shd w:val="clear" w:color="auto" w:fill="auto"/>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5 934 637,2</w:t>
            </w:r>
          </w:p>
        </w:tc>
        <w:tc>
          <w:tcPr>
            <w:tcW w:w="1280" w:type="dxa"/>
            <w:tcBorders>
              <w:top w:val="nil"/>
              <w:left w:val="nil"/>
              <w:bottom w:val="nil"/>
              <w:right w:val="nil"/>
            </w:tcBorders>
            <w:shd w:val="clear" w:color="auto" w:fill="auto"/>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8 433 349,4</w:t>
            </w:r>
          </w:p>
        </w:tc>
        <w:tc>
          <w:tcPr>
            <w:tcW w:w="1220" w:type="dxa"/>
            <w:tcBorders>
              <w:top w:val="nil"/>
              <w:left w:val="nil"/>
              <w:bottom w:val="nil"/>
              <w:right w:val="nil"/>
            </w:tcBorders>
            <w:shd w:val="clear" w:color="auto" w:fill="auto"/>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2 498 712,2</w:t>
            </w:r>
          </w:p>
        </w:tc>
      </w:tr>
      <w:tr w:rsidR="00070F3F" w:rsidRPr="00AA3F66" w:rsidTr="00070F3F">
        <w:trPr>
          <w:trHeight w:val="1350"/>
        </w:trPr>
        <w:tc>
          <w:tcPr>
            <w:tcW w:w="460" w:type="dxa"/>
            <w:tcBorders>
              <w:top w:val="nil"/>
              <w:left w:val="nil"/>
              <w:bottom w:val="single" w:sz="4" w:space="0" w:color="auto"/>
              <w:right w:val="nil"/>
            </w:tcBorders>
            <w:shd w:val="clear" w:color="000000" w:fill="FFFFFF"/>
            <w:noWrap/>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3</w:t>
            </w:r>
          </w:p>
        </w:tc>
        <w:tc>
          <w:tcPr>
            <w:tcW w:w="3640" w:type="dxa"/>
            <w:tcBorders>
              <w:top w:val="nil"/>
              <w:left w:val="nil"/>
              <w:bottom w:val="single" w:sz="4" w:space="0" w:color="auto"/>
              <w:right w:val="nil"/>
            </w:tcBorders>
            <w:shd w:val="clear" w:color="000000" w:fill="FFFFFF"/>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Други сметки за средства от Европейския съюз и средства по други международни програми и договори, за които се прилага режимът на сметките за средства от Европейския съюз</w:t>
            </w:r>
          </w:p>
        </w:tc>
        <w:tc>
          <w:tcPr>
            <w:tcW w:w="1180" w:type="dxa"/>
            <w:tcBorders>
              <w:top w:val="nil"/>
              <w:left w:val="nil"/>
              <w:bottom w:val="single" w:sz="4" w:space="0" w:color="auto"/>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331 562,1</w:t>
            </w:r>
          </w:p>
        </w:tc>
        <w:tc>
          <w:tcPr>
            <w:tcW w:w="1200" w:type="dxa"/>
            <w:tcBorders>
              <w:top w:val="nil"/>
              <w:left w:val="nil"/>
              <w:bottom w:val="single" w:sz="4" w:space="0" w:color="auto"/>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475 800,3</w:t>
            </w:r>
          </w:p>
        </w:tc>
        <w:tc>
          <w:tcPr>
            <w:tcW w:w="1160" w:type="dxa"/>
            <w:tcBorders>
              <w:top w:val="nil"/>
              <w:left w:val="nil"/>
              <w:bottom w:val="single" w:sz="4" w:space="0" w:color="auto"/>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144 238,2</w:t>
            </w:r>
          </w:p>
        </w:tc>
        <w:tc>
          <w:tcPr>
            <w:tcW w:w="1180" w:type="dxa"/>
            <w:tcBorders>
              <w:top w:val="nil"/>
              <w:left w:val="nil"/>
              <w:bottom w:val="single" w:sz="4" w:space="0" w:color="auto"/>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345 397,2</w:t>
            </w:r>
          </w:p>
        </w:tc>
        <w:tc>
          <w:tcPr>
            <w:tcW w:w="1180" w:type="dxa"/>
            <w:tcBorders>
              <w:top w:val="nil"/>
              <w:left w:val="nil"/>
              <w:bottom w:val="single" w:sz="4" w:space="0" w:color="auto"/>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515 595,4</w:t>
            </w:r>
          </w:p>
        </w:tc>
        <w:tc>
          <w:tcPr>
            <w:tcW w:w="1160" w:type="dxa"/>
            <w:tcBorders>
              <w:top w:val="nil"/>
              <w:left w:val="nil"/>
              <w:bottom w:val="single" w:sz="4" w:space="0" w:color="auto"/>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170 198,2</w:t>
            </w:r>
          </w:p>
        </w:tc>
        <w:tc>
          <w:tcPr>
            <w:tcW w:w="1120" w:type="dxa"/>
            <w:tcBorders>
              <w:top w:val="nil"/>
              <w:left w:val="nil"/>
              <w:bottom w:val="single" w:sz="4" w:space="0" w:color="auto"/>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296 861,5</w:t>
            </w:r>
          </w:p>
        </w:tc>
        <w:tc>
          <w:tcPr>
            <w:tcW w:w="1280" w:type="dxa"/>
            <w:tcBorders>
              <w:top w:val="nil"/>
              <w:left w:val="nil"/>
              <w:bottom w:val="single" w:sz="4" w:space="0" w:color="auto"/>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498 418,8</w:t>
            </w:r>
          </w:p>
        </w:tc>
        <w:tc>
          <w:tcPr>
            <w:tcW w:w="1220" w:type="dxa"/>
            <w:tcBorders>
              <w:top w:val="nil"/>
              <w:left w:val="nil"/>
              <w:bottom w:val="single" w:sz="4" w:space="0" w:color="auto"/>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201 557,3</w:t>
            </w:r>
          </w:p>
        </w:tc>
      </w:tr>
    </w:tbl>
    <w:p w:rsidR="00070F3F" w:rsidRPr="00AA3F66" w:rsidRDefault="00070F3F" w:rsidP="00363F6B">
      <w:pPr>
        <w:spacing w:after="120"/>
        <w:jc w:val="right"/>
        <w:rPr>
          <w:sz w:val="20"/>
          <w:szCs w:val="20"/>
          <w:highlight w:val="yellow"/>
        </w:rPr>
      </w:pPr>
    </w:p>
    <w:p w:rsidR="00070F3F" w:rsidRPr="00AA3F66" w:rsidRDefault="00070F3F" w:rsidP="00363F6B">
      <w:pPr>
        <w:spacing w:after="120"/>
        <w:jc w:val="right"/>
        <w:rPr>
          <w:sz w:val="20"/>
          <w:szCs w:val="20"/>
          <w:highlight w:val="yellow"/>
        </w:rPr>
      </w:pPr>
    </w:p>
    <w:p w:rsidR="00BE48CA" w:rsidRPr="00AA3F66" w:rsidRDefault="00BE48CA" w:rsidP="00A63B35">
      <w:pPr>
        <w:spacing w:after="120"/>
        <w:jc w:val="right"/>
        <w:rPr>
          <w:sz w:val="20"/>
          <w:szCs w:val="20"/>
        </w:rPr>
      </w:pPr>
    </w:p>
    <w:p w:rsidR="00F140E4" w:rsidRPr="00AA3F66" w:rsidRDefault="00F140E4" w:rsidP="00A63B35">
      <w:pPr>
        <w:spacing w:after="120"/>
        <w:jc w:val="right"/>
        <w:rPr>
          <w:sz w:val="20"/>
          <w:szCs w:val="20"/>
        </w:rPr>
      </w:pPr>
    </w:p>
    <w:p w:rsidR="00D840F3" w:rsidRPr="00AA3F66" w:rsidRDefault="00D840F3" w:rsidP="00DE2BDB">
      <w:pPr>
        <w:pStyle w:val="Heading2"/>
      </w:pPr>
      <w:bookmarkStart w:id="665" w:name="_Toc464224830"/>
      <w:bookmarkStart w:id="666" w:name="_Toc464225480"/>
      <w:bookmarkStart w:id="667" w:name="_Toc464459027"/>
      <w:bookmarkStart w:id="668" w:name="_Toc464459775"/>
      <w:bookmarkStart w:id="669" w:name="_Toc464460728"/>
      <w:bookmarkStart w:id="670" w:name="_Toc464463127"/>
      <w:bookmarkStart w:id="671" w:name="_Toc464464956"/>
      <w:bookmarkStart w:id="672" w:name="_Toc464465463"/>
      <w:bookmarkStart w:id="673" w:name="_Toc464465651"/>
      <w:bookmarkStart w:id="674" w:name="_Toc464466475"/>
      <w:bookmarkStart w:id="675" w:name="_Toc464466718"/>
      <w:bookmarkStart w:id="676" w:name="_Toc464645435"/>
      <w:bookmarkStart w:id="677" w:name="_Toc465205593"/>
      <w:r w:rsidRPr="00AA3F66">
        <w:br w:type="page"/>
      </w:r>
    </w:p>
    <w:p w:rsidR="00E67632" w:rsidRPr="00AA3F66" w:rsidRDefault="00E67632" w:rsidP="00DE2BDB">
      <w:pPr>
        <w:pStyle w:val="Heading2"/>
        <w:numPr>
          <w:ilvl w:val="0"/>
          <w:numId w:val="0"/>
        </w:numPr>
      </w:pPr>
      <w:bookmarkStart w:id="678" w:name="_Toc151557329"/>
      <w:r w:rsidRPr="00AA3F66">
        <w:t xml:space="preserve">Приложение № 8: </w:t>
      </w:r>
      <w:r w:rsidR="006067A9" w:rsidRPr="00AA3F66">
        <w:br/>
      </w:r>
      <w:r w:rsidR="00F60E52" w:rsidRPr="00AA3F66">
        <w:t>Размери</w:t>
      </w:r>
      <w:r w:rsidRPr="00AA3F66">
        <w:t xml:space="preserve"> на разходите и трансферите (нето) </w:t>
      </w:r>
      <w:r w:rsidR="00B502E4" w:rsidRPr="00AA3F66">
        <w:t>по други икономически обособени лица и структурни единици</w:t>
      </w:r>
      <w:r w:rsidR="0098294A" w:rsidRPr="00AA3F66">
        <w:t>, включени в КФП за периода 2024</w:t>
      </w:r>
      <w:r w:rsidR="00C402B4" w:rsidRPr="00AA3F66">
        <w:t>-</w:t>
      </w:r>
      <w:r w:rsidR="00C40D40" w:rsidRPr="00AA3F66">
        <w:t>202</w:t>
      </w:r>
      <w:r w:rsidR="0098294A" w:rsidRPr="00AA3F66">
        <w:t>6</w:t>
      </w:r>
      <w:r w:rsidR="00AA3035" w:rsidRPr="00AA3F66">
        <w:t> г.</w:t>
      </w:r>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p>
    <w:p w:rsidR="00A63B35" w:rsidRPr="00AA3F66" w:rsidRDefault="00A63B35" w:rsidP="00A63B35">
      <w:pPr>
        <w:spacing w:after="120"/>
        <w:jc w:val="right"/>
        <w:rPr>
          <w:sz w:val="20"/>
          <w:szCs w:val="20"/>
        </w:rPr>
      </w:pPr>
      <w:r w:rsidRPr="00AA3F66">
        <w:rPr>
          <w:sz w:val="20"/>
          <w:szCs w:val="20"/>
        </w:rPr>
        <w:t>(в хил. лв.)</w:t>
      </w:r>
    </w:p>
    <w:tbl>
      <w:tblPr>
        <w:tblW w:w="14660" w:type="dxa"/>
        <w:tblCellMar>
          <w:left w:w="70" w:type="dxa"/>
          <w:right w:w="70" w:type="dxa"/>
        </w:tblCellMar>
        <w:tblLook w:val="04A0" w:firstRow="1" w:lastRow="0" w:firstColumn="1" w:lastColumn="0" w:noHBand="0" w:noVBand="1"/>
      </w:tblPr>
      <w:tblGrid>
        <w:gridCol w:w="341"/>
        <w:gridCol w:w="3640"/>
        <w:gridCol w:w="1180"/>
        <w:gridCol w:w="1200"/>
        <w:gridCol w:w="1160"/>
        <w:gridCol w:w="1180"/>
        <w:gridCol w:w="1180"/>
        <w:gridCol w:w="1160"/>
        <w:gridCol w:w="1240"/>
        <w:gridCol w:w="1200"/>
        <w:gridCol w:w="1220"/>
      </w:tblGrid>
      <w:tr w:rsidR="00070F3F" w:rsidRPr="00AA3F66" w:rsidTr="00070F3F">
        <w:trPr>
          <w:trHeight w:val="255"/>
        </w:trPr>
        <w:tc>
          <w:tcPr>
            <w:tcW w:w="300" w:type="dxa"/>
            <w:tcBorders>
              <w:top w:val="single" w:sz="4" w:space="0" w:color="auto"/>
              <w:left w:val="nil"/>
              <w:bottom w:val="nil"/>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 </w:t>
            </w:r>
          </w:p>
        </w:tc>
        <w:tc>
          <w:tcPr>
            <w:tcW w:w="3640" w:type="dxa"/>
            <w:tcBorders>
              <w:top w:val="single" w:sz="4" w:space="0" w:color="auto"/>
              <w:left w:val="nil"/>
              <w:bottom w:val="nil"/>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 </w:t>
            </w:r>
          </w:p>
        </w:tc>
        <w:tc>
          <w:tcPr>
            <w:tcW w:w="3540" w:type="dxa"/>
            <w:gridSpan w:val="3"/>
            <w:tcBorders>
              <w:top w:val="single" w:sz="4" w:space="0" w:color="auto"/>
              <w:left w:val="nil"/>
              <w:bottom w:val="single" w:sz="4" w:space="0" w:color="595959"/>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2024 г.</w:t>
            </w:r>
          </w:p>
        </w:tc>
        <w:tc>
          <w:tcPr>
            <w:tcW w:w="3520" w:type="dxa"/>
            <w:gridSpan w:val="3"/>
            <w:tcBorders>
              <w:top w:val="single" w:sz="4" w:space="0" w:color="auto"/>
              <w:left w:val="nil"/>
              <w:bottom w:val="single" w:sz="4" w:space="0" w:color="595959"/>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2025 г.</w:t>
            </w:r>
          </w:p>
        </w:tc>
        <w:tc>
          <w:tcPr>
            <w:tcW w:w="3660" w:type="dxa"/>
            <w:gridSpan w:val="3"/>
            <w:tcBorders>
              <w:top w:val="single" w:sz="4" w:space="0" w:color="auto"/>
              <w:left w:val="nil"/>
              <w:bottom w:val="single" w:sz="4" w:space="0" w:color="595959"/>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2026 г.</w:t>
            </w:r>
          </w:p>
        </w:tc>
      </w:tr>
      <w:tr w:rsidR="00070F3F" w:rsidRPr="00AA3F66" w:rsidTr="00070F3F">
        <w:trPr>
          <w:trHeight w:val="1110"/>
        </w:trPr>
        <w:tc>
          <w:tcPr>
            <w:tcW w:w="300" w:type="dxa"/>
            <w:tcBorders>
              <w:top w:val="nil"/>
              <w:left w:val="nil"/>
              <w:bottom w:val="nil"/>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w:t>
            </w:r>
          </w:p>
        </w:tc>
        <w:tc>
          <w:tcPr>
            <w:tcW w:w="3640" w:type="dxa"/>
            <w:tcBorders>
              <w:top w:val="nil"/>
              <w:left w:val="nil"/>
              <w:bottom w:val="nil"/>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Други икономически обособени лица, включени в КФП</w:t>
            </w:r>
          </w:p>
        </w:tc>
        <w:tc>
          <w:tcPr>
            <w:tcW w:w="1180" w:type="dxa"/>
            <w:tcBorders>
              <w:top w:val="nil"/>
              <w:left w:val="nil"/>
              <w:bottom w:val="single" w:sz="4" w:space="0" w:color="auto"/>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Общо разходи и трансфери (нето)</w:t>
            </w:r>
          </w:p>
        </w:tc>
        <w:tc>
          <w:tcPr>
            <w:tcW w:w="2360" w:type="dxa"/>
            <w:gridSpan w:val="2"/>
            <w:tcBorders>
              <w:top w:val="single" w:sz="4" w:space="0" w:color="595959"/>
              <w:left w:val="nil"/>
              <w:bottom w:val="single" w:sz="4" w:space="0" w:color="auto"/>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в т.ч.</w:t>
            </w:r>
          </w:p>
        </w:tc>
        <w:tc>
          <w:tcPr>
            <w:tcW w:w="1180" w:type="dxa"/>
            <w:tcBorders>
              <w:top w:val="nil"/>
              <w:left w:val="nil"/>
              <w:bottom w:val="single" w:sz="4" w:space="0" w:color="auto"/>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Общо разходи и трансфери (нето)</w:t>
            </w:r>
          </w:p>
        </w:tc>
        <w:tc>
          <w:tcPr>
            <w:tcW w:w="2340" w:type="dxa"/>
            <w:gridSpan w:val="2"/>
            <w:tcBorders>
              <w:top w:val="single" w:sz="4" w:space="0" w:color="595959"/>
              <w:left w:val="nil"/>
              <w:bottom w:val="single" w:sz="4" w:space="0" w:color="auto"/>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в т.ч.</w:t>
            </w:r>
          </w:p>
        </w:tc>
        <w:tc>
          <w:tcPr>
            <w:tcW w:w="1240" w:type="dxa"/>
            <w:tcBorders>
              <w:top w:val="nil"/>
              <w:left w:val="nil"/>
              <w:bottom w:val="single" w:sz="4" w:space="0" w:color="auto"/>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Общо разходи и трансфери (нето)</w:t>
            </w:r>
          </w:p>
        </w:tc>
        <w:tc>
          <w:tcPr>
            <w:tcW w:w="2420" w:type="dxa"/>
            <w:gridSpan w:val="2"/>
            <w:tcBorders>
              <w:top w:val="single" w:sz="4" w:space="0" w:color="595959"/>
              <w:left w:val="nil"/>
              <w:bottom w:val="single" w:sz="4" w:space="0" w:color="auto"/>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в т.ч.</w:t>
            </w:r>
          </w:p>
        </w:tc>
      </w:tr>
      <w:tr w:rsidR="00070F3F" w:rsidRPr="00AA3F66" w:rsidTr="00070F3F">
        <w:trPr>
          <w:trHeight w:val="510"/>
        </w:trPr>
        <w:tc>
          <w:tcPr>
            <w:tcW w:w="300" w:type="dxa"/>
            <w:tcBorders>
              <w:top w:val="nil"/>
              <w:left w:val="nil"/>
              <w:bottom w:val="single" w:sz="4" w:space="0" w:color="auto"/>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 </w:t>
            </w:r>
          </w:p>
        </w:tc>
        <w:tc>
          <w:tcPr>
            <w:tcW w:w="3640" w:type="dxa"/>
            <w:tcBorders>
              <w:top w:val="nil"/>
              <w:left w:val="nil"/>
              <w:bottom w:val="single" w:sz="4" w:space="0" w:color="auto"/>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 </w:t>
            </w:r>
          </w:p>
        </w:tc>
        <w:tc>
          <w:tcPr>
            <w:tcW w:w="1180" w:type="dxa"/>
            <w:tcBorders>
              <w:top w:val="nil"/>
              <w:left w:val="nil"/>
              <w:bottom w:val="single" w:sz="4" w:space="0" w:color="auto"/>
              <w:right w:val="nil"/>
            </w:tcBorders>
            <w:shd w:val="clear" w:color="000000" w:fill="FFFFFF"/>
            <w:vAlign w:val="center"/>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к.2.1-к.2.2</w:t>
            </w:r>
          </w:p>
        </w:tc>
        <w:tc>
          <w:tcPr>
            <w:tcW w:w="1200" w:type="dxa"/>
            <w:tcBorders>
              <w:top w:val="nil"/>
              <w:left w:val="nil"/>
              <w:bottom w:val="single" w:sz="4" w:space="0" w:color="auto"/>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Разходи</w:t>
            </w:r>
          </w:p>
        </w:tc>
        <w:tc>
          <w:tcPr>
            <w:tcW w:w="1160" w:type="dxa"/>
            <w:tcBorders>
              <w:top w:val="nil"/>
              <w:left w:val="nil"/>
              <w:bottom w:val="single" w:sz="4" w:space="0" w:color="auto"/>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Трансфери (нето)</w:t>
            </w:r>
          </w:p>
        </w:tc>
        <w:tc>
          <w:tcPr>
            <w:tcW w:w="1180" w:type="dxa"/>
            <w:tcBorders>
              <w:top w:val="nil"/>
              <w:left w:val="nil"/>
              <w:bottom w:val="single" w:sz="4" w:space="0" w:color="auto"/>
              <w:right w:val="nil"/>
            </w:tcBorders>
            <w:shd w:val="clear" w:color="000000" w:fill="FFFFFF"/>
            <w:vAlign w:val="center"/>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к.3.1-к.3.2</w:t>
            </w:r>
          </w:p>
        </w:tc>
        <w:tc>
          <w:tcPr>
            <w:tcW w:w="1180" w:type="dxa"/>
            <w:tcBorders>
              <w:top w:val="nil"/>
              <w:left w:val="nil"/>
              <w:bottom w:val="single" w:sz="4" w:space="0" w:color="auto"/>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Разходи</w:t>
            </w:r>
          </w:p>
        </w:tc>
        <w:tc>
          <w:tcPr>
            <w:tcW w:w="1160" w:type="dxa"/>
            <w:tcBorders>
              <w:top w:val="nil"/>
              <w:left w:val="nil"/>
              <w:bottom w:val="single" w:sz="4" w:space="0" w:color="auto"/>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Трансфери (нето)</w:t>
            </w:r>
          </w:p>
        </w:tc>
        <w:tc>
          <w:tcPr>
            <w:tcW w:w="1240" w:type="dxa"/>
            <w:tcBorders>
              <w:top w:val="nil"/>
              <w:left w:val="nil"/>
              <w:bottom w:val="single" w:sz="4" w:space="0" w:color="auto"/>
              <w:right w:val="nil"/>
            </w:tcBorders>
            <w:shd w:val="clear" w:color="000000" w:fill="FFFFFF"/>
            <w:vAlign w:val="center"/>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к.4.1-к.4.2</w:t>
            </w:r>
          </w:p>
        </w:tc>
        <w:tc>
          <w:tcPr>
            <w:tcW w:w="1200" w:type="dxa"/>
            <w:tcBorders>
              <w:top w:val="nil"/>
              <w:left w:val="nil"/>
              <w:bottom w:val="single" w:sz="4" w:space="0" w:color="auto"/>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Разходи</w:t>
            </w:r>
          </w:p>
        </w:tc>
        <w:tc>
          <w:tcPr>
            <w:tcW w:w="1220" w:type="dxa"/>
            <w:tcBorders>
              <w:top w:val="nil"/>
              <w:left w:val="nil"/>
              <w:bottom w:val="single" w:sz="4" w:space="0" w:color="auto"/>
              <w:right w:val="nil"/>
            </w:tcBorders>
            <w:shd w:val="clear" w:color="000000" w:fill="FFFFFF"/>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Трансфери (нето)</w:t>
            </w:r>
          </w:p>
        </w:tc>
      </w:tr>
      <w:tr w:rsidR="00070F3F" w:rsidRPr="00AA3F66" w:rsidTr="00070F3F">
        <w:trPr>
          <w:trHeight w:val="255"/>
        </w:trPr>
        <w:tc>
          <w:tcPr>
            <w:tcW w:w="300" w:type="dxa"/>
            <w:tcBorders>
              <w:top w:val="nil"/>
              <w:left w:val="nil"/>
              <w:bottom w:val="single" w:sz="4" w:space="0" w:color="366092"/>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 </w:t>
            </w:r>
          </w:p>
        </w:tc>
        <w:tc>
          <w:tcPr>
            <w:tcW w:w="3640" w:type="dxa"/>
            <w:tcBorders>
              <w:top w:val="nil"/>
              <w:left w:val="nil"/>
              <w:bottom w:val="single" w:sz="4" w:space="0" w:color="366092"/>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1</w:t>
            </w:r>
          </w:p>
        </w:tc>
        <w:tc>
          <w:tcPr>
            <w:tcW w:w="1180" w:type="dxa"/>
            <w:tcBorders>
              <w:top w:val="nil"/>
              <w:left w:val="nil"/>
              <w:bottom w:val="single" w:sz="4" w:space="0" w:color="366092"/>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2</w:t>
            </w:r>
          </w:p>
        </w:tc>
        <w:tc>
          <w:tcPr>
            <w:tcW w:w="1200" w:type="dxa"/>
            <w:tcBorders>
              <w:top w:val="nil"/>
              <w:left w:val="nil"/>
              <w:bottom w:val="single" w:sz="4" w:space="0" w:color="366092"/>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2.1</w:t>
            </w:r>
          </w:p>
        </w:tc>
        <w:tc>
          <w:tcPr>
            <w:tcW w:w="1160" w:type="dxa"/>
            <w:tcBorders>
              <w:top w:val="nil"/>
              <w:left w:val="nil"/>
              <w:bottom w:val="single" w:sz="4" w:space="0" w:color="366092"/>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2.2</w:t>
            </w:r>
          </w:p>
        </w:tc>
        <w:tc>
          <w:tcPr>
            <w:tcW w:w="1180" w:type="dxa"/>
            <w:tcBorders>
              <w:top w:val="nil"/>
              <w:left w:val="nil"/>
              <w:bottom w:val="single" w:sz="4" w:space="0" w:color="366092"/>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3</w:t>
            </w:r>
          </w:p>
        </w:tc>
        <w:tc>
          <w:tcPr>
            <w:tcW w:w="1180" w:type="dxa"/>
            <w:tcBorders>
              <w:top w:val="nil"/>
              <w:left w:val="nil"/>
              <w:bottom w:val="single" w:sz="4" w:space="0" w:color="366092"/>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3.1</w:t>
            </w:r>
          </w:p>
        </w:tc>
        <w:tc>
          <w:tcPr>
            <w:tcW w:w="1160" w:type="dxa"/>
            <w:tcBorders>
              <w:top w:val="nil"/>
              <w:left w:val="nil"/>
              <w:bottom w:val="single" w:sz="4" w:space="0" w:color="366092"/>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3.2</w:t>
            </w:r>
          </w:p>
        </w:tc>
        <w:tc>
          <w:tcPr>
            <w:tcW w:w="1240" w:type="dxa"/>
            <w:tcBorders>
              <w:top w:val="nil"/>
              <w:left w:val="nil"/>
              <w:bottom w:val="single" w:sz="4" w:space="0" w:color="366092"/>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4</w:t>
            </w:r>
          </w:p>
        </w:tc>
        <w:tc>
          <w:tcPr>
            <w:tcW w:w="1200" w:type="dxa"/>
            <w:tcBorders>
              <w:top w:val="nil"/>
              <w:left w:val="nil"/>
              <w:bottom w:val="single" w:sz="4" w:space="0" w:color="366092"/>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4.1</w:t>
            </w:r>
          </w:p>
        </w:tc>
        <w:tc>
          <w:tcPr>
            <w:tcW w:w="1220" w:type="dxa"/>
            <w:tcBorders>
              <w:top w:val="nil"/>
              <w:left w:val="nil"/>
              <w:bottom w:val="single" w:sz="4" w:space="0" w:color="366092"/>
              <w:right w:val="nil"/>
            </w:tcBorders>
            <w:shd w:val="clear" w:color="000000" w:fill="FFFFFF"/>
            <w:noWrap/>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4.2</w:t>
            </w:r>
          </w:p>
        </w:tc>
      </w:tr>
      <w:tr w:rsidR="00070F3F" w:rsidRPr="00AA3F66" w:rsidTr="00070F3F">
        <w:trPr>
          <w:trHeight w:val="585"/>
        </w:trPr>
        <w:tc>
          <w:tcPr>
            <w:tcW w:w="300" w:type="dxa"/>
            <w:tcBorders>
              <w:top w:val="single" w:sz="4" w:space="0" w:color="auto"/>
              <w:left w:val="nil"/>
              <w:bottom w:val="nil"/>
              <w:right w:val="nil"/>
            </w:tcBorders>
            <w:shd w:val="clear" w:color="000000" w:fill="FFFFFF"/>
            <w:noWrap/>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1</w:t>
            </w:r>
          </w:p>
        </w:tc>
        <w:tc>
          <w:tcPr>
            <w:tcW w:w="3640" w:type="dxa"/>
            <w:tcBorders>
              <w:top w:val="single" w:sz="4" w:space="0" w:color="auto"/>
              <w:left w:val="nil"/>
              <w:bottom w:val="nil"/>
              <w:right w:val="nil"/>
            </w:tcBorders>
            <w:shd w:val="clear" w:color="000000" w:fill="FFFFFF"/>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Предприятие за управление на дейностите по опазване на околната среда</w:t>
            </w:r>
          </w:p>
        </w:tc>
        <w:tc>
          <w:tcPr>
            <w:tcW w:w="1180" w:type="dxa"/>
            <w:tcBorders>
              <w:top w:val="single" w:sz="4" w:space="0" w:color="auto"/>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29 274,8</w:t>
            </w:r>
          </w:p>
        </w:tc>
        <w:tc>
          <w:tcPr>
            <w:tcW w:w="1200" w:type="dxa"/>
            <w:tcBorders>
              <w:top w:val="single" w:sz="4" w:space="0" w:color="auto"/>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69 314,9</w:t>
            </w:r>
          </w:p>
        </w:tc>
        <w:tc>
          <w:tcPr>
            <w:tcW w:w="1160" w:type="dxa"/>
            <w:tcBorders>
              <w:top w:val="single" w:sz="4" w:space="0" w:color="auto"/>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40 040,1</w:t>
            </w:r>
          </w:p>
        </w:tc>
        <w:tc>
          <w:tcPr>
            <w:tcW w:w="1180" w:type="dxa"/>
            <w:tcBorders>
              <w:top w:val="single" w:sz="4" w:space="0" w:color="auto"/>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32 539,9</w:t>
            </w:r>
          </w:p>
        </w:tc>
        <w:tc>
          <w:tcPr>
            <w:tcW w:w="1180" w:type="dxa"/>
            <w:tcBorders>
              <w:top w:val="single" w:sz="4" w:space="0" w:color="auto"/>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67 229,9</w:t>
            </w:r>
          </w:p>
        </w:tc>
        <w:tc>
          <w:tcPr>
            <w:tcW w:w="1160" w:type="dxa"/>
            <w:tcBorders>
              <w:top w:val="single" w:sz="4" w:space="0" w:color="auto"/>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34 690,0</w:t>
            </w:r>
          </w:p>
        </w:tc>
        <w:tc>
          <w:tcPr>
            <w:tcW w:w="1240" w:type="dxa"/>
            <w:tcBorders>
              <w:top w:val="single" w:sz="4" w:space="0" w:color="auto"/>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31 629,9</w:t>
            </w:r>
          </w:p>
        </w:tc>
        <w:tc>
          <w:tcPr>
            <w:tcW w:w="1200" w:type="dxa"/>
            <w:tcBorders>
              <w:top w:val="single" w:sz="4" w:space="0" w:color="auto"/>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67 029,9</w:t>
            </w:r>
          </w:p>
        </w:tc>
        <w:tc>
          <w:tcPr>
            <w:tcW w:w="1220" w:type="dxa"/>
            <w:tcBorders>
              <w:top w:val="single" w:sz="4" w:space="0" w:color="auto"/>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35 400,0</w:t>
            </w:r>
          </w:p>
        </w:tc>
      </w:tr>
      <w:tr w:rsidR="00070F3F" w:rsidRPr="00AA3F66" w:rsidTr="00070F3F">
        <w:trPr>
          <w:trHeight w:val="570"/>
        </w:trPr>
        <w:tc>
          <w:tcPr>
            <w:tcW w:w="300" w:type="dxa"/>
            <w:tcBorders>
              <w:top w:val="nil"/>
              <w:left w:val="nil"/>
              <w:bottom w:val="nil"/>
              <w:right w:val="nil"/>
            </w:tcBorders>
            <w:shd w:val="clear" w:color="000000" w:fill="FFFFFF"/>
            <w:noWrap/>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2</w:t>
            </w:r>
          </w:p>
        </w:tc>
        <w:tc>
          <w:tcPr>
            <w:tcW w:w="3640" w:type="dxa"/>
            <w:tcBorders>
              <w:top w:val="nil"/>
              <w:left w:val="nil"/>
              <w:bottom w:val="nil"/>
              <w:right w:val="nil"/>
            </w:tcBorders>
            <w:shd w:val="clear" w:color="000000" w:fill="FFFFFF"/>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Фонд „Сигурност на електроенергийната система“</w:t>
            </w:r>
          </w:p>
        </w:tc>
        <w:tc>
          <w:tcPr>
            <w:tcW w:w="118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2 609 569,0</w:t>
            </w:r>
          </w:p>
        </w:tc>
        <w:tc>
          <w:tcPr>
            <w:tcW w:w="120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2 609 569,0</w:t>
            </w:r>
          </w:p>
        </w:tc>
        <w:tc>
          <w:tcPr>
            <w:tcW w:w="1160" w:type="dxa"/>
            <w:tcBorders>
              <w:top w:val="nil"/>
              <w:left w:val="nil"/>
              <w:bottom w:val="nil"/>
              <w:right w:val="nil"/>
            </w:tcBorders>
            <w:shd w:val="clear" w:color="000000" w:fill="FFFFFF"/>
            <w:noWrap/>
            <w:vAlign w:val="bottom"/>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 </w:t>
            </w:r>
          </w:p>
        </w:tc>
        <w:tc>
          <w:tcPr>
            <w:tcW w:w="118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2 609 569,0</w:t>
            </w:r>
          </w:p>
        </w:tc>
        <w:tc>
          <w:tcPr>
            <w:tcW w:w="118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2 609 569,0</w:t>
            </w:r>
          </w:p>
        </w:tc>
        <w:tc>
          <w:tcPr>
            <w:tcW w:w="1160" w:type="dxa"/>
            <w:tcBorders>
              <w:top w:val="nil"/>
              <w:left w:val="nil"/>
              <w:bottom w:val="nil"/>
              <w:right w:val="nil"/>
            </w:tcBorders>
            <w:shd w:val="clear" w:color="000000" w:fill="FFFFFF"/>
            <w:noWrap/>
            <w:vAlign w:val="bottom"/>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 </w:t>
            </w:r>
          </w:p>
        </w:tc>
        <w:tc>
          <w:tcPr>
            <w:tcW w:w="124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3 131 299,0</w:t>
            </w:r>
          </w:p>
        </w:tc>
        <w:tc>
          <w:tcPr>
            <w:tcW w:w="120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3 131 299,0</w:t>
            </w:r>
          </w:p>
        </w:tc>
        <w:tc>
          <w:tcPr>
            <w:tcW w:w="1220" w:type="dxa"/>
            <w:tcBorders>
              <w:top w:val="nil"/>
              <w:left w:val="nil"/>
              <w:bottom w:val="nil"/>
              <w:right w:val="nil"/>
            </w:tcBorders>
            <w:shd w:val="clear" w:color="000000" w:fill="FFFFFF"/>
            <w:noWrap/>
            <w:vAlign w:val="bottom"/>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 </w:t>
            </w:r>
          </w:p>
        </w:tc>
      </w:tr>
      <w:tr w:rsidR="00070F3F" w:rsidRPr="00AA3F66" w:rsidTr="00070F3F">
        <w:trPr>
          <w:trHeight w:val="315"/>
        </w:trPr>
        <w:tc>
          <w:tcPr>
            <w:tcW w:w="300" w:type="dxa"/>
            <w:tcBorders>
              <w:top w:val="nil"/>
              <w:left w:val="nil"/>
              <w:bottom w:val="nil"/>
              <w:right w:val="nil"/>
            </w:tcBorders>
            <w:shd w:val="clear" w:color="000000" w:fill="FFFFFF"/>
            <w:noWrap/>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3</w:t>
            </w:r>
          </w:p>
        </w:tc>
        <w:tc>
          <w:tcPr>
            <w:tcW w:w="3640" w:type="dxa"/>
            <w:tcBorders>
              <w:top w:val="nil"/>
              <w:left w:val="nil"/>
              <w:bottom w:val="nil"/>
              <w:right w:val="nil"/>
            </w:tcBorders>
            <w:shd w:val="clear" w:color="000000" w:fill="FFFFFF"/>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Селскостопанска академия</w:t>
            </w:r>
          </w:p>
        </w:tc>
        <w:tc>
          <w:tcPr>
            <w:tcW w:w="118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18 000,0</w:t>
            </w:r>
          </w:p>
        </w:tc>
        <w:tc>
          <w:tcPr>
            <w:tcW w:w="120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71 909,0</w:t>
            </w:r>
          </w:p>
        </w:tc>
        <w:tc>
          <w:tcPr>
            <w:tcW w:w="116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53 909,0</w:t>
            </w:r>
          </w:p>
        </w:tc>
        <w:tc>
          <w:tcPr>
            <w:tcW w:w="118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18 000,0</w:t>
            </w:r>
          </w:p>
        </w:tc>
        <w:tc>
          <w:tcPr>
            <w:tcW w:w="118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73 587,0</w:t>
            </w:r>
          </w:p>
        </w:tc>
        <w:tc>
          <w:tcPr>
            <w:tcW w:w="116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55 587,0</w:t>
            </w:r>
          </w:p>
        </w:tc>
        <w:tc>
          <w:tcPr>
            <w:tcW w:w="124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18 000,0</w:t>
            </w:r>
          </w:p>
        </w:tc>
        <w:tc>
          <w:tcPr>
            <w:tcW w:w="120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75 523,4</w:t>
            </w:r>
          </w:p>
        </w:tc>
        <w:tc>
          <w:tcPr>
            <w:tcW w:w="122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57 523,4</w:t>
            </w:r>
          </w:p>
        </w:tc>
      </w:tr>
      <w:tr w:rsidR="00070F3F" w:rsidRPr="00AA3F66" w:rsidTr="00070F3F">
        <w:trPr>
          <w:trHeight w:val="645"/>
        </w:trPr>
        <w:tc>
          <w:tcPr>
            <w:tcW w:w="300" w:type="dxa"/>
            <w:tcBorders>
              <w:top w:val="nil"/>
              <w:left w:val="nil"/>
              <w:bottom w:val="nil"/>
              <w:right w:val="nil"/>
            </w:tcBorders>
            <w:shd w:val="clear" w:color="000000" w:fill="FFFFFF"/>
            <w:noWrap/>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4</w:t>
            </w:r>
          </w:p>
        </w:tc>
        <w:tc>
          <w:tcPr>
            <w:tcW w:w="3640" w:type="dxa"/>
            <w:tcBorders>
              <w:top w:val="nil"/>
              <w:left w:val="nil"/>
              <w:bottom w:val="nil"/>
              <w:right w:val="nil"/>
            </w:tcBorders>
            <w:shd w:val="clear" w:color="000000" w:fill="FFFFFF"/>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Държавно предприятие „Научно-производствен център“</w:t>
            </w:r>
          </w:p>
        </w:tc>
        <w:tc>
          <w:tcPr>
            <w:tcW w:w="118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2 699,9</w:t>
            </w:r>
          </w:p>
        </w:tc>
        <w:tc>
          <w:tcPr>
            <w:tcW w:w="120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2 699,9</w:t>
            </w:r>
          </w:p>
        </w:tc>
        <w:tc>
          <w:tcPr>
            <w:tcW w:w="1160" w:type="dxa"/>
            <w:tcBorders>
              <w:top w:val="nil"/>
              <w:left w:val="nil"/>
              <w:bottom w:val="nil"/>
              <w:right w:val="nil"/>
            </w:tcBorders>
            <w:shd w:val="clear" w:color="000000" w:fill="FFFFFF"/>
            <w:noWrap/>
            <w:vAlign w:val="bottom"/>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 </w:t>
            </w:r>
          </w:p>
        </w:tc>
        <w:tc>
          <w:tcPr>
            <w:tcW w:w="118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2 744,6</w:t>
            </w:r>
          </w:p>
        </w:tc>
        <w:tc>
          <w:tcPr>
            <w:tcW w:w="118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2 744,6</w:t>
            </w:r>
          </w:p>
        </w:tc>
        <w:tc>
          <w:tcPr>
            <w:tcW w:w="1160" w:type="dxa"/>
            <w:tcBorders>
              <w:top w:val="nil"/>
              <w:left w:val="nil"/>
              <w:bottom w:val="nil"/>
              <w:right w:val="nil"/>
            </w:tcBorders>
            <w:shd w:val="clear" w:color="000000" w:fill="FFFFFF"/>
            <w:noWrap/>
            <w:vAlign w:val="bottom"/>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 </w:t>
            </w:r>
          </w:p>
        </w:tc>
        <w:tc>
          <w:tcPr>
            <w:tcW w:w="124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2 770,2</w:t>
            </w:r>
          </w:p>
        </w:tc>
        <w:tc>
          <w:tcPr>
            <w:tcW w:w="120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2 770,2</w:t>
            </w:r>
          </w:p>
        </w:tc>
        <w:tc>
          <w:tcPr>
            <w:tcW w:w="1220" w:type="dxa"/>
            <w:tcBorders>
              <w:top w:val="nil"/>
              <w:left w:val="nil"/>
              <w:bottom w:val="nil"/>
              <w:right w:val="nil"/>
            </w:tcBorders>
            <w:shd w:val="clear" w:color="000000" w:fill="FFFFFF"/>
            <w:noWrap/>
            <w:vAlign w:val="bottom"/>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 </w:t>
            </w:r>
          </w:p>
        </w:tc>
      </w:tr>
      <w:tr w:rsidR="00070F3F" w:rsidRPr="00AA3F66" w:rsidTr="00070F3F">
        <w:trPr>
          <w:trHeight w:val="540"/>
        </w:trPr>
        <w:tc>
          <w:tcPr>
            <w:tcW w:w="300" w:type="dxa"/>
            <w:tcBorders>
              <w:top w:val="nil"/>
              <w:left w:val="nil"/>
              <w:bottom w:val="nil"/>
              <w:right w:val="nil"/>
            </w:tcBorders>
            <w:shd w:val="clear" w:color="000000" w:fill="FFFFFF"/>
            <w:noWrap/>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5</w:t>
            </w:r>
          </w:p>
        </w:tc>
        <w:tc>
          <w:tcPr>
            <w:tcW w:w="3640" w:type="dxa"/>
            <w:tcBorders>
              <w:top w:val="nil"/>
              <w:left w:val="nil"/>
              <w:bottom w:val="nil"/>
              <w:right w:val="nil"/>
            </w:tcBorders>
            <w:shd w:val="clear" w:color="000000" w:fill="FFFFFF"/>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Държавно предприятие „Управление и стопанисване на язовири“</w:t>
            </w:r>
          </w:p>
        </w:tc>
        <w:tc>
          <w:tcPr>
            <w:tcW w:w="1180" w:type="dxa"/>
            <w:tcBorders>
              <w:top w:val="nil"/>
              <w:left w:val="nil"/>
              <w:bottom w:val="nil"/>
              <w:right w:val="nil"/>
            </w:tcBorders>
            <w:shd w:val="clear" w:color="000000" w:fill="FFFFFF"/>
            <w:noWrap/>
            <w:vAlign w:val="bottom"/>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 </w:t>
            </w:r>
          </w:p>
        </w:tc>
        <w:tc>
          <w:tcPr>
            <w:tcW w:w="120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22 836,7</w:t>
            </w:r>
          </w:p>
        </w:tc>
        <w:tc>
          <w:tcPr>
            <w:tcW w:w="116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22 836,7</w:t>
            </w:r>
          </w:p>
        </w:tc>
        <w:tc>
          <w:tcPr>
            <w:tcW w:w="1180" w:type="dxa"/>
            <w:tcBorders>
              <w:top w:val="nil"/>
              <w:left w:val="nil"/>
              <w:bottom w:val="nil"/>
              <w:right w:val="nil"/>
            </w:tcBorders>
            <w:shd w:val="clear" w:color="000000" w:fill="FFFFFF"/>
            <w:noWrap/>
            <w:vAlign w:val="bottom"/>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 </w:t>
            </w:r>
          </w:p>
        </w:tc>
        <w:tc>
          <w:tcPr>
            <w:tcW w:w="118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22 836,7</w:t>
            </w:r>
          </w:p>
        </w:tc>
        <w:tc>
          <w:tcPr>
            <w:tcW w:w="116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22 836,7</w:t>
            </w:r>
          </w:p>
        </w:tc>
        <w:tc>
          <w:tcPr>
            <w:tcW w:w="1240" w:type="dxa"/>
            <w:tcBorders>
              <w:top w:val="nil"/>
              <w:left w:val="nil"/>
              <w:bottom w:val="nil"/>
              <w:right w:val="nil"/>
            </w:tcBorders>
            <w:shd w:val="clear" w:color="000000" w:fill="FFFFFF"/>
            <w:noWrap/>
            <w:vAlign w:val="bottom"/>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 </w:t>
            </w:r>
          </w:p>
        </w:tc>
        <w:tc>
          <w:tcPr>
            <w:tcW w:w="120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22 836,7</w:t>
            </w:r>
          </w:p>
        </w:tc>
        <w:tc>
          <w:tcPr>
            <w:tcW w:w="122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22 836,7</w:t>
            </w:r>
          </w:p>
        </w:tc>
      </w:tr>
      <w:tr w:rsidR="00070F3F" w:rsidRPr="00AA3F66" w:rsidTr="00070F3F">
        <w:trPr>
          <w:trHeight w:val="120"/>
        </w:trPr>
        <w:tc>
          <w:tcPr>
            <w:tcW w:w="300" w:type="dxa"/>
            <w:tcBorders>
              <w:top w:val="nil"/>
              <w:left w:val="nil"/>
              <w:bottom w:val="single" w:sz="4" w:space="0" w:color="auto"/>
              <w:right w:val="nil"/>
            </w:tcBorders>
            <w:shd w:val="clear" w:color="000000" w:fill="FFFFFF"/>
            <w:noWrap/>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 </w:t>
            </w:r>
          </w:p>
        </w:tc>
        <w:tc>
          <w:tcPr>
            <w:tcW w:w="3640" w:type="dxa"/>
            <w:tcBorders>
              <w:top w:val="nil"/>
              <w:left w:val="nil"/>
              <w:bottom w:val="single" w:sz="4" w:space="0" w:color="auto"/>
              <w:right w:val="nil"/>
            </w:tcBorders>
            <w:shd w:val="clear" w:color="000000" w:fill="FFFFFF"/>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 </w:t>
            </w:r>
          </w:p>
        </w:tc>
        <w:tc>
          <w:tcPr>
            <w:tcW w:w="1180" w:type="dxa"/>
            <w:tcBorders>
              <w:top w:val="nil"/>
              <w:left w:val="nil"/>
              <w:bottom w:val="single" w:sz="4" w:space="0" w:color="auto"/>
              <w:right w:val="nil"/>
            </w:tcBorders>
            <w:shd w:val="clear" w:color="000000" w:fill="FFFFFF"/>
            <w:noWrap/>
            <w:vAlign w:val="bottom"/>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 </w:t>
            </w:r>
          </w:p>
        </w:tc>
        <w:tc>
          <w:tcPr>
            <w:tcW w:w="1200" w:type="dxa"/>
            <w:tcBorders>
              <w:top w:val="nil"/>
              <w:left w:val="nil"/>
              <w:bottom w:val="single" w:sz="4" w:space="0" w:color="auto"/>
              <w:right w:val="nil"/>
            </w:tcBorders>
            <w:shd w:val="clear" w:color="000000" w:fill="FFFFFF"/>
            <w:noWrap/>
            <w:vAlign w:val="bottom"/>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 </w:t>
            </w:r>
          </w:p>
        </w:tc>
        <w:tc>
          <w:tcPr>
            <w:tcW w:w="1160" w:type="dxa"/>
            <w:tcBorders>
              <w:top w:val="nil"/>
              <w:left w:val="nil"/>
              <w:bottom w:val="single" w:sz="4" w:space="0" w:color="auto"/>
              <w:right w:val="nil"/>
            </w:tcBorders>
            <w:shd w:val="clear" w:color="000000" w:fill="FFFFFF"/>
            <w:noWrap/>
            <w:vAlign w:val="bottom"/>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 </w:t>
            </w:r>
          </w:p>
        </w:tc>
        <w:tc>
          <w:tcPr>
            <w:tcW w:w="1180" w:type="dxa"/>
            <w:tcBorders>
              <w:top w:val="nil"/>
              <w:left w:val="nil"/>
              <w:bottom w:val="single" w:sz="4" w:space="0" w:color="auto"/>
              <w:right w:val="nil"/>
            </w:tcBorders>
            <w:shd w:val="clear" w:color="000000" w:fill="FFFFFF"/>
            <w:noWrap/>
            <w:vAlign w:val="bottom"/>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 </w:t>
            </w:r>
          </w:p>
        </w:tc>
        <w:tc>
          <w:tcPr>
            <w:tcW w:w="1180" w:type="dxa"/>
            <w:tcBorders>
              <w:top w:val="nil"/>
              <w:left w:val="nil"/>
              <w:bottom w:val="single" w:sz="4" w:space="0" w:color="auto"/>
              <w:right w:val="nil"/>
            </w:tcBorders>
            <w:shd w:val="clear" w:color="000000" w:fill="FFFFFF"/>
            <w:noWrap/>
            <w:vAlign w:val="bottom"/>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 </w:t>
            </w:r>
          </w:p>
        </w:tc>
        <w:tc>
          <w:tcPr>
            <w:tcW w:w="1160" w:type="dxa"/>
            <w:tcBorders>
              <w:top w:val="nil"/>
              <w:left w:val="nil"/>
              <w:bottom w:val="single" w:sz="4" w:space="0" w:color="auto"/>
              <w:right w:val="nil"/>
            </w:tcBorders>
            <w:shd w:val="clear" w:color="000000" w:fill="FFFFFF"/>
            <w:noWrap/>
            <w:vAlign w:val="bottom"/>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 </w:t>
            </w:r>
          </w:p>
        </w:tc>
        <w:tc>
          <w:tcPr>
            <w:tcW w:w="1240" w:type="dxa"/>
            <w:tcBorders>
              <w:top w:val="nil"/>
              <w:left w:val="nil"/>
              <w:bottom w:val="single" w:sz="4" w:space="0" w:color="auto"/>
              <w:right w:val="nil"/>
            </w:tcBorders>
            <w:shd w:val="clear" w:color="000000" w:fill="FFFFFF"/>
            <w:noWrap/>
            <w:vAlign w:val="bottom"/>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 </w:t>
            </w:r>
          </w:p>
        </w:tc>
        <w:tc>
          <w:tcPr>
            <w:tcW w:w="1200" w:type="dxa"/>
            <w:tcBorders>
              <w:top w:val="nil"/>
              <w:left w:val="nil"/>
              <w:bottom w:val="single" w:sz="4" w:space="0" w:color="auto"/>
              <w:right w:val="nil"/>
            </w:tcBorders>
            <w:shd w:val="clear" w:color="000000" w:fill="FFFFFF"/>
            <w:noWrap/>
            <w:vAlign w:val="bottom"/>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 </w:t>
            </w:r>
          </w:p>
        </w:tc>
        <w:tc>
          <w:tcPr>
            <w:tcW w:w="1220" w:type="dxa"/>
            <w:tcBorders>
              <w:top w:val="nil"/>
              <w:left w:val="nil"/>
              <w:bottom w:val="single" w:sz="4" w:space="0" w:color="auto"/>
              <w:right w:val="nil"/>
            </w:tcBorders>
            <w:shd w:val="clear" w:color="000000" w:fill="FFFFFF"/>
            <w:noWrap/>
            <w:vAlign w:val="bottom"/>
            <w:hideMark/>
          </w:tcPr>
          <w:p w:rsidR="00070F3F" w:rsidRPr="00AA3F66" w:rsidRDefault="00070F3F" w:rsidP="00070F3F">
            <w:pPr>
              <w:spacing w:after="0"/>
              <w:jc w:val="left"/>
              <w:rPr>
                <w:rFonts w:eastAsia="Times New Roman" w:cs="Times New Roman"/>
                <w:sz w:val="20"/>
                <w:szCs w:val="20"/>
              </w:rPr>
            </w:pPr>
            <w:r w:rsidRPr="00AA3F66">
              <w:rPr>
                <w:rFonts w:eastAsia="Times New Roman" w:cs="Times New Roman"/>
                <w:sz w:val="20"/>
                <w:szCs w:val="20"/>
              </w:rPr>
              <w:t> </w:t>
            </w:r>
          </w:p>
        </w:tc>
      </w:tr>
    </w:tbl>
    <w:p w:rsidR="00070F3F" w:rsidRPr="00AA3F66" w:rsidRDefault="00070F3F" w:rsidP="00A63B35">
      <w:pPr>
        <w:spacing w:after="120"/>
        <w:jc w:val="right"/>
        <w:rPr>
          <w:sz w:val="20"/>
          <w:szCs w:val="20"/>
        </w:rPr>
      </w:pPr>
    </w:p>
    <w:p w:rsidR="00070F3F" w:rsidRPr="00AA3F66" w:rsidRDefault="00070F3F" w:rsidP="00A63B35">
      <w:pPr>
        <w:spacing w:after="120"/>
        <w:jc w:val="right"/>
        <w:rPr>
          <w:sz w:val="20"/>
          <w:szCs w:val="20"/>
        </w:rPr>
      </w:pPr>
    </w:p>
    <w:p w:rsidR="002B513F" w:rsidRPr="00AA3F66" w:rsidRDefault="002B513F" w:rsidP="00A63B35">
      <w:pPr>
        <w:spacing w:after="120"/>
        <w:jc w:val="right"/>
        <w:rPr>
          <w:sz w:val="20"/>
          <w:szCs w:val="20"/>
        </w:rPr>
      </w:pPr>
    </w:p>
    <w:p w:rsidR="008C0F7B" w:rsidRPr="00AA3F66" w:rsidRDefault="008C0F7B" w:rsidP="00A63B35">
      <w:pPr>
        <w:spacing w:after="120"/>
        <w:jc w:val="right"/>
        <w:rPr>
          <w:sz w:val="20"/>
          <w:szCs w:val="20"/>
        </w:rPr>
      </w:pPr>
    </w:p>
    <w:p w:rsidR="005A30CA" w:rsidRPr="00AA3F66" w:rsidRDefault="005A30CA" w:rsidP="00346EBD">
      <w:pPr>
        <w:spacing w:after="120"/>
        <w:ind w:right="142"/>
        <w:jc w:val="right"/>
      </w:pPr>
    </w:p>
    <w:p w:rsidR="004968EC" w:rsidRPr="00AA3F66" w:rsidRDefault="004968EC" w:rsidP="00D22F61">
      <w:r w:rsidRPr="00AA3F66">
        <w:br w:type="page"/>
      </w:r>
    </w:p>
    <w:p w:rsidR="002B149E" w:rsidRPr="00AA3F66" w:rsidRDefault="002B149E" w:rsidP="00DE2BDB">
      <w:pPr>
        <w:pStyle w:val="Heading2"/>
        <w:numPr>
          <w:ilvl w:val="0"/>
          <w:numId w:val="0"/>
        </w:numPr>
      </w:pPr>
      <w:bookmarkStart w:id="679" w:name="_Toc464224831"/>
      <w:bookmarkStart w:id="680" w:name="_Toc464225481"/>
      <w:bookmarkStart w:id="681" w:name="_Toc464459028"/>
      <w:bookmarkStart w:id="682" w:name="_Toc464459776"/>
      <w:bookmarkStart w:id="683" w:name="_Toc464460729"/>
      <w:bookmarkStart w:id="684" w:name="_Toc464463128"/>
      <w:bookmarkStart w:id="685" w:name="_Toc464464957"/>
      <w:bookmarkStart w:id="686" w:name="_Toc464465464"/>
      <w:bookmarkStart w:id="687" w:name="_Toc464465652"/>
      <w:bookmarkStart w:id="688" w:name="_Toc464466476"/>
      <w:bookmarkStart w:id="689" w:name="_Toc464466719"/>
      <w:bookmarkStart w:id="690" w:name="_Toc464645436"/>
      <w:bookmarkStart w:id="691" w:name="_Toc465205594"/>
      <w:bookmarkStart w:id="692" w:name="_Toc151557330"/>
      <w:r w:rsidRPr="00AA3F66">
        <w:t xml:space="preserve">Приложение № 9: </w:t>
      </w:r>
      <w:r w:rsidR="001B1227" w:rsidRPr="00AA3F66">
        <w:br/>
      </w:r>
      <w:r w:rsidR="00B04AD7" w:rsidRPr="00AA3F66">
        <w:t>Р</w:t>
      </w:r>
      <w:r w:rsidRPr="00AA3F66">
        <w:t xml:space="preserve">азмери на </w:t>
      </w:r>
      <w:r w:rsidR="00F60E52" w:rsidRPr="00AA3F66">
        <w:t>основните</w:t>
      </w:r>
      <w:r w:rsidR="00E3725A" w:rsidRPr="00AA3F66">
        <w:t xml:space="preserve"> </w:t>
      </w:r>
      <w:r w:rsidRPr="00AA3F66">
        <w:t>бюджетни взаимоотношения между централния бюджет и бюдж</w:t>
      </w:r>
      <w:r w:rsidR="00B502E4" w:rsidRPr="00AA3F66">
        <w:t>е</w:t>
      </w:r>
      <w:r w:rsidR="00BE4275" w:rsidRPr="00AA3F66">
        <w:t xml:space="preserve">тите на общините </w:t>
      </w:r>
      <w:r w:rsidR="0098294A" w:rsidRPr="00AA3F66">
        <w:t>за периода 2024-2026</w:t>
      </w:r>
      <w:r w:rsidR="00AA3035" w:rsidRPr="00AA3F66">
        <w:t> г.</w:t>
      </w:r>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p>
    <w:p w:rsidR="00283DFE" w:rsidRPr="00AA3F66" w:rsidRDefault="00A63B35" w:rsidP="005916A6">
      <w:pPr>
        <w:spacing w:after="0"/>
        <w:ind w:left="12053" w:firstLine="709"/>
        <w:jc w:val="center"/>
        <w:rPr>
          <w:sz w:val="20"/>
          <w:szCs w:val="20"/>
        </w:rPr>
      </w:pPr>
      <w:r w:rsidRPr="00AA3F66">
        <w:rPr>
          <w:sz w:val="20"/>
          <w:szCs w:val="20"/>
        </w:rPr>
        <w:t>(в хил. лв.)</w:t>
      </w:r>
    </w:p>
    <w:tbl>
      <w:tblPr>
        <w:tblW w:w="14396" w:type="dxa"/>
        <w:tblCellMar>
          <w:left w:w="70" w:type="dxa"/>
          <w:right w:w="70" w:type="dxa"/>
        </w:tblCellMar>
        <w:tblLook w:val="04A0" w:firstRow="1" w:lastRow="0" w:firstColumn="1" w:lastColumn="0" w:noHBand="0" w:noVBand="1"/>
      </w:tblPr>
      <w:tblGrid>
        <w:gridCol w:w="420"/>
        <w:gridCol w:w="8936"/>
        <w:gridCol w:w="1640"/>
        <w:gridCol w:w="1740"/>
        <w:gridCol w:w="1660"/>
      </w:tblGrid>
      <w:tr w:rsidR="00070F3F" w:rsidRPr="00AA3F66" w:rsidTr="00070F3F">
        <w:trPr>
          <w:trHeight w:val="230"/>
        </w:trPr>
        <w:tc>
          <w:tcPr>
            <w:tcW w:w="420" w:type="dxa"/>
            <w:vMerge w:val="restart"/>
            <w:tcBorders>
              <w:top w:val="single" w:sz="4" w:space="0" w:color="auto"/>
              <w:left w:val="nil"/>
              <w:bottom w:val="single" w:sz="4" w:space="0" w:color="000000"/>
              <w:right w:val="nil"/>
            </w:tcBorders>
            <w:shd w:val="clear" w:color="000000" w:fill="FFFFFF"/>
            <w:noWrap/>
            <w:vAlign w:val="center"/>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w:t>
            </w:r>
          </w:p>
        </w:tc>
        <w:tc>
          <w:tcPr>
            <w:tcW w:w="8936" w:type="dxa"/>
            <w:vMerge w:val="restart"/>
            <w:tcBorders>
              <w:top w:val="single" w:sz="4" w:space="0" w:color="auto"/>
              <w:left w:val="nil"/>
              <w:bottom w:val="single" w:sz="4" w:space="0" w:color="000000"/>
              <w:right w:val="nil"/>
            </w:tcBorders>
            <w:shd w:val="clear" w:color="000000" w:fill="FFFFFF"/>
            <w:noWrap/>
            <w:vAlign w:val="center"/>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Показатели</w:t>
            </w:r>
          </w:p>
        </w:tc>
        <w:tc>
          <w:tcPr>
            <w:tcW w:w="1640" w:type="dxa"/>
            <w:vMerge w:val="restart"/>
            <w:tcBorders>
              <w:top w:val="single" w:sz="4" w:space="0" w:color="auto"/>
              <w:left w:val="nil"/>
              <w:bottom w:val="single" w:sz="4" w:space="0" w:color="000000"/>
              <w:right w:val="nil"/>
            </w:tcBorders>
            <w:shd w:val="clear" w:color="000000" w:fill="FFFFFF"/>
            <w:noWrap/>
            <w:vAlign w:val="center"/>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 xml:space="preserve"> 2024 г.</w:t>
            </w:r>
          </w:p>
        </w:tc>
        <w:tc>
          <w:tcPr>
            <w:tcW w:w="1740" w:type="dxa"/>
            <w:vMerge w:val="restart"/>
            <w:tcBorders>
              <w:top w:val="single" w:sz="4" w:space="0" w:color="auto"/>
              <w:left w:val="nil"/>
              <w:bottom w:val="single" w:sz="4" w:space="0" w:color="000000"/>
              <w:right w:val="nil"/>
            </w:tcBorders>
            <w:shd w:val="clear" w:color="000000" w:fill="FFFFFF"/>
            <w:noWrap/>
            <w:vAlign w:val="center"/>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 xml:space="preserve"> 2025 г.</w:t>
            </w:r>
          </w:p>
        </w:tc>
        <w:tc>
          <w:tcPr>
            <w:tcW w:w="1660" w:type="dxa"/>
            <w:vMerge w:val="restart"/>
            <w:tcBorders>
              <w:top w:val="single" w:sz="4" w:space="0" w:color="auto"/>
              <w:left w:val="nil"/>
              <w:bottom w:val="single" w:sz="4" w:space="0" w:color="000000"/>
              <w:right w:val="nil"/>
            </w:tcBorders>
            <w:shd w:val="clear" w:color="000000" w:fill="FFFFFF"/>
            <w:noWrap/>
            <w:vAlign w:val="center"/>
            <w:hideMark/>
          </w:tcPr>
          <w:p w:rsidR="00070F3F" w:rsidRPr="00AA3F66" w:rsidRDefault="00070F3F" w:rsidP="00070F3F">
            <w:pPr>
              <w:spacing w:after="0"/>
              <w:jc w:val="center"/>
              <w:rPr>
                <w:rFonts w:eastAsia="Times New Roman" w:cs="Times New Roman"/>
                <w:b/>
                <w:bCs/>
                <w:sz w:val="20"/>
                <w:szCs w:val="20"/>
              </w:rPr>
            </w:pPr>
            <w:r w:rsidRPr="00AA3F66">
              <w:rPr>
                <w:rFonts w:eastAsia="Times New Roman" w:cs="Times New Roman"/>
                <w:b/>
                <w:bCs/>
                <w:sz w:val="20"/>
                <w:szCs w:val="20"/>
              </w:rPr>
              <w:t xml:space="preserve"> 2026 г.</w:t>
            </w:r>
          </w:p>
        </w:tc>
      </w:tr>
      <w:tr w:rsidR="00070F3F" w:rsidRPr="00AA3F66" w:rsidTr="00070F3F">
        <w:trPr>
          <w:trHeight w:val="517"/>
        </w:trPr>
        <w:tc>
          <w:tcPr>
            <w:tcW w:w="420" w:type="dxa"/>
            <w:vMerge/>
            <w:tcBorders>
              <w:top w:val="single" w:sz="4" w:space="0" w:color="auto"/>
              <w:left w:val="nil"/>
              <w:bottom w:val="single" w:sz="4" w:space="0" w:color="000000"/>
              <w:right w:val="nil"/>
            </w:tcBorders>
            <w:vAlign w:val="center"/>
            <w:hideMark/>
          </w:tcPr>
          <w:p w:rsidR="00070F3F" w:rsidRPr="00AA3F66" w:rsidRDefault="00070F3F" w:rsidP="00070F3F">
            <w:pPr>
              <w:spacing w:after="0"/>
              <w:jc w:val="left"/>
              <w:rPr>
                <w:rFonts w:eastAsia="Times New Roman" w:cs="Times New Roman"/>
                <w:b/>
                <w:bCs/>
                <w:sz w:val="20"/>
                <w:szCs w:val="20"/>
              </w:rPr>
            </w:pPr>
          </w:p>
        </w:tc>
        <w:tc>
          <w:tcPr>
            <w:tcW w:w="8936" w:type="dxa"/>
            <w:vMerge/>
            <w:tcBorders>
              <w:top w:val="single" w:sz="4" w:space="0" w:color="auto"/>
              <w:left w:val="nil"/>
              <w:bottom w:val="single" w:sz="4" w:space="0" w:color="000000"/>
              <w:right w:val="nil"/>
            </w:tcBorders>
            <w:vAlign w:val="center"/>
            <w:hideMark/>
          </w:tcPr>
          <w:p w:rsidR="00070F3F" w:rsidRPr="00AA3F66" w:rsidRDefault="00070F3F" w:rsidP="00070F3F">
            <w:pPr>
              <w:spacing w:after="0"/>
              <w:jc w:val="left"/>
              <w:rPr>
                <w:rFonts w:eastAsia="Times New Roman" w:cs="Times New Roman"/>
                <w:b/>
                <w:bCs/>
                <w:sz w:val="20"/>
                <w:szCs w:val="20"/>
              </w:rPr>
            </w:pPr>
          </w:p>
        </w:tc>
        <w:tc>
          <w:tcPr>
            <w:tcW w:w="1640" w:type="dxa"/>
            <w:vMerge/>
            <w:tcBorders>
              <w:top w:val="single" w:sz="4" w:space="0" w:color="auto"/>
              <w:left w:val="nil"/>
              <w:bottom w:val="single" w:sz="4" w:space="0" w:color="000000"/>
              <w:right w:val="nil"/>
            </w:tcBorders>
            <w:vAlign w:val="center"/>
            <w:hideMark/>
          </w:tcPr>
          <w:p w:rsidR="00070F3F" w:rsidRPr="00AA3F66" w:rsidRDefault="00070F3F" w:rsidP="00070F3F">
            <w:pPr>
              <w:spacing w:after="0"/>
              <w:jc w:val="left"/>
              <w:rPr>
                <w:rFonts w:eastAsia="Times New Roman" w:cs="Times New Roman"/>
                <w:b/>
                <w:bCs/>
                <w:sz w:val="20"/>
                <w:szCs w:val="20"/>
              </w:rPr>
            </w:pPr>
          </w:p>
        </w:tc>
        <w:tc>
          <w:tcPr>
            <w:tcW w:w="1740" w:type="dxa"/>
            <w:vMerge/>
            <w:tcBorders>
              <w:top w:val="single" w:sz="4" w:space="0" w:color="auto"/>
              <w:left w:val="nil"/>
              <w:bottom w:val="single" w:sz="4" w:space="0" w:color="000000"/>
              <w:right w:val="nil"/>
            </w:tcBorders>
            <w:vAlign w:val="center"/>
            <w:hideMark/>
          </w:tcPr>
          <w:p w:rsidR="00070F3F" w:rsidRPr="00AA3F66" w:rsidRDefault="00070F3F" w:rsidP="00070F3F">
            <w:pPr>
              <w:spacing w:after="0"/>
              <w:jc w:val="left"/>
              <w:rPr>
                <w:rFonts w:eastAsia="Times New Roman" w:cs="Times New Roman"/>
                <w:b/>
                <w:bCs/>
                <w:sz w:val="20"/>
                <w:szCs w:val="20"/>
              </w:rPr>
            </w:pPr>
          </w:p>
        </w:tc>
        <w:tc>
          <w:tcPr>
            <w:tcW w:w="1660" w:type="dxa"/>
            <w:vMerge/>
            <w:tcBorders>
              <w:top w:val="single" w:sz="4" w:space="0" w:color="auto"/>
              <w:left w:val="nil"/>
              <w:bottom w:val="single" w:sz="4" w:space="0" w:color="000000"/>
              <w:right w:val="nil"/>
            </w:tcBorders>
            <w:vAlign w:val="center"/>
            <w:hideMark/>
          </w:tcPr>
          <w:p w:rsidR="00070F3F" w:rsidRPr="00AA3F66" w:rsidRDefault="00070F3F" w:rsidP="00070F3F">
            <w:pPr>
              <w:spacing w:after="0"/>
              <w:jc w:val="left"/>
              <w:rPr>
                <w:rFonts w:eastAsia="Times New Roman" w:cs="Times New Roman"/>
                <w:b/>
                <w:bCs/>
                <w:sz w:val="20"/>
                <w:szCs w:val="20"/>
              </w:rPr>
            </w:pPr>
          </w:p>
        </w:tc>
      </w:tr>
      <w:tr w:rsidR="00070F3F" w:rsidRPr="00AA3F66" w:rsidTr="00070F3F">
        <w:trPr>
          <w:trHeight w:val="517"/>
        </w:trPr>
        <w:tc>
          <w:tcPr>
            <w:tcW w:w="420" w:type="dxa"/>
            <w:vMerge/>
            <w:tcBorders>
              <w:top w:val="single" w:sz="4" w:space="0" w:color="auto"/>
              <w:left w:val="nil"/>
              <w:bottom w:val="single" w:sz="4" w:space="0" w:color="000000"/>
              <w:right w:val="nil"/>
            </w:tcBorders>
            <w:vAlign w:val="center"/>
            <w:hideMark/>
          </w:tcPr>
          <w:p w:rsidR="00070F3F" w:rsidRPr="00AA3F66" w:rsidRDefault="00070F3F" w:rsidP="00070F3F">
            <w:pPr>
              <w:spacing w:after="0"/>
              <w:jc w:val="left"/>
              <w:rPr>
                <w:rFonts w:eastAsia="Times New Roman" w:cs="Times New Roman"/>
                <w:b/>
                <w:bCs/>
                <w:sz w:val="20"/>
                <w:szCs w:val="20"/>
              </w:rPr>
            </w:pPr>
          </w:p>
        </w:tc>
        <w:tc>
          <w:tcPr>
            <w:tcW w:w="8936" w:type="dxa"/>
            <w:vMerge/>
            <w:tcBorders>
              <w:top w:val="single" w:sz="4" w:space="0" w:color="auto"/>
              <w:left w:val="nil"/>
              <w:bottom w:val="single" w:sz="4" w:space="0" w:color="000000"/>
              <w:right w:val="nil"/>
            </w:tcBorders>
            <w:vAlign w:val="center"/>
            <w:hideMark/>
          </w:tcPr>
          <w:p w:rsidR="00070F3F" w:rsidRPr="00AA3F66" w:rsidRDefault="00070F3F" w:rsidP="00070F3F">
            <w:pPr>
              <w:spacing w:after="0"/>
              <w:jc w:val="left"/>
              <w:rPr>
                <w:rFonts w:eastAsia="Times New Roman" w:cs="Times New Roman"/>
                <w:b/>
                <w:bCs/>
                <w:sz w:val="20"/>
                <w:szCs w:val="20"/>
              </w:rPr>
            </w:pPr>
          </w:p>
        </w:tc>
        <w:tc>
          <w:tcPr>
            <w:tcW w:w="1640" w:type="dxa"/>
            <w:vMerge/>
            <w:tcBorders>
              <w:top w:val="single" w:sz="4" w:space="0" w:color="auto"/>
              <w:left w:val="nil"/>
              <w:bottom w:val="single" w:sz="4" w:space="0" w:color="000000"/>
              <w:right w:val="nil"/>
            </w:tcBorders>
            <w:vAlign w:val="center"/>
            <w:hideMark/>
          </w:tcPr>
          <w:p w:rsidR="00070F3F" w:rsidRPr="00AA3F66" w:rsidRDefault="00070F3F" w:rsidP="00070F3F">
            <w:pPr>
              <w:spacing w:after="0"/>
              <w:jc w:val="left"/>
              <w:rPr>
                <w:rFonts w:eastAsia="Times New Roman" w:cs="Times New Roman"/>
                <w:b/>
                <w:bCs/>
                <w:sz w:val="20"/>
                <w:szCs w:val="20"/>
              </w:rPr>
            </w:pPr>
          </w:p>
        </w:tc>
        <w:tc>
          <w:tcPr>
            <w:tcW w:w="1740" w:type="dxa"/>
            <w:vMerge/>
            <w:tcBorders>
              <w:top w:val="single" w:sz="4" w:space="0" w:color="auto"/>
              <w:left w:val="nil"/>
              <w:bottom w:val="single" w:sz="4" w:space="0" w:color="000000"/>
              <w:right w:val="nil"/>
            </w:tcBorders>
            <w:vAlign w:val="center"/>
            <w:hideMark/>
          </w:tcPr>
          <w:p w:rsidR="00070F3F" w:rsidRPr="00AA3F66" w:rsidRDefault="00070F3F" w:rsidP="00070F3F">
            <w:pPr>
              <w:spacing w:after="0"/>
              <w:jc w:val="left"/>
              <w:rPr>
                <w:rFonts w:eastAsia="Times New Roman" w:cs="Times New Roman"/>
                <w:b/>
                <w:bCs/>
                <w:sz w:val="20"/>
                <w:szCs w:val="20"/>
              </w:rPr>
            </w:pPr>
          </w:p>
        </w:tc>
        <w:tc>
          <w:tcPr>
            <w:tcW w:w="1660" w:type="dxa"/>
            <w:vMerge/>
            <w:tcBorders>
              <w:top w:val="single" w:sz="4" w:space="0" w:color="auto"/>
              <w:left w:val="nil"/>
              <w:bottom w:val="single" w:sz="4" w:space="0" w:color="000000"/>
              <w:right w:val="nil"/>
            </w:tcBorders>
            <w:vAlign w:val="center"/>
            <w:hideMark/>
          </w:tcPr>
          <w:p w:rsidR="00070F3F" w:rsidRPr="00AA3F66" w:rsidRDefault="00070F3F" w:rsidP="00070F3F">
            <w:pPr>
              <w:spacing w:after="0"/>
              <w:jc w:val="left"/>
              <w:rPr>
                <w:rFonts w:eastAsia="Times New Roman" w:cs="Times New Roman"/>
                <w:b/>
                <w:bCs/>
                <w:sz w:val="20"/>
                <w:szCs w:val="20"/>
              </w:rPr>
            </w:pPr>
          </w:p>
        </w:tc>
      </w:tr>
      <w:tr w:rsidR="00070F3F" w:rsidRPr="00AA3F66" w:rsidTr="00070F3F">
        <w:trPr>
          <w:trHeight w:val="319"/>
        </w:trPr>
        <w:tc>
          <w:tcPr>
            <w:tcW w:w="420" w:type="dxa"/>
            <w:tcBorders>
              <w:top w:val="nil"/>
              <w:left w:val="nil"/>
              <w:bottom w:val="nil"/>
              <w:right w:val="nil"/>
            </w:tcBorders>
            <w:shd w:val="clear" w:color="000000" w:fill="FFFFFF"/>
            <w:noWrap/>
            <w:vAlign w:val="center"/>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 </w:t>
            </w:r>
          </w:p>
        </w:tc>
        <w:tc>
          <w:tcPr>
            <w:tcW w:w="8936" w:type="dxa"/>
            <w:tcBorders>
              <w:top w:val="nil"/>
              <w:left w:val="nil"/>
              <w:bottom w:val="nil"/>
              <w:right w:val="nil"/>
            </w:tcBorders>
            <w:shd w:val="clear" w:color="000000" w:fill="FFFFFF"/>
            <w:noWrap/>
            <w:vAlign w:val="center"/>
            <w:hideMark/>
          </w:tcPr>
          <w:p w:rsidR="00070F3F" w:rsidRPr="00AA3F66" w:rsidRDefault="00070F3F" w:rsidP="00070F3F">
            <w:pPr>
              <w:spacing w:after="0"/>
              <w:jc w:val="left"/>
              <w:rPr>
                <w:rFonts w:eastAsia="Times New Roman" w:cs="Times New Roman"/>
                <w:b/>
                <w:bCs/>
                <w:sz w:val="20"/>
                <w:szCs w:val="20"/>
              </w:rPr>
            </w:pPr>
            <w:r w:rsidRPr="00AA3F66">
              <w:rPr>
                <w:rFonts w:eastAsia="Times New Roman" w:cs="Times New Roman"/>
                <w:b/>
                <w:bCs/>
                <w:sz w:val="20"/>
                <w:szCs w:val="20"/>
              </w:rPr>
              <w:t>Основни бюджетни взаимоотношения - Всичко</w:t>
            </w:r>
          </w:p>
        </w:tc>
        <w:tc>
          <w:tcPr>
            <w:tcW w:w="164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b/>
                <w:bCs/>
                <w:color w:val="000000"/>
                <w:sz w:val="20"/>
                <w:szCs w:val="20"/>
              </w:rPr>
            </w:pPr>
            <w:r w:rsidRPr="00AA3F66">
              <w:rPr>
                <w:rFonts w:eastAsia="Times New Roman" w:cs="Times New Roman"/>
                <w:b/>
                <w:bCs/>
                <w:color w:val="000000"/>
                <w:sz w:val="20"/>
                <w:szCs w:val="20"/>
              </w:rPr>
              <w:t>7 812 497,4</w:t>
            </w:r>
          </w:p>
        </w:tc>
        <w:tc>
          <w:tcPr>
            <w:tcW w:w="174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b/>
                <w:bCs/>
                <w:color w:val="000000"/>
                <w:sz w:val="20"/>
                <w:szCs w:val="20"/>
              </w:rPr>
            </w:pPr>
            <w:r w:rsidRPr="00AA3F66">
              <w:rPr>
                <w:rFonts w:eastAsia="Times New Roman" w:cs="Times New Roman"/>
                <w:b/>
                <w:bCs/>
                <w:color w:val="000000"/>
                <w:sz w:val="20"/>
                <w:szCs w:val="20"/>
              </w:rPr>
              <w:t>8 420 294,9</w:t>
            </w:r>
          </w:p>
        </w:tc>
        <w:tc>
          <w:tcPr>
            <w:tcW w:w="166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b/>
                <w:bCs/>
                <w:color w:val="000000"/>
                <w:sz w:val="20"/>
                <w:szCs w:val="20"/>
              </w:rPr>
            </w:pPr>
            <w:r w:rsidRPr="00AA3F66">
              <w:rPr>
                <w:rFonts w:eastAsia="Times New Roman" w:cs="Times New Roman"/>
                <w:b/>
                <w:bCs/>
                <w:color w:val="000000"/>
                <w:sz w:val="20"/>
                <w:szCs w:val="20"/>
              </w:rPr>
              <w:t>8 941 160,0</w:t>
            </w:r>
          </w:p>
        </w:tc>
      </w:tr>
      <w:tr w:rsidR="00070F3F" w:rsidRPr="00AA3F66" w:rsidTr="00070F3F">
        <w:trPr>
          <w:trHeight w:val="319"/>
        </w:trPr>
        <w:tc>
          <w:tcPr>
            <w:tcW w:w="420" w:type="dxa"/>
            <w:tcBorders>
              <w:top w:val="nil"/>
              <w:left w:val="nil"/>
              <w:bottom w:val="nil"/>
              <w:right w:val="nil"/>
            </w:tcBorders>
            <w:shd w:val="clear" w:color="000000" w:fill="FFFFFF"/>
            <w:noWrap/>
            <w:vAlign w:val="center"/>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 </w:t>
            </w:r>
          </w:p>
        </w:tc>
        <w:tc>
          <w:tcPr>
            <w:tcW w:w="8936" w:type="dxa"/>
            <w:tcBorders>
              <w:top w:val="nil"/>
              <w:left w:val="nil"/>
              <w:bottom w:val="nil"/>
              <w:right w:val="nil"/>
            </w:tcBorders>
            <w:shd w:val="clear" w:color="000000" w:fill="FFFFFF"/>
            <w:noWrap/>
            <w:vAlign w:val="center"/>
            <w:hideMark/>
          </w:tcPr>
          <w:p w:rsidR="00070F3F" w:rsidRPr="00AA3F66" w:rsidRDefault="00070F3F" w:rsidP="00070F3F">
            <w:pPr>
              <w:spacing w:after="0"/>
              <w:ind w:firstLineChars="100" w:firstLine="200"/>
              <w:jc w:val="left"/>
              <w:rPr>
                <w:rFonts w:eastAsia="Times New Roman" w:cs="Times New Roman"/>
                <w:sz w:val="20"/>
                <w:szCs w:val="20"/>
              </w:rPr>
            </w:pPr>
            <w:r w:rsidRPr="00AA3F66">
              <w:rPr>
                <w:rFonts w:eastAsia="Times New Roman" w:cs="Times New Roman"/>
                <w:sz w:val="20"/>
                <w:szCs w:val="20"/>
              </w:rPr>
              <w:t>от тях:</w:t>
            </w:r>
          </w:p>
        </w:tc>
        <w:tc>
          <w:tcPr>
            <w:tcW w:w="1640" w:type="dxa"/>
            <w:tcBorders>
              <w:top w:val="nil"/>
              <w:left w:val="nil"/>
              <w:bottom w:val="nil"/>
              <w:right w:val="nil"/>
            </w:tcBorders>
            <w:shd w:val="clear" w:color="000000" w:fill="FFFFFF"/>
            <w:noWrap/>
            <w:vAlign w:val="bottom"/>
            <w:hideMark/>
          </w:tcPr>
          <w:p w:rsidR="00070F3F" w:rsidRPr="00AA3F66" w:rsidRDefault="00070F3F" w:rsidP="00070F3F">
            <w:pPr>
              <w:spacing w:after="0"/>
              <w:jc w:val="left"/>
              <w:rPr>
                <w:rFonts w:eastAsia="Times New Roman" w:cs="Times New Roman"/>
                <w:color w:val="000000"/>
                <w:sz w:val="20"/>
                <w:szCs w:val="20"/>
              </w:rPr>
            </w:pPr>
            <w:r w:rsidRPr="00AA3F66">
              <w:rPr>
                <w:rFonts w:eastAsia="Times New Roman" w:cs="Times New Roman"/>
                <w:color w:val="000000"/>
                <w:sz w:val="20"/>
                <w:szCs w:val="20"/>
              </w:rPr>
              <w:t> </w:t>
            </w:r>
          </w:p>
        </w:tc>
        <w:tc>
          <w:tcPr>
            <w:tcW w:w="1740" w:type="dxa"/>
            <w:tcBorders>
              <w:top w:val="nil"/>
              <w:left w:val="nil"/>
              <w:bottom w:val="nil"/>
              <w:right w:val="nil"/>
            </w:tcBorders>
            <w:shd w:val="clear" w:color="000000" w:fill="FFFFFF"/>
            <w:noWrap/>
            <w:vAlign w:val="bottom"/>
            <w:hideMark/>
          </w:tcPr>
          <w:p w:rsidR="00070F3F" w:rsidRPr="00AA3F66" w:rsidRDefault="00070F3F" w:rsidP="00070F3F">
            <w:pPr>
              <w:spacing w:after="0"/>
              <w:jc w:val="left"/>
              <w:rPr>
                <w:rFonts w:eastAsia="Times New Roman" w:cs="Times New Roman"/>
                <w:color w:val="000000"/>
                <w:sz w:val="20"/>
                <w:szCs w:val="20"/>
              </w:rPr>
            </w:pPr>
            <w:r w:rsidRPr="00AA3F66">
              <w:rPr>
                <w:rFonts w:eastAsia="Times New Roman" w:cs="Times New Roman"/>
                <w:color w:val="000000"/>
                <w:sz w:val="20"/>
                <w:szCs w:val="20"/>
              </w:rPr>
              <w:t> </w:t>
            </w:r>
          </w:p>
        </w:tc>
        <w:tc>
          <w:tcPr>
            <w:tcW w:w="1660" w:type="dxa"/>
            <w:tcBorders>
              <w:top w:val="nil"/>
              <w:left w:val="nil"/>
              <w:bottom w:val="nil"/>
              <w:right w:val="nil"/>
            </w:tcBorders>
            <w:shd w:val="clear" w:color="000000" w:fill="FFFFFF"/>
            <w:noWrap/>
            <w:vAlign w:val="bottom"/>
            <w:hideMark/>
          </w:tcPr>
          <w:p w:rsidR="00070F3F" w:rsidRPr="00AA3F66" w:rsidRDefault="00070F3F" w:rsidP="00070F3F">
            <w:pPr>
              <w:spacing w:after="0"/>
              <w:jc w:val="left"/>
              <w:rPr>
                <w:rFonts w:eastAsia="Times New Roman" w:cs="Times New Roman"/>
                <w:color w:val="000000"/>
                <w:sz w:val="20"/>
                <w:szCs w:val="20"/>
              </w:rPr>
            </w:pPr>
            <w:r w:rsidRPr="00AA3F66">
              <w:rPr>
                <w:rFonts w:eastAsia="Times New Roman" w:cs="Times New Roman"/>
                <w:color w:val="000000"/>
                <w:sz w:val="20"/>
                <w:szCs w:val="20"/>
              </w:rPr>
              <w:t> </w:t>
            </w:r>
          </w:p>
        </w:tc>
      </w:tr>
      <w:tr w:rsidR="00070F3F" w:rsidRPr="00AA3F66" w:rsidTr="00070F3F">
        <w:trPr>
          <w:trHeight w:val="319"/>
        </w:trPr>
        <w:tc>
          <w:tcPr>
            <w:tcW w:w="420" w:type="dxa"/>
            <w:tcBorders>
              <w:top w:val="nil"/>
              <w:left w:val="nil"/>
              <w:bottom w:val="nil"/>
              <w:right w:val="nil"/>
            </w:tcBorders>
            <w:shd w:val="clear" w:color="000000" w:fill="FFFFFF"/>
            <w:noWrap/>
            <w:vAlign w:val="center"/>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1</w:t>
            </w:r>
          </w:p>
        </w:tc>
        <w:tc>
          <w:tcPr>
            <w:tcW w:w="8936" w:type="dxa"/>
            <w:tcBorders>
              <w:top w:val="nil"/>
              <w:left w:val="nil"/>
              <w:bottom w:val="nil"/>
              <w:right w:val="nil"/>
            </w:tcBorders>
            <w:shd w:val="clear" w:color="000000" w:fill="FFFFFF"/>
            <w:noWrap/>
            <w:vAlign w:val="center"/>
            <w:hideMark/>
          </w:tcPr>
          <w:p w:rsidR="00070F3F" w:rsidRPr="00AA3F66" w:rsidRDefault="00070F3F" w:rsidP="00070F3F">
            <w:pPr>
              <w:spacing w:after="0"/>
              <w:ind w:firstLineChars="100" w:firstLine="200"/>
              <w:jc w:val="left"/>
              <w:rPr>
                <w:rFonts w:eastAsia="Times New Roman" w:cs="Times New Roman"/>
                <w:sz w:val="20"/>
                <w:szCs w:val="20"/>
              </w:rPr>
            </w:pPr>
            <w:r w:rsidRPr="00AA3F66">
              <w:rPr>
                <w:rFonts w:eastAsia="Times New Roman" w:cs="Times New Roman"/>
                <w:sz w:val="20"/>
                <w:szCs w:val="20"/>
              </w:rPr>
              <w:t>Обща субсидия за делегираните от държавата дейности</w:t>
            </w:r>
          </w:p>
        </w:tc>
        <w:tc>
          <w:tcPr>
            <w:tcW w:w="164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color w:val="000000"/>
                <w:sz w:val="20"/>
                <w:szCs w:val="20"/>
              </w:rPr>
            </w:pPr>
            <w:r w:rsidRPr="00AA3F66">
              <w:rPr>
                <w:rFonts w:eastAsia="Times New Roman" w:cs="Times New Roman"/>
                <w:color w:val="000000"/>
                <w:sz w:val="20"/>
                <w:szCs w:val="20"/>
              </w:rPr>
              <w:t>6 927 959,1</w:t>
            </w:r>
          </w:p>
        </w:tc>
        <w:tc>
          <w:tcPr>
            <w:tcW w:w="174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color w:val="000000"/>
                <w:sz w:val="20"/>
                <w:szCs w:val="20"/>
              </w:rPr>
            </w:pPr>
            <w:r w:rsidRPr="00AA3F66">
              <w:rPr>
                <w:rFonts w:eastAsia="Times New Roman" w:cs="Times New Roman"/>
                <w:color w:val="000000"/>
                <w:sz w:val="20"/>
                <w:szCs w:val="20"/>
              </w:rPr>
              <w:t>7 535 756,6</w:t>
            </w:r>
          </w:p>
        </w:tc>
        <w:tc>
          <w:tcPr>
            <w:tcW w:w="166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color w:val="000000"/>
                <w:sz w:val="20"/>
                <w:szCs w:val="20"/>
              </w:rPr>
            </w:pPr>
            <w:r w:rsidRPr="00AA3F66">
              <w:rPr>
                <w:rFonts w:eastAsia="Times New Roman" w:cs="Times New Roman"/>
                <w:color w:val="000000"/>
                <w:sz w:val="20"/>
                <w:szCs w:val="20"/>
              </w:rPr>
              <w:t>8 056 621,7</w:t>
            </w:r>
          </w:p>
        </w:tc>
      </w:tr>
      <w:tr w:rsidR="00070F3F" w:rsidRPr="00AA3F66" w:rsidTr="00070F3F">
        <w:trPr>
          <w:trHeight w:val="319"/>
        </w:trPr>
        <w:tc>
          <w:tcPr>
            <w:tcW w:w="420" w:type="dxa"/>
            <w:tcBorders>
              <w:top w:val="nil"/>
              <w:left w:val="nil"/>
              <w:bottom w:val="nil"/>
              <w:right w:val="nil"/>
            </w:tcBorders>
            <w:shd w:val="clear" w:color="000000" w:fill="FFFFFF"/>
            <w:noWrap/>
            <w:vAlign w:val="center"/>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2</w:t>
            </w:r>
          </w:p>
        </w:tc>
        <w:tc>
          <w:tcPr>
            <w:tcW w:w="8936" w:type="dxa"/>
            <w:tcBorders>
              <w:top w:val="nil"/>
              <w:left w:val="nil"/>
              <w:bottom w:val="nil"/>
              <w:right w:val="nil"/>
            </w:tcBorders>
            <w:shd w:val="clear" w:color="000000" w:fill="FFFFFF"/>
            <w:noWrap/>
            <w:vAlign w:val="center"/>
            <w:hideMark/>
          </w:tcPr>
          <w:p w:rsidR="00070F3F" w:rsidRPr="00AA3F66" w:rsidRDefault="00070F3F" w:rsidP="00070F3F">
            <w:pPr>
              <w:spacing w:after="0"/>
              <w:ind w:firstLineChars="100" w:firstLine="200"/>
              <w:jc w:val="left"/>
              <w:rPr>
                <w:rFonts w:eastAsia="Times New Roman" w:cs="Times New Roman"/>
                <w:sz w:val="20"/>
                <w:szCs w:val="20"/>
              </w:rPr>
            </w:pPr>
            <w:r w:rsidRPr="00AA3F66">
              <w:rPr>
                <w:rFonts w:eastAsia="Times New Roman" w:cs="Times New Roman"/>
                <w:sz w:val="20"/>
                <w:szCs w:val="20"/>
              </w:rPr>
              <w:t>Трансфери за местни дейности</w:t>
            </w:r>
          </w:p>
        </w:tc>
        <w:tc>
          <w:tcPr>
            <w:tcW w:w="164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color w:val="000000"/>
                <w:sz w:val="20"/>
                <w:szCs w:val="20"/>
              </w:rPr>
            </w:pPr>
            <w:r w:rsidRPr="00AA3F66">
              <w:rPr>
                <w:rFonts w:eastAsia="Times New Roman" w:cs="Times New Roman"/>
                <w:color w:val="000000"/>
                <w:sz w:val="20"/>
                <w:szCs w:val="20"/>
              </w:rPr>
              <w:t>458 228,1</w:t>
            </w:r>
          </w:p>
        </w:tc>
        <w:tc>
          <w:tcPr>
            <w:tcW w:w="174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color w:val="000000"/>
                <w:sz w:val="20"/>
                <w:szCs w:val="20"/>
              </w:rPr>
            </w:pPr>
            <w:r w:rsidRPr="00AA3F66">
              <w:rPr>
                <w:rFonts w:eastAsia="Times New Roman" w:cs="Times New Roman"/>
                <w:color w:val="000000"/>
                <w:sz w:val="20"/>
                <w:szCs w:val="20"/>
              </w:rPr>
              <w:t>458 228,1</w:t>
            </w:r>
          </w:p>
        </w:tc>
        <w:tc>
          <w:tcPr>
            <w:tcW w:w="166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color w:val="000000"/>
                <w:sz w:val="20"/>
                <w:szCs w:val="20"/>
              </w:rPr>
            </w:pPr>
            <w:r w:rsidRPr="00AA3F66">
              <w:rPr>
                <w:rFonts w:eastAsia="Times New Roman" w:cs="Times New Roman"/>
                <w:color w:val="000000"/>
                <w:sz w:val="20"/>
                <w:szCs w:val="20"/>
              </w:rPr>
              <w:t>458 228,1</w:t>
            </w:r>
          </w:p>
        </w:tc>
      </w:tr>
      <w:tr w:rsidR="00070F3F" w:rsidRPr="00AA3F66" w:rsidTr="00070F3F">
        <w:trPr>
          <w:trHeight w:val="300"/>
        </w:trPr>
        <w:tc>
          <w:tcPr>
            <w:tcW w:w="420" w:type="dxa"/>
            <w:tcBorders>
              <w:top w:val="nil"/>
              <w:left w:val="nil"/>
              <w:bottom w:val="nil"/>
              <w:right w:val="nil"/>
            </w:tcBorders>
            <w:shd w:val="clear" w:color="000000" w:fill="FFFFFF"/>
            <w:noWrap/>
            <w:vAlign w:val="center"/>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 </w:t>
            </w:r>
          </w:p>
        </w:tc>
        <w:tc>
          <w:tcPr>
            <w:tcW w:w="8936" w:type="dxa"/>
            <w:tcBorders>
              <w:top w:val="nil"/>
              <w:left w:val="nil"/>
              <w:bottom w:val="nil"/>
              <w:right w:val="nil"/>
            </w:tcBorders>
            <w:shd w:val="clear" w:color="000000" w:fill="FFFFFF"/>
            <w:noWrap/>
            <w:vAlign w:val="center"/>
            <w:hideMark/>
          </w:tcPr>
          <w:p w:rsidR="00070F3F" w:rsidRPr="00AA3F66" w:rsidRDefault="00070F3F" w:rsidP="00070F3F">
            <w:pPr>
              <w:spacing w:after="0"/>
              <w:ind w:firstLineChars="200" w:firstLine="400"/>
              <w:jc w:val="left"/>
              <w:rPr>
                <w:rFonts w:eastAsia="Times New Roman" w:cs="Times New Roman"/>
                <w:sz w:val="20"/>
                <w:szCs w:val="20"/>
              </w:rPr>
            </w:pPr>
            <w:r w:rsidRPr="00AA3F66">
              <w:rPr>
                <w:rFonts w:eastAsia="Times New Roman" w:cs="Times New Roman"/>
                <w:sz w:val="20"/>
                <w:szCs w:val="20"/>
              </w:rPr>
              <w:t>от тях:</w:t>
            </w:r>
          </w:p>
        </w:tc>
        <w:tc>
          <w:tcPr>
            <w:tcW w:w="1640" w:type="dxa"/>
            <w:tcBorders>
              <w:top w:val="nil"/>
              <w:left w:val="nil"/>
              <w:bottom w:val="nil"/>
              <w:right w:val="nil"/>
            </w:tcBorders>
            <w:shd w:val="clear" w:color="000000" w:fill="FFFFFF"/>
            <w:noWrap/>
            <w:vAlign w:val="bottom"/>
            <w:hideMark/>
          </w:tcPr>
          <w:p w:rsidR="00070F3F" w:rsidRPr="00AA3F66" w:rsidRDefault="00070F3F" w:rsidP="00070F3F">
            <w:pPr>
              <w:spacing w:after="0"/>
              <w:jc w:val="left"/>
              <w:rPr>
                <w:rFonts w:eastAsia="Times New Roman" w:cs="Times New Roman"/>
                <w:color w:val="000000"/>
                <w:sz w:val="20"/>
                <w:szCs w:val="20"/>
              </w:rPr>
            </w:pPr>
            <w:r w:rsidRPr="00AA3F66">
              <w:rPr>
                <w:rFonts w:eastAsia="Times New Roman" w:cs="Times New Roman"/>
                <w:color w:val="000000"/>
                <w:sz w:val="20"/>
                <w:szCs w:val="20"/>
              </w:rPr>
              <w:t> </w:t>
            </w:r>
          </w:p>
        </w:tc>
        <w:tc>
          <w:tcPr>
            <w:tcW w:w="1740" w:type="dxa"/>
            <w:tcBorders>
              <w:top w:val="nil"/>
              <w:left w:val="nil"/>
              <w:bottom w:val="nil"/>
              <w:right w:val="nil"/>
            </w:tcBorders>
            <w:shd w:val="clear" w:color="000000" w:fill="FFFFFF"/>
            <w:noWrap/>
            <w:vAlign w:val="bottom"/>
            <w:hideMark/>
          </w:tcPr>
          <w:p w:rsidR="00070F3F" w:rsidRPr="00AA3F66" w:rsidRDefault="00070F3F" w:rsidP="00070F3F">
            <w:pPr>
              <w:spacing w:after="0"/>
              <w:jc w:val="left"/>
              <w:rPr>
                <w:rFonts w:eastAsia="Times New Roman" w:cs="Times New Roman"/>
                <w:color w:val="000000"/>
                <w:sz w:val="20"/>
                <w:szCs w:val="20"/>
              </w:rPr>
            </w:pPr>
            <w:r w:rsidRPr="00AA3F66">
              <w:rPr>
                <w:rFonts w:eastAsia="Times New Roman" w:cs="Times New Roman"/>
                <w:color w:val="000000"/>
                <w:sz w:val="20"/>
                <w:szCs w:val="20"/>
              </w:rPr>
              <w:t> </w:t>
            </w:r>
          </w:p>
        </w:tc>
        <w:tc>
          <w:tcPr>
            <w:tcW w:w="1660" w:type="dxa"/>
            <w:tcBorders>
              <w:top w:val="nil"/>
              <w:left w:val="nil"/>
              <w:bottom w:val="nil"/>
              <w:right w:val="nil"/>
            </w:tcBorders>
            <w:shd w:val="clear" w:color="000000" w:fill="FFFFFF"/>
            <w:noWrap/>
            <w:vAlign w:val="bottom"/>
            <w:hideMark/>
          </w:tcPr>
          <w:p w:rsidR="00070F3F" w:rsidRPr="00AA3F66" w:rsidRDefault="00070F3F" w:rsidP="00070F3F">
            <w:pPr>
              <w:spacing w:after="0"/>
              <w:jc w:val="left"/>
              <w:rPr>
                <w:rFonts w:eastAsia="Times New Roman" w:cs="Times New Roman"/>
                <w:color w:val="000000"/>
                <w:sz w:val="20"/>
                <w:szCs w:val="20"/>
              </w:rPr>
            </w:pPr>
            <w:r w:rsidRPr="00AA3F66">
              <w:rPr>
                <w:rFonts w:eastAsia="Times New Roman" w:cs="Times New Roman"/>
                <w:color w:val="000000"/>
                <w:sz w:val="20"/>
                <w:szCs w:val="20"/>
              </w:rPr>
              <w:t> </w:t>
            </w:r>
          </w:p>
        </w:tc>
      </w:tr>
      <w:tr w:rsidR="00070F3F" w:rsidRPr="00AA3F66" w:rsidTr="00070F3F">
        <w:trPr>
          <w:trHeight w:val="319"/>
        </w:trPr>
        <w:tc>
          <w:tcPr>
            <w:tcW w:w="420" w:type="dxa"/>
            <w:tcBorders>
              <w:top w:val="nil"/>
              <w:left w:val="nil"/>
              <w:bottom w:val="nil"/>
              <w:right w:val="nil"/>
            </w:tcBorders>
            <w:shd w:val="clear" w:color="000000" w:fill="FFFFFF"/>
            <w:noWrap/>
            <w:vAlign w:val="center"/>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2.1</w:t>
            </w:r>
          </w:p>
        </w:tc>
        <w:tc>
          <w:tcPr>
            <w:tcW w:w="8936" w:type="dxa"/>
            <w:tcBorders>
              <w:top w:val="nil"/>
              <w:left w:val="nil"/>
              <w:bottom w:val="nil"/>
              <w:right w:val="nil"/>
            </w:tcBorders>
            <w:shd w:val="clear" w:color="000000" w:fill="FFFFFF"/>
            <w:noWrap/>
            <w:vAlign w:val="center"/>
            <w:hideMark/>
          </w:tcPr>
          <w:p w:rsidR="00070F3F" w:rsidRPr="00AA3F66" w:rsidRDefault="00070F3F" w:rsidP="00070F3F">
            <w:pPr>
              <w:spacing w:after="0"/>
              <w:ind w:firstLineChars="200" w:firstLine="400"/>
              <w:jc w:val="left"/>
              <w:rPr>
                <w:rFonts w:eastAsia="Times New Roman" w:cs="Times New Roman"/>
                <w:sz w:val="20"/>
                <w:szCs w:val="20"/>
              </w:rPr>
            </w:pPr>
            <w:r w:rsidRPr="00AA3F66">
              <w:rPr>
                <w:rFonts w:eastAsia="Times New Roman" w:cs="Times New Roman"/>
                <w:sz w:val="20"/>
                <w:szCs w:val="20"/>
              </w:rPr>
              <w:t>Обща изравнителна субсидия</w:t>
            </w:r>
          </w:p>
        </w:tc>
        <w:tc>
          <w:tcPr>
            <w:tcW w:w="164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color w:val="000000"/>
                <w:sz w:val="20"/>
                <w:szCs w:val="20"/>
              </w:rPr>
            </w:pPr>
            <w:r w:rsidRPr="00AA3F66">
              <w:rPr>
                <w:rFonts w:eastAsia="Times New Roman" w:cs="Times New Roman"/>
                <w:color w:val="000000"/>
                <w:sz w:val="20"/>
                <w:szCs w:val="20"/>
              </w:rPr>
              <w:t>410 000,0</w:t>
            </w:r>
          </w:p>
        </w:tc>
        <w:tc>
          <w:tcPr>
            <w:tcW w:w="174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color w:val="000000"/>
                <w:sz w:val="20"/>
                <w:szCs w:val="20"/>
              </w:rPr>
            </w:pPr>
            <w:r w:rsidRPr="00AA3F66">
              <w:rPr>
                <w:rFonts w:eastAsia="Times New Roman" w:cs="Times New Roman"/>
                <w:color w:val="000000"/>
                <w:sz w:val="20"/>
                <w:szCs w:val="20"/>
              </w:rPr>
              <w:t>410 000,0</w:t>
            </w:r>
          </w:p>
        </w:tc>
        <w:tc>
          <w:tcPr>
            <w:tcW w:w="166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color w:val="000000"/>
                <w:sz w:val="20"/>
                <w:szCs w:val="20"/>
              </w:rPr>
            </w:pPr>
            <w:r w:rsidRPr="00AA3F66">
              <w:rPr>
                <w:rFonts w:eastAsia="Times New Roman" w:cs="Times New Roman"/>
                <w:color w:val="000000"/>
                <w:sz w:val="20"/>
                <w:szCs w:val="20"/>
              </w:rPr>
              <w:t>410 000,0</w:t>
            </w:r>
          </w:p>
        </w:tc>
      </w:tr>
      <w:tr w:rsidR="00070F3F" w:rsidRPr="00AA3F66" w:rsidTr="00070F3F">
        <w:trPr>
          <w:trHeight w:val="319"/>
        </w:trPr>
        <w:tc>
          <w:tcPr>
            <w:tcW w:w="420" w:type="dxa"/>
            <w:tcBorders>
              <w:top w:val="nil"/>
              <w:left w:val="nil"/>
              <w:bottom w:val="nil"/>
              <w:right w:val="nil"/>
            </w:tcBorders>
            <w:shd w:val="clear" w:color="000000" w:fill="FFFFFF"/>
            <w:noWrap/>
            <w:vAlign w:val="center"/>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2.2</w:t>
            </w:r>
          </w:p>
        </w:tc>
        <w:tc>
          <w:tcPr>
            <w:tcW w:w="8936" w:type="dxa"/>
            <w:tcBorders>
              <w:top w:val="nil"/>
              <w:left w:val="nil"/>
              <w:bottom w:val="nil"/>
              <w:right w:val="nil"/>
            </w:tcBorders>
            <w:shd w:val="clear" w:color="000000" w:fill="FFFFFF"/>
            <w:noWrap/>
            <w:vAlign w:val="center"/>
            <w:hideMark/>
          </w:tcPr>
          <w:p w:rsidR="00070F3F" w:rsidRPr="00AA3F66" w:rsidRDefault="00070F3F" w:rsidP="00070F3F">
            <w:pPr>
              <w:spacing w:after="0"/>
              <w:ind w:firstLineChars="200" w:firstLine="400"/>
              <w:jc w:val="left"/>
              <w:rPr>
                <w:rFonts w:eastAsia="Times New Roman" w:cs="Times New Roman"/>
                <w:sz w:val="20"/>
                <w:szCs w:val="20"/>
              </w:rPr>
            </w:pPr>
            <w:r w:rsidRPr="00AA3F66">
              <w:rPr>
                <w:rFonts w:eastAsia="Times New Roman" w:cs="Times New Roman"/>
                <w:sz w:val="20"/>
                <w:szCs w:val="20"/>
              </w:rPr>
              <w:t>За зимно поддържане и снегопочистване на общински пътища</w:t>
            </w:r>
          </w:p>
        </w:tc>
        <w:tc>
          <w:tcPr>
            <w:tcW w:w="164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color w:val="000000"/>
                <w:sz w:val="20"/>
                <w:szCs w:val="20"/>
              </w:rPr>
            </w:pPr>
            <w:r w:rsidRPr="00AA3F66">
              <w:rPr>
                <w:rFonts w:eastAsia="Times New Roman" w:cs="Times New Roman"/>
                <w:color w:val="000000"/>
                <w:sz w:val="20"/>
                <w:szCs w:val="20"/>
              </w:rPr>
              <w:t>48 228,1</w:t>
            </w:r>
          </w:p>
        </w:tc>
        <w:tc>
          <w:tcPr>
            <w:tcW w:w="174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color w:val="000000"/>
                <w:sz w:val="20"/>
                <w:szCs w:val="20"/>
              </w:rPr>
            </w:pPr>
            <w:r w:rsidRPr="00AA3F66">
              <w:rPr>
                <w:rFonts w:eastAsia="Times New Roman" w:cs="Times New Roman"/>
                <w:color w:val="000000"/>
                <w:sz w:val="20"/>
                <w:szCs w:val="20"/>
              </w:rPr>
              <w:t>48 228,1</w:t>
            </w:r>
          </w:p>
        </w:tc>
        <w:tc>
          <w:tcPr>
            <w:tcW w:w="166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color w:val="000000"/>
                <w:sz w:val="20"/>
                <w:szCs w:val="20"/>
              </w:rPr>
            </w:pPr>
            <w:r w:rsidRPr="00AA3F66">
              <w:rPr>
                <w:rFonts w:eastAsia="Times New Roman" w:cs="Times New Roman"/>
                <w:color w:val="000000"/>
                <w:sz w:val="20"/>
                <w:szCs w:val="20"/>
              </w:rPr>
              <w:t>48 228,1</w:t>
            </w:r>
          </w:p>
        </w:tc>
      </w:tr>
      <w:tr w:rsidR="00070F3F" w:rsidRPr="00AA3F66" w:rsidTr="00070F3F">
        <w:trPr>
          <w:trHeight w:val="319"/>
        </w:trPr>
        <w:tc>
          <w:tcPr>
            <w:tcW w:w="420" w:type="dxa"/>
            <w:tcBorders>
              <w:top w:val="nil"/>
              <w:left w:val="nil"/>
              <w:bottom w:val="nil"/>
              <w:right w:val="nil"/>
            </w:tcBorders>
            <w:shd w:val="clear" w:color="000000" w:fill="FFFFFF"/>
            <w:noWrap/>
            <w:vAlign w:val="center"/>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3</w:t>
            </w:r>
          </w:p>
        </w:tc>
        <w:tc>
          <w:tcPr>
            <w:tcW w:w="8936" w:type="dxa"/>
            <w:tcBorders>
              <w:top w:val="nil"/>
              <w:left w:val="nil"/>
              <w:bottom w:val="nil"/>
              <w:right w:val="nil"/>
            </w:tcBorders>
            <w:shd w:val="clear" w:color="000000" w:fill="FFFFFF"/>
            <w:noWrap/>
            <w:vAlign w:val="center"/>
            <w:hideMark/>
          </w:tcPr>
          <w:p w:rsidR="00070F3F" w:rsidRPr="00AA3F66" w:rsidRDefault="00070F3F" w:rsidP="00070F3F">
            <w:pPr>
              <w:spacing w:after="0"/>
              <w:ind w:firstLineChars="100" w:firstLine="200"/>
              <w:jc w:val="left"/>
              <w:rPr>
                <w:rFonts w:eastAsia="Times New Roman" w:cs="Times New Roman"/>
                <w:sz w:val="20"/>
                <w:szCs w:val="20"/>
              </w:rPr>
            </w:pPr>
            <w:r w:rsidRPr="00AA3F66">
              <w:rPr>
                <w:rFonts w:eastAsia="Times New Roman" w:cs="Times New Roman"/>
                <w:sz w:val="20"/>
                <w:szCs w:val="20"/>
              </w:rPr>
              <w:t>Целева субсидия за капиталови разходи</w:t>
            </w:r>
          </w:p>
        </w:tc>
        <w:tc>
          <w:tcPr>
            <w:tcW w:w="164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color w:val="000000"/>
                <w:sz w:val="20"/>
                <w:szCs w:val="20"/>
              </w:rPr>
            </w:pPr>
            <w:r w:rsidRPr="00AA3F66">
              <w:rPr>
                <w:rFonts w:eastAsia="Times New Roman" w:cs="Times New Roman"/>
                <w:color w:val="000000"/>
                <w:sz w:val="20"/>
                <w:szCs w:val="20"/>
              </w:rPr>
              <w:t>426 310,2</w:t>
            </w:r>
          </w:p>
        </w:tc>
        <w:tc>
          <w:tcPr>
            <w:tcW w:w="174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color w:val="000000"/>
                <w:sz w:val="20"/>
                <w:szCs w:val="20"/>
              </w:rPr>
            </w:pPr>
            <w:r w:rsidRPr="00AA3F66">
              <w:rPr>
                <w:rFonts w:eastAsia="Times New Roman" w:cs="Times New Roman"/>
                <w:color w:val="000000"/>
                <w:sz w:val="20"/>
                <w:szCs w:val="20"/>
              </w:rPr>
              <w:t>426 310,2</w:t>
            </w:r>
          </w:p>
        </w:tc>
        <w:tc>
          <w:tcPr>
            <w:tcW w:w="166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color w:val="000000"/>
                <w:sz w:val="20"/>
                <w:szCs w:val="20"/>
              </w:rPr>
            </w:pPr>
            <w:r w:rsidRPr="00AA3F66">
              <w:rPr>
                <w:rFonts w:eastAsia="Times New Roman" w:cs="Times New Roman"/>
                <w:color w:val="000000"/>
                <w:sz w:val="20"/>
                <w:szCs w:val="20"/>
              </w:rPr>
              <w:t>426 310,2</w:t>
            </w:r>
          </w:p>
        </w:tc>
      </w:tr>
      <w:tr w:rsidR="00070F3F" w:rsidRPr="00AA3F66" w:rsidTr="00070F3F">
        <w:trPr>
          <w:trHeight w:val="270"/>
        </w:trPr>
        <w:tc>
          <w:tcPr>
            <w:tcW w:w="420" w:type="dxa"/>
            <w:tcBorders>
              <w:top w:val="nil"/>
              <w:left w:val="nil"/>
              <w:bottom w:val="nil"/>
              <w:right w:val="nil"/>
            </w:tcBorders>
            <w:shd w:val="clear" w:color="000000" w:fill="FFFFFF"/>
            <w:noWrap/>
            <w:vAlign w:val="center"/>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 </w:t>
            </w:r>
          </w:p>
        </w:tc>
        <w:tc>
          <w:tcPr>
            <w:tcW w:w="8936" w:type="dxa"/>
            <w:tcBorders>
              <w:top w:val="nil"/>
              <w:left w:val="nil"/>
              <w:bottom w:val="nil"/>
              <w:right w:val="nil"/>
            </w:tcBorders>
            <w:shd w:val="clear" w:color="000000" w:fill="FFFFFF"/>
            <w:noWrap/>
            <w:vAlign w:val="center"/>
            <w:hideMark/>
          </w:tcPr>
          <w:p w:rsidR="00070F3F" w:rsidRPr="00AA3F66" w:rsidRDefault="00070F3F" w:rsidP="00070F3F">
            <w:pPr>
              <w:spacing w:after="0"/>
              <w:ind w:firstLineChars="200" w:firstLine="400"/>
              <w:jc w:val="left"/>
              <w:rPr>
                <w:rFonts w:eastAsia="Times New Roman" w:cs="Times New Roman"/>
                <w:sz w:val="20"/>
                <w:szCs w:val="20"/>
              </w:rPr>
            </w:pPr>
            <w:r w:rsidRPr="00AA3F66">
              <w:rPr>
                <w:rFonts w:eastAsia="Times New Roman" w:cs="Times New Roman"/>
                <w:sz w:val="20"/>
                <w:szCs w:val="20"/>
              </w:rPr>
              <w:t>от тях за:</w:t>
            </w:r>
          </w:p>
        </w:tc>
        <w:tc>
          <w:tcPr>
            <w:tcW w:w="1640" w:type="dxa"/>
            <w:tcBorders>
              <w:top w:val="nil"/>
              <w:left w:val="nil"/>
              <w:bottom w:val="nil"/>
              <w:right w:val="nil"/>
            </w:tcBorders>
            <w:shd w:val="clear" w:color="000000" w:fill="FFFFFF"/>
            <w:noWrap/>
            <w:vAlign w:val="bottom"/>
            <w:hideMark/>
          </w:tcPr>
          <w:p w:rsidR="00070F3F" w:rsidRPr="00AA3F66" w:rsidRDefault="00070F3F" w:rsidP="00070F3F">
            <w:pPr>
              <w:spacing w:after="0"/>
              <w:jc w:val="left"/>
              <w:rPr>
                <w:rFonts w:eastAsia="Times New Roman" w:cs="Times New Roman"/>
                <w:color w:val="000000"/>
                <w:sz w:val="20"/>
                <w:szCs w:val="20"/>
              </w:rPr>
            </w:pPr>
            <w:r w:rsidRPr="00AA3F66">
              <w:rPr>
                <w:rFonts w:eastAsia="Times New Roman" w:cs="Times New Roman"/>
                <w:color w:val="000000"/>
                <w:sz w:val="20"/>
                <w:szCs w:val="20"/>
              </w:rPr>
              <w:t> </w:t>
            </w:r>
          </w:p>
        </w:tc>
        <w:tc>
          <w:tcPr>
            <w:tcW w:w="1740" w:type="dxa"/>
            <w:tcBorders>
              <w:top w:val="nil"/>
              <w:left w:val="nil"/>
              <w:bottom w:val="nil"/>
              <w:right w:val="nil"/>
            </w:tcBorders>
            <w:shd w:val="clear" w:color="000000" w:fill="FFFFFF"/>
            <w:noWrap/>
            <w:vAlign w:val="bottom"/>
            <w:hideMark/>
          </w:tcPr>
          <w:p w:rsidR="00070F3F" w:rsidRPr="00AA3F66" w:rsidRDefault="00070F3F" w:rsidP="00070F3F">
            <w:pPr>
              <w:spacing w:after="0"/>
              <w:jc w:val="left"/>
              <w:rPr>
                <w:rFonts w:eastAsia="Times New Roman" w:cs="Times New Roman"/>
                <w:color w:val="000000"/>
                <w:sz w:val="20"/>
                <w:szCs w:val="20"/>
              </w:rPr>
            </w:pPr>
            <w:r w:rsidRPr="00AA3F66">
              <w:rPr>
                <w:rFonts w:eastAsia="Times New Roman" w:cs="Times New Roman"/>
                <w:color w:val="000000"/>
                <w:sz w:val="20"/>
                <w:szCs w:val="20"/>
              </w:rPr>
              <w:t> </w:t>
            </w:r>
          </w:p>
        </w:tc>
        <w:tc>
          <w:tcPr>
            <w:tcW w:w="1660" w:type="dxa"/>
            <w:tcBorders>
              <w:top w:val="nil"/>
              <w:left w:val="nil"/>
              <w:bottom w:val="nil"/>
              <w:right w:val="nil"/>
            </w:tcBorders>
            <w:shd w:val="clear" w:color="000000" w:fill="FFFFFF"/>
            <w:noWrap/>
            <w:vAlign w:val="bottom"/>
            <w:hideMark/>
          </w:tcPr>
          <w:p w:rsidR="00070F3F" w:rsidRPr="00AA3F66" w:rsidRDefault="00070F3F" w:rsidP="00070F3F">
            <w:pPr>
              <w:spacing w:after="0"/>
              <w:jc w:val="left"/>
              <w:rPr>
                <w:rFonts w:eastAsia="Times New Roman" w:cs="Times New Roman"/>
                <w:color w:val="000000"/>
                <w:sz w:val="20"/>
                <w:szCs w:val="20"/>
              </w:rPr>
            </w:pPr>
            <w:r w:rsidRPr="00AA3F66">
              <w:rPr>
                <w:rFonts w:eastAsia="Times New Roman" w:cs="Times New Roman"/>
                <w:color w:val="000000"/>
                <w:sz w:val="20"/>
                <w:szCs w:val="20"/>
              </w:rPr>
              <w:t> </w:t>
            </w:r>
          </w:p>
        </w:tc>
      </w:tr>
      <w:tr w:rsidR="00070F3F" w:rsidRPr="00AA3F66" w:rsidTr="00070F3F">
        <w:trPr>
          <w:trHeight w:val="319"/>
        </w:trPr>
        <w:tc>
          <w:tcPr>
            <w:tcW w:w="420" w:type="dxa"/>
            <w:tcBorders>
              <w:top w:val="nil"/>
              <w:left w:val="nil"/>
              <w:bottom w:val="nil"/>
              <w:right w:val="nil"/>
            </w:tcBorders>
            <w:shd w:val="clear" w:color="000000" w:fill="FFFFFF"/>
            <w:noWrap/>
            <w:vAlign w:val="center"/>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3.1</w:t>
            </w:r>
          </w:p>
        </w:tc>
        <w:tc>
          <w:tcPr>
            <w:tcW w:w="8936" w:type="dxa"/>
            <w:tcBorders>
              <w:top w:val="nil"/>
              <w:left w:val="nil"/>
              <w:bottom w:val="nil"/>
              <w:right w:val="nil"/>
            </w:tcBorders>
            <w:shd w:val="clear" w:color="000000" w:fill="FFFFFF"/>
            <w:noWrap/>
            <w:vAlign w:val="center"/>
            <w:hideMark/>
          </w:tcPr>
          <w:p w:rsidR="00070F3F" w:rsidRPr="00AA3F66" w:rsidRDefault="00070F3F" w:rsidP="00070F3F">
            <w:pPr>
              <w:spacing w:after="0"/>
              <w:ind w:firstLineChars="200" w:firstLine="400"/>
              <w:jc w:val="left"/>
              <w:rPr>
                <w:rFonts w:eastAsia="Times New Roman" w:cs="Times New Roman"/>
                <w:sz w:val="20"/>
                <w:szCs w:val="20"/>
              </w:rPr>
            </w:pPr>
            <w:r w:rsidRPr="00AA3F66">
              <w:rPr>
                <w:rFonts w:eastAsia="Times New Roman" w:cs="Times New Roman"/>
                <w:sz w:val="20"/>
                <w:szCs w:val="20"/>
              </w:rPr>
              <w:t>делегирани от държавата дейности</w:t>
            </w:r>
          </w:p>
        </w:tc>
        <w:tc>
          <w:tcPr>
            <w:tcW w:w="164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color w:val="000000"/>
                <w:sz w:val="20"/>
                <w:szCs w:val="20"/>
              </w:rPr>
            </w:pPr>
            <w:r w:rsidRPr="00AA3F66">
              <w:rPr>
                <w:rFonts w:eastAsia="Times New Roman" w:cs="Times New Roman"/>
                <w:color w:val="000000"/>
                <w:sz w:val="20"/>
                <w:szCs w:val="20"/>
              </w:rPr>
              <w:t>142 972,9</w:t>
            </w:r>
          </w:p>
        </w:tc>
        <w:tc>
          <w:tcPr>
            <w:tcW w:w="174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color w:val="000000"/>
                <w:sz w:val="20"/>
                <w:szCs w:val="20"/>
              </w:rPr>
            </w:pPr>
            <w:r w:rsidRPr="00AA3F66">
              <w:rPr>
                <w:rFonts w:eastAsia="Times New Roman" w:cs="Times New Roman"/>
                <w:color w:val="000000"/>
                <w:sz w:val="20"/>
                <w:szCs w:val="20"/>
              </w:rPr>
              <w:t>142 972,9</w:t>
            </w:r>
          </w:p>
        </w:tc>
        <w:tc>
          <w:tcPr>
            <w:tcW w:w="1660" w:type="dxa"/>
            <w:tcBorders>
              <w:top w:val="nil"/>
              <w:left w:val="nil"/>
              <w:bottom w:val="nil"/>
              <w:right w:val="nil"/>
            </w:tcBorders>
            <w:shd w:val="clear" w:color="000000" w:fill="FFFFFF"/>
            <w:noWrap/>
            <w:vAlign w:val="bottom"/>
            <w:hideMark/>
          </w:tcPr>
          <w:p w:rsidR="00070F3F" w:rsidRPr="00AA3F66" w:rsidRDefault="00070F3F" w:rsidP="00070F3F">
            <w:pPr>
              <w:spacing w:after="0"/>
              <w:jc w:val="right"/>
              <w:rPr>
                <w:rFonts w:eastAsia="Times New Roman" w:cs="Times New Roman"/>
                <w:color w:val="000000"/>
                <w:sz w:val="20"/>
                <w:szCs w:val="20"/>
              </w:rPr>
            </w:pPr>
            <w:r w:rsidRPr="00AA3F66">
              <w:rPr>
                <w:rFonts w:eastAsia="Times New Roman" w:cs="Times New Roman"/>
                <w:color w:val="000000"/>
                <w:sz w:val="20"/>
                <w:szCs w:val="20"/>
              </w:rPr>
              <w:t>142 972,9</w:t>
            </w:r>
          </w:p>
        </w:tc>
      </w:tr>
      <w:tr w:rsidR="00070F3F" w:rsidRPr="00AA3F66" w:rsidTr="00070F3F">
        <w:trPr>
          <w:trHeight w:val="319"/>
        </w:trPr>
        <w:tc>
          <w:tcPr>
            <w:tcW w:w="420" w:type="dxa"/>
            <w:tcBorders>
              <w:top w:val="nil"/>
              <w:left w:val="nil"/>
              <w:bottom w:val="single" w:sz="4" w:space="0" w:color="auto"/>
              <w:right w:val="nil"/>
            </w:tcBorders>
            <w:shd w:val="clear" w:color="000000" w:fill="FFFFFF"/>
            <w:noWrap/>
            <w:vAlign w:val="center"/>
            <w:hideMark/>
          </w:tcPr>
          <w:p w:rsidR="00070F3F" w:rsidRPr="00AA3F66" w:rsidRDefault="00070F3F" w:rsidP="00070F3F">
            <w:pPr>
              <w:spacing w:after="0"/>
              <w:jc w:val="right"/>
              <w:rPr>
                <w:rFonts w:eastAsia="Times New Roman" w:cs="Times New Roman"/>
                <w:sz w:val="20"/>
                <w:szCs w:val="20"/>
              </w:rPr>
            </w:pPr>
            <w:r w:rsidRPr="00AA3F66">
              <w:rPr>
                <w:rFonts w:eastAsia="Times New Roman" w:cs="Times New Roman"/>
                <w:sz w:val="20"/>
                <w:szCs w:val="20"/>
              </w:rPr>
              <w:t>3.2</w:t>
            </w:r>
          </w:p>
        </w:tc>
        <w:tc>
          <w:tcPr>
            <w:tcW w:w="8936" w:type="dxa"/>
            <w:tcBorders>
              <w:top w:val="nil"/>
              <w:left w:val="nil"/>
              <w:bottom w:val="single" w:sz="4" w:space="0" w:color="auto"/>
              <w:right w:val="nil"/>
            </w:tcBorders>
            <w:shd w:val="clear" w:color="000000" w:fill="FFFFFF"/>
            <w:noWrap/>
            <w:vAlign w:val="center"/>
            <w:hideMark/>
          </w:tcPr>
          <w:p w:rsidR="00070F3F" w:rsidRPr="00AA3F66" w:rsidRDefault="00070F3F" w:rsidP="00070F3F">
            <w:pPr>
              <w:spacing w:after="0"/>
              <w:ind w:firstLineChars="200" w:firstLine="400"/>
              <w:jc w:val="left"/>
              <w:rPr>
                <w:rFonts w:eastAsia="Times New Roman" w:cs="Times New Roman"/>
                <w:sz w:val="20"/>
                <w:szCs w:val="20"/>
              </w:rPr>
            </w:pPr>
            <w:r w:rsidRPr="00AA3F66">
              <w:rPr>
                <w:rFonts w:eastAsia="Times New Roman" w:cs="Times New Roman"/>
                <w:sz w:val="20"/>
                <w:szCs w:val="20"/>
              </w:rPr>
              <w:t>местни дейности</w:t>
            </w:r>
          </w:p>
        </w:tc>
        <w:tc>
          <w:tcPr>
            <w:tcW w:w="1640" w:type="dxa"/>
            <w:tcBorders>
              <w:top w:val="nil"/>
              <w:left w:val="nil"/>
              <w:bottom w:val="single" w:sz="4" w:space="0" w:color="auto"/>
              <w:right w:val="nil"/>
            </w:tcBorders>
            <w:shd w:val="clear" w:color="000000" w:fill="FFFFFF"/>
            <w:noWrap/>
            <w:vAlign w:val="bottom"/>
            <w:hideMark/>
          </w:tcPr>
          <w:p w:rsidR="00070F3F" w:rsidRPr="00AA3F66" w:rsidRDefault="00070F3F" w:rsidP="00070F3F">
            <w:pPr>
              <w:spacing w:after="0"/>
              <w:jc w:val="right"/>
              <w:rPr>
                <w:rFonts w:eastAsia="Times New Roman" w:cs="Times New Roman"/>
                <w:color w:val="000000"/>
                <w:sz w:val="20"/>
                <w:szCs w:val="20"/>
              </w:rPr>
            </w:pPr>
            <w:r w:rsidRPr="00AA3F66">
              <w:rPr>
                <w:rFonts w:eastAsia="Times New Roman" w:cs="Times New Roman"/>
                <w:color w:val="000000"/>
                <w:sz w:val="20"/>
                <w:szCs w:val="20"/>
              </w:rPr>
              <w:t>283 337,3</w:t>
            </w:r>
          </w:p>
        </w:tc>
        <w:tc>
          <w:tcPr>
            <w:tcW w:w="1740" w:type="dxa"/>
            <w:tcBorders>
              <w:top w:val="nil"/>
              <w:left w:val="nil"/>
              <w:bottom w:val="single" w:sz="4" w:space="0" w:color="auto"/>
              <w:right w:val="nil"/>
            </w:tcBorders>
            <w:shd w:val="clear" w:color="000000" w:fill="FFFFFF"/>
            <w:noWrap/>
            <w:vAlign w:val="bottom"/>
            <w:hideMark/>
          </w:tcPr>
          <w:p w:rsidR="00070F3F" w:rsidRPr="00AA3F66" w:rsidRDefault="00070F3F" w:rsidP="00070F3F">
            <w:pPr>
              <w:spacing w:after="0"/>
              <w:jc w:val="right"/>
              <w:rPr>
                <w:rFonts w:eastAsia="Times New Roman" w:cs="Times New Roman"/>
                <w:color w:val="000000"/>
                <w:sz w:val="20"/>
                <w:szCs w:val="20"/>
              </w:rPr>
            </w:pPr>
            <w:r w:rsidRPr="00AA3F66">
              <w:rPr>
                <w:rFonts w:eastAsia="Times New Roman" w:cs="Times New Roman"/>
                <w:color w:val="000000"/>
                <w:sz w:val="20"/>
                <w:szCs w:val="20"/>
              </w:rPr>
              <w:t>283 337,3</w:t>
            </w:r>
          </w:p>
        </w:tc>
        <w:tc>
          <w:tcPr>
            <w:tcW w:w="1660" w:type="dxa"/>
            <w:tcBorders>
              <w:top w:val="nil"/>
              <w:left w:val="nil"/>
              <w:bottom w:val="single" w:sz="4" w:space="0" w:color="auto"/>
              <w:right w:val="nil"/>
            </w:tcBorders>
            <w:shd w:val="clear" w:color="000000" w:fill="FFFFFF"/>
            <w:noWrap/>
            <w:vAlign w:val="bottom"/>
            <w:hideMark/>
          </w:tcPr>
          <w:p w:rsidR="00070F3F" w:rsidRPr="00AA3F66" w:rsidRDefault="00070F3F" w:rsidP="00070F3F">
            <w:pPr>
              <w:spacing w:after="0"/>
              <w:jc w:val="right"/>
              <w:rPr>
                <w:rFonts w:eastAsia="Times New Roman" w:cs="Times New Roman"/>
                <w:color w:val="000000"/>
                <w:sz w:val="20"/>
                <w:szCs w:val="20"/>
              </w:rPr>
            </w:pPr>
            <w:r w:rsidRPr="00AA3F66">
              <w:rPr>
                <w:rFonts w:eastAsia="Times New Roman" w:cs="Times New Roman"/>
                <w:color w:val="000000"/>
                <w:sz w:val="20"/>
                <w:szCs w:val="20"/>
              </w:rPr>
              <w:t>283 337,3</w:t>
            </w:r>
          </w:p>
        </w:tc>
      </w:tr>
    </w:tbl>
    <w:p w:rsidR="00070F3F" w:rsidRPr="00AA3F66" w:rsidRDefault="00070F3F" w:rsidP="00283DFE">
      <w:pPr>
        <w:spacing w:after="0"/>
        <w:jc w:val="right"/>
        <w:rPr>
          <w:sz w:val="20"/>
          <w:szCs w:val="20"/>
        </w:rPr>
      </w:pPr>
    </w:p>
    <w:p w:rsidR="00070F3F" w:rsidRPr="00AA3F66" w:rsidRDefault="00070F3F" w:rsidP="00283DFE">
      <w:pPr>
        <w:spacing w:after="0"/>
        <w:jc w:val="right"/>
        <w:rPr>
          <w:sz w:val="20"/>
          <w:szCs w:val="20"/>
        </w:rPr>
      </w:pPr>
    </w:p>
    <w:p w:rsidR="00283DFE" w:rsidRPr="00AA3F66" w:rsidRDefault="00283DFE" w:rsidP="00283DFE">
      <w:pPr>
        <w:spacing w:after="0"/>
        <w:rPr>
          <w:sz w:val="20"/>
          <w:szCs w:val="20"/>
        </w:rPr>
      </w:pPr>
    </w:p>
    <w:p w:rsidR="00283DFE" w:rsidRPr="00AA3F66" w:rsidRDefault="00283DFE" w:rsidP="001B116E">
      <w:pPr>
        <w:spacing w:after="0"/>
        <w:jc w:val="right"/>
        <w:rPr>
          <w:sz w:val="20"/>
          <w:szCs w:val="20"/>
        </w:rPr>
      </w:pPr>
    </w:p>
    <w:p w:rsidR="00283DFE" w:rsidRPr="00AA3F66" w:rsidRDefault="00283DFE" w:rsidP="001B116E">
      <w:pPr>
        <w:spacing w:after="0"/>
        <w:jc w:val="right"/>
        <w:rPr>
          <w:sz w:val="20"/>
          <w:szCs w:val="20"/>
        </w:rPr>
      </w:pPr>
    </w:p>
    <w:p w:rsidR="006A5358" w:rsidRPr="00AA3F66" w:rsidRDefault="006A5358" w:rsidP="001B116E">
      <w:pPr>
        <w:spacing w:after="0"/>
        <w:jc w:val="right"/>
        <w:rPr>
          <w:sz w:val="20"/>
          <w:szCs w:val="20"/>
        </w:rPr>
      </w:pPr>
    </w:p>
    <w:p w:rsidR="00DB1E75" w:rsidRPr="00AA3F66" w:rsidRDefault="00DB1E75" w:rsidP="00C15C7B">
      <w:pPr>
        <w:spacing w:after="0"/>
        <w:ind w:firstLine="12902"/>
        <w:jc w:val="left"/>
        <w:rPr>
          <w:sz w:val="20"/>
          <w:szCs w:val="20"/>
        </w:rPr>
      </w:pPr>
    </w:p>
    <w:p w:rsidR="00DB1E75" w:rsidRPr="00AA3F66" w:rsidRDefault="00DB1E75" w:rsidP="00C15C7B">
      <w:pPr>
        <w:spacing w:after="0"/>
        <w:ind w:firstLine="12902"/>
        <w:jc w:val="left"/>
        <w:rPr>
          <w:sz w:val="20"/>
          <w:szCs w:val="20"/>
        </w:rPr>
      </w:pPr>
    </w:p>
    <w:p w:rsidR="004349B9" w:rsidRPr="00AA3F66" w:rsidRDefault="004349B9" w:rsidP="00E147BA">
      <w:pPr>
        <w:spacing w:after="120"/>
        <w:jc w:val="left"/>
        <w:rPr>
          <w:sz w:val="20"/>
          <w:szCs w:val="20"/>
        </w:rPr>
      </w:pPr>
    </w:p>
    <w:p w:rsidR="00876743" w:rsidRPr="00AA3F66" w:rsidRDefault="00876743" w:rsidP="00D504BE">
      <w:pPr>
        <w:suppressAutoHyphens/>
        <w:autoSpaceDE w:val="0"/>
        <w:autoSpaceDN w:val="0"/>
        <w:adjustRightInd w:val="0"/>
        <w:spacing w:after="120" w:line="276" w:lineRule="auto"/>
        <w:rPr>
          <w:b/>
        </w:rPr>
        <w:sectPr w:rsidR="00876743" w:rsidRPr="00AA3F66" w:rsidSect="002D7CED">
          <w:pgSz w:w="16838" w:h="11906" w:orient="landscape" w:code="9"/>
          <w:pgMar w:top="1134" w:right="1134" w:bottom="284" w:left="1134" w:header="709" w:footer="709" w:gutter="0"/>
          <w:cols w:space="708"/>
          <w:titlePg/>
          <w:docGrid w:linePitch="360"/>
        </w:sectPr>
      </w:pPr>
    </w:p>
    <w:p w:rsidR="00C037C4" w:rsidRPr="00AA3F66" w:rsidRDefault="00C037C4" w:rsidP="00DE2BDB">
      <w:pPr>
        <w:pStyle w:val="Heading2"/>
        <w:numPr>
          <w:ilvl w:val="0"/>
          <w:numId w:val="0"/>
        </w:numPr>
      </w:pPr>
      <w:bookmarkStart w:id="693" w:name="_Toc151557331"/>
      <w:r w:rsidRPr="00AA3F66">
        <w:t xml:space="preserve">Приложение № 10: </w:t>
      </w:r>
      <w:r w:rsidRPr="00AA3F66">
        <w:br/>
      </w:r>
      <w:r w:rsidR="0098294A" w:rsidRPr="00AA3F66">
        <w:t>Данъчни разходи за 2022 и 2024</w:t>
      </w:r>
      <w:r w:rsidR="00F60E52" w:rsidRPr="00AA3F66">
        <w:t xml:space="preserve"> г.</w:t>
      </w:r>
      <w:bookmarkEnd w:id="693"/>
    </w:p>
    <w:p w:rsidR="004257EE" w:rsidRPr="00AA3F66" w:rsidRDefault="004257EE" w:rsidP="0074504C">
      <w:pPr>
        <w:suppressAutoHyphens/>
        <w:autoSpaceDE w:val="0"/>
        <w:autoSpaceDN w:val="0"/>
        <w:adjustRightInd w:val="0"/>
        <w:spacing w:after="120"/>
        <w:rPr>
          <w:sz w:val="20"/>
          <w:szCs w:val="20"/>
        </w:rPr>
      </w:pPr>
      <w:r w:rsidRPr="00AA3F66">
        <w:rPr>
          <w:sz w:val="20"/>
          <w:szCs w:val="20"/>
        </w:rPr>
        <w:t xml:space="preserve">Изготвената прогноза за данъчните разходи за 2024 г. представлява предварителна оценка на данъчните разходи по данъчни преференции и облекчения, регламентирани в Закона за данък върху добавената стойност, Закона за акцизите и данъчните складове, Закона за корпоративното подоходно облагане и Закона за данъците върху доходите на физическите лица за съответната година. </w:t>
      </w:r>
    </w:p>
    <w:p w:rsidR="004257EE" w:rsidRPr="00AA3F66" w:rsidRDefault="004257EE" w:rsidP="0074504C">
      <w:pPr>
        <w:suppressAutoHyphens/>
        <w:autoSpaceDE w:val="0"/>
        <w:autoSpaceDN w:val="0"/>
        <w:adjustRightInd w:val="0"/>
        <w:spacing w:after="120"/>
        <w:rPr>
          <w:sz w:val="20"/>
          <w:szCs w:val="20"/>
        </w:rPr>
      </w:pPr>
      <w:r w:rsidRPr="00AA3F66">
        <w:rPr>
          <w:sz w:val="20"/>
          <w:szCs w:val="20"/>
        </w:rPr>
        <w:t xml:space="preserve">За целите на прогнозата е използван методът на преотстъпените приходи. Това е най-често използваният метод за оценка на стойността на данъчните разходи, който се свежда до оценка на суми, които не са платени в бюджета в резултат на съществуването на определен данъчен разход. </w:t>
      </w:r>
    </w:p>
    <w:p w:rsidR="004257EE" w:rsidRPr="00AA3F66" w:rsidRDefault="004257EE" w:rsidP="0074504C">
      <w:pPr>
        <w:suppressAutoHyphens/>
        <w:autoSpaceDE w:val="0"/>
        <w:autoSpaceDN w:val="0"/>
        <w:adjustRightInd w:val="0"/>
        <w:spacing w:after="120"/>
        <w:rPr>
          <w:sz w:val="20"/>
          <w:szCs w:val="20"/>
        </w:rPr>
      </w:pPr>
      <w:r w:rsidRPr="00AA3F66">
        <w:rPr>
          <w:sz w:val="20"/>
          <w:szCs w:val="20"/>
        </w:rPr>
        <w:t xml:space="preserve">При остойностяване на данъчните разходи по различните видове данъци е използвана информацията от </w:t>
      </w:r>
      <w:r w:rsidR="00F4519D" w:rsidRPr="00AA3F66">
        <w:rPr>
          <w:sz w:val="20"/>
          <w:szCs w:val="20"/>
        </w:rPr>
        <w:t>есенната</w:t>
      </w:r>
      <w:r w:rsidRPr="00AA3F66">
        <w:rPr>
          <w:sz w:val="20"/>
          <w:szCs w:val="20"/>
        </w:rPr>
        <w:t xml:space="preserve"> макроикономическа прогноза на Министерството на финансите за периода 2024-2026 г., действащата нормативна уредба, предложените промени в законопроектите за изменение и допълнение на данъчните закони за 2024 г., основните допускания в актуализираната средносрочна бюджетна прогноза, разпоредбите от проекта на ЗДБРБ за 2023 г., както и отчетна информация, предоставена от Националната агенция за приходите, Агенция „Митници“, Националния статистически институт, Българска народна банка и др.</w:t>
      </w:r>
    </w:p>
    <w:p w:rsidR="004257EE" w:rsidRPr="00AA3F66" w:rsidRDefault="004257EE" w:rsidP="0074504C">
      <w:pPr>
        <w:suppressAutoHyphens/>
        <w:autoSpaceDE w:val="0"/>
        <w:autoSpaceDN w:val="0"/>
        <w:adjustRightInd w:val="0"/>
        <w:spacing w:after="120"/>
        <w:rPr>
          <w:sz w:val="20"/>
          <w:szCs w:val="20"/>
        </w:rPr>
      </w:pPr>
      <w:r w:rsidRPr="00AA3F66">
        <w:rPr>
          <w:sz w:val="20"/>
          <w:szCs w:val="20"/>
        </w:rPr>
        <w:t>При оценката са взети предвид направените промени в ЗДДС (на основание § 5 на ЗИД на ЗДДС за изменение на чл. 66а от ЗДДС, обн. в ДВ, бр. 102 от 23.12.2022 г., в сила от 1 януари 2023 г.), където временният характер на ставката от  9% за доставка на книги</w:t>
      </w:r>
      <w:r w:rsidR="00F4519D" w:rsidRPr="00AA3F66">
        <w:rPr>
          <w:sz w:val="20"/>
          <w:szCs w:val="20"/>
        </w:rPr>
        <w:t xml:space="preserve"> и периодични печатни произведения</w:t>
      </w:r>
      <w:r w:rsidRPr="00AA3F66">
        <w:rPr>
          <w:sz w:val="20"/>
          <w:szCs w:val="20"/>
        </w:rPr>
        <w:t xml:space="preserve">, на храна, подходяща за бебета или за малки деца, и на бебешки пелени и подобни хигиенни артикули е изменен в постоянен. Предвид това, същите са включени в оценката на данъчните разходи за 2024 като постоянна мярка по ЗДДС. </w:t>
      </w:r>
    </w:p>
    <w:tbl>
      <w:tblPr>
        <w:tblW w:w="5000" w:type="pct"/>
        <w:jc w:val="center"/>
        <w:tblCellMar>
          <w:left w:w="70" w:type="dxa"/>
          <w:right w:w="70" w:type="dxa"/>
        </w:tblCellMar>
        <w:tblLook w:val="04A0" w:firstRow="1" w:lastRow="0" w:firstColumn="1" w:lastColumn="0" w:noHBand="0" w:noVBand="1"/>
      </w:tblPr>
      <w:tblGrid>
        <w:gridCol w:w="8937"/>
        <w:gridCol w:w="2139"/>
        <w:gridCol w:w="1023"/>
        <w:gridCol w:w="2471"/>
      </w:tblGrid>
      <w:tr w:rsidR="004257EE" w:rsidRPr="00AA3F66" w:rsidTr="00DB2A9A">
        <w:trPr>
          <w:trHeight w:val="315"/>
          <w:jc w:val="center"/>
        </w:trPr>
        <w:tc>
          <w:tcPr>
            <w:tcW w:w="3067" w:type="pct"/>
            <w:tcBorders>
              <w:top w:val="nil"/>
              <w:left w:val="nil"/>
              <w:bottom w:val="single" w:sz="4" w:space="0" w:color="auto"/>
              <w:right w:val="nil"/>
            </w:tcBorders>
            <w:shd w:val="clear" w:color="auto" w:fill="auto"/>
            <w:noWrap/>
            <w:vAlign w:val="bottom"/>
            <w:hideMark/>
          </w:tcPr>
          <w:p w:rsidR="004257EE" w:rsidRPr="00AA3F66" w:rsidRDefault="004257EE" w:rsidP="00DB2A9A">
            <w:pPr>
              <w:spacing w:after="0"/>
              <w:jc w:val="left"/>
              <w:rPr>
                <w:rFonts w:eastAsia="Times New Roman"/>
                <w:sz w:val="20"/>
                <w:szCs w:val="20"/>
              </w:rPr>
            </w:pPr>
          </w:p>
        </w:tc>
        <w:tc>
          <w:tcPr>
            <w:tcW w:w="734" w:type="pct"/>
            <w:tcBorders>
              <w:top w:val="nil"/>
              <w:left w:val="nil"/>
              <w:bottom w:val="single" w:sz="4" w:space="0" w:color="auto"/>
              <w:right w:val="nil"/>
            </w:tcBorders>
            <w:shd w:val="clear" w:color="auto" w:fill="auto"/>
            <w:noWrap/>
            <w:vAlign w:val="bottom"/>
            <w:hideMark/>
          </w:tcPr>
          <w:p w:rsidR="004257EE" w:rsidRPr="00AA3F66" w:rsidRDefault="004257EE" w:rsidP="00DB2A9A">
            <w:pPr>
              <w:spacing w:after="0"/>
              <w:jc w:val="left"/>
              <w:rPr>
                <w:rFonts w:eastAsia="Times New Roman"/>
                <w:sz w:val="20"/>
                <w:szCs w:val="20"/>
              </w:rPr>
            </w:pPr>
          </w:p>
        </w:tc>
        <w:tc>
          <w:tcPr>
            <w:tcW w:w="351" w:type="pct"/>
            <w:tcBorders>
              <w:top w:val="nil"/>
              <w:left w:val="nil"/>
              <w:bottom w:val="single" w:sz="4" w:space="0" w:color="auto"/>
              <w:right w:val="nil"/>
            </w:tcBorders>
            <w:shd w:val="clear" w:color="auto" w:fill="auto"/>
            <w:noWrap/>
            <w:vAlign w:val="bottom"/>
            <w:hideMark/>
          </w:tcPr>
          <w:p w:rsidR="004257EE" w:rsidRPr="00AA3F66" w:rsidRDefault="004257EE" w:rsidP="00DB2A9A">
            <w:pPr>
              <w:spacing w:after="0"/>
              <w:jc w:val="left"/>
              <w:rPr>
                <w:rFonts w:eastAsia="Times New Roman"/>
                <w:sz w:val="20"/>
                <w:szCs w:val="20"/>
              </w:rPr>
            </w:pPr>
          </w:p>
        </w:tc>
        <w:tc>
          <w:tcPr>
            <w:tcW w:w="848" w:type="pct"/>
            <w:tcBorders>
              <w:top w:val="nil"/>
              <w:left w:val="nil"/>
              <w:bottom w:val="single" w:sz="4" w:space="0" w:color="auto"/>
              <w:right w:val="nil"/>
            </w:tcBorders>
            <w:shd w:val="clear" w:color="auto" w:fill="auto"/>
            <w:noWrap/>
            <w:vAlign w:val="bottom"/>
            <w:hideMark/>
          </w:tcPr>
          <w:p w:rsidR="004257EE" w:rsidRPr="00AA3F66" w:rsidRDefault="004257EE" w:rsidP="00DB2A9A">
            <w:pPr>
              <w:spacing w:after="0"/>
              <w:jc w:val="right"/>
              <w:rPr>
                <w:rFonts w:eastAsia="Times New Roman"/>
                <w:sz w:val="20"/>
                <w:szCs w:val="20"/>
              </w:rPr>
            </w:pPr>
            <w:r w:rsidRPr="00AA3F66">
              <w:rPr>
                <w:rFonts w:eastAsia="Times New Roman"/>
                <w:sz w:val="20"/>
                <w:szCs w:val="20"/>
              </w:rPr>
              <w:t>(в хил. лв.)</w:t>
            </w:r>
          </w:p>
          <w:p w:rsidR="004257EE" w:rsidRPr="00AA3F66" w:rsidRDefault="004257EE" w:rsidP="00DB2A9A">
            <w:pPr>
              <w:spacing w:after="0"/>
              <w:jc w:val="right"/>
              <w:rPr>
                <w:rFonts w:eastAsia="Times New Roman"/>
                <w:sz w:val="20"/>
                <w:szCs w:val="20"/>
              </w:rPr>
            </w:pPr>
          </w:p>
        </w:tc>
      </w:tr>
      <w:tr w:rsidR="004257EE" w:rsidRPr="00AA3F66" w:rsidTr="00DB2A9A">
        <w:trPr>
          <w:trHeight w:val="945"/>
          <w:jc w:val="center"/>
        </w:trPr>
        <w:tc>
          <w:tcPr>
            <w:tcW w:w="3067" w:type="pct"/>
            <w:tcBorders>
              <w:top w:val="single" w:sz="4" w:space="0" w:color="auto"/>
              <w:bottom w:val="single" w:sz="4" w:space="0" w:color="auto"/>
            </w:tcBorders>
            <w:shd w:val="clear" w:color="auto" w:fill="auto"/>
            <w:vAlign w:val="center"/>
            <w:hideMark/>
          </w:tcPr>
          <w:p w:rsidR="004257EE" w:rsidRPr="00AA3F66" w:rsidRDefault="004257EE" w:rsidP="00DB2A9A">
            <w:pPr>
              <w:spacing w:after="0"/>
              <w:jc w:val="center"/>
              <w:rPr>
                <w:rFonts w:eastAsia="Times New Roman"/>
                <w:b/>
                <w:bCs/>
                <w:color w:val="000000"/>
                <w:sz w:val="20"/>
                <w:szCs w:val="20"/>
              </w:rPr>
            </w:pPr>
            <w:r w:rsidRPr="00AA3F66">
              <w:rPr>
                <w:rFonts w:eastAsia="Times New Roman"/>
                <w:b/>
                <w:bCs/>
                <w:color w:val="000000"/>
                <w:sz w:val="20"/>
                <w:szCs w:val="20"/>
              </w:rPr>
              <w:t>Данъчни разходи по видове данъци, в т.ч.</w:t>
            </w:r>
          </w:p>
        </w:tc>
        <w:tc>
          <w:tcPr>
            <w:tcW w:w="734" w:type="pct"/>
            <w:tcBorders>
              <w:top w:val="single" w:sz="4" w:space="0" w:color="auto"/>
              <w:bottom w:val="single" w:sz="4" w:space="0" w:color="auto"/>
            </w:tcBorders>
            <w:shd w:val="clear" w:color="auto" w:fill="auto"/>
            <w:vAlign w:val="center"/>
            <w:hideMark/>
          </w:tcPr>
          <w:p w:rsidR="004257EE" w:rsidRPr="00AA3F66" w:rsidRDefault="004257EE" w:rsidP="00DB2A9A">
            <w:pPr>
              <w:spacing w:after="0"/>
              <w:ind w:left="213"/>
              <w:jc w:val="center"/>
              <w:rPr>
                <w:rFonts w:eastAsia="Times New Roman"/>
                <w:b/>
                <w:bCs/>
                <w:color w:val="000000"/>
                <w:sz w:val="20"/>
                <w:szCs w:val="20"/>
              </w:rPr>
            </w:pPr>
            <w:r w:rsidRPr="00AA3F66">
              <w:rPr>
                <w:rFonts w:eastAsia="Times New Roman"/>
                <w:b/>
                <w:bCs/>
                <w:color w:val="000000"/>
                <w:sz w:val="20"/>
                <w:szCs w:val="20"/>
              </w:rPr>
              <w:t xml:space="preserve">   2022 г.</w:t>
            </w:r>
          </w:p>
          <w:p w:rsidR="004257EE" w:rsidRPr="00AA3F66" w:rsidRDefault="004257EE" w:rsidP="00DB2A9A">
            <w:pPr>
              <w:spacing w:after="0"/>
              <w:ind w:left="213"/>
              <w:jc w:val="center"/>
              <w:rPr>
                <w:rFonts w:eastAsia="Times New Roman"/>
                <w:b/>
                <w:bCs/>
                <w:color w:val="000000"/>
                <w:sz w:val="20"/>
                <w:szCs w:val="20"/>
              </w:rPr>
            </w:pPr>
            <w:r w:rsidRPr="00AA3F66">
              <w:rPr>
                <w:rFonts w:eastAsia="Times New Roman"/>
                <w:b/>
                <w:bCs/>
                <w:color w:val="000000"/>
                <w:sz w:val="20"/>
                <w:szCs w:val="20"/>
              </w:rPr>
              <w:t>Отчет</w:t>
            </w:r>
          </w:p>
        </w:tc>
        <w:tc>
          <w:tcPr>
            <w:tcW w:w="351" w:type="pct"/>
            <w:tcBorders>
              <w:top w:val="single" w:sz="4" w:space="0" w:color="auto"/>
              <w:bottom w:val="single" w:sz="4" w:space="0" w:color="auto"/>
            </w:tcBorders>
            <w:shd w:val="clear" w:color="auto" w:fill="auto"/>
            <w:vAlign w:val="center"/>
            <w:hideMark/>
          </w:tcPr>
          <w:p w:rsidR="004257EE" w:rsidRPr="00AA3F66" w:rsidRDefault="004257EE" w:rsidP="00DB2A9A">
            <w:pPr>
              <w:spacing w:after="0"/>
              <w:jc w:val="center"/>
              <w:rPr>
                <w:rFonts w:eastAsia="Times New Roman"/>
                <w:b/>
                <w:bCs/>
                <w:color w:val="000000"/>
                <w:sz w:val="20"/>
                <w:szCs w:val="20"/>
              </w:rPr>
            </w:pPr>
          </w:p>
        </w:tc>
        <w:tc>
          <w:tcPr>
            <w:tcW w:w="848" w:type="pct"/>
            <w:tcBorders>
              <w:top w:val="single" w:sz="4" w:space="0" w:color="auto"/>
              <w:bottom w:val="single" w:sz="4" w:space="0" w:color="auto"/>
            </w:tcBorders>
            <w:shd w:val="clear" w:color="auto" w:fill="auto"/>
            <w:vAlign w:val="center"/>
            <w:hideMark/>
          </w:tcPr>
          <w:p w:rsidR="004257EE" w:rsidRPr="00AA3F66" w:rsidRDefault="004257EE" w:rsidP="00DB2A9A">
            <w:pPr>
              <w:spacing w:after="0"/>
              <w:jc w:val="center"/>
              <w:rPr>
                <w:rFonts w:eastAsia="Times New Roman"/>
                <w:b/>
                <w:bCs/>
                <w:color w:val="000000"/>
                <w:sz w:val="20"/>
                <w:szCs w:val="20"/>
              </w:rPr>
            </w:pPr>
            <w:r w:rsidRPr="00AA3F66">
              <w:rPr>
                <w:rFonts w:eastAsia="Times New Roman"/>
                <w:b/>
                <w:bCs/>
                <w:color w:val="000000"/>
                <w:sz w:val="20"/>
                <w:szCs w:val="20"/>
              </w:rPr>
              <w:t xml:space="preserve"> 2024 г.</w:t>
            </w:r>
          </w:p>
          <w:p w:rsidR="004257EE" w:rsidRPr="00AA3F66" w:rsidRDefault="004257EE" w:rsidP="00DB2A9A">
            <w:pPr>
              <w:spacing w:after="0"/>
              <w:jc w:val="center"/>
              <w:rPr>
                <w:rFonts w:eastAsia="Times New Roman"/>
                <w:b/>
                <w:bCs/>
                <w:color w:val="000000"/>
                <w:sz w:val="20"/>
                <w:szCs w:val="20"/>
              </w:rPr>
            </w:pPr>
            <w:r w:rsidRPr="00AA3F66">
              <w:rPr>
                <w:rFonts w:eastAsia="Times New Roman"/>
                <w:b/>
                <w:bCs/>
                <w:color w:val="000000"/>
                <w:sz w:val="20"/>
                <w:szCs w:val="20"/>
              </w:rPr>
              <w:t>Проект</w:t>
            </w:r>
          </w:p>
        </w:tc>
      </w:tr>
      <w:tr w:rsidR="004257EE" w:rsidRPr="00AA3F66" w:rsidTr="00DB2A9A">
        <w:trPr>
          <w:trHeight w:val="315"/>
          <w:jc w:val="center"/>
        </w:trPr>
        <w:tc>
          <w:tcPr>
            <w:tcW w:w="3067" w:type="pct"/>
            <w:tcBorders>
              <w:top w:val="single" w:sz="4" w:space="0" w:color="auto"/>
            </w:tcBorders>
            <w:shd w:val="clear" w:color="000000" w:fill="FFFFFF"/>
            <w:noWrap/>
            <w:vAlign w:val="bottom"/>
            <w:hideMark/>
          </w:tcPr>
          <w:p w:rsidR="004257EE" w:rsidRPr="00AA3F66" w:rsidRDefault="004257EE" w:rsidP="00DB2A9A">
            <w:pPr>
              <w:spacing w:after="0"/>
              <w:jc w:val="left"/>
              <w:rPr>
                <w:rFonts w:eastAsia="Times New Roman"/>
                <w:sz w:val="20"/>
                <w:szCs w:val="20"/>
              </w:rPr>
            </w:pPr>
            <w:r w:rsidRPr="00AA3F66">
              <w:rPr>
                <w:rFonts w:eastAsia="Times New Roman"/>
                <w:sz w:val="20"/>
                <w:szCs w:val="20"/>
              </w:rPr>
              <w:t>ДДС</w:t>
            </w:r>
          </w:p>
        </w:tc>
        <w:tc>
          <w:tcPr>
            <w:tcW w:w="734" w:type="pct"/>
            <w:tcBorders>
              <w:top w:val="single" w:sz="4" w:space="0" w:color="auto"/>
            </w:tcBorders>
            <w:shd w:val="clear" w:color="auto" w:fill="auto"/>
            <w:noWrap/>
            <w:hideMark/>
          </w:tcPr>
          <w:p w:rsidR="004257EE" w:rsidRPr="00AA3F66" w:rsidRDefault="004257EE" w:rsidP="00DB2A9A">
            <w:pPr>
              <w:spacing w:after="0"/>
              <w:jc w:val="center"/>
              <w:rPr>
                <w:sz w:val="20"/>
                <w:szCs w:val="20"/>
              </w:rPr>
            </w:pPr>
            <w:r w:rsidRPr="00AA3F66">
              <w:rPr>
                <w:sz w:val="20"/>
                <w:szCs w:val="20"/>
              </w:rPr>
              <w:t>213 114</w:t>
            </w:r>
          </w:p>
        </w:tc>
        <w:tc>
          <w:tcPr>
            <w:tcW w:w="351" w:type="pct"/>
            <w:tcBorders>
              <w:top w:val="single" w:sz="4" w:space="0" w:color="auto"/>
            </w:tcBorders>
            <w:shd w:val="clear" w:color="auto" w:fill="auto"/>
            <w:noWrap/>
            <w:vAlign w:val="bottom"/>
            <w:hideMark/>
          </w:tcPr>
          <w:p w:rsidR="004257EE" w:rsidRPr="00AA3F66" w:rsidRDefault="004257EE" w:rsidP="00DB2A9A">
            <w:pPr>
              <w:spacing w:after="0"/>
              <w:jc w:val="center"/>
              <w:rPr>
                <w:rFonts w:eastAsia="Times New Roman"/>
                <w:sz w:val="20"/>
                <w:szCs w:val="20"/>
              </w:rPr>
            </w:pPr>
          </w:p>
        </w:tc>
        <w:tc>
          <w:tcPr>
            <w:tcW w:w="848" w:type="pct"/>
            <w:tcBorders>
              <w:top w:val="single" w:sz="4" w:space="0" w:color="auto"/>
            </w:tcBorders>
            <w:shd w:val="clear" w:color="auto" w:fill="auto"/>
            <w:noWrap/>
            <w:hideMark/>
          </w:tcPr>
          <w:p w:rsidR="004257EE" w:rsidRPr="00AA3F66" w:rsidRDefault="004257EE" w:rsidP="00DB2A9A">
            <w:pPr>
              <w:spacing w:after="0"/>
              <w:jc w:val="center"/>
              <w:rPr>
                <w:sz w:val="20"/>
                <w:szCs w:val="20"/>
              </w:rPr>
            </w:pPr>
            <w:r w:rsidRPr="00AA3F66">
              <w:rPr>
                <w:sz w:val="20"/>
                <w:szCs w:val="20"/>
              </w:rPr>
              <w:t>276 326</w:t>
            </w:r>
          </w:p>
        </w:tc>
      </w:tr>
      <w:tr w:rsidR="004257EE" w:rsidRPr="00AA3F66" w:rsidTr="00DB2A9A">
        <w:trPr>
          <w:trHeight w:val="315"/>
          <w:jc w:val="center"/>
        </w:trPr>
        <w:tc>
          <w:tcPr>
            <w:tcW w:w="3067" w:type="pct"/>
            <w:tcBorders>
              <w:top w:val="nil"/>
            </w:tcBorders>
            <w:shd w:val="clear" w:color="000000" w:fill="FFFFFF"/>
            <w:noWrap/>
            <w:vAlign w:val="bottom"/>
            <w:hideMark/>
          </w:tcPr>
          <w:p w:rsidR="004257EE" w:rsidRPr="00AA3F66" w:rsidRDefault="004257EE" w:rsidP="00DB2A9A">
            <w:pPr>
              <w:spacing w:after="0"/>
              <w:jc w:val="left"/>
              <w:rPr>
                <w:rFonts w:eastAsia="Times New Roman"/>
                <w:sz w:val="20"/>
                <w:szCs w:val="20"/>
              </w:rPr>
            </w:pPr>
            <w:r w:rsidRPr="00AA3F66">
              <w:rPr>
                <w:rFonts w:eastAsia="Times New Roman"/>
                <w:sz w:val="20"/>
                <w:szCs w:val="20"/>
              </w:rPr>
              <w:t>Акцизи</w:t>
            </w:r>
          </w:p>
        </w:tc>
        <w:tc>
          <w:tcPr>
            <w:tcW w:w="734" w:type="pct"/>
            <w:tcBorders>
              <w:top w:val="nil"/>
            </w:tcBorders>
            <w:shd w:val="clear" w:color="auto" w:fill="auto"/>
            <w:noWrap/>
            <w:hideMark/>
          </w:tcPr>
          <w:p w:rsidR="004257EE" w:rsidRPr="00AA3F66" w:rsidRDefault="004257EE" w:rsidP="00DB2A9A">
            <w:pPr>
              <w:spacing w:after="0"/>
              <w:jc w:val="center"/>
              <w:rPr>
                <w:sz w:val="20"/>
                <w:szCs w:val="20"/>
              </w:rPr>
            </w:pPr>
            <w:r w:rsidRPr="00AA3F66">
              <w:rPr>
                <w:sz w:val="20"/>
                <w:szCs w:val="20"/>
              </w:rPr>
              <w:t>160 266</w:t>
            </w:r>
          </w:p>
        </w:tc>
        <w:tc>
          <w:tcPr>
            <w:tcW w:w="351" w:type="pct"/>
            <w:tcBorders>
              <w:top w:val="nil"/>
            </w:tcBorders>
            <w:shd w:val="clear" w:color="auto" w:fill="auto"/>
            <w:noWrap/>
            <w:vAlign w:val="bottom"/>
            <w:hideMark/>
          </w:tcPr>
          <w:p w:rsidR="004257EE" w:rsidRPr="00AA3F66" w:rsidRDefault="004257EE" w:rsidP="00DB2A9A">
            <w:pPr>
              <w:spacing w:after="0"/>
              <w:jc w:val="center"/>
              <w:rPr>
                <w:rFonts w:eastAsia="Times New Roman"/>
                <w:sz w:val="20"/>
                <w:szCs w:val="20"/>
              </w:rPr>
            </w:pPr>
          </w:p>
        </w:tc>
        <w:tc>
          <w:tcPr>
            <w:tcW w:w="848" w:type="pct"/>
            <w:tcBorders>
              <w:top w:val="nil"/>
            </w:tcBorders>
            <w:shd w:val="clear" w:color="auto" w:fill="auto"/>
            <w:noWrap/>
            <w:hideMark/>
          </w:tcPr>
          <w:p w:rsidR="004257EE" w:rsidRPr="00AA3F66" w:rsidRDefault="004257EE" w:rsidP="00DB2A9A">
            <w:pPr>
              <w:spacing w:after="0"/>
              <w:jc w:val="center"/>
              <w:rPr>
                <w:sz w:val="20"/>
                <w:szCs w:val="20"/>
              </w:rPr>
            </w:pPr>
            <w:r w:rsidRPr="00AA3F66">
              <w:rPr>
                <w:sz w:val="20"/>
                <w:szCs w:val="20"/>
              </w:rPr>
              <w:t>172 670</w:t>
            </w:r>
          </w:p>
        </w:tc>
      </w:tr>
      <w:tr w:rsidR="004257EE" w:rsidRPr="00AA3F66" w:rsidTr="00DB2A9A">
        <w:trPr>
          <w:trHeight w:val="315"/>
          <w:jc w:val="center"/>
        </w:trPr>
        <w:tc>
          <w:tcPr>
            <w:tcW w:w="3067" w:type="pct"/>
            <w:tcBorders>
              <w:top w:val="nil"/>
            </w:tcBorders>
            <w:shd w:val="clear" w:color="000000" w:fill="FFFFFF"/>
            <w:noWrap/>
            <w:vAlign w:val="bottom"/>
            <w:hideMark/>
          </w:tcPr>
          <w:p w:rsidR="004257EE" w:rsidRPr="00AA3F66" w:rsidRDefault="004257EE" w:rsidP="00DB2A9A">
            <w:pPr>
              <w:spacing w:after="0"/>
              <w:jc w:val="left"/>
              <w:rPr>
                <w:rFonts w:eastAsia="Times New Roman"/>
                <w:sz w:val="20"/>
                <w:szCs w:val="20"/>
              </w:rPr>
            </w:pPr>
            <w:r w:rsidRPr="00AA3F66">
              <w:rPr>
                <w:rFonts w:eastAsia="Times New Roman"/>
                <w:sz w:val="20"/>
                <w:szCs w:val="20"/>
              </w:rPr>
              <w:t>Корпоративни данъци</w:t>
            </w:r>
          </w:p>
        </w:tc>
        <w:tc>
          <w:tcPr>
            <w:tcW w:w="734" w:type="pct"/>
            <w:tcBorders>
              <w:top w:val="nil"/>
            </w:tcBorders>
            <w:shd w:val="clear" w:color="auto" w:fill="auto"/>
            <w:noWrap/>
            <w:hideMark/>
          </w:tcPr>
          <w:p w:rsidR="004257EE" w:rsidRPr="00AA3F66" w:rsidRDefault="004257EE" w:rsidP="00DB2A9A">
            <w:pPr>
              <w:spacing w:after="0"/>
              <w:jc w:val="center"/>
              <w:rPr>
                <w:sz w:val="20"/>
                <w:szCs w:val="20"/>
              </w:rPr>
            </w:pPr>
            <w:r w:rsidRPr="00AA3F66">
              <w:rPr>
                <w:sz w:val="20"/>
                <w:szCs w:val="20"/>
              </w:rPr>
              <w:t>470 079</w:t>
            </w:r>
          </w:p>
        </w:tc>
        <w:tc>
          <w:tcPr>
            <w:tcW w:w="351" w:type="pct"/>
            <w:tcBorders>
              <w:top w:val="nil"/>
            </w:tcBorders>
            <w:shd w:val="clear" w:color="auto" w:fill="auto"/>
            <w:noWrap/>
            <w:vAlign w:val="bottom"/>
            <w:hideMark/>
          </w:tcPr>
          <w:p w:rsidR="004257EE" w:rsidRPr="00AA3F66" w:rsidRDefault="004257EE" w:rsidP="00DB2A9A">
            <w:pPr>
              <w:spacing w:after="0"/>
              <w:jc w:val="center"/>
              <w:rPr>
                <w:rFonts w:eastAsia="Times New Roman"/>
                <w:sz w:val="20"/>
                <w:szCs w:val="20"/>
              </w:rPr>
            </w:pPr>
          </w:p>
        </w:tc>
        <w:tc>
          <w:tcPr>
            <w:tcW w:w="848" w:type="pct"/>
            <w:tcBorders>
              <w:top w:val="nil"/>
            </w:tcBorders>
            <w:shd w:val="clear" w:color="auto" w:fill="auto"/>
            <w:noWrap/>
            <w:hideMark/>
          </w:tcPr>
          <w:p w:rsidR="004257EE" w:rsidRPr="00AA3F66" w:rsidRDefault="004257EE" w:rsidP="00DB2A9A">
            <w:pPr>
              <w:spacing w:after="0"/>
              <w:jc w:val="center"/>
              <w:rPr>
                <w:sz w:val="20"/>
                <w:szCs w:val="20"/>
              </w:rPr>
            </w:pPr>
            <w:r w:rsidRPr="00AA3F66">
              <w:rPr>
                <w:sz w:val="20"/>
                <w:szCs w:val="20"/>
              </w:rPr>
              <w:t>613 465</w:t>
            </w:r>
          </w:p>
        </w:tc>
      </w:tr>
      <w:tr w:rsidR="004257EE" w:rsidRPr="00AA3F66" w:rsidTr="00DB2A9A">
        <w:trPr>
          <w:trHeight w:val="315"/>
          <w:jc w:val="center"/>
        </w:trPr>
        <w:tc>
          <w:tcPr>
            <w:tcW w:w="3067" w:type="pct"/>
            <w:tcBorders>
              <w:top w:val="nil"/>
            </w:tcBorders>
            <w:shd w:val="clear" w:color="000000" w:fill="FFFFFF"/>
            <w:noWrap/>
            <w:vAlign w:val="bottom"/>
            <w:hideMark/>
          </w:tcPr>
          <w:p w:rsidR="004257EE" w:rsidRPr="00AA3F66" w:rsidRDefault="004257EE" w:rsidP="00DB2A9A">
            <w:pPr>
              <w:spacing w:after="0"/>
              <w:jc w:val="left"/>
              <w:rPr>
                <w:rFonts w:eastAsia="Times New Roman"/>
                <w:sz w:val="20"/>
                <w:szCs w:val="20"/>
              </w:rPr>
            </w:pPr>
            <w:r w:rsidRPr="00AA3F66">
              <w:rPr>
                <w:rFonts w:eastAsia="Times New Roman"/>
                <w:sz w:val="20"/>
                <w:szCs w:val="20"/>
              </w:rPr>
              <w:t>Данъци върху доходите на физическите лица</w:t>
            </w:r>
          </w:p>
        </w:tc>
        <w:tc>
          <w:tcPr>
            <w:tcW w:w="734" w:type="pct"/>
            <w:tcBorders>
              <w:top w:val="nil"/>
            </w:tcBorders>
            <w:shd w:val="clear" w:color="auto" w:fill="auto"/>
            <w:noWrap/>
            <w:hideMark/>
          </w:tcPr>
          <w:p w:rsidR="004257EE" w:rsidRPr="00AA3F66" w:rsidRDefault="004257EE" w:rsidP="00DB2A9A">
            <w:pPr>
              <w:spacing w:after="0"/>
              <w:jc w:val="center"/>
              <w:rPr>
                <w:sz w:val="20"/>
                <w:szCs w:val="20"/>
              </w:rPr>
            </w:pPr>
            <w:r w:rsidRPr="00AA3F66">
              <w:rPr>
                <w:sz w:val="20"/>
                <w:szCs w:val="20"/>
              </w:rPr>
              <w:t>578 821</w:t>
            </w:r>
          </w:p>
        </w:tc>
        <w:tc>
          <w:tcPr>
            <w:tcW w:w="351" w:type="pct"/>
            <w:tcBorders>
              <w:top w:val="nil"/>
            </w:tcBorders>
            <w:shd w:val="clear" w:color="auto" w:fill="auto"/>
            <w:noWrap/>
            <w:vAlign w:val="bottom"/>
            <w:hideMark/>
          </w:tcPr>
          <w:p w:rsidR="004257EE" w:rsidRPr="00AA3F66" w:rsidRDefault="004257EE" w:rsidP="00DB2A9A">
            <w:pPr>
              <w:spacing w:after="0"/>
              <w:jc w:val="center"/>
              <w:rPr>
                <w:rFonts w:eastAsia="Times New Roman"/>
                <w:sz w:val="20"/>
                <w:szCs w:val="20"/>
              </w:rPr>
            </w:pPr>
          </w:p>
        </w:tc>
        <w:tc>
          <w:tcPr>
            <w:tcW w:w="848" w:type="pct"/>
            <w:tcBorders>
              <w:top w:val="nil"/>
            </w:tcBorders>
            <w:shd w:val="clear" w:color="auto" w:fill="auto"/>
            <w:noWrap/>
            <w:hideMark/>
          </w:tcPr>
          <w:p w:rsidR="004257EE" w:rsidRPr="00AA3F66" w:rsidRDefault="004257EE" w:rsidP="00DB2A9A">
            <w:pPr>
              <w:spacing w:after="0"/>
              <w:jc w:val="center"/>
              <w:rPr>
                <w:sz w:val="20"/>
                <w:szCs w:val="20"/>
              </w:rPr>
            </w:pPr>
            <w:r w:rsidRPr="00AA3F66">
              <w:rPr>
                <w:sz w:val="20"/>
                <w:szCs w:val="20"/>
              </w:rPr>
              <w:t>696 684</w:t>
            </w:r>
          </w:p>
        </w:tc>
      </w:tr>
      <w:tr w:rsidR="004257EE" w:rsidRPr="00AA3F66" w:rsidTr="00DB2A9A">
        <w:trPr>
          <w:trHeight w:val="480"/>
          <w:jc w:val="center"/>
        </w:trPr>
        <w:tc>
          <w:tcPr>
            <w:tcW w:w="3067" w:type="pct"/>
            <w:tcBorders>
              <w:top w:val="nil"/>
            </w:tcBorders>
            <w:shd w:val="clear" w:color="000000" w:fill="FFFFFF"/>
            <w:noWrap/>
            <w:vAlign w:val="bottom"/>
            <w:hideMark/>
          </w:tcPr>
          <w:p w:rsidR="004257EE" w:rsidRPr="00AA3F66" w:rsidRDefault="004257EE" w:rsidP="00DB2A9A">
            <w:pPr>
              <w:spacing w:after="0"/>
              <w:jc w:val="left"/>
              <w:rPr>
                <w:rFonts w:eastAsia="Times New Roman"/>
                <w:b/>
                <w:bCs/>
                <w:sz w:val="20"/>
                <w:szCs w:val="20"/>
              </w:rPr>
            </w:pPr>
            <w:r w:rsidRPr="00AA3F66">
              <w:rPr>
                <w:rFonts w:eastAsia="Times New Roman"/>
                <w:b/>
                <w:bCs/>
                <w:sz w:val="20"/>
                <w:szCs w:val="20"/>
              </w:rPr>
              <w:t>Общо данъчни разходи</w:t>
            </w:r>
          </w:p>
        </w:tc>
        <w:tc>
          <w:tcPr>
            <w:tcW w:w="734" w:type="pct"/>
            <w:tcBorders>
              <w:top w:val="nil"/>
            </w:tcBorders>
            <w:shd w:val="clear" w:color="auto" w:fill="auto"/>
            <w:noWrap/>
            <w:vAlign w:val="bottom"/>
            <w:hideMark/>
          </w:tcPr>
          <w:p w:rsidR="004257EE" w:rsidRPr="00AA3F66" w:rsidRDefault="004257EE" w:rsidP="00DB2A9A">
            <w:pPr>
              <w:spacing w:after="0"/>
              <w:jc w:val="center"/>
              <w:rPr>
                <w:b/>
                <w:sz w:val="20"/>
                <w:szCs w:val="20"/>
              </w:rPr>
            </w:pPr>
            <w:r w:rsidRPr="00AA3F66">
              <w:rPr>
                <w:b/>
                <w:sz w:val="20"/>
                <w:szCs w:val="20"/>
              </w:rPr>
              <w:t>1 422 281</w:t>
            </w:r>
          </w:p>
        </w:tc>
        <w:tc>
          <w:tcPr>
            <w:tcW w:w="351" w:type="pct"/>
            <w:tcBorders>
              <w:top w:val="nil"/>
            </w:tcBorders>
            <w:shd w:val="clear" w:color="auto" w:fill="auto"/>
            <w:noWrap/>
            <w:vAlign w:val="bottom"/>
            <w:hideMark/>
          </w:tcPr>
          <w:p w:rsidR="004257EE" w:rsidRPr="00AA3F66" w:rsidRDefault="004257EE" w:rsidP="00DB2A9A">
            <w:pPr>
              <w:spacing w:after="0"/>
              <w:jc w:val="center"/>
              <w:rPr>
                <w:rFonts w:eastAsia="Times New Roman"/>
                <w:b/>
                <w:bCs/>
                <w:sz w:val="20"/>
                <w:szCs w:val="20"/>
              </w:rPr>
            </w:pPr>
          </w:p>
        </w:tc>
        <w:tc>
          <w:tcPr>
            <w:tcW w:w="848" w:type="pct"/>
            <w:tcBorders>
              <w:top w:val="nil"/>
            </w:tcBorders>
            <w:shd w:val="clear" w:color="auto" w:fill="auto"/>
            <w:noWrap/>
            <w:hideMark/>
          </w:tcPr>
          <w:p w:rsidR="004257EE" w:rsidRPr="00AA3F66" w:rsidRDefault="004257EE" w:rsidP="00DB2A9A">
            <w:pPr>
              <w:spacing w:after="0"/>
              <w:jc w:val="center"/>
              <w:rPr>
                <w:b/>
                <w:sz w:val="20"/>
                <w:szCs w:val="20"/>
              </w:rPr>
            </w:pPr>
          </w:p>
          <w:p w:rsidR="004257EE" w:rsidRPr="00AA3F66" w:rsidRDefault="004257EE" w:rsidP="00DB2A9A">
            <w:pPr>
              <w:spacing w:after="0"/>
              <w:jc w:val="center"/>
              <w:rPr>
                <w:b/>
                <w:sz w:val="20"/>
                <w:szCs w:val="20"/>
              </w:rPr>
            </w:pPr>
            <w:r w:rsidRPr="00AA3F66">
              <w:rPr>
                <w:b/>
                <w:sz w:val="20"/>
                <w:szCs w:val="20"/>
              </w:rPr>
              <w:t>1 759 146</w:t>
            </w:r>
          </w:p>
        </w:tc>
      </w:tr>
      <w:tr w:rsidR="004257EE" w:rsidRPr="00AA3F66" w:rsidTr="00DB2A9A">
        <w:trPr>
          <w:trHeight w:val="315"/>
          <w:jc w:val="center"/>
        </w:trPr>
        <w:tc>
          <w:tcPr>
            <w:tcW w:w="3067" w:type="pct"/>
            <w:tcBorders>
              <w:top w:val="nil"/>
            </w:tcBorders>
            <w:shd w:val="clear" w:color="000000" w:fill="FFFFFF"/>
            <w:noWrap/>
            <w:vAlign w:val="center"/>
            <w:hideMark/>
          </w:tcPr>
          <w:p w:rsidR="004257EE" w:rsidRPr="00AA3F66" w:rsidRDefault="004257EE" w:rsidP="00DB2A9A">
            <w:pPr>
              <w:spacing w:after="0"/>
              <w:jc w:val="left"/>
              <w:rPr>
                <w:rFonts w:eastAsia="Times New Roman"/>
                <w:sz w:val="20"/>
                <w:szCs w:val="20"/>
              </w:rPr>
            </w:pPr>
            <w:r w:rsidRPr="00AA3F66">
              <w:rPr>
                <w:rFonts w:eastAsia="Times New Roman"/>
                <w:sz w:val="20"/>
                <w:szCs w:val="20"/>
              </w:rPr>
              <w:t>БВП</w:t>
            </w:r>
          </w:p>
        </w:tc>
        <w:tc>
          <w:tcPr>
            <w:tcW w:w="734" w:type="pct"/>
            <w:tcBorders>
              <w:top w:val="nil"/>
            </w:tcBorders>
            <w:shd w:val="clear" w:color="000000" w:fill="FFFFFF"/>
            <w:noWrap/>
            <w:vAlign w:val="center"/>
            <w:hideMark/>
          </w:tcPr>
          <w:p w:rsidR="004257EE" w:rsidRPr="00AA3F66" w:rsidRDefault="004257EE" w:rsidP="00DB2A9A">
            <w:pPr>
              <w:spacing w:after="0"/>
              <w:jc w:val="center"/>
              <w:rPr>
                <w:rFonts w:eastAsia="Times New Roman"/>
                <w:sz w:val="20"/>
                <w:szCs w:val="20"/>
              </w:rPr>
            </w:pPr>
            <w:r w:rsidRPr="00AA3F66">
              <w:rPr>
                <w:sz w:val="20"/>
                <w:szCs w:val="20"/>
              </w:rPr>
              <w:t>167 808 976</w:t>
            </w:r>
          </w:p>
        </w:tc>
        <w:tc>
          <w:tcPr>
            <w:tcW w:w="351" w:type="pct"/>
            <w:tcBorders>
              <w:top w:val="nil"/>
            </w:tcBorders>
            <w:shd w:val="clear" w:color="000000" w:fill="FFFFFF"/>
            <w:noWrap/>
            <w:vAlign w:val="center"/>
            <w:hideMark/>
          </w:tcPr>
          <w:p w:rsidR="004257EE" w:rsidRPr="00AA3F66" w:rsidRDefault="004257EE" w:rsidP="00DB2A9A">
            <w:pPr>
              <w:spacing w:after="0"/>
              <w:jc w:val="center"/>
              <w:rPr>
                <w:rFonts w:eastAsia="Times New Roman"/>
                <w:sz w:val="20"/>
                <w:szCs w:val="20"/>
              </w:rPr>
            </w:pPr>
          </w:p>
        </w:tc>
        <w:tc>
          <w:tcPr>
            <w:tcW w:w="848" w:type="pct"/>
            <w:tcBorders>
              <w:top w:val="nil"/>
            </w:tcBorders>
            <w:shd w:val="clear" w:color="000000" w:fill="FFFFFF"/>
            <w:noWrap/>
            <w:hideMark/>
          </w:tcPr>
          <w:p w:rsidR="004257EE" w:rsidRPr="00AA3F66" w:rsidRDefault="004257EE" w:rsidP="00DB2A9A">
            <w:pPr>
              <w:spacing w:after="0"/>
              <w:jc w:val="center"/>
              <w:rPr>
                <w:sz w:val="20"/>
                <w:szCs w:val="20"/>
              </w:rPr>
            </w:pPr>
            <w:r w:rsidRPr="00AA3F66">
              <w:rPr>
                <w:sz w:val="20"/>
                <w:szCs w:val="20"/>
              </w:rPr>
              <w:t>205 848 723</w:t>
            </w:r>
          </w:p>
        </w:tc>
      </w:tr>
      <w:tr w:rsidR="004257EE" w:rsidRPr="00AA3F66" w:rsidTr="00DB2A9A">
        <w:trPr>
          <w:trHeight w:val="315"/>
          <w:jc w:val="center"/>
        </w:trPr>
        <w:tc>
          <w:tcPr>
            <w:tcW w:w="3067" w:type="pct"/>
            <w:tcBorders>
              <w:top w:val="nil"/>
              <w:bottom w:val="single" w:sz="4" w:space="0" w:color="auto"/>
            </w:tcBorders>
            <w:shd w:val="clear" w:color="000000" w:fill="FFFFFF"/>
            <w:noWrap/>
            <w:vAlign w:val="center"/>
            <w:hideMark/>
          </w:tcPr>
          <w:p w:rsidR="004257EE" w:rsidRPr="00AA3F66" w:rsidRDefault="004257EE" w:rsidP="00DB2A9A">
            <w:pPr>
              <w:spacing w:after="0"/>
              <w:jc w:val="left"/>
              <w:rPr>
                <w:rFonts w:eastAsia="Times New Roman"/>
                <w:b/>
                <w:sz w:val="20"/>
                <w:szCs w:val="20"/>
              </w:rPr>
            </w:pPr>
            <w:r w:rsidRPr="00AA3F66">
              <w:rPr>
                <w:rFonts w:eastAsia="Times New Roman"/>
                <w:b/>
                <w:sz w:val="20"/>
                <w:szCs w:val="20"/>
              </w:rPr>
              <w:t>% от БВП</w:t>
            </w:r>
          </w:p>
        </w:tc>
        <w:tc>
          <w:tcPr>
            <w:tcW w:w="734" w:type="pct"/>
            <w:tcBorders>
              <w:top w:val="nil"/>
              <w:bottom w:val="single" w:sz="4" w:space="0" w:color="auto"/>
            </w:tcBorders>
            <w:shd w:val="clear" w:color="000000" w:fill="FFFFFF"/>
            <w:noWrap/>
            <w:vAlign w:val="center"/>
            <w:hideMark/>
          </w:tcPr>
          <w:p w:rsidR="004257EE" w:rsidRPr="00AA3F66" w:rsidRDefault="004257EE" w:rsidP="00DB2A9A">
            <w:pPr>
              <w:spacing w:after="0"/>
              <w:jc w:val="center"/>
              <w:rPr>
                <w:rFonts w:eastAsia="Times New Roman"/>
                <w:b/>
                <w:sz w:val="20"/>
                <w:szCs w:val="20"/>
              </w:rPr>
            </w:pPr>
            <w:r w:rsidRPr="00AA3F66">
              <w:rPr>
                <w:b/>
                <w:sz w:val="20"/>
                <w:szCs w:val="20"/>
              </w:rPr>
              <w:t>0,9%</w:t>
            </w:r>
          </w:p>
        </w:tc>
        <w:tc>
          <w:tcPr>
            <w:tcW w:w="351" w:type="pct"/>
            <w:tcBorders>
              <w:top w:val="nil"/>
              <w:bottom w:val="single" w:sz="4" w:space="0" w:color="auto"/>
            </w:tcBorders>
            <w:shd w:val="clear" w:color="000000" w:fill="FFFFFF"/>
            <w:noWrap/>
            <w:vAlign w:val="center"/>
            <w:hideMark/>
          </w:tcPr>
          <w:p w:rsidR="004257EE" w:rsidRPr="00AA3F66" w:rsidRDefault="004257EE" w:rsidP="00DB2A9A">
            <w:pPr>
              <w:spacing w:after="0"/>
              <w:jc w:val="center"/>
              <w:rPr>
                <w:rFonts w:eastAsia="Times New Roman"/>
                <w:b/>
                <w:sz w:val="20"/>
                <w:szCs w:val="20"/>
              </w:rPr>
            </w:pPr>
          </w:p>
        </w:tc>
        <w:tc>
          <w:tcPr>
            <w:tcW w:w="848" w:type="pct"/>
            <w:tcBorders>
              <w:top w:val="nil"/>
              <w:bottom w:val="single" w:sz="4" w:space="0" w:color="auto"/>
            </w:tcBorders>
            <w:shd w:val="clear" w:color="000000" w:fill="FFFFFF"/>
            <w:noWrap/>
            <w:vAlign w:val="center"/>
            <w:hideMark/>
          </w:tcPr>
          <w:p w:rsidR="004257EE" w:rsidRPr="00AA3F66" w:rsidRDefault="004257EE" w:rsidP="00DB2A9A">
            <w:pPr>
              <w:spacing w:after="0"/>
              <w:jc w:val="center"/>
              <w:rPr>
                <w:rFonts w:eastAsia="Times New Roman"/>
                <w:b/>
                <w:sz w:val="20"/>
                <w:szCs w:val="20"/>
              </w:rPr>
            </w:pPr>
            <w:r w:rsidRPr="00AA3F66">
              <w:rPr>
                <w:b/>
                <w:sz w:val="20"/>
                <w:szCs w:val="20"/>
              </w:rPr>
              <w:t>0,9%</w:t>
            </w:r>
          </w:p>
        </w:tc>
      </w:tr>
    </w:tbl>
    <w:p w:rsidR="00467685" w:rsidRPr="00AA3F66" w:rsidRDefault="00467685" w:rsidP="0074504C"/>
    <w:sectPr w:rsidR="00467685" w:rsidRPr="00AA3F66" w:rsidSect="002D7CED">
      <w:pgSz w:w="16838" w:h="11906" w:orient="landscape" w:code="9"/>
      <w:pgMar w:top="1134" w:right="1134" w:bottom="28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96BF2" w:rsidRDefault="00A96BF2" w:rsidP="0072684A">
      <w:pPr>
        <w:spacing w:after="0"/>
      </w:pPr>
      <w:r>
        <w:separator/>
      </w:r>
    </w:p>
  </w:endnote>
  <w:endnote w:type="continuationSeparator" w:id="0">
    <w:p w:rsidR="00A96BF2" w:rsidRDefault="00A96BF2" w:rsidP="0072684A">
      <w:pPr>
        <w:spacing w:after="0"/>
      </w:pPr>
      <w:r>
        <w:continuationSeparator/>
      </w:r>
    </w:p>
  </w:endnote>
  <w:endnote w:type="continuationNotice" w:id="1">
    <w:p w:rsidR="00A96BF2" w:rsidRDefault="00A96BF2">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MS Mincho">
    <w:altName w:val="Yu Gothic UI"/>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0020354"/>
      <w:docPartObj>
        <w:docPartGallery w:val="Page Numbers (Bottom of Page)"/>
        <w:docPartUnique/>
      </w:docPartObj>
    </w:sdtPr>
    <w:sdtEndPr>
      <w:rPr>
        <w:noProof/>
      </w:rPr>
    </w:sdtEndPr>
    <w:sdtContent>
      <w:p w:rsidR="00665E9C" w:rsidRDefault="00665E9C">
        <w:pPr>
          <w:pStyle w:val="Footer"/>
          <w:jc w:val="center"/>
        </w:pPr>
        <w:r>
          <w:fldChar w:fldCharType="begin"/>
        </w:r>
        <w:r>
          <w:instrText xml:space="preserve"> PAGE   \* MERGEFORMAT </w:instrText>
        </w:r>
        <w:r>
          <w:fldChar w:fldCharType="separate"/>
        </w:r>
        <w:r>
          <w:rPr>
            <w:noProof/>
          </w:rPr>
          <w:t>12</w:t>
        </w:r>
        <w:r>
          <w:rPr>
            <w:noProof/>
          </w:rPr>
          <w:fldChar w:fldCharType="end"/>
        </w:r>
      </w:p>
    </w:sdtContent>
  </w:sdt>
  <w:p w:rsidR="00665E9C" w:rsidRPr="00F10E07" w:rsidRDefault="00665E9C" w:rsidP="00F10E07">
    <w:pPr>
      <w:pStyle w:val="Footer"/>
      <w:jc w:val="cen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66815066"/>
      <w:docPartObj>
        <w:docPartGallery w:val="Page Numbers (Bottom of Page)"/>
        <w:docPartUnique/>
      </w:docPartObj>
    </w:sdtPr>
    <w:sdtEndPr>
      <w:rPr>
        <w:noProof/>
        <w:sz w:val="20"/>
        <w:szCs w:val="20"/>
      </w:rPr>
    </w:sdtEndPr>
    <w:sdtContent>
      <w:p w:rsidR="00665E9C" w:rsidRPr="00F10E07" w:rsidRDefault="00665E9C">
        <w:pPr>
          <w:pStyle w:val="Footer"/>
          <w:jc w:val="center"/>
          <w:rPr>
            <w:sz w:val="20"/>
            <w:szCs w:val="20"/>
          </w:rPr>
        </w:pPr>
        <w:r w:rsidRPr="00F10E07">
          <w:rPr>
            <w:sz w:val="20"/>
            <w:szCs w:val="20"/>
          </w:rPr>
          <w:fldChar w:fldCharType="begin"/>
        </w:r>
        <w:r w:rsidRPr="00F10E07">
          <w:rPr>
            <w:sz w:val="20"/>
            <w:szCs w:val="20"/>
          </w:rPr>
          <w:instrText xml:space="preserve"> PAGE   \* MERGEFORMAT </w:instrText>
        </w:r>
        <w:r w:rsidRPr="00F10E07">
          <w:rPr>
            <w:sz w:val="20"/>
            <w:szCs w:val="20"/>
          </w:rPr>
          <w:fldChar w:fldCharType="separate"/>
        </w:r>
        <w:r w:rsidR="005A69ED">
          <w:rPr>
            <w:noProof/>
            <w:sz w:val="20"/>
            <w:szCs w:val="20"/>
          </w:rPr>
          <w:t>21</w:t>
        </w:r>
        <w:r w:rsidRPr="00F10E07">
          <w:rPr>
            <w:noProof/>
            <w:sz w:val="20"/>
            <w:szCs w:val="20"/>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66623950"/>
      <w:docPartObj>
        <w:docPartGallery w:val="Page Numbers (Bottom of Page)"/>
        <w:docPartUnique/>
      </w:docPartObj>
    </w:sdtPr>
    <w:sdtEndPr>
      <w:rPr>
        <w:noProof/>
        <w:sz w:val="20"/>
        <w:szCs w:val="20"/>
      </w:rPr>
    </w:sdtEndPr>
    <w:sdtContent>
      <w:p w:rsidR="00665E9C" w:rsidRPr="00830AE6" w:rsidRDefault="00665E9C" w:rsidP="00F10E07">
        <w:pPr>
          <w:pStyle w:val="Footer"/>
          <w:jc w:val="center"/>
          <w:rPr>
            <w:sz w:val="20"/>
            <w:szCs w:val="20"/>
          </w:rPr>
        </w:pPr>
        <w:r w:rsidRPr="00830AE6">
          <w:rPr>
            <w:sz w:val="20"/>
            <w:szCs w:val="20"/>
          </w:rPr>
          <w:fldChar w:fldCharType="begin"/>
        </w:r>
        <w:r w:rsidRPr="00830AE6">
          <w:rPr>
            <w:sz w:val="20"/>
            <w:szCs w:val="20"/>
          </w:rPr>
          <w:instrText xml:space="preserve"> PAGE   \* MERGEFORMAT </w:instrText>
        </w:r>
        <w:r w:rsidRPr="00830AE6">
          <w:rPr>
            <w:sz w:val="20"/>
            <w:szCs w:val="20"/>
          </w:rPr>
          <w:fldChar w:fldCharType="separate"/>
        </w:r>
        <w:r w:rsidR="005A69ED">
          <w:rPr>
            <w:noProof/>
            <w:sz w:val="20"/>
            <w:szCs w:val="20"/>
          </w:rPr>
          <w:t>19</w:t>
        </w:r>
        <w:r w:rsidRPr="00830AE6">
          <w:rPr>
            <w:noProof/>
            <w:sz w:val="20"/>
            <w:szCs w:val="20"/>
          </w:rPr>
          <w:fldChar w:fldCharType="end"/>
        </w:r>
      </w:p>
    </w:sdtContent>
  </w:sdt>
  <w:p w:rsidR="00665E9C" w:rsidRPr="007F256C" w:rsidRDefault="00665E9C" w:rsidP="00343412">
    <w:pPr>
      <w:pStyle w:val="Footer"/>
      <w:spacing w:before="200" w:after="0"/>
      <w:jc w:val="left"/>
      <w:rPr>
        <w:sz w:val="20"/>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5E9C" w:rsidRPr="007F256C" w:rsidRDefault="00665E9C" w:rsidP="00F24404">
    <w:pPr>
      <w:pStyle w:val="Footer"/>
      <w:spacing w:before="200" w:after="0"/>
      <w:jc w:val="left"/>
      <w:rPr>
        <w:noProof/>
        <w:sz w:val="20"/>
      </w:rPr>
    </w:pPr>
    <w:r w:rsidRPr="007F256C">
      <w:rPr>
        <w:noProof/>
        <w:sz w:val="20"/>
      </w:rPr>
      <w:fldChar w:fldCharType="begin"/>
    </w:r>
    <w:r w:rsidRPr="007F256C">
      <w:rPr>
        <w:noProof/>
        <w:sz w:val="20"/>
      </w:rPr>
      <w:instrText xml:space="preserve"> PAGE   \* MERGEFORMAT </w:instrText>
    </w:r>
    <w:r w:rsidRPr="007F256C">
      <w:rPr>
        <w:noProof/>
        <w:sz w:val="20"/>
      </w:rPr>
      <w:fldChar w:fldCharType="separate"/>
    </w:r>
    <w:r>
      <w:rPr>
        <w:noProof/>
        <w:sz w:val="20"/>
      </w:rPr>
      <w:t>246</w:t>
    </w:r>
    <w:r w:rsidRPr="007F256C">
      <w:rPr>
        <w:noProof/>
        <w:sz w:val="20"/>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5E9C" w:rsidRPr="007F256C" w:rsidRDefault="00665E9C" w:rsidP="00F24404">
    <w:pPr>
      <w:pStyle w:val="Footer"/>
      <w:spacing w:before="200" w:after="0"/>
      <w:jc w:val="left"/>
      <w:rPr>
        <w:noProof/>
        <w:sz w:val="20"/>
      </w:rPr>
    </w:pPr>
    <w:r w:rsidRPr="007F256C">
      <w:rPr>
        <w:noProof/>
        <w:sz w:val="20"/>
      </w:rPr>
      <w:fldChar w:fldCharType="begin"/>
    </w:r>
    <w:r w:rsidRPr="007F256C">
      <w:rPr>
        <w:noProof/>
        <w:sz w:val="20"/>
      </w:rPr>
      <w:instrText xml:space="preserve"> PAGE   \* MERGEFORMAT </w:instrText>
    </w:r>
    <w:r w:rsidRPr="007F256C">
      <w:rPr>
        <w:noProof/>
        <w:sz w:val="20"/>
      </w:rPr>
      <w:fldChar w:fldCharType="separate"/>
    </w:r>
    <w:r>
      <w:rPr>
        <w:noProof/>
        <w:sz w:val="20"/>
      </w:rPr>
      <w:t>274</w:t>
    </w:r>
    <w:r w:rsidRPr="007F256C">
      <w:rPr>
        <w:noProof/>
        <w:sz w:val="20"/>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59129359"/>
      <w:docPartObj>
        <w:docPartGallery w:val="Page Numbers (Bottom of Page)"/>
        <w:docPartUnique/>
      </w:docPartObj>
    </w:sdtPr>
    <w:sdtEndPr>
      <w:rPr>
        <w:noProof/>
      </w:rPr>
    </w:sdtEndPr>
    <w:sdtContent>
      <w:p w:rsidR="00665E9C" w:rsidRDefault="00665E9C">
        <w:pPr>
          <w:pStyle w:val="Footer"/>
        </w:pPr>
        <w:r>
          <w:fldChar w:fldCharType="begin"/>
        </w:r>
        <w:r>
          <w:instrText xml:space="preserve"> PAGE   \* MERGEFORMAT </w:instrText>
        </w:r>
        <w:r>
          <w:fldChar w:fldCharType="separate"/>
        </w:r>
        <w:r>
          <w:rPr>
            <w:noProof/>
          </w:rPr>
          <w:t>237</w:t>
        </w:r>
        <w:r>
          <w:rPr>
            <w:noProof/>
          </w:rPr>
          <w:fldChar w:fldCharType="end"/>
        </w:r>
      </w:p>
    </w:sdtContent>
  </w:sdt>
  <w:p w:rsidR="00665E9C" w:rsidRPr="007F256C" w:rsidRDefault="00665E9C" w:rsidP="00343412">
    <w:pPr>
      <w:pStyle w:val="Footer"/>
      <w:spacing w:before="200" w:after="0"/>
      <w:jc w:val="left"/>
      <w:rPr>
        <w:sz w:val="20"/>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66064162"/>
      <w:docPartObj>
        <w:docPartGallery w:val="Page Numbers (Bottom of Page)"/>
        <w:docPartUnique/>
      </w:docPartObj>
    </w:sdtPr>
    <w:sdtEndPr>
      <w:rPr>
        <w:noProof/>
      </w:rPr>
    </w:sdtEndPr>
    <w:sdtContent>
      <w:p w:rsidR="00665E9C" w:rsidRDefault="00665E9C" w:rsidP="00A57F17">
        <w:pPr>
          <w:pStyle w:val="Footer"/>
          <w:jc w:val="right"/>
        </w:pPr>
        <w:r>
          <w:fldChar w:fldCharType="begin"/>
        </w:r>
        <w:r>
          <w:instrText xml:space="preserve"> PAGE   \* MERGEFORMAT </w:instrText>
        </w:r>
        <w:r>
          <w:fldChar w:fldCharType="separate"/>
        </w:r>
        <w:r w:rsidR="005A69ED">
          <w:rPr>
            <w:noProof/>
          </w:rPr>
          <w:t>249</w:t>
        </w:r>
        <w:r>
          <w:rPr>
            <w:noProof/>
          </w:rPr>
          <w:fldChar w:fldCharType="end"/>
        </w:r>
      </w:p>
    </w:sdtContent>
  </w:sdt>
  <w:p w:rsidR="00665E9C" w:rsidRPr="007F256C" w:rsidRDefault="00665E9C" w:rsidP="00343412">
    <w:pPr>
      <w:pStyle w:val="Footer"/>
      <w:spacing w:before="200" w:after="0"/>
      <w:jc w:val="left"/>
      <w:rPr>
        <w:sz w:val="20"/>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77239820"/>
      <w:docPartObj>
        <w:docPartGallery w:val="Page Numbers (Bottom of Page)"/>
        <w:docPartUnique/>
      </w:docPartObj>
    </w:sdtPr>
    <w:sdtEndPr>
      <w:rPr>
        <w:noProof/>
        <w:sz w:val="20"/>
        <w:szCs w:val="20"/>
      </w:rPr>
    </w:sdtEndPr>
    <w:sdtContent>
      <w:p w:rsidR="00665E9C" w:rsidRPr="00A57F17" w:rsidRDefault="00665E9C" w:rsidP="00A57F17">
        <w:pPr>
          <w:pStyle w:val="Footer"/>
          <w:jc w:val="left"/>
          <w:rPr>
            <w:sz w:val="20"/>
            <w:szCs w:val="20"/>
          </w:rPr>
        </w:pPr>
        <w:r w:rsidRPr="00A57F17">
          <w:rPr>
            <w:sz w:val="20"/>
            <w:szCs w:val="20"/>
          </w:rPr>
          <w:fldChar w:fldCharType="begin"/>
        </w:r>
        <w:r w:rsidRPr="00A57F17">
          <w:rPr>
            <w:sz w:val="20"/>
            <w:szCs w:val="20"/>
          </w:rPr>
          <w:instrText xml:space="preserve"> PAGE   \* MERGEFORMAT </w:instrText>
        </w:r>
        <w:r w:rsidRPr="00A57F17">
          <w:rPr>
            <w:sz w:val="20"/>
            <w:szCs w:val="20"/>
          </w:rPr>
          <w:fldChar w:fldCharType="separate"/>
        </w:r>
        <w:r w:rsidR="005A69ED">
          <w:rPr>
            <w:noProof/>
            <w:sz w:val="20"/>
            <w:szCs w:val="20"/>
          </w:rPr>
          <w:t>273</w:t>
        </w:r>
        <w:r w:rsidRPr="00A57F17">
          <w:rPr>
            <w:noProof/>
            <w:sz w:val="20"/>
            <w:szCs w:val="20"/>
          </w:rPr>
          <w:fldChar w:fldCharType="end"/>
        </w:r>
      </w:p>
    </w:sdtContent>
  </w:sdt>
  <w:p w:rsidR="00665E9C" w:rsidRPr="007F256C" w:rsidRDefault="00665E9C" w:rsidP="00343412">
    <w:pPr>
      <w:pStyle w:val="Footer"/>
      <w:spacing w:before="200" w:after="0"/>
      <w:jc w:val="left"/>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96BF2" w:rsidRDefault="00A96BF2" w:rsidP="0072684A">
      <w:pPr>
        <w:spacing w:after="0"/>
      </w:pPr>
      <w:r>
        <w:separator/>
      </w:r>
    </w:p>
  </w:footnote>
  <w:footnote w:type="continuationSeparator" w:id="0">
    <w:p w:rsidR="00A96BF2" w:rsidRDefault="00A96BF2" w:rsidP="0072684A">
      <w:pPr>
        <w:spacing w:after="0"/>
      </w:pPr>
      <w:r>
        <w:continuationSeparator/>
      </w:r>
    </w:p>
  </w:footnote>
  <w:footnote w:type="continuationNotice" w:id="1">
    <w:p w:rsidR="00A96BF2" w:rsidRDefault="00A96BF2">
      <w:pPr>
        <w:spacing w:after="0"/>
      </w:pPr>
    </w:p>
  </w:footnote>
  <w:footnote w:id="2">
    <w:p w:rsidR="00665E9C" w:rsidRPr="00BE523A" w:rsidRDefault="00665E9C" w:rsidP="00327F98">
      <w:pPr>
        <w:pStyle w:val="FootnoteText"/>
        <w:rPr>
          <w:lang w:val="en-US"/>
        </w:rPr>
      </w:pPr>
      <w:r>
        <w:rPr>
          <w:rStyle w:val="FootnoteReference"/>
        </w:rPr>
        <w:footnoteRef/>
      </w:r>
      <w:r>
        <w:t xml:space="preserve"> </w:t>
      </w:r>
      <w:r w:rsidRPr="00BE523A">
        <w:t xml:space="preserve">Базисната инфлация включва </w:t>
      </w:r>
      <w:r>
        <w:t>услуги и неенергийни</w:t>
      </w:r>
      <w:r w:rsidRPr="00BE523A">
        <w:t xml:space="preserve"> промишлени стоки.</w:t>
      </w:r>
    </w:p>
  </w:footnote>
  <w:footnote w:id="3">
    <w:p w:rsidR="00665E9C" w:rsidRPr="002C3D03" w:rsidRDefault="00665E9C" w:rsidP="001A6AE9">
      <w:pPr>
        <w:pStyle w:val="FootnoteText"/>
        <w:spacing w:after="0"/>
        <w:ind w:left="0" w:firstLine="0"/>
        <w:rPr>
          <w:lang w:val="en-US"/>
        </w:rPr>
      </w:pPr>
      <w:r>
        <w:rPr>
          <w:rStyle w:val="FootnoteReference"/>
        </w:rPr>
        <w:footnoteRef/>
      </w:r>
      <w:r>
        <w:t xml:space="preserve"> </w:t>
      </w:r>
      <w:r w:rsidRPr="00422A96">
        <w:t>Изчислява се среден курс USD/EUR с дневни данни за последните десет работни дни към датата на изготвяне на допусканията и се фиксира за дните до края на прогнозния хоризонт.</w:t>
      </w:r>
    </w:p>
  </w:footnote>
  <w:footnote w:id="4">
    <w:p w:rsidR="00665E9C" w:rsidRDefault="00665E9C">
      <w:pPr>
        <w:pStyle w:val="FootnoteText"/>
      </w:pPr>
      <w:r>
        <w:rPr>
          <w:rStyle w:val="FootnoteReference"/>
        </w:rPr>
        <w:footnoteRef/>
      </w:r>
      <w:r>
        <w:t xml:space="preserve"> Мегаватчас.</w:t>
      </w:r>
    </w:p>
  </w:footnote>
  <w:footnote w:id="5">
    <w:p w:rsidR="00665E9C" w:rsidRDefault="00665E9C" w:rsidP="001A6AE9">
      <w:pPr>
        <w:pStyle w:val="FootnoteText"/>
      </w:pPr>
      <w:r>
        <w:rPr>
          <w:rStyle w:val="FootnoteReference"/>
        </w:rPr>
        <w:footnoteRef/>
      </w:r>
      <w:r w:rsidRPr="00CC3F48">
        <w:t>Данните се отнасят за н</w:t>
      </w:r>
      <w:r>
        <w:t>ефинансови и финансови предприя</w:t>
      </w:r>
      <w:r w:rsidRPr="00CC3F48">
        <w:t>тия от паричната статистика на БНБ</w:t>
      </w:r>
      <w:r>
        <w:t>.</w:t>
      </w:r>
    </w:p>
  </w:footnote>
  <w:footnote w:id="6">
    <w:p w:rsidR="00665E9C" w:rsidRDefault="00665E9C" w:rsidP="00BE1B37">
      <w:pPr>
        <w:pStyle w:val="FootnoteText"/>
        <w:ind w:left="0" w:firstLine="0"/>
      </w:pPr>
      <w:r>
        <w:rPr>
          <w:rStyle w:val="FootnoteReference"/>
        </w:rPr>
        <w:footnoteRef/>
      </w:r>
      <w:r>
        <w:t xml:space="preserve"> </w:t>
      </w:r>
      <w:r w:rsidRPr="007B1D84">
        <w:t>Потенциалният БВП за българската икономика е изчислен с помощта на производствена функция по методология, разработена от ЕК: Havik, K., &amp; Kieran Mc Morrow, K., &amp; Fabrice Orlandi, F., Christophe Planas, C., Rafal Raciborski, R., Werner Roeger, W., Alessandro Rossi, A., Anna Thum-Thysen, A. &amp; Valerie Vandermeulen, V.,"The Production Function Methodology for Calculating Potential Growth Rates &amp; Output Gaps," European Economy – Economic Papers 535, 2014.</w:t>
      </w:r>
    </w:p>
  </w:footnote>
  <w:footnote w:id="7">
    <w:p w:rsidR="00665E9C" w:rsidRPr="00DF1F03" w:rsidRDefault="00665E9C" w:rsidP="00BE1B37">
      <w:pPr>
        <w:pStyle w:val="FootnoteText"/>
        <w:ind w:left="0" w:firstLine="0"/>
      </w:pPr>
      <w:r>
        <w:rPr>
          <w:rStyle w:val="FootnoteReference"/>
        </w:rPr>
        <w:footnoteRef/>
      </w:r>
      <w:r>
        <w:t xml:space="preserve"> </w:t>
      </w:r>
      <w:r w:rsidRPr="00DF1F03">
        <w:t xml:space="preserve">Цикличното развитие на икономиката се измерва с индикатора </w:t>
      </w:r>
      <w:r w:rsidRPr="00854036">
        <w:rPr>
          <w:i/>
        </w:rPr>
        <w:t>отклонение от потенциала</w:t>
      </w:r>
      <w:r w:rsidRPr="00854036">
        <w:t xml:space="preserve">. </w:t>
      </w:r>
      <w:r w:rsidRPr="00DF1F03">
        <w:t>Той се изчислява като разлика между фактическия и потенциалния БВП в съотношение към потенциалния.</w:t>
      </w:r>
    </w:p>
  </w:footnote>
  <w:footnote w:id="8">
    <w:p w:rsidR="00665E9C" w:rsidRPr="00B74041" w:rsidRDefault="00665E9C" w:rsidP="00B74041">
      <w:pPr>
        <w:pStyle w:val="FootnoteText"/>
        <w:rPr>
          <w:iCs/>
        </w:rPr>
      </w:pPr>
      <w:r w:rsidRPr="00C33CBF">
        <w:rPr>
          <w:rStyle w:val="FootnoteReference"/>
          <w:sz w:val="20"/>
        </w:rPr>
        <w:footnoteRef/>
      </w:r>
      <w:r w:rsidRPr="00C33CBF">
        <w:t xml:space="preserve"> </w:t>
      </w:r>
      <w:r>
        <w:tab/>
      </w:r>
      <w:r w:rsidRPr="00E47606">
        <w:rPr>
          <w:iCs/>
        </w:rPr>
        <w:t xml:space="preserve">Поради закръгление </w:t>
      </w:r>
      <w:r w:rsidRPr="00D8768E">
        <w:rPr>
          <w:iCs/>
          <w:lang w:val="ru-RU"/>
        </w:rPr>
        <w:t>(</w:t>
      </w:r>
      <w:r w:rsidRPr="00E47606">
        <w:rPr>
          <w:iCs/>
        </w:rPr>
        <w:t>в млн. лв.</w:t>
      </w:r>
      <w:r w:rsidRPr="00D8768E">
        <w:rPr>
          <w:iCs/>
          <w:lang w:val="ru-RU"/>
        </w:rPr>
        <w:t xml:space="preserve"> </w:t>
      </w:r>
      <w:r>
        <w:rPr>
          <w:iCs/>
        </w:rPr>
        <w:t>и като процент от БВП</w:t>
      </w:r>
      <w:r w:rsidRPr="00D8768E">
        <w:rPr>
          <w:iCs/>
          <w:lang w:val="ru-RU"/>
        </w:rPr>
        <w:t>)</w:t>
      </w:r>
      <w:r w:rsidRPr="00E47606">
        <w:rPr>
          <w:iCs/>
        </w:rPr>
        <w:t xml:space="preserve"> някои сумарни позиции в таблиците и графиките в актуализираната бюджетна прогноза </w:t>
      </w:r>
      <w:r>
        <w:rPr>
          <w:iCs/>
        </w:rPr>
        <w:t xml:space="preserve">за периода </w:t>
      </w:r>
      <w:r w:rsidRPr="00E47606">
        <w:rPr>
          <w:iCs/>
        </w:rPr>
        <w:t>20</w:t>
      </w:r>
      <w:r>
        <w:rPr>
          <w:iCs/>
        </w:rPr>
        <w:t xml:space="preserve">24-2026 г. </w:t>
      </w:r>
      <w:r w:rsidRPr="00E47606">
        <w:rPr>
          <w:iCs/>
        </w:rPr>
        <w:t>и приложенията към нея не се изчерпват от съставните им числа.</w:t>
      </w:r>
    </w:p>
  </w:footnote>
  <w:footnote w:id="9">
    <w:p w:rsidR="00665E9C" w:rsidRPr="002F58F4" w:rsidRDefault="00665E9C" w:rsidP="002F58F4">
      <w:pPr>
        <w:pStyle w:val="FootnoteText"/>
        <w:rPr>
          <w:iCs/>
        </w:rPr>
      </w:pPr>
      <w:r>
        <w:rPr>
          <w:rStyle w:val="FootnoteReference"/>
        </w:rPr>
        <w:footnoteRef/>
      </w:r>
      <w:r>
        <w:t xml:space="preserve">    </w:t>
      </w:r>
      <w:r w:rsidRPr="002F58F4">
        <w:rPr>
          <w:iCs/>
        </w:rPr>
        <w:t xml:space="preserve">Поради закръгление </w:t>
      </w:r>
      <w:r w:rsidRPr="002F58F4">
        <w:rPr>
          <w:iCs/>
          <w:lang w:val="ru-RU"/>
        </w:rPr>
        <w:t>(</w:t>
      </w:r>
      <w:r w:rsidRPr="002F58F4">
        <w:rPr>
          <w:iCs/>
        </w:rPr>
        <w:t>в млн. лв.</w:t>
      </w:r>
      <w:r w:rsidRPr="002F58F4">
        <w:rPr>
          <w:iCs/>
          <w:lang w:val="ru-RU"/>
        </w:rPr>
        <w:t xml:space="preserve"> </w:t>
      </w:r>
      <w:r w:rsidRPr="002F58F4">
        <w:rPr>
          <w:iCs/>
        </w:rPr>
        <w:t>и като процент от БВП</w:t>
      </w:r>
      <w:r w:rsidRPr="002F58F4">
        <w:rPr>
          <w:iCs/>
          <w:lang w:val="ru-RU"/>
        </w:rPr>
        <w:t>)</w:t>
      </w:r>
      <w:r w:rsidRPr="002F58F4">
        <w:rPr>
          <w:iCs/>
        </w:rPr>
        <w:t xml:space="preserve"> някои сумарни позиции в таблиците и графиките в актуализираната бюджетна прогноза за периода 202</w:t>
      </w:r>
      <w:r>
        <w:rPr>
          <w:iCs/>
        </w:rPr>
        <w:t>4</w:t>
      </w:r>
      <w:r w:rsidRPr="002F58F4">
        <w:rPr>
          <w:iCs/>
        </w:rPr>
        <w:t>-202</w:t>
      </w:r>
      <w:r>
        <w:rPr>
          <w:iCs/>
        </w:rPr>
        <w:t>6</w:t>
      </w:r>
      <w:r w:rsidRPr="002F58F4">
        <w:rPr>
          <w:iCs/>
        </w:rPr>
        <w:t xml:space="preserve"> г. и приложенията към нея не се изчерпват от съставните им числа.</w:t>
      </w:r>
    </w:p>
    <w:p w:rsidR="00665E9C" w:rsidRDefault="00665E9C">
      <w:pPr>
        <w:pStyle w:val="FootnoteText"/>
      </w:pPr>
    </w:p>
  </w:footnote>
  <w:footnote w:id="10">
    <w:p w:rsidR="00665E9C" w:rsidRPr="00327A98" w:rsidRDefault="00665E9C" w:rsidP="00327A98">
      <w:pPr>
        <w:pStyle w:val="FootnoteText"/>
        <w:spacing w:before="60" w:after="0"/>
        <w:ind w:left="288" w:hanging="288"/>
      </w:pPr>
      <w:r w:rsidRPr="00327A98">
        <w:rPr>
          <w:rStyle w:val="FootnoteReference"/>
          <w:sz w:val="20"/>
        </w:rPr>
        <w:footnoteRef/>
      </w:r>
      <w:r w:rsidRPr="00327A98">
        <w:t xml:space="preserve"> </w:t>
      </w:r>
      <w:r w:rsidRPr="00BB78F4">
        <w:t xml:space="preserve"> </w:t>
      </w:r>
      <w:r w:rsidRPr="00327A98">
        <w:t xml:space="preserve"> </w:t>
      </w:r>
      <w:r w:rsidRPr="00327A98">
        <w:rPr>
          <w:iCs/>
        </w:rPr>
        <w:t xml:space="preserve">В таблицата са включени сметки за средства от ЕС на: </w:t>
      </w:r>
      <w:r>
        <w:rPr>
          <w:iCs/>
        </w:rPr>
        <w:t>ДФ „Земеделие“; Национален фонд</w:t>
      </w:r>
      <w:r w:rsidRPr="00327A98">
        <w:rPr>
          <w:iCs/>
        </w:rPr>
        <w:t xml:space="preserve"> и </w:t>
      </w:r>
      <w:r>
        <w:rPr>
          <w:iCs/>
        </w:rPr>
        <w:t>д</w:t>
      </w:r>
      <w:r w:rsidRPr="00327A98">
        <w:rPr>
          <w:iCs/>
        </w:rPr>
        <w:t xml:space="preserve">ругите сметки за средства от ЕС и средства по други международни програми и договори, за които се прилага режимът на сметките за средства от ЕС. </w:t>
      </w:r>
    </w:p>
  </w:footnote>
  <w:footnote w:id="11">
    <w:p w:rsidR="00665E9C" w:rsidRDefault="00665E9C">
      <w:pPr>
        <w:pStyle w:val="FootnoteText"/>
      </w:pPr>
      <w:r>
        <w:rPr>
          <w:rStyle w:val="FootnoteReference"/>
        </w:rPr>
        <w:footnoteRef/>
      </w:r>
      <w:r>
        <w:t xml:space="preserve"> Национален рамков договор.</w:t>
      </w:r>
    </w:p>
  </w:footnote>
  <w:footnote w:id="12">
    <w:p w:rsidR="00665E9C" w:rsidRPr="00AE71CA" w:rsidRDefault="00665E9C" w:rsidP="00BD3E85">
      <w:pPr>
        <w:pStyle w:val="FootnoteText"/>
        <w:rPr>
          <w:iCs/>
        </w:rPr>
      </w:pPr>
      <w:r w:rsidRPr="00AE71CA">
        <w:rPr>
          <w:rStyle w:val="FootnoteReference"/>
          <w:sz w:val="20"/>
        </w:rPr>
        <w:footnoteRef/>
      </w:r>
      <w:r w:rsidRPr="00AE71CA">
        <w:t xml:space="preserve"> </w:t>
      </w:r>
      <w:r w:rsidRPr="00AE71CA">
        <w:tab/>
      </w:r>
      <w:r w:rsidRPr="00AE71CA">
        <w:rPr>
          <w:iCs/>
        </w:rPr>
        <w:t xml:space="preserve">Поради закръгление </w:t>
      </w:r>
      <w:r w:rsidRPr="00AE71CA">
        <w:rPr>
          <w:iCs/>
          <w:lang w:val="ru-RU"/>
        </w:rPr>
        <w:t>(</w:t>
      </w:r>
      <w:r w:rsidRPr="00AE71CA">
        <w:rPr>
          <w:iCs/>
        </w:rPr>
        <w:t>в млн. лв.</w:t>
      </w:r>
      <w:r w:rsidRPr="00AE71CA">
        <w:rPr>
          <w:iCs/>
          <w:lang w:val="ru-RU"/>
        </w:rPr>
        <w:t xml:space="preserve"> </w:t>
      </w:r>
      <w:r w:rsidRPr="00AE71CA">
        <w:rPr>
          <w:iCs/>
        </w:rPr>
        <w:t>и като процент от БВП</w:t>
      </w:r>
      <w:r w:rsidRPr="00AE71CA">
        <w:rPr>
          <w:iCs/>
          <w:lang w:val="ru-RU"/>
        </w:rPr>
        <w:t>)</w:t>
      </w:r>
      <w:r w:rsidRPr="00AE71CA">
        <w:rPr>
          <w:iCs/>
        </w:rPr>
        <w:t xml:space="preserve"> някои сумарни позиции в таблиците и графиките в актуализираната б</w:t>
      </w:r>
      <w:r>
        <w:rPr>
          <w:iCs/>
        </w:rPr>
        <w:t>юджетна прогноза за периода 2024-2026</w:t>
      </w:r>
      <w:r w:rsidRPr="00AE71CA">
        <w:rPr>
          <w:iCs/>
        </w:rPr>
        <w:t xml:space="preserve"> г. и приложенията към нея не се изчерпват от съставните им числа.</w:t>
      </w:r>
    </w:p>
  </w:footnote>
  <w:footnote w:id="13">
    <w:p w:rsidR="00665E9C" w:rsidRPr="00177646" w:rsidRDefault="00665E9C" w:rsidP="00177646">
      <w:pPr>
        <w:pStyle w:val="FootnoteText"/>
        <w:ind w:left="142" w:hanging="142"/>
      </w:pPr>
      <w:r w:rsidRPr="00AE71CA">
        <w:rPr>
          <w:rStyle w:val="FootnoteReference"/>
        </w:rPr>
        <w:footnoteRef/>
      </w:r>
      <w:r w:rsidRPr="00AE71CA">
        <w:t xml:space="preserve"> </w:t>
      </w:r>
      <w:r w:rsidRPr="00AE71CA">
        <w:rPr>
          <w:lang w:val="en-GB"/>
        </w:rPr>
        <w:t>European Economic Forecast</w:t>
      </w:r>
      <w:r>
        <w:t xml:space="preserve">, </w:t>
      </w:r>
      <w:r>
        <w:rPr>
          <w:lang w:val="en-US"/>
        </w:rPr>
        <w:t>Autumn</w:t>
      </w:r>
      <w:r w:rsidRPr="00AE71CA">
        <w:rPr>
          <w:lang w:val="en-GB"/>
        </w:rPr>
        <w:t xml:space="preserve"> 202</w:t>
      </w:r>
      <w:r>
        <w:rPr>
          <w:lang w:val="en-GB"/>
        </w:rPr>
        <w:t>3</w:t>
      </w:r>
      <w:r w:rsidRPr="00AE71CA">
        <w:rPr>
          <w:lang w:val="en-GB"/>
        </w:rPr>
        <w:t>,</w:t>
      </w:r>
      <w:r w:rsidRPr="00177646">
        <w:rPr>
          <w:rFonts w:ascii="Calibri" w:eastAsiaTheme="minorHAnsi" w:hAnsi="Calibri" w:cs="Calibri"/>
          <w:sz w:val="22"/>
          <w:lang w:eastAsia="en-US"/>
        </w:rPr>
        <w:t xml:space="preserve"> </w:t>
      </w:r>
      <w:hyperlink r:id="rId1" w:history="1">
        <w:r w:rsidRPr="00177646">
          <w:rPr>
            <w:rStyle w:val="Hyperlink"/>
            <w:rFonts w:cstheme="minorBidi"/>
          </w:rPr>
          <w:t>https://economy-finance.ec.europa.eu/system/files/2023-11/ip258_en_2.pdf</w:t>
        </w:r>
      </w:hyperlink>
    </w:p>
    <w:p w:rsidR="00665E9C" w:rsidRPr="00B23A59" w:rsidRDefault="00A96BF2" w:rsidP="00D313DF">
      <w:pPr>
        <w:pStyle w:val="FootnoteText"/>
        <w:ind w:left="142" w:hanging="142"/>
      </w:pPr>
      <w:hyperlink w:history="1"/>
      <w:r w:rsidR="00665E9C" w:rsidDel="00B23A59">
        <w:rPr>
          <w:rStyle w:val="Hyperlink"/>
          <w:lang w:val="en-US"/>
        </w:rPr>
        <w:t xml:space="preserve"> </w:t>
      </w:r>
    </w:p>
  </w:footnote>
  <w:footnote w:id="14">
    <w:p w:rsidR="00665E9C" w:rsidRPr="008A6897" w:rsidRDefault="00665E9C" w:rsidP="008A6897">
      <w:pPr>
        <w:pStyle w:val="FootnoteText"/>
        <w:ind w:left="180" w:hanging="180"/>
      </w:pPr>
      <w:r w:rsidRPr="00AE71CA">
        <w:rPr>
          <w:rStyle w:val="FootnoteReference"/>
        </w:rPr>
        <w:footnoteRef/>
      </w:r>
      <w:r w:rsidRPr="00AE71CA">
        <w:t xml:space="preserve"> </w:t>
      </w:r>
      <w:r w:rsidRPr="008A6897">
        <w:t>Директива 2011/85/ЕС на Съвета от 8 ноември 2011 г. относно изискванията за бюджетните рамки на държавите членки (</w:t>
      </w:r>
      <w:hyperlink r:id="rId2" w:history="1">
        <w:r w:rsidRPr="008A6897">
          <w:rPr>
            <w:rStyle w:val="Hyperlink"/>
          </w:rPr>
          <w:t>https://eur-lex.europa.eu/legal-content/BG/ALL/?uri=CELEX:32011L0085</w:t>
        </w:r>
      </w:hyperlink>
      <w:r w:rsidRPr="008A6897">
        <w:rPr>
          <w:lang w:val="ru-RU"/>
        </w:rPr>
        <w:t>).</w:t>
      </w:r>
      <w:r w:rsidRPr="008A6897">
        <w:t xml:space="preserve"> Съгласно член 14, параграф 3 от тази директива: </w:t>
      </w:r>
      <w:r w:rsidRPr="008A6897">
        <w:rPr>
          <w:i/>
        </w:rPr>
        <w:t>„За всички подсектори на сектор „Държавно управление“ държавите членки публикуват съответна информация за условните задължения с потенциално значително въздействие върху публичните бюджети, включително държавни гаранции, необслужвани кредити и задължения, произтичащи от дейността на публични дружества, както и техния размер. Държавите членки публикуват и информация за дялове на сектор „Държавно управление“ в капитала на частни и публични дружества, които възлизат на икономически значими суми</w:t>
      </w:r>
      <w:r w:rsidRPr="008A6897">
        <w:rPr>
          <w:i/>
          <w:iCs/>
        </w:rPr>
        <w:t>“.</w:t>
      </w:r>
      <w:r w:rsidRPr="008A6897">
        <w:t xml:space="preserve"> </w:t>
      </w:r>
    </w:p>
  </w:footnote>
  <w:footnote w:id="15">
    <w:p w:rsidR="00665E9C" w:rsidRDefault="00665E9C" w:rsidP="00A36136">
      <w:pPr>
        <w:pStyle w:val="FootnoteText"/>
      </w:pPr>
      <w:r>
        <w:rPr>
          <w:rStyle w:val="FootnoteReference"/>
        </w:rPr>
        <w:footnoteRef/>
      </w:r>
      <w:r>
        <w:t xml:space="preserve"> </w:t>
      </w:r>
      <w:r w:rsidRPr="00FC36AE">
        <w:t xml:space="preserve">Съгласно </w:t>
      </w:r>
      <w:r>
        <w:t xml:space="preserve">данни от Евростат, </w:t>
      </w:r>
      <w:hyperlink r:id="rId3" w:history="1">
        <w:r w:rsidRPr="00025474">
          <w:rPr>
            <w:rStyle w:val="Hyperlink"/>
          </w:rPr>
          <w:t>http://ec.europa.eu/eurostat/web/government-finance-statistics/data/database</w:t>
        </w:r>
      </w:hyperlink>
      <w:r w:rsidRPr="00F27438">
        <w:t>.</w:t>
      </w:r>
    </w:p>
  </w:footnote>
  <w:footnote w:id="16">
    <w:p w:rsidR="00665E9C" w:rsidRPr="00102401" w:rsidRDefault="00665E9C" w:rsidP="00A65D6E">
      <w:pPr>
        <w:pStyle w:val="FootnoteText"/>
        <w:ind w:left="0" w:firstLine="0"/>
      </w:pPr>
      <w:r w:rsidRPr="00A77781">
        <w:rPr>
          <w:rStyle w:val="FootnoteReference"/>
        </w:rPr>
        <w:footnoteRef/>
      </w:r>
      <w:r w:rsidRPr="00102401">
        <w:t xml:space="preserve"> </w:t>
      </w:r>
      <w:r w:rsidRPr="00A77781">
        <w:t>SURE</w:t>
      </w:r>
      <w:r w:rsidRPr="00102401">
        <w:t xml:space="preserve"> - </w:t>
      </w:r>
      <w:r w:rsidRPr="00A77781">
        <w:t>Европейският инструмент за временна подкрепа с цел смекчаване на рисковете от безработица при извънредни обстоятелства, вследствие на избухването на COVID-19</w:t>
      </w:r>
      <w:r>
        <w:t>.</w:t>
      </w:r>
    </w:p>
  </w:footnote>
  <w:footnote w:id="17">
    <w:p w:rsidR="00665E9C" w:rsidRPr="00917873" w:rsidRDefault="00665E9C" w:rsidP="00917873">
      <w:pPr>
        <w:pStyle w:val="FootnoteText"/>
        <w:spacing w:after="0"/>
      </w:pPr>
      <w:r w:rsidRPr="00B91A91">
        <w:rPr>
          <w:rStyle w:val="FootnoteReference"/>
          <w:sz w:val="20"/>
        </w:rPr>
        <w:footnoteRef/>
      </w:r>
      <w:r w:rsidRPr="00B91A91">
        <w:t xml:space="preserve"> </w:t>
      </w:r>
      <w:r w:rsidRPr="00B91A91">
        <w:tab/>
      </w:r>
      <w:r w:rsidRPr="00917873">
        <w:t>Използваните в някои от графиките и таблиците в доклада съкращения към годините за периода 2023-2026 г. са със следното значение:</w:t>
      </w:r>
    </w:p>
    <w:p w:rsidR="00665E9C" w:rsidRPr="00917873" w:rsidRDefault="00665E9C" w:rsidP="00917873">
      <w:pPr>
        <w:pStyle w:val="FootnoteText"/>
        <w:numPr>
          <w:ilvl w:val="0"/>
          <w:numId w:val="12"/>
        </w:numPr>
        <w:spacing w:after="0"/>
      </w:pPr>
      <w:r w:rsidRPr="00917873">
        <w:t>2023 Очакв. – Очаквано изпълнение за 2023 г.;</w:t>
      </w:r>
    </w:p>
    <w:p w:rsidR="00665E9C" w:rsidRPr="00917873" w:rsidRDefault="00665E9C" w:rsidP="00917873">
      <w:pPr>
        <w:pStyle w:val="FootnoteText"/>
        <w:numPr>
          <w:ilvl w:val="0"/>
          <w:numId w:val="12"/>
        </w:numPr>
        <w:spacing w:after="0"/>
      </w:pPr>
      <w:r w:rsidRPr="00917873">
        <w:t>2024 п – проект за 2024 г.;</w:t>
      </w:r>
    </w:p>
    <w:p w:rsidR="00665E9C" w:rsidRPr="00917873" w:rsidRDefault="00665E9C" w:rsidP="00917873">
      <w:pPr>
        <w:pStyle w:val="FootnoteText"/>
        <w:numPr>
          <w:ilvl w:val="0"/>
          <w:numId w:val="12"/>
        </w:numPr>
        <w:spacing w:after="0"/>
      </w:pPr>
      <w:r w:rsidRPr="00917873">
        <w:t xml:space="preserve">2025 п – прогноза за 2025 г. </w:t>
      </w:r>
    </w:p>
    <w:p w:rsidR="00665E9C" w:rsidRPr="00D91A80" w:rsidRDefault="00665E9C" w:rsidP="00917873">
      <w:pPr>
        <w:pStyle w:val="FootnoteText"/>
        <w:numPr>
          <w:ilvl w:val="0"/>
          <w:numId w:val="12"/>
        </w:numPr>
        <w:spacing w:after="0"/>
      </w:pPr>
      <w:r w:rsidRPr="00917873">
        <w:t>2026 п – прогноза за 2026 г.</w:t>
      </w:r>
    </w:p>
  </w:footnote>
  <w:footnote w:id="18">
    <w:p w:rsidR="00665E9C" w:rsidRDefault="00665E9C">
      <w:pPr>
        <w:pStyle w:val="FootnoteText"/>
      </w:pPr>
      <w:r>
        <w:rPr>
          <w:rStyle w:val="FootnoteReference"/>
        </w:rPr>
        <w:footnoteRef/>
      </w:r>
      <w:r>
        <w:t xml:space="preserve"> Договор за функционирането на Европейския съюз.</w:t>
      </w:r>
    </w:p>
  </w:footnote>
  <w:footnote w:id="19">
    <w:p w:rsidR="00665E9C" w:rsidRDefault="00665E9C" w:rsidP="00725353">
      <w:pPr>
        <w:pStyle w:val="FootnoteText"/>
      </w:pPr>
      <w:r>
        <w:rPr>
          <w:rStyle w:val="FootnoteReference"/>
        </w:rPr>
        <w:footnoteRef/>
      </w:r>
      <w:r>
        <w:t xml:space="preserve">  </w:t>
      </w:r>
      <w:r w:rsidRPr="005E22E2">
        <w:t>По предварителна данни на НСИ</w:t>
      </w:r>
      <w:r>
        <w:t>,</w:t>
      </w:r>
      <w:r w:rsidRPr="005E22E2">
        <w:t xml:space="preserve"> https://nsi.bg/sites/default/files/files/pressreleases/FTS_Extrastat_2022-12_ZI4IC53.pdf</w:t>
      </w:r>
      <w:r>
        <w:t>.</w:t>
      </w:r>
    </w:p>
  </w:footnote>
  <w:footnote w:id="20">
    <w:p w:rsidR="00665E9C" w:rsidRPr="00D557E8" w:rsidRDefault="00665E9C" w:rsidP="00D557E8">
      <w:pPr>
        <w:pStyle w:val="FootnoteText"/>
      </w:pPr>
      <w:r w:rsidRPr="001D60CC">
        <w:rPr>
          <w:rStyle w:val="FootnoteReference"/>
          <w:sz w:val="20"/>
        </w:rPr>
        <w:footnoteRef/>
      </w:r>
      <w:r w:rsidRPr="001D60CC">
        <w:t xml:space="preserve"> </w:t>
      </w:r>
      <w:r>
        <w:tab/>
      </w:r>
      <w:r w:rsidRPr="001D60CC">
        <w:t>В текущите нелихвени разходи са включени и предоставените трансфери за чужбина и прираст</w:t>
      </w:r>
      <w:r>
        <w:t>ът</w:t>
      </w:r>
      <w:r w:rsidRPr="001D60CC">
        <w:t xml:space="preserve"> на държавния резерв.</w:t>
      </w:r>
    </w:p>
  </w:footnote>
  <w:footnote w:id="21">
    <w:p w:rsidR="00665E9C" w:rsidRDefault="00665E9C" w:rsidP="00BE5707">
      <w:pPr>
        <w:pStyle w:val="FootnoteText"/>
      </w:pPr>
      <w:r>
        <w:rPr>
          <w:rStyle w:val="FootnoteReference"/>
        </w:rPr>
        <w:footnoteRef/>
      </w:r>
      <w:r>
        <w:t xml:space="preserve"> Изпълнителна агенция.</w:t>
      </w:r>
    </w:p>
  </w:footnote>
  <w:footnote w:id="22">
    <w:p w:rsidR="00665E9C" w:rsidRDefault="00665E9C" w:rsidP="006736BB">
      <w:pPr>
        <w:pStyle w:val="FootnoteText"/>
      </w:pPr>
      <w:r>
        <w:rPr>
          <w:rStyle w:val="FootnoteReference"/>
        </w:rPr>
        <w:footnoteRef/>
      </w:r>
      <w:r>
        <w:t xml:space="preserve"> Медицински институт.</w:t>
      </w:r>
    </w:p>
  </w:footnote>
  <w:footnote w:id="23">
    <w:p w:rsidR="00665E9C" w:rsidRDefault="00665E9C" w:rsidP="006736BB">
      <w:pPr>
        <w:pStyle w:val="FootnoteText"/>
      </w:pPr>
      <w:r>
        <w:rPr>
          <w:rStyle w:val="FootnoteReference"/>
        </w:rPr>
        <w:footnoteRef/>
      </w:r>
      <w:r>
        <w:t xml:space="preserve"> </w:t>
      </w:r>
      <w:r w:rsidRPr="00B8436D">
        <w:t>Централна клинична база</w:t>
      </w:r>
      <w:r>
        <w:t>.</w:t>
      </w:r>
    </w:p>
  </w:footnote>
  <w:footnote w:id="24">
    <w:p w:rsidR="00665E9C" w:rsidRDefault="00665E9C" w:rsidP="006736BB">
      <w:pPr>
        <w:pStyle w:val="FootnoteText"/>
      </w:pPr>
      <w:r>
        <w:rPr>
          <w:rStyle w:val="FootnoteReference"/>
        </w:rPr>
        <w:footnoteRef/>
      </w:r>
      <w:r>
        <w:t xml:space="preserve"> </w:t>
      </w:r>
      <w:r w:rsidRPr="00B8436D">
        <w:t>Болница за продължително лечение и рехабилитация</w:t>
      </w:r>
      <w:r>
        <w:t>.</w:t>
      </w:r>
    </w:p>
  </w:footnote>
  <w:footnote w:id="25">
    <w:p w:rsidR="00665E9C" w:rsidRPr="006736BB" w:rsidRDefault="00665E9C">
      <w:pPr>
        <w:pStyle w:val="FootnoteText"/>
      </w:pPr>
      <w:r w:rsidRPr="006736BB">
        <w:rPr>
          <w:rStyle w:val="FootnoteReference"/>
        </w:rPr>
        <w:footnoteRef/>
      </w:r>
      <w:r w:rsidRPr="006736BB">
        <w:t xml:space="preserve"> Закон за Министерството на вътрешните работи.</w:t>
      </w:r>
    </w:p>
  </w:footnote>
  <w:footnote w:id="26">
    <w:p w:rsidR="00665E9C" w:rsidRPr="006736BB" w:rsidRDefault="00665E9C">
      <w:pPr>
        <w:pStyle w:val="FootnoteText"/>
      </w:pPr>
      <w:r w:rsidRPr="006736BB">
        <w:rPr>
          <w:rStyle w:val="FootnoteReference"/>
        </w:rPr>
        <w:footnoteRef/>
      </w:r>
      <w:r w:rsidRPr="006736BB">
        <w:t xml:space="preserve"> Закон за здравното осигуряване.</w:t>
      </w:r>
    </w:p>
  </w:footnote>
  <w:footnote w:id="27">
    <w:p w:rsidR="00665E9C" w:rsidRDefault="00665E9C" w:rsidP="00164482">
      <w:pPr>
        <w:pStyle w:val="FootnoteText"/>
      </w:pPr>
      <w:r>
        <w:rPr>
          <w:rStyle w:val="FootnoteReference"/>
        </w:rPr>
        <w:footnoteRef/>
      </w:r>
      <w:r>
        <w:t xml:space="preserve"> Централизирана автоматизирана информационна система.</w:t>
      </w:r>
    </w:p>
  </w:footnote>
  <w:footnote w:id="28">
    <w:p w:rsidR="00665E9C" w:rsidRDefault="00665E9C">
      <w:pPr>
        <w:pStyle w:val="FootnoteText"/>
      </w:pPr>
      <w:r>
        <w:rPr>
          <w:rStyle w:val="FootnoteReference"/>
        </w:rPr>
        <w:footnoteRef/>
      </w:r>
      <w:r>
        <w:t xml:space="preserve"> Главна дирекция „Изпълнение на наказанията“.</w:t>
      </w:r>
    </w:p>
  </w:footnote>
  <w:footnote w:id="29">
    <w:p w:rsidR="00665E9C" w:rsidRDefault="00665E9C" w:rsidP="00E04690">
      <w:pPr>
        <w:pStyle w:val="FootnoteText"/>
        <w:ind w:left="180" w:hanging="180"/>
      </w:pPr>
      <w:r>
        <w:rPr>
          <w:rStyle w:val="FootnoteReference"/>
        </w:rPr>
        <w:footnoteRef/>
      </w:r>
      <w:r>
        <w:t xml:space="preserve"> Моделът PRIMES е модел на енергийна система на ЕС, който симулира потреблението на енергия и снабдяването с енергия.</w:t>
      </w:r>
    </w:p>
    <w:p w:rsidR="00665E9C" w:rsidRDefault="00665E9C" w:rsidP="003A5772">
      <w:pPr>
        <w:pStyle w:val="FootnoteText"/>
      </w:pPr>
    </w:p>
  </w:footnote>
  <w:footnote w:id="30">
    <w:p w:rsidR="00665E9C" w:rsidRDefault="00665E9C">
      <w:pPr>
        <w:pStyle w:val="FootnoteText"/>
      </w:pPr>
      <w:r>
        <w:rPr>
          <w:rStyle w:val="FootnoteReference"/>
        </w:rPr>
        <w:footnoteRef/>
      </w:r>
      <w:r>
        <w:t xml:space="preserve"> Киловат.</w:t>
      </w:r>
    </w:p>
  </w:footnote>
  <w:footnote w:id="31">
    <w:p w:rsidR="00665E9C" w:rsidRDefault="00665E9C">
      <w:pPr>
        <w:pStyle w:val="FootnoteText"/>
      </w:pPr>
      <w:r>
        <w:rPr>
          <w:rStyle w:val="FootnoteReference"/>
        </w:rPr>
        <w:footnoteRef/>
      </w:r>
      <w:r>
        <w:t xml:space="preserve"> Водоснабдяване и канализация.</w:t>
      </w:r>
    </w:p>
  </w:footnote>
  <w:footnote w:id="32">
    <w:p w:rsidR="00665E9C" w:rsidRDefault="00665E9C">
      <w:pPr>
        <w:pStyle w:val="FootnoteText"/>
      </w:pPr>
      <w:r>
        <w:rPr>
          <w:rStyle w:val="FootnoteReference"/>
        </w:rPr>
        <w:footnoteRef/>
      </w:r>
      <w:r>
        <w:t xml:space="preserve"> Оценка на въздействието върху околната среда.</w:t>
      </w:r>
    </w:p>
  </w:footnote>
  <w:footnote w:id="33">
    <w:p w:rsidR="00665E9C" w:rsidRDefault="00665E9C">
      <w:pPr>
        <w:pStyle w:val="FootnoteText"/>
      </w:pPr>
      <w:r>
        <w:rPr>
          <w:rStyle w:val="FootnoteReference"/>
        </w:rPr>
        <w:footnoteRef/>
      </w:r>
      <w:r>
        <w:t xml:space="preserve"> Организация на обединените нации за образование, наука и култура.</w:t>
      </w:r>
    </w:p>
  </w:footnote>
  <w:footnote w:id="34">
    <w:p w:rsidR="00665E9C" w:rsidRDefault="00665E9C">
      <w:pPr>
        <w:pStyle w:val="FootnoteText"/>
      </w:pPr>
      <w:r>
        <w:rPr>
          <w:rStyle w:val="FootnoteReference"/>
        </w:rPr>
        <w:footnoteRef/>
      </w:r>
      <w:r>
        <w:t xml:space="preserve"> Главна дирекция.</w:t>
      </w:r>
    </w:p>
  </w:footnote>
  <w:footnote w:id="35">
    <w:p w:rsidR="00665E9C" w:rsidRDefault="00665E9C">
      <w:pPr>
        <w:pStyle w:val="FootnoteText"/>
      </w:pPr>
      <w:r>
        <w:rPr>
          <w:rStyle w:val="FootnoteReference"/>
        </w:rPr>
        <w:footnoteRef/>
      </w:r>
      <w:r>
        <w:t xml:space="preserve">  Европейски фонд за морско дело и рибарство/ Европейски фонд за морско дело, рибарство и аквакултури.</w:t>
      </w:r>
    </w:p>
  </w:footnote>
  <w:footnote w:id="36">
    <w:p w:rsidR="00665E9C" w:rsidRPr="00315DAE" w:rsidRDefault="00665E9C" w:rsidP="00C97002">
      <w:pPr>
        <w:pStyle w:val="FootnoteText"/>
      </w:pPr>
      <w:r>
        <w:rPr>
          <w:rStyle w:val="FootnoteReference"/>
        </w:rPr>
        <w:footnoteRef/>
      </w:r>
      <w:r>
        <w:t xml:space="preserve"> Н</w:t>
      </w:r>
      <w:r w:rsidRPr="00315DAE">
        <w:t>аучни изс</w:t>
      </w:r>
      <w:r>
        <w:t>ледвания и иновации.</w:t>
      </w:r>
    </w:p>
  </w:footnote>
  <w:footnote w:id="37">
    <w:p w:rsidR="00665E9C" w:rsidRDefault="00665E9C">
      <w:pPr>
        <w:pStyle w:val="FootnoteText"/>
      </w:pPr>
      <w:r>
        <w:rPr>
          <w:rStyle w:val="FootnoteReference"/>
        </w:rPr>
        <w:footnoteRef/>
      </w:r>
      <w:r>
        <w:t xml:space="preserve"> Вътреобщностни придобивания в ЕС.</w:t>
      </w:r>
    </w:p>
  </w:footnote>
  <w:footnote w:id="38">
    <w:p w:rsidR="00665E9C" w:rsidRPr="003C7BE1" w:rsidRDefault="00665E9C" w:rsidP="008254F9">
      <w:pPr>
        <w:pStyle w:val="NormalWeb"/>
        <w:spacing w:after="0"/>
        <w:ind w:left="270" w:hanging="270"/>
        <w:jc w:val="both"/>
        <w:rPr>
          <w:sz w:val="20"/>
          <w:szCs w:val="20"/>
        </w:rPr>
      </w:pPr>
      <w:r w:rsidRPr="001F7E27">
        <w:rPr>
          <w:rStyle w:val="FootnoteReference"/>
          <w:sz w:val="20"/>
          <w:szCs w:val="20"/>
        </w:rPr>
        <w:footnoteRef/>
      </w:r>
      <w:r w:rsidRPr="001F7E27">
        <w:rPr>
          <w:sz w:val="20"/>
          <w:szCs w:val="20"/>
        </w:rPr>
        <w:t xml:space="preserve"> </w:t>
      </w:r>
      <w:r w:rsidRPr="001F7E27">
        <w:rPr>
          <w:rFonts w:eastAsia="Cambria"/>
          <w:bCs/>
          <w:kern w:val="24"/>
          <w:sz w:val="20"/>
          <w:szCs w:val="20"/>
          <w:lang w:val="ru-RU"/>
        </w:rPr>
        <w:t xml:space="preserve">Органите/структурите, отговорни за координацията и контрола </w:t>
      </w:r>
      <w:r w:rsidRPr="001F7E27">
        <w:rPr>
          <w:rFonts w:eastAsia="Cambria"/>
          <w:kern w:val="24"/>
          <w:sz w:val="20"/>
          <w:szCs w:val="20"/>
          <w:lang w:val="ru-RU"/>
        </w:rPr>
        <w:t xml:space="preserve">на системата за управление на средствата от Европейските фондове при споделено управление и структурите, отговорни за изпълнението на </w:t>
      </w:r>
      <w:r w:rsidRPr="001F7E27">
        <w:rPr>
          <w:rFonts w:eastAsia="Cambria"/>
          <w:bCs/>
          <w:kern w:val="24"/>
          <w:sz w:val="20"/>
          <w:szCs w:val="20"/>
          <w:lang w:val="ru-RU"/>
        </w:rPr>
        <w:t xml:space="preserve">хоризонталните </w:t>
      </w:r>
      <w:r w:rsidRPr="001F7E27">
        <w:rPr>
          <w:rFonts w:eastAsia="Cambria"/>
          <w:bCs/>
          <w:kern w:val="24"/>
          <w:sz w:val="20"/>
          <w:szCs w:val="20"/>
        </w:rPr>
        <w:t>отключващи условия и мрежата от Областни информационни центрове в Република България.</w:t>
      </w:r>
    </w:p>
  </w:footnote>
  <w:footnote w:id="39">
    <w:p w:rsidR="00665E9C" w:rsidRDefault="00665E9C">
      <w:pPr>
        <w:pStyle w:val="FootnoteText"/>
      </w:pPr>
      <w:r>
        <w:rPr>
          <w:rStyle w:val="FootnoteReference"/>
        </w:rPr>
        <w:footnoteRef/>
      </w:r>
      <w:r>
        <w:t xml:space="preserve"> Програмен период.</w:t>
      </w:r>
    </w:p>
  </w:footnote>
  <w:footnote w:id="40">
    <w:p w:rsidR="00665E9C" w:rsidRPr="00AF7572" w:rsidRDefault="00665E9C" w:rsidP="00A65D6E">
      <w:pPr>
        <w:pStyle w:val="FootnoteText"/>
        <w:ind w:left="0" w:firstLine="0"/>
      </w:pPr>
      <w:r w:rsidRPr="00AF7572">
        <w:rPr>
          <w:rStyle w:val="FootnoteReference"/>
        </w:rPr>
        <w:footnoteRef/>
      </w:r>
      <w:r w:rsidRPr="00AF7572">
        <w:t xml:space="preserve"> Дългът по Закона за държавния дълг и останалите форми на дълг съгласно Регламент на Съвета (ЕО) № 479/2009 от 25 май 2009 г. за прилагане на Протокола за процедурата при прекомерен дефицит, приложен към Договора за създаване на Европейската общност, който се поема и изплаща от централния бюджет и от лицата, чиито бюджети са част от държавния бюджет, включително чрез сметките им за средствата от Европейския съюз.</w:t>
      </w:r>
    </w:p>
  </w:footnote>
  <w:footnote w:id="41">
    <w:p w:rsidR="00665E9C" w:rsidRDefault="00665E9C" w:rsidP="00A65D6E">
      <w:pPr>
        <w:pStyle w:val="FootnoteText"/>
        <w:rPr>
          <w:rFonts w:eastAsia="Times New Roman"/>
        </w:rPr>
      </w:pPr>
      <w:r>
        <w:rPr>
          <w:rStyle w:val="FootnoteReference"/>
        </w:rPr>
        <w:footnoteRef/>
      </w:r>
      <w:r>
        <w:t xml:space="preserve">   SURE - Европейският инструмент за временна подкрепа с цел смекчаване на рисковете от безработица при извънредни обстоятелства, вследствие на избухването на пандемията от COVID-19.</w:t>
      </w:r>
    </w:p>
  </w:footnote>
  <w:footnote w:id="42">
    <w:p w:rsidR="00665E9C" w:rsidRDefault="00665E9C" w:rsidP="00E376DC">
      <w:pPr>
        <w:pStyle w:val="FootnoteText"/>
      </w:pPr>
      <w:r>
        <w:rPr>
          <w:rStyle w:val="FootnoteReference"/>
        </w:rPr>
        <w:footnoteRef/>
      </w:r>
      <w:r>
        <w:t xml:space="preserve">  Подземно газохранилище.</w:t>
      </w:r>
    </w:p>
  </w:footnote>
  <w:footnote w:id="43">
    <w:p w:rsidR="00665E9C" w:rsidRDefault="00665E9C" w:rsidP="00E376DC">
      <w:pPr>
        <w:pStyle w:val="FootnoteText"/>
      </w:pPr>
      <w:r>
        <w:rPr>
          <w:rStyle w:val="FootnoteReference"/>
        </w:rPr>
        <w:footnoteRef/>
      </w:r>
      <w:r>
        <w:t xml:space="preserve">  Помпено-акумулираща водноелектрическа централа.</w:t>
      </w:r>
    </w:p>
  </w:footnote>
  <w:footnote w:id="44">
    <w:p w:rsidR="00665E9C" w:rsidRDefault="00665E9C" w:rsidP="00E376DC">
      <w:pPr>
        <w:pStyle w:val="FootnoteText"/>
      </w:pPr>
      <w:r>
        <w:rPr>
          <w:rStyle w:val="FootnoteReference"/>
        </w:rPr>
        <w:footnoteRef/>
      </w:r>
      <w:r>
        <w:t xml:space="preserve">  Атомна електроцентрала.</w:t>
      </w:r>
    </w:p>
  </w:footnote>
  <w:footnote w:id="45">
    <w:p w:rsidR="00665E9C" w:rsidRDefault="00665E9C" w:rsidP="003D1836">
      <w:pPr>
        <w:pStyle w:val="FootnoteText"/>
        <w:ind w:left="270"/>
      </w:pPr>
      <w:r>
        <w:rPr>
          <w:rStyle w:val="FootnoteReference"/>
        </w:rPr>
        <w:footnoteRef/>
      </w:r>
      <w:r>
        <w:t xml:space="preserve">  </w:t>
      </w:r>
      <w:r w:rsidRPr="004D7A2B">
        <w:t>С предвидено усвояване и на средства по заеми с държавни гаранции, предвидени в ЗДБРБ за 2023 г.</w:t>
      </w:r>
      <w:r>
        <w:t>,</w:t>
      </w:r>
      <w:r w:rsidRPr="004D7A2B">
        <w:t xml:space="preserve"> в полза на ББР и в полза на ЕК във</w:t>
      </w:r>
      <w:r>
        <w:t xml:space="preserve"> връзка с гаранцията за Украйна.</w:t>
      </w:r>
    </w:p>
  </w:footnote>
  <w:footnote w:id="46">
    <w:p w:rsidR="00665E9C" w:rsidRPr="006E49CD" w:rsidRDefault="00665E9C" w:rsidP="003B4FB4">
      <w:pPr>
        <w:pStyle w:val="FootnoteText"/>
        <w:rPr>
          <w:rFonts w:cs="Times New Roman"/>
        </w:rPr>
      </w:pPr>
      <w:r w:rsidRPr="006E49CD">
        <w:rPr>
          <w:rStyle w:val="FootnoteReference"/>
        </w:rPr>
        <w:footnoteRef/>
      </w:r>
      <w:r w:rsidRPr="006E49CD">
        <w:rPr>
          <w:rFonts w:cs="Times New Roman"/>
        </w:rPr>
        <w:t xml:space="preserve"> </w:t>
      </w:r>
      <w:r>
        <w:rPr>
          <w:rFonts w:cs="Times New Roman"/>
        </w:rPr>
        <w:t xml:space="preserve">  </w:t>
      </w:r>
      <w:r w:rsidRPr="006E49CD">
        <w:rPr>
          <w:rFonts w:cs="Times New Roman"/>
        </w:rPr>
        <w:t xml:space="preserve">Общият защитен механизъм предоставя подкрепа под формата на обща мярка за подкрепа на Единния съвет за преструктуриране от Европейския стабилизационен механизъм (ЕСМ), където участват всички държави-членки от еврозоната и паралелни споразумения за </w:t>
      </w:r>
      <w:r>
        <w:rPr>
          <w:rFonts w:cs="Times New Roman"/>
        </w:rPr>
        <w:t xml:space="preserve">защитен механизъм, за държавите </w:t>
      </w:r>
      <w:r w:rsidRPr="006E49CD">
        <w:rPr>
          <w:rFonts w:cs="Times New Roman"/>
        </w:rPr>
        <w:t>членки, извън еврозоната, участващи в банковия съюз.</w:t>
      </w:r>
    </w:p>
  </w:footnote>
  <w:footnote w:id="47">
    <w:p w:rsidR="00665E9C" w:rsidRPr="007C7BB0" w:rsidRDefault="00665E9C" w:rsidP="001A6AE9">
      <w:pPr>
        <w:pStyle w:val="FootnoteText"/>
        <w:ind w:left="90" w:hanging="90"/>
        <w:rPr>
          <w:lang w:val="en-US"/>
        </w:rPr>
      </w:pPr>
      <w:r>
        <w:rPr>
          <w:rStyle w:val="FootnoteReference"/>
        </w:rPr>
        <w:footnoteRef/>
      </w:r>
      <w:r>
        <w:t xml:space="preserve"> </w:t>
      </w:r>
      <w:r w:rsidRPr="002A3956">
        <w:rPr>
          <w:sz w:val="18"/>
          <w:szCs w:val="18"/>
        </w:rPr>
        <w:t>European Commission (202</w:t>
      </w:r>
      <w:r>
        <w:rPr>
          <w:sz w:val="18"/>
          <w:szCs w:val="18"/>
        </w:rPr>
        <w:t>3</w:t>
      </w:r>
      <w:r w:rsidRPr="002A3956">
        <w:rPr>
          <w:sz w:val="18"/>
          <w:szCs w:val="18"/>
        </w:rPr>
        <w:t>)</w:t>
      </w:r>
      <w:r w:rsidRPr="002A3956">
        <w:rPr>
          <w:sz w:val="18"/>
          <w:szCs w:val="18"/>
          <w:lang w:val="en-US"/>
        </w:rPr>
        <w:t>. “</w:t>
      </w:r>
      <w:r w:rsidRPr="00CB568D">
        <w:rPr>
          <w:sz w:val="18"/>
          <w:szCs w:val="18"/>
          <w:lang w:val="en-US"/>
        </w:rPr>
        <w:t>Debt Sustainability Monitor 2022</w:t>
      </w:r>
      <w:r w:rsidRPr="002A3956">
        <w:rPr>
          <w:sz w:val="18"/>
          <w:szCs w:val="18"/>
          <w:lang w:val="en-US"/>
        </w:rPr>
        <w:t>”.</w:t>
      </w:r>
      <w:r w:rsidRPr="002A3956">
        <w:rPr>
          <w:sz w:val="18"/>
          <w:szCs w:val="18"/>
        </w:rPr>
        <w:t xml:space="preserve"> </w:t>
      </w:r>
      <w:r w:rsidRPr="002A3956">
        <w:rPr>
          <w:sz w:val="18"/>
          <w:szCs w:val="18"/>
          <w:lang w:val="en-US"/>
        </w:rPr>
        <w:t xml:space="preserve">Institutional Paper </w:t>
      </w:r>
      <w:r>
        <w:rPr>
          <w:sz w:val="18"/>
          <w:szCs w:val="18"/>
          <w:lang w:val="en-US"/>
        </w:rPr>
        <w:t>199</w:t>
      </w:r>
      <w:r w:rsidRPr="002A3956">
        <w:rPr>
          <w:sz w:val="18"/>
          <w:szCs w:val="18"/>
          <w:lang w:val="en-US"/>
        </w:rPr>
        <w:t xml:space="preserve">. - </w:t>
      </w:r>
      <w:r w:rsidRPr="002A3956">
        <w:rPr>
          <w:sz w:val="18"/>
          <w:szCs w:val="18"/>
        </w:rPr>
        <w:t xml:space="preserve">ANNEX A5 </w:t>
      </w:r>
      <w:r w:rsidRPr="00CB568D">
        <w:rPr>
          <w:sz w:val="18"/>
          <w:szCs w:val="18"/>
        </w:rPr>
        <w:t>The long-term fiscal sustainability indicators (S1, S2)</w:t>
      </w:r>
      <w:r>
        <w:rPr>
          <w:sz w:val="18"/>
          <w:szCs w:val="18"/>
        </w:rPr>
        <w:t>.</w:t>
      </w:r>
    </w:p>
  </w:footnote>
  <w:footnote w:id="48">
    <w:p w:rsidR="00665E9C" w:rsidRDefault="00665E9C" w:rsidP="001A6AE9">
      <w:pPr>
        <w:pStyle w:val="FootnoteText"/>
      </w:pPr>
      <w:r>
        <w:rPr>
          <w:rStyle w:val="FootnoteReference"/>
        </w:rPr>
        <w:footnoteRef/>
      </w:r>
      <w:r>
        <w:t xml:space="preserve"> </w:t>
      </w:r>
      <w:r w:rsidRPr="00C479AD">
        <w:rPr>
          <w:sz w:val="18"/>
          <w:szCs w:val="18"/>
        </w:rPr>
        <w:t>European Commission (2023). “Debt Sustainability Monitor 2022”. Institutional Paper 199</w:t>
      </w:r>
      <w:r>
        <w:rPr>
          <w:sz w:val="18"/>
          <w:szCs w:val="18"/>
        </w:rPr>
        <w:t>.</w:t>
      </w:r>
    </w:p>
  </w:footnote>
  <w:footnote w:id="49">
    <w:p w:rsidR="00665E9C" w:rsidRDefault="00665E9C" w:rsidP="001A6AE9">
      <w:pPr>
        <w:pStyle w:val="FootnoteText"/>
      </w:pPr>
      <w:r>
        <w:rPr>
          <w:rStyle w:val="FootnoteReference"/>
        </w:rPr>
        <w:footnoteRef/>
      </w:r>
      <w:r>
        <w:t xml:space="preserve"> </w:t>
      </w:r>
      <w:hyperlink r:id="rId4" w:history="1">
        <w:r w:rsidRPr="00166FEE">
          <w:rPr>
            <w:rStyle w:val="Hyperlink"/>
            <w:sz w:val="18"/>
            <w:szCs w:val="18"/>
          </w:rPr>
          <w:t>http://www.minfin.bg/upload/9114/D.E.2008.pdf</w:t>
        </w:r>
      </w:hyperlink>
      <w:r>
        <w:rPr>
          <w:bCs/>
          <w:sz w:val="24"/>
          <w:szCs w:val="24"/>
        </w:rPr>
        <w:t xml:space="preserve"> </w:t>
      </w:r>
      <w:r w:rsidRPr="005B016C">
        <w:rPr>
          <w:bCs/>
          <w:sz w:val="24"/>
          <w:szCs w:val="24"/>
        </w:rPr>
        <w:t xml:space="preserve"> </w:t>
      </w:r>
      <w:r w:rsidRPr="00BC1F15">
        <w:rPr>
          <w:bCs/>
          <w:sz w:val="24"/>
          <w:szCs w:val="24"/>
        </w:rPr>
        <w:t xml:space="preserve"> </w:t>
      </w:r>
      <w:r>
        <w:rPr>
          <w:bCs/>
          <w:sz w:val="24"/>
          <w:szCs w:val="24"/>
        </w:rPr>
        <w:t xml:space="preserve"> </w:t>
      </w:r>
    </w:p>
  </w:footnote>
  <w:footnote w:id="50">
    <w:p w:rsidR="00665E9C" w:rsidRPr="00166FEE" w:rsidRDefault="00665E9C" w:rsidP="001A6AE9">
      <w:pPr>
        <w:pStyle w:val="FootnoteText"/>
        <w:rPr>
          <w:sz w:val="18"/>
          <w:szCs w:val="18"/>
        </w:rPr>
      </w:pPr>
      <w:r>
        <w:rPr>
          <w:rStyle w:val="FootnoteReference"/>
        </w:rPr>
        <w:footnoteRef/>
      </w:r>
      <w:r>
        <w:t xml:space="preserve"> </w:t>
      </w:r>
      <w:r w:rsidRPr="00166FEE">
        <w:rPr>
          <w:sz w:val="18"/>
          <w:szCs w:val="18"/>
        </w:rPr>
        <w:t>S1&lt;</w:t>
      </w:r>
      <w:r>
        <w:rPr>
          <w:sz w:val="18"/>
          <w:szCs w:val="18"/>
          <w:lang w:val="en-US"/>
        </w:rPr>
        <w:t>2</w:t>
      </w:r>
      <w:r w:rsidRPr="00166FEE">
        <w:rPr>
          <w:sz w:val="18"/>
          <w:szCs w:val="18"/>
        </w:rPr>
        <w:t xml:space="preserve">  – нисък риск; </w:t>
      </w:r>
      <w:r>
        <w:rPr>
          <w:sz w:val="18"/>
          <w:szCs w:val="18"/>
          <w:lang w:val="en-US"/>
        </w:rPr>
        <w:t>2</w:t>
      </w:r>
      <w:r w:rsidRPr="00166FEE">
        <w:rPr>
          <w:sz w:val="18"/>
          <w:szCs w:val="18"/>
        </w:rPr>
        <w:t>&lt;S1&lt;</w:t>
      </w:r>
      <w:r>
        <w:rPr>
          <w:sz w:val="18"/>
          <w:szCs w:val="18"/>
          <w:lang w:val="en-US"/>
        </w:rPr>
        <w:t>6</w:t>
      </w:r>
      <w:r w:rsidRPr="00166FEE">
        <w:rPr>
          <w:sz w:val="18"/>
          <w:szCs w:val="18"/>
        </w:rPr>
        <w:t xml:space="preserve"> – умерен риск; S1&gt;</w:t>
      </w:r>
      <w:r>
        <w:rPr>
          <w:sz w:val="18"/>
          <w:szCs w:val="18"/>
          <w:lang w:val="en-US"/>
        </w:rPr>
        <w:t>6</w:t>
      </w:r>
      <w:r w:rsidRPr="00166FEE">
        <w:rPr>
          <w:sz w:val="18"/>
          <w:szCs w:val="18"/>
        </w:rPr>
        <w:t xml:space="preserve"> – висок риск;</w:t>
      </w:r>
    </w:p>
    <w:p w:rsidR="00665E9C" w:rsidRPr="00166FEE" w:rsidRDefault="00665E9C" w:rsidP="001A6AE9">
      <w:pPr>
        <w:pStyle w:val="FootnoteText"/>
        <w:rPr>
          <w:sz w:val="18"/>
          <w:szCs w:val="18"/>
        </w:rPr>
      </w:pPr>
      <w:r w:rsidRPr="00166FEE">
        <w:rPr>
          <w:sz w:val="18"/>
          <w:szCs w:val="18"/>
        </w:rPr>
        <w:t xml:space="preserve">  S2&lt;2 – нисък риск; 2&lt;S2&lt;6 – умерен риск; S2&gt;6 – висок риск.</w:t>
      </w:r>
    </w:p>
    <w:p w:rsidR="00665E9C" w:rsidRDefault="00665E9C" w:rsidP="001A6AE9">
      <w:pPr>
        <w:pStyle w:val="FootnoteText"/>
      </w:pPr>
    </w:p>
  </w:footnote>
  <w:footnote w:id="51">
    <w:p w:rsidR="00665E9C" w:rsidRPr="00780D69" w:rsidRDefault="00665E9C" w:rsidP="00854036">
      <w:pPr>
        <w:pStyle w:val="FootnoteText"/>
      </w:pPr>
      <w:r w:rsidRPr="00D96CAA">
        <w:rPr>
          <w:rStyle w:val="FootnoteReference"/>
        </w:rPr>
        <w:footnoteRef/>
      </w:r>
      <w:r w:rsidRPr="00D96CAA">
        <w:rPr>
          <w:sz w:val="18"/>
        </w:rPr>
        <w:t xml:space="preserve"> </w:t>
      </w:r>
      <w:r>
        <w:rPr>
          <w:sz w:val="18"/>
        </w:rPr>
        <w:t xml:space="preserve"> </w:t>
      </w:r>
      <w:r w:rsidRPr="004407E1">
        <w:rPr>
          <w:sz w:val="18"/>
        </w:rPr>
        <w:t>За оценка на шоковете на цените на избрани международни суровини е използван метод</w:t>
      </w:r>
      <w:r>
        <w:rPr>
          <w:sz w:val="18"/>
        </w:rPr>
        <w:t>,</w:t>
      </w:r>
      <w:r w:rsidRPr="004407E1">
        <w:rPr>
          <w:sz w:val="18"/>
        </w:rPr>
        <w:t xml:space="preserve"> базиращ се на </w:t>
      </w:r>
      <w:r>
        <w:rPr>
          <w:sz w:val="18"/>
        </w:rPr>
        <w:t>риск-</w:t>
      </w:r>
      <w:r w:rsidRPr="004407E1">
        <w:rPr>
          <w:sz w:val="18"/>
        </w:rPr>
        <w:t xml:space="preserve">неутралната плътност на вероятностното разпределение на стойността на опциите за избраните групи стоки. От така направеното разпределение </w:t>
      </w:r>
      <w:r>
        <w:rPr>
          <w:sz w:val="18"/>
        </w:rPr>
        <w:t>е извлечен 75-ия перс</w:t>
      </w:r>
      <w:r w:rsidRPr="004407E1">
        <w:rPr>
          <w:sz w:val="18"/>
        </w:rPr>
        <w:t>ентил</w:t>
      </w:r>
      <w:r>
        <w:rPr>
          <w:sz w:val="18"/>
        </w:rPr>
        <w:t>,</w:t>
      </w:r>
      <w:r w:rsidRPr="004407E1">
        <w:rPr>
          <w:sz w:val="18"/>
        </w:rPr>
        <w:t xml:space="preserve"> чиято стойност се сравнява със стойността на съответстващата стока в базовия сценарий</w:t>
      </w:r>
      <w:r>
        <w:rPr>
          <w:sz w:val="18"/>
        </w:rPr>
        <w:t>,</w:t>
      </w:r>
      <w:r w:rsidRPr="004407E1">
        <w:rPr>
          <w:sz w:val="18"/>
        </w:rPr>
        <w:t xml:space="preserve"> като отклонението между двете се приема за шок в цената.</w:t>
      </w:r>
    </w:p>
  </w:footnote>
  <w:footnote w:id="52">
    <w:p w:rsidR="00665E9C" w:rsidRPr="005E5FDF" w:rsidRDefault="00665E9C" w:rsidP="005E6E49">
      <w:pPr>
        <w:pStyle w:val="FootnoteText"/>
        <w:rPr>
          <w:sz w:val="18"/>
          <w:szCs w:val="18"/>
        </w:rPr>
      </w:pPr>
      <w:r w:rsidRPr="005E5FDF">
        <w:rPr>
          <w:rStyle w:val="FootnoteReference"/>
          <w:szCs w:val="18"/>
        </w:rPr>
        <w:footnoteRef/>
      </w:r>
      <w:r w:rsidRPr="005E5FDF">
        <w:rPr>
          <w:sz w:val="18"/>
          <w:szCs w:val="18"/>
        </w:rPr>
        <w:t xml:space="preserve">  </w:t>
      </w:r>
      <w:r w:rsidRPr="005E6E49">
        <w:rPr>
          <w:sz w:val="18"/>
          <w:szCs w:val="18"/>
        </w:rPr>
        <w:t>По бюджета на Фонд „Сигурност на електроенергийната система“ постъпват неданъчни приходи, респективно се извършват разходи, в изпълнение на §24 и §23 от Преходните и заключителните разпоредби на ЗДБРБ за 2022 г., които са с еднократен извънреден характер и не са заложени в разчетите към ЗДБРБ за 2022 г. За периода юли-декември постъпилите приходи от целеви вноски са в размер на 3 181,0 млн. лв. С оглед на съпоставимост на данните влиянието на посочените еднократни приходи, респективно разходи, е елиминирано в съответните позиции в колона 6.</w:t>
      </w:r>
    </w:p>
  </w:footnote>
  <w:footnote w:id="53">
    <w:p w:rsidR="00665E9C" w:rsidRPr="00DC6239" w:rsidRDefault="00665E9C" w:rsidP="005E6E49">
      <w:pPr>
        <w:pStyle w:val="FootnoteText"/>
        <w:rPr>
          <w:sz w:val="18"/>
          <w:szCs w:val="18"/>
        </w:rPr>
      </w:pPr>
      <w:r w:rsidRPr="005E5FDF">
        <w:rPr>
          <w:rStyle w:val="FootnoteReference"/>
          <w:szCs w:val="18"/>
        </w:rPr>
        <w:footnoteRef/>
      </w:r>
      <w:r w:rsidRPr="005E5FDF">
        <w:rPr>
          <w:sz w:val="18"/>
          <w:szCs w:val="18"/>
        </w:rPr>
        <w:t xml:space="preserve">   </w:t>
      </w:r>
      <w:r w:rsidRPr="005E6E49">
        <w:rPr>
          <w:sz w:val="18"/>
          <w:szCs w:val="18"/>
        </w:rPr>
        <w:t>Европейски средства - включват средствата по оперативни програми от Кохезионния и Структурните фондове на ЕС (управлявани от Националния фонд към МФ), Механизма за възстановяване и устойчивост, Европейския земеделски фонд за развитие на селските райони</w:t>
      </w:r>
      <w:r w:rsidRPr="005E6E49">
        <w:rPr>
          <w:sz w:val="18"/>
          <w:szCs w:val="18"/>
          <w:lang w:val="ru-RU"/>
        </w:rPr>
        <w:t xml:space="preserve">, </w:t>
      </w:r>
      <w:r w:rsidRPr="005E6E49">
        <w:rPr>
          <w:sz w:val="18"/>
          <w:szCs w:val="18"/>
        </w:rPr>
        <w:t>Европейския фонд за гарантиране на земеделието, и Европейския фонд за рибарство (управлявани от Разплащателната агенция към ДФ „Земеделие“), както и други програми и проекти, финансирани от фондове и институции на ЕС. В европейските средства участват и средства</w:t>
      </w:r>
      <w:r>
        <w:rPr>
          <w:sz w:val="18"/>
          <w:szCs w:val="18"/>
        </w:rPr>
        <w:t>та от национално съфинансиране.</w:t>
      </w:r>
    </w:p>
  </w:footnote>
  <w:footnote w:id="54">
    <w:p w:rsidR="00665E9C" w:rsidRPr="00CC3FF8" w:rsidRDefault="00665E9C" w:rsidP="005E6E49">
      <w:pPr>
        <w:pStyle w:val="FootnoteText"/>
        <w:rPr>
          <w:rFonts w:cs="Times New Roman"/>
          <w:sz w:val="18"/>
          <w:szCs w:val="18"/>
        </w:rPr>
      </w:pPr>
      <w:r w:rsidRPr="00CC3FF8">
        <w:rPr>
          <w:rStyle w:val="FootnoteReference"/>
          <w:szCs w:val="18"/>
        </w:rPr>
        <w:footnoteRef/>
      </w:r>
      <w:r w:rsidRPr="00CC3FF8">
        <w:rPr>
          <w:sz w:val="18"/>
          <w:szCs w:val="18"/>
        </w:rPr>
        <w:t xml:space="preserve"> </w:t>
      </w:r>
      <w:r>
        <w:rPr>
          <w:sz w:val="18"/>
          <w:szCs w:val="18"/>
        </w:rPr>
        <w:t xml:space="preserve"> </w:t>
      </w:r>
      <w:r w:rsidRPr="00CC3FF8">
        <w:rPr>
          <w:rFonts w:cs="Times New Roman"/>
          <w:sz w:val="18"/>
          <w:szCs w:val="18"/>
        </w:rPr>
        <w:t>По бюджета на Фонд „Сигурност на електроенергийната система“ постъпват неданъчни приходи, респективно се извършват разходи, в изпълнение на §24 и §23 от Преходните и заключителните разпоредби на ЗДБРБ за 2022 г., които са с еднократен извънреден характер и не са заложени в разчетите към ЗДБРБ за 2022 г. За периода юли-декември постъпилите приходи от целеви вноски са в размер на</w:t>
      </w:r>
      <w:r w:rsidRPr="00CC3FF8">
        <w:rPr>
          <w:rFonts w:cs="Times New Roman"/>
          <w:sz w:val="18"/>
          <w:szCs w:val="18"/>
          <w:lang w:val="ru-RU"/>
        </w:rPr>
        <w:t xml:space="preserve"> </w:t>
      </w:r>
      <w:r w:rsidRPr="00CC3FF8">
        <w:rPr>
          <w:rFonts w:cs="Times New Roman"/>
          <w:sz w:val="18"/>
          <w:szCs w:val="18"/>
        </w:rPr>
        <w:t>3 181,0 млн. лв. С оглед на съпоставимост на данните влиянието на посочените еднократни приходи, респективно разходи, е елиминирано в съответните позиции в колона 6.</w:t>
      </w:r>
    </w:p>
  </w:footnote>
  <w:footnote w:id="55">
    <w:p w:rsidR="00665E9C" w:rsidRPr="00CC3FF8" w:rsidRDefault="00665E9C" w:rsidP="00964F99">
      <w:pPr>
        <w:pStyle w:val="FootnoteText"/>
        <w:rPr>
          <w:rFonts w:cs="Times New Roman"/>
          <w:sz w:val="18"/>
          <w:szCs w:val="18"/>
        </w:rPr>
      </w:pPr>
      <w:r w:rsidRPr="00CC3FF8">
        <w:rPr>
          <w:rStyle w:val="FootnoteReference"/>
          <w:szCs w:val="18"/>
        </w:rPr>
        <w:footnoteRef/>
      </w:r>
      <w:r w:rsidRPr="00CC3FF8">
        <w:rPr>
          <w:rFonts w:cs="Times New Roman"/>
          <w:sz w:val="18"/>
          <w:szCs w:val="18"/>
        </w:rPr>
        <w:t xml:space="preserve"> </w:t>
      </w:r>
      <w:r>
        <w:rPr>
          <w:rFonts w:cs="Times New Roman"/>
          <w:sz w:val="18"/>
          <w:szCs w:val="18"/>
        </w:rPr>
        <w:t xml:space="preserve"> </w:t>
      </w:r>
      <w:r w:rsidRPr="00CC3FF8">
        <w:rPr>
          <w:rFonts w:cs="Times New Roman"/>
          <w:sz w:val="18"/>
          <w:szCs w:val="18"/>
        </w:rPr>
        <w:t>Съгласно §</w:t>
      </w:r>
      <w:r>
        <w:rPr>
          <w:rFonts w:cs="Times New Roman"/>
          <w:sz w:val="18"/>
          <w:szCs w:val="18"/>
        </w:rPr>
        <w:t xml:space="preserve"> </w:t>
      </w:r>
      <w:r w:rsidRPr="00CC3FF8">
        <w:rPr>
          <w:rFonts w:cs="Times New Roman"/>
          <w:sz w:val="18"/>
          <w:szCs w:val="18"/>
        </w:rPr>
        <w:t xml:space="preserve">1, т. 41 от допълнителните разпоредби на Закона за публичните финанси, в обхвата на фискалния резерв се включват и вземанията от фондовете на Европейския съюз за сертифицирани разходи, аванси и други. </w:t>
      </w:r>
    </w:p>
  </w:footnote>
  <w:footnote w:id="56">
    <w:p w:rsidR="00665E9C" w:rsidRPr="005E5FDF" w:rsidRDefault="00665E9C" w:rsidP="006372EC">
      <w:pPr>
        <w:pStyle w:val="FootnoteText"/>
        <w:rPr>
          <w:rFonts w:cs="Times New Roman"/>
          <w:sz w:val="18"/>
          <w:szCs w:val="18"/>
          <w:lang w:val="ru-RU"/>
        </w:rPr>
      </w:pPr>
      <w:r w:rsidRPr="005E5FDF">
        <w:rPr>
          <w:rStyle w:val="FootnoteReference"/>
          <w:szCs w:val="18"/>
        </w:rPr>
        <w:footnoteRef/>
      </w:r>
      <w:r w:rsidRPr="005E5FDF">
        <w:rPr>
          <w:rFonts w:cs="Times New Roman"/>
          <w:sz w:val="18"/>
          <w:szCs w:val="18"/>
        </w:rPr>
        <w:t xml:space="preserve"> Разчети към ЗДБРБ за 2023 г. (oбн.</w:t>
      </w:r>
      <w:r>
        <w:rPr>
          <w:rFonts w:cs="Times New Roman"/>
          <w:sz w:val="18"/>
          <w:szCs w:val="18"/>
        </w:rPr>
        <w:t>,</w:t>
      </w:r>
      <w:r w:rsidRPr="005E5FDF">
        <w:rPr>
          <w:rFonts w:cs="Times New Roman"/>
          <w:sz w:val="18"/>
          <w:szCs w:val="18"/>
        </w:rPr>
        <w:t xml:space="preserve"> ДВ, бр. 66 от 01.08.2023 г.).</w:t>
      </w:r>
    </w:p>
  </w:footnote>
  <w:footnote w:id="57">
    <w:p w:rsidR="00665E9C" w:rsidRPr="005E5FDF" w:rsidRDefault="00665E9C" w:rsidP="00587993">
      <w:pPr>
        <w:pStyle w:val="FootnoteText"/>
        <w:ind w:left="0" w:firstLine="0"/>
        <w:rPr>
          <w:sz w:val="18"/>
          <w:szCs w:val="18"/>
        </w:rPr>
      </w:pPr>
      <w:r w:rsidRPr="005E5FDF">
        <w:rPr>
          <w:rStyle w:val="FootnoteReference"/>
          <w:szCs w:val="18"/>
        </w:rPr>
        <w:footnoteRef/>
      </w:r>
      <w:r w:rsidRPr="005E5FDF">
        <w:rPr>
          <w:sz w:val="18"/>
          <w:szCs w:val="18"/>
        </w:rPr>
        <w:t xml:space="preserve"> Европейски средства - включват средствата по оперативни програми от Кохезионния и Структурните фондове на ЕС (администрирани от Националния фонд към МФ), Механизма за възстановяване и устойчивост, Европейския земеделски фонд за развитие на селските райони, Европейския фонд за гарантиране на земеделието и Европейския фонд за морско дело и рибарство (администрирани от </w:t>
      </w:r>
      <w:r>
        <w:rPr>
          <w:sz w:val="18"/>
          <w:szCs w:val="18"/>
        </w:rPr>
        <w:t>Разплащателната агенция към ДФ „Земеделие“</w:t>
      </w:r>
      <w:r w:rsidRPr="005E5FDF">
        <w:rPr>
          <w:sz w:val="18"/>
          <w:szCs w:val="18"/>
        </w:rPr>
        <w:t xml:space="preserve">), както и други програми и проекти, финансирани от фондове и институции на ЕС. В европейските средства участват и средствата от национално съфинансиране. </w:t>
      </w:r>
    </w:p>
  </w:footnote>
  <w:footnote w:id="58">
    <w:p w:rsidR="00665E9C" w:rsidRPr="009152AD" w:rsidRDefault="00665E9C" w:rsidP="00C806B9">
      <w:pPr>
        <w:pStyle w:val="FootnoteText"/>
        <w:rPr>
          <w:rFonts w:cs="Times New Roman"/>
        </w:rPr>
      </w:pPr>
      <w:r w:rsidRPr="009152AD">
        <w:rPr>
          <w:rStyle w:val="FootnoteReference"/>
        </w:rPr>
        <w:footnoteRef/>
      </w:r>
      <w:r w:rsidRPr="009152AD">
        <w:rPr>
          <w:rFonts w:cs="Times New Roman"/>
        </w:rPr>
        <w:t xml:space="preserve"> </w:t>
      </w:r>
      <w:r>
        <w:rPr>
          <w:rFonts w:cs="Times New Roman"/>
        </w:rPr>
        <w:t xml:space="preserve"> </w:t>
      </w:r>
      <w:r w:rsidRPr="009152AD">
        <w:rPr>
          <w:rFonts w:cs="Times New Roman"/>
          <w:sz w:val="18"/>
          <w:szCs w:val="18"/>
        </w:rPr>
        <w:t>Разчети към ЗДБРБ за 2023 г. (</w:t>
      </w:r>
      <w:r w:rsidRPr="009152AD">
        <w:rPr>
          <w:rFonts w:cs="Times New Roman"/>
          <w:sz w:val="18"/>
        </w:rPr>
        <w:t>oбн., ДВ., бр. 66 от 01.08.2023 г.</w:t>
      </w:r>
      <w:r w:rsidRPr="009152AD">
        <w:rPr>
          <w:rFonts w:cs="Times New Roman"/>
          <w:sz w:val="18"/>
          <w:szCs w:val="18"/>
        </w:rPr>
        <w:t>).</w:t>
      </w:r>
    </w:p>
  </w:footnote>
  <w:footnote w:id="59">
    <w:p w:rsidR="00665E9C" w:rsidRDefault="00665E9C" w:rsidP="00447757">
      <w:pPr>
        <w:pStyle w:val="FootnoteText"/>
        <w:ind w:left="0" w:firstLine="0"/>
      </w:pPr>
      <w:r>
        <w:rPr>
          <w:rStyle w:val="FootnoteReference"/>
        </w:rPr>
        <w:footnoteRef/>
      </w:r>
      <w:r>
        <w:t xml:space="preserve">  </w:t>
      </w:r>
      <w:r w:rsidRPr="00043466">
        <w:rPr>
          <w:rFonts w:eastAsia="Calibri"/>
          <w:sz w:val="18"/>
        </w:rPr>
        <w:t xml:space="preserve">При съпоставката със същия период на предходната година следва да се отчете базов ефект при приходите от други данъци от постъпващи от началото на 2023 г. целеви вноски във </w:t>
      </w:r>
      <w:r w:rsidRPr="007439B9">
        <w:rPr>
          <w:rFonts w:eastAsia="Calibri"/>
          <w:sz w:val="18"/>
        </w:rPr>
        <w:t xml:space="preserve">Фонд </w:t>
      </w:r>
      <w:r>
        <w:rPr>
          <w:rFonts w:eastAsia="Calibri"/>
          <w:sz w:val="18"/>
        </w:rPr>
        <w:t>„</w:t>
      </w:r>
      <w:r w:rsidRPr="007439B9">
        <w:rPr>
          <w:rFonts w:eastAsia="Calibri"/>
          <w:sz w:val="18"/>
        </w:rPr>
        <w:t>Сигурност на електроенергийната система</w:t>
      </w:r>
      <w:r>
        <w:rPr>
          <w:rFonts w:eastAsia="Calibri"/>
          <w:sz w:val="18"/>
        </w:rPr>
        <w:t>“</w:t>
      </w:r>
      <w:r w:rsidRPr="007439B9">
        <w:rPr>
          <w:rFonts w:eastAsia="Calibri"/>
          <w:sz w:val="18"/>
        </w:rPr>
        <w:t xml:space="preserve"> </w:t>
      </w:r>
      <w:r>
        <w:rPr>
          <w:rFonts w:eastAsia="Calibri"/>
          <w:sz w:val="18"/>
        </w:rPr>
        <w:t xml:space="preserve">(ФСЕС) </w:t>
      </w:r>
      <w:r w:rsidRPr="007439B9">
        <w:rPr>
          <w:rFonts w:eastAsia="Calibri"/>
          <w:sz w:val="18"/>
        </w:rPr>
        <w:t xml:space="preserve">от производителите и търговците на електрическа енергия, в изпълнение на § 8 от ПЗР на Закона за прилагане на разпоредби на ЗДБРБ за 2022 г., ЗБДОО за 2022 г. и ЗБНЗОК за 2022 г., респективно § 3 от ПЗР на ЗДБРБ за 2023 г., както и </w:t>
      </w:r>
      <w:r>
        <w:rPr>
          <w:rFonts w:eastAsia="Calibri"/>
          <w:sz w:val="18"/>
        </w:rPr>
        <w:t>от</w:t>
      </w:r>
      <w:r w:rsidRPr="007439B9">
        <w:rPr>
          <w:rFonts w:eastAsia="Calibri"/>
          <w:sz w:val="18"/>
        </w:rPr>
        <w:t xml:space="preserve"> приходи от задължителна временна солидарна вноска за генерираните свръхпечалби</w:t>
      </w:r>
      <w:r>
        <w:rPr>
          <w:rFonts w:eastAsia="Calibri"/>
          <w:sz w:val="18"/>
        </w:rPr>
        <w:t>,</w:t>
      </w:r>
      <w:r w:rsidRPr="007439B9">
        <w:rPr>
          <w:rFonts w:eastAsia="Calibri"/>
          <w:sz w:val="18"/>
        </w:rPr>
        <w:t xml:space="preserve"> съгласно чл. 14 от Регламент (ЕС) 2022/1854 на Съвета от 6 октомври 2022 г. относно спешна намеса за справяне с високите цени на енергията, които започнаха да постъпват от декември 2022 г</w:t>
      </w:r>
      <w:r w:rsidRPr="007439B9">
        <w:rPr>
          <w:sz w:val="18"/>
        </w:rPr>
        <w:t>.</w:t>
      </w:r>
    </w:p>
  </w:footnote>
  <w:footnote w:id="60">
    <w:p w:rsidR="00665E9C" w:rsidRPr="00056F73" w:rsidRDefault="00665E9C" w:rsidP="00DE6C96">
      <w:pPr>
        <w:pStyle w:val="FootnoteText"/>
        <w:tabs>
          <w:tab w:val="left" w:pos="0"/>
          <w:tab w:val="left" w:pos="720"/>
        </w:tabs>
        <w:ind w:left="180" w:hanging="180"/>
        <w:rPr>
          <w:rFonts w:cs="Times New Roman"/>
          <w:sz w:val="18"/>
          <w:szCs w:val="18"/>
          <w:lang w:val="ru-RU"/>
        </w:rPr>
      </w:pPr>
      <w:r>
        <w:rPr>
          <w:rStyle w:val="FootnoteReference"/>
        </w:rPr>
        <w:footnoteRef/>
      </w:r>
      <w:r>
        <w:t xml:space="preserve"> </w:t>
      </w:r>
      <w:r>
        <w:rPr>
          <w:rFonts w:cs="Times New Roman"/>
          <w:sz w:val="18"/>
          <w:szCs w:val="18"/>
        </w:rPr>
        <w:t>За периода юли-</w:t>
      </w:r>
      <w:r w:rsidRPr="00056F73">
        <w:rPr>
          <w:rFonts w:cs="Times New Roman"/>
          <w:sz w:val="18"/>
          <w:szCs w:val="18"/>
        </w:rPr>
        <w:t>декември 2022 г. в изпълнение на разпоредбата на §</w:t>
      </w:r>
      <w:r>
        <w:rPr>
          <w:rFonts w:cs="Times New Roman"/>
          <w:sz w:val="18"/>
          <w:szCs w:val="18"/>
        </w:rPr>
        <w:t xml:space="preserve"> </w:t>
      </w:r>
      <w:r w:rsidRPr="00056F73">
        <w:rPr>
          <w:rFonts w:cs="Times New Roman"/>
          <w:sz w:val="18"/>
          <w:szCs w:val="18"/>
        </w:rPr>
        <w:t>24 от ПЗР на ЗДБРБ за 2022 г. в частта на неданъчните приходи по бюджета на ФСЕС постъпиха целеви вноски в размер на 3,2 млрд. лв., с които се финансира изплащането на компенсации към небитовите крайни клиенти на електрическа енергия по §</w:t>
      </w:r>
      <w:r>
        <w:rPr>
          <w:rFonts w:cs="Times New Roman"/>
          <w:sz w:val="18"/>
          <w:szCs w:val="18"/>
        </w:rPr>
        <w:t xml:space="preserve"> </w:t>
      </w:r>
      <w:r w:rsidRPr="00056F73">
        <w:rPr>
          <w:rFonts w:cs="Times New Roman"/>
          <w:sz w:val="18"/>
          <w:szCs w:val="18"/>
        </w:rPr>
        <w:t xml:space="preserve">23 от ПЗР на ЗДБРБ за 2022 г. в частта на разходите за субсидии за нефинансови предприятия. Към края на септември 2022 г. постъпленията, респективно разходите, бяха в размер на 2,1 млрд. лв. Поради обстоятелството, че през 2023 г. действа различна нормативна база при съпоставката със същия период на предходната година в частта на неданъчните приходи и разходите за субсидии за нефинансови предприятия следва да се отчете базов ефект от действащото законодателство през 2022 г. и 2023 г.  </w:t>
      </w:r>
    </w:p>
  </w:footnote>
  <w:footnote w:id="61">
    <w:p w:rsidR="00665E9C" w:rsidRPr="00CC3FF8" w:rsidRDefault="00665E9C" w:rsidP="00CC3FF8">
      <w:pPr>
        <w:pStyle w:val="FootnoteText"/>
        <w:rPr>
          <w:rFonts w:cs="Times New Roman"/>
          <w:sz w:val="18"/>
          <w:szCs w:val="18"/>
        </w:rPr>
      </w:pPr>
      <w:r w:rsidRPr="00CC3FF8">
        <w:rPr>
          <w:rStyle w:val="FootnoteReference"/>
          <w:szCs w:val="18"/>
        </w:rPr>
        <w:footnoteRef/>
      </w:r>
      <w:r w:rsidRPr="00CC3FF8">
        <w:rPr>
          <w:rFonts w:cs="Times New Roman"/>
          <w:sz w:val="18"/>
          <w:szCs w:val="18"/>
        </w:rPr>
        <w:t xml:space="preserve">  </w:t>
      </w:r>
      <w:r>
        <w:rPr>
          <w:rFonts w:cs="Times New Roman"/>
          <w:sz w:val="18"/>
          <w:szCs w:val="18"/>
        </w:rPr>
        <w:t xml:space="preserve"> </w:t>
      </w:r>
      <w:r w:rsidRPr="00CC3FF8">
        <w:rPr>
          <w:rFonts w:cs="Times New Roman"/>
          <w:sz w:val="18"/>
          <w:szCs w:val="18"/>
        </w:rPr>
        <w:t>Обхватът на показателя фискален резерв е в съответствие с §</w:t>
      </w:r>
      <w:r>
        <w:rPr>
          <w:rFonts w:cs="Times New Roman"/>
          <w:sz w:val="18"/>
          <w:szCs w:val="18"/>
        </w:rPr>
        <w:t xml:space="preserve"> </w:t>
      </w:r>
      <w:r w:rsidRPr="00CC3FF8">
        <w:rPr>
          <w:rFonts w:cs="Times New Roman"/>
          <w:sz w:val="18"/>
          <w:szCs w:val="18"/>
        </w:rPr>
        <w:t>1, т. 41 от допълнителните разпоредби на Закона за публичните финанси.</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okmarkStart w:id="5" w:name="OLE_LINK15"/>
  <w:bookmarkStart w:id="6" w:name="OLE_LINK16"/>
  <w:bookmarkStart w:id="7" w:name="_Hlk464223980"/>
  <w:p w:rsidR="00665E9C" w:rsidRDefault="00665E9C" w:rsidP="00E42591">
    <w:pPr>
      <w:pStyle w:val="Header"/>
    </w:pPr>
    <w:r>
      <w:rPr>
        <w:lang w:val="bg-BG" w:eastAsia="bg-BG"/>
      </w:rPr>
      <mc:AlternateContent>
        <mc:Choice Requires="wps">
          <w:drawing>
            <wp:anchor distT="4294967295" distB="4294967295" distL="114300" distR="114300" simplePos="0" relativeHeight="251646976" behindDoc="0" locked="0" layoutInCell="1" allowOverlap="1" wp14:anchorId="7410D476" wp14:editId="44B3B94A">
              <wp:simplePos x="0" y="0"/>
              <wp:positionH relativeFrom="column">
                <wp:posOffset>-958215</wp:posOffset>
              </wp:positionH>
              <wp:positionV relativeFrom="paragraph">
                <wp:posOffset>312419</wp:posOffset>
              </wp:positionV>
              <wp:extent cx="7623175" cy="0"/>
              <wp:effectExtent l="0" t="0" r="15875" b="19050"/>
              <wp:wrapNone/>
              <wp:docPr id="45"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623175" cy="0"/>
                      </a:xfrm>
                      <a:prstGeom prst="line">
                        <a:avLst/>
                      </a:prstGeom>
                      <a:noFill/>
                      <a:ln w="6350" cap="flat" cmpd="sng" algn="ctr">
                        <a:solidFill>
                          <a:srgbClr val="B32C16">
                            <a:lumMod val="75000"/>
                          </a:srgbClr>
                        </a:solidFill>
                        <a:prstDash val="solid"/>
                        <a:miter lim="800000"/>
                      </a:ln>
                      <a:effectLst/>
                    </wps:spPr>
                    <wps:bodyPr/>
                  </wps:wsp>
                </a:graphicData>
              </a:graphic>
              <wp14:sizeRelH relativeFrom="margin">
                <wp14:pctWidth>0</wp14:pctWidth>
              </wp14:sizeRelH>
              <wp14:sizeRelV relativeFrom="page">
                <wp14:pctHeight>0</wp14:pctHeight>
              </wp14:sizeRelV>
            </wp:anchor>
          </w:drawing>
        </mc:Choice>
        <mc:Fallback>
          <w:pict>
            <v:line w14:anchorId="0B996CF6" id="Straight Connector 7" o:spid="_x0000_s1026" style="position:absolute;z-index:2516469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75.45pt,24.6pt" to="524.8pt,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ZN05AEAALMDAAAOAAAAZHJzL2Uyb0RvYy54bWysU02P2jAQvVfqf7B8LwlQYBURVipoe9m2&#10;SLQ/YHCcxKq/NPYS+PcdO0B321vVi2XPjN/Me35eP56NZieJQTlb8+mk5Exa4Rplu5r/+P704YGz&#10;EME2oJ2VNb/IwB8379+tB1/JmeudbiQyArGhGnzN+xh9VRRB9NJAmDgvLSVbhwYiHbErGoSB0I0u&#10;ZmW5LAaHjUcnZAgU3Y1Jvsn4bStF/Na2QUama06zxbxiXo9pLTZrqDoE3ytxHQP+YQoDylLTO9QO&#10;IrAXVH9BGSXQBdfGiXCmcG2rhMwciM20/IPNoQcvMxcSJ/i7TOH/wYqvpz0y1dT844IzC4be6BAR&#10;VNdHtnXWkoIO2SoJNfhQUf3W7jFRFWd78M9O/AyUK94k0yH4sezcoknlxJWds/CXu/DyHJmg4Go5&#10;m09XNIC45Qqobhc9hvhZOsPSpuZa2aQJVHB6DjG1hupWksLWPSmt87tqy4aaL+cLenkB5K5WQ6St&#10;8cQ32I4z0B3ZVkTMiMFp1aTbCSdgd9xqZCcg63yaz7bTZS7SL+aLa8bwalGW2UM0w7U+z/MGKA23&#10;g9CPV3JqtJ1Rkbyvlan5A+HckbRN/WV275Xib0HT7uiayx5vqpMzctOri5P1Xp9p//qvbX4BAAD/&#10;/wMAUEsDBBQABgAIAAAAIQA/t8Ge3wAAAAsBAAAPAAAAZHJzL2Rvd25yZXYueG1sTI/BasMwDIbv&#10;g72D0WC31q7pQpLFKWMQdhhsrC07u7GWhMZyiN0mffu57LAeJX38+v5iM9uenXH0nSMFq6UAhlQ7&#10;01GjYL+rFikwHzQZ3TtCBRf0sCnv7wqdGzfRF563oWExhHyuFbQhDDnnvm7Rar90A1K8/bjR6hDH&#10;seFm1FMMtz2XQiTc6o7ih1YP+NpifdyerIIJ98f0TVfJx+VTNu9pJXey/Vbq8WF+eQYWcA7/MFz1&#10;ozqU0engTmQ86xUsVk8ii6yCdSaBXQmxzhJgh78NLwt+26H8BQAA//8DAFBLAQItABQABgAIAAAA&#10;IQC2gziS/gAAAOEBAAATAAAAAAAAAAAAAAAAAAAAAABbQ29udGVudF9UeXBlc10ueG1sUEsBAi0A&#10;FAAGAAgAAAAhADj9If/WAAAAlAEAAAsAAAAAAAAAAAAAAAAALwEAAF9yZWxzLy5yZWxzUEsBAi0A&#10;FAAGAAgAAAAhANy9k3TkAQAAswMAAA4AAAAAAAAAAAAAAAAALgIAAGRycy9lMm9Eb2MueG1sUEsB&#10;Ai0AFAAGAAgAAAAhAD+3wZ7fAAAACwEAAA8AAAAAAAAAAAAAAAAAPgQAAGRycy9kb3ducmV2Lnht&#10;bFBLBQYAAAAABAAEAPMAAABKBQAAAAA=&#10;" strokecolor="#862110" strokeweight=".5pt">
              <v:stroke joinstyle="miter"/>
              <o:lock v:ext="edit" shapetype="f"/>
            </v:line>
          </w:pict>
        </mc:Fallback>
      </mc:AlternateContent>
    </w:r>
    <w:r>
      <w:t>Въведение</w:t>
    </w:r>
    <w:bookmarkEnd w:id="5"/>
    <w:bookmarkEnd w:id="6"/>
    <w:bookmarkEnd w:id="7"/>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5E9C" w:rsidRPr="006E0CA8" w:rsidRDefault="00665E9C" w:rsidP="006E0CA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5E9C" w:rsidRPr="006E0CA8" w:rsidRDefault="00665E9C" w:rsidP="006E0CA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5E9C" w:rsidRPr="00E22A97" w:rsidRDefault="00665E9C" w:rsidP="00D671EF">
    <w:pPr>
      <w:pStyle w:val="Header"/>
      <w:rPr>
        <w:lang w:val="ru-RU"/>
      </w:rPr>
    </w:pPr>
  </w:p>
  <w:p w:rsidR="00665E9C" w:rsidRPr="00E42591" w:rsidRDefault="00665E9C" w:rsidP="00D671EF">
    <w:pPr>
      <w:pStyle w:val="Header"/>
      <w:jc w:val="center"/>
      <w:rPr>
        <w:color w:val="FFFFFF" w:themeColor="background1"/>
      </w:rPr>
    </w:pPr>
    <w:r>
      <w:rPr>
        <w:color w:val="FFFFFF" w:themeColor="background1"/>
      </w:rPr>
      <w:t>III</w:t>
    </w:r>
    <w:r w:rsidRPr="00E42591">
      <w:rPr>
        <w:color w:val="FFFFFF" w:themeColor="background1"/>
      </w:rPr>
      <w:t>.</w:t>
    </w:r>
  </w:p>
  <w:p w:rsidR="00665E9C" w:rsidRPr="00D671EF" w:rsidRDefault="00665E9C" w:rsidP="00D671EF">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5E9C" w:rsidRPr="006E0CA8" w:rsidRDefault="00665E9C" w:rsidP="006E0CA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5E9C" w:rsidRPr="00F74A3C" w:rsidRDefault="00665E9C" w:rsidP="00F74A3C">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5E9C" w:rsidRPr="005C00F7" w:rsidRDefault="00665E9C" w:rsidP="005C00F7">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5E9C" w:rsidRPr="00B0159F" w:rsidRDefault="00665E9C" w:rsidP="00B0159F">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5E9C" w:rsidRPr="006E0CA8" w:rsidRDefault="00665E9C" w:rsidP="006E0CA8">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5E9C" w:rsidRPr="006E0CA8" w:rsidRDefault="00665E9C" w:rsidP="006E0CA8">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5E9C" w:rsidRPr="006E0CA8" w:rsidRDefault="00665E9C" w:rsidP="006E0CA8">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5E9C" w:rsidRDefault="00665E9C" w:rsidP="00E42591">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5E9C" w:rsidRPr="006E0CA8" w:rsidRDefault="00665E9C" w:rsidP="006E0CA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00000002"/>
    <w:name w:val="WW8Num3"/>
    <w:lvl w:ilvl="0">
      <w:start w:val="2"/>
      <w:numFmt w:val="bullet"/>
      <w:lvlText w:val="-"/>
      <w:lvlJc w:val="left"/>
      <w:pPr>
        <w:tabs>
          <w:tab w:val="num" w:pos="0"/>
        </w:tabs>
        <w:ind w:left="1080" w:hanging="360"/>
      </w:pPr>
      <w:rPr>
        <w:rFonts w:ascii="Times New Roman" w:hAnsi="Times New Roman" w:cs="Times New Roman"/>
      </w:rPr>
    </w:lvl>
  </w:abstractNum>
  <w:abstractNum w:abstractNumId="1" w15:restartNumberingAfterBreak="0">
    <w:nsid w:val="00000004"/>
    <w:multiLevelType w:val="singleLevel"/>
    <w:tmpl w:val="00000004"/>
    <w:name w:val="WW8Num6"/>
    <w:lvl w:ilvl="0">
      <w:start w:val="1"/>
      <w:numFmt w:val="decimal"/>
      <w:lvlText w:val="%1."/>
      <w:lvlJc w:val="left"/>
      <w:pPr>
        <w:tabs>
          <w:tab w:val="num" w:pos="0"/>
        </w:tabs>
        <w:ind w:left="1080" w:hanging="360"/>
      </w:pPr>
    </w:lvl>
  </w:abstractNum>
  <w:abstractNum w:abstractNumId="2" w15:restartNumberingAfterBreak="0">
    <w:nsid w:val="00000006"/>
    <w:multiLevelType w:val="multilevel"/>
    <w:tmpl w:val="00000006"/>
    <w:name w:val="WW8Num8"/>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07"/>
    <w:multiLevelType w:val="multilevel"/>
    <w:tmpl w:val="00000007"/>
    <w:name w:val="WW8Num9"/>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4507B1"/>
    <w:multiLevelType w:val="hybridMultilevel"/>
    <w:tmpl w:val="6BB8CF4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15:restartNumberingAfterBreak="0">
    <w:nsid w:val="021D32D7"/>
    <w:multiLevelType w:val="hybridMultilevel"/>
    <w:tmpl w:val="61D6CD5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15:restartNumberingAfterBreak="0">
    <w:nsid w:val="02E8316B"/>
    <w:multiLevelType w:val="hybridMultilevel"/>
    <w:tmpl w:val="AA82D676"/>
    <w:lvl w:ilvl="0" w:tplc="1DE07EA8">
      <w:start w:val="1"/>
      <w:numFmt w:val="bullet"/>
      <w:lvlText w:val=""/>
      <w:lvlJc w:val="left"/>
      <w:pPr>
        <w:ind w:left="927" w:hanging="360"/>
      </w:pPr>
      <w:rPr>
        <w:rFonts w:ascii="Symbol" w:hAnsi="Symbol" w:hint="default"/>
        <w:b/>
        <w:i w:val="0"/>
        <w:color w:val="auto"/>
        <w:position w:val="0"/>
        <w:sz w:val="20"/>
        <w:u w:color="7598D9" w:themeColor="accent2"/>
      </w:rPr>
    </w:lvl>
    <w:lvl w:ilvl="1" w:tplc="ECAE7C3A">
      <w:numFmt w:val="bullet"/>
      <w:lvlText w:val="•"/>
      <w:lvlJc w:val="left"/>
      <w:pPr>
        <w:ind w:left="2505" w:hanging="705"/>
      </w:pPr>
      <w:rPr>
        <w:rFonts w:ascii="Times New Roman" w:eastAsia="Times New Roman" w:hAnsi="Times New Roman" w:cs="Times New Roman"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 w15:restartNumberingAfterBreak="0">
    <w:nsid w:val="04293AE7"/>
    <w:multiLevelType w:val="hybridMultilevel"/>
    <w:tmpl w:val="C9DCAD7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5525864"/>
    <w:multiLevelType w:val="hybridMultilevel"/>
    <w:tmpl w:val="79320B1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 w15:restartNumberingAfterBreak="0">
    <w:nsid w:val="059010A8"/>
    <w:multiLevelType w:val="hybridMultilevel"/>
    <w:tmpl w:val="4DB469AC"/>
    <w:lvl w:ilvl="0" w:tplc="28E8B8F6">
      <w:start w:val="1"/>
      <w:numFmt w:val="decimal"/>
      <w:lvlText w:val="%1."/>
      <w:lvlJc w:val="left"/>
      <w:pPr>
        <w:ind w:left="1069" w:hanging="360"/>
      </w:pPr>
      <w:rPr>
        <w:rFonts w:cs="Times New Roman"/>
      </w:rPr>
    </w:lvl>
    <w:lvl w:ilvl="1" w:tplc="04020019">
      <w:start w:val="1"/>
      <w:numFmt w:val="lowerLetter"/>
      <w:lvlText w:val="%2."/>
      <w:lvlJc w:val="left"/>
      <w:pPr>
        <w:ind w:left="1789" w:hanging="360"/>
      </w:pPr>
      <w:rPr>
        <w:rFonts w:cs="Times New Roman"/>
      </w:rPr>
    </w:lvl>
    <w:lvl w:ilvl="2" w:tplc="0402001B">
      <w:start w:val="1"/>
      <w:numFmt w:val="lowerRoman"/>
      <w:lvlText w:val="%3."/>
      <w:lvlJc w:val="right"/>
      <w:pPr>
        <w:ind w:left="2509" w:hanging="180"/>
      </w:pPr>
      <w:rPr>
        <w:rFonts w:cs="Times New Roman"/>
      </w:rPr>
    </w:lvl>
    <w:lvl w:ilvl="3" w:tplc="0402000F">
      <w:start w:val="1"/>
      <w:numFmt w:val="decimal"/>
      <w:lvlText w:val="%4."/>
      <w:lvlJc w:val="left"/>
      <w:pPr>
        <w:ind w:left="3229" w:hanging="360"/>
      </w:pPr>
      <w:rPr>
        <w:rFonts w:cs="Times New Roman"/>
      </w:rPr>
    </w:lvl>
    <w:lvl w:ilvl="4" w:tplc="04020019">
      <w:start w:val="1"/>
      <w:numFmt w:val="lowerLetter"/>
      <w:lvlText w:val="%5."/>
      <w:lvlJc w:val="left"/>
      <w:pPr>
        <w:ind w:left="3949" w:hanging="360"/>
      </w:pPr>
      <w:rPr>
        <w:rFonts w:cs="Times New Roman"/>
      </w:rPr>
    </w:lvl>
    <w:lvl w:ilvl="5" w:tplc="0402001B">
      <w:start w:val="1"/>
      <w:numFmt w:val="lowerRoman"/>
      <w:lvlText w:val="%6."/>
      <w:lvlJc w:val="right"/>
      <w:pPr>
        <w:ind w:left="4669" w:hanging="180"/>
      </w:pPr>
      <w:rPr>
        <w:rFonts w:cs="Times New Roman"/>
      </w:rPr>
    </w:lvl>
    <w:lvl w:ilvl="6" w:tplc="0402000F">
      <w:start w:val="1"/>
      <w:numFmt w:val="decimal"/>
      <w:lvlText w:val="%7."/>
      <w:lvlJc w:val="left"/>
      <w:pPr>
        <w:ind w:left="5389" w:hanging="360"/>
      </w:pPr>
      <w:rPr>
        <w:rFonts w:cs="Times New Roman"/>
      </w:rPr>
    </w:lvl>
    <w:lvl w:ilvl="7" w:tplc="04020019">
      <w:start w:val="1"/>
      <w:numFmt w:val="lowerLetter"/>
      <w:lvlText w:val="%8."/>
      <w:lvlJc w:val="left"/>
      <w:pPr>
        <w:ind w:left="6109" w:hanging="360"/>
      </w:pPr>
      <w:rPr>
        <w:rFonts w:cs="Times New Roman"/>
      </w:rPr>
    </w:lvl>
    <w:lvl w:ilvl="8" w:tplc="0402001B">
      <w:start w:val="1"/>
      <w:numFmt w:val="lowerRoman"/>
      <w:lvlText w:val="%9."/>
      <w:lvlJc w:val="right"/>
      <w:pPr>
        <w:ind w:left="6829" w:hanging="180"/>
      </w:pPr>
      <w:rPr>
        <w:rFonts w:cs="Times New Roman"/>
      </w:rPr>
    </w:lvl>
  </w:abstractNum>
  <w:abstractNum w:abstractNumId="10" w15:restartNumberingAfterBreak="0">
    <w:nsid w:val="06023CEF"/>
    <w:multiLevelType w:val="hybridMultilevel"/>
    <w:tmpl w:val="15386D8C"/>
    <w:lvl w:ilvl="0" w:tplc="0402000F">
      <w:start w:val="1"/>
      <w:numFmt w:val="decimal"/>
      <w:lvlText w:val="%1."/>
      <w:lvlJc w:val="left"/>
      <w:pPr>
        <w:ind w:left="7732"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1" w15:restartNumberingAfterBreak="0">
    <w:nsid w:val="074B725A"/>
    <w:multiLevelType w:val="hybridMultilevel"/>
    <w:tmpl w:val="A32683F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0DF05023"/>
    <w:multiLevelType w:val="hybridMultilevel"/>
    <w:tmpl w:val="EE0ABB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0722471"/>
    <w:multiLevelType w:val="hybridMultilevel"/>
    <w:tmpl w:val="F642F9C4"/>
    <w:lvl w:ilvl="0" w:tplc="04020001">
      <w:start w:val="1"/>
      <w:numFmt w:val="bullet"/>
      <w:lvlText w:val=""/>
      <w:lvlJc w:val="left"/>
      <w:pPr>
        <w:ind w:left="1070"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14" w15:restartNumberingAfterBreak="0">
    <w:nsid w:val="11BF00B7"/>
    <w:multiLevelType w:val="multilevel"/>
    <w:tmpl w:val="A9161A0C"/>
    <w:lvl w:ilvl="0">
      <w:start w:val="1"/>
      <w:numFmt w:val="upperRoman"/>
      <w:pStyle w:val="Heading1"/>
      <w:suff w:val="nothing"/>
      <w:lvlText w:val="Част %1."/>
      <w:lvlJc w:val="left"/>
      <w:pPr>
        <w:ind w:left="0" w:firstLine="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2."/>
      <w:lvlJc w:val="right"/>
      <w:pPr>
        <w:ind w:left="454" w:hanging="166"/>
      </w:pPr>
      <w:rPr>
        <w:rFonts w:hint="default"/>
      </w:rPr>
    </w:lvl>
    <w:lvl w:ilvl="2">
      <w:start w:val="1"/>
      <w:numFmt w:val="decimal"/>
      <w:pStyle w:val="Heading3"/>
      <w:lvlText w:val="%2.%3."/>
      <w:lvlJc w:val="left"/>
      <w:pPr>
        <w:ind w:left="4537" w:firstLine="0"/>
      </w:pPr>
      <w:rPr>
        <w:rFonts w:hint="default"/>
        <w:i w:val="0"/>
        <w:color w:val="852010" w:themeColor="accent3" w:themeShade="BF"/>
      </w:rPr>
    </w:lvl>
    <w:lvl w:ilvl="3">
      <w:start w:val="1"/>
      <w:numFmt w:val="decimal"/>
      <w:pStyle w:val="Heading4"/>
      <w:lvlText w:val="%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126978B2"/>
    <w:multiLevelType w:val="hybridMultilevel"/>
    <w:tmpl w:val="2FD8D73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15:restartNumberingAfterBreak="0">
    <w:nsid w:val="12B37F89"/>
    <w:multiLevelType w:val="multilevel"/>
    <w:tmpl w:val="DF403E34"/>
    <w:lvl w:ilvl="0">
      <w:numFmt w:val="bullet"/>
      <w:lvlText w:val="-"/>
      <w:lvlJc w:val="left"/>
      <w:pPr>
        <w:tabs>
          <w:tab w:val="num" w:pos="775"/>
        </w:tabs>
        <w:ind w:left="775" w:hanging="360"/>
      </w:pPr>
      <w:rPr>
        <w:rFonts w:ascii="Verdana" w:eastAsia="Times New Roman" w:hAnsi="Verdana" w:cs="Times New Roman" w:hint="default"/>
        <w:sz w:val="20"/>
      </w:rPr>
    </w:lvl>
    <w:lvl w:ilvl="1">
      <w:start w:val="1"/>
      <w:numFmt w:val="bullet"/>
      <w:lvlText w:val="o"/>
      <w:lvlJc w:val="left"/>
      <w:pPr>
        <w:tabs>
          <w:tab w:val="num" w:pos="1495"/>
        </w:tabs>
        <w:ind w:left="1495" w:hanging="360"/>
      </w:pPr>
      <w:rPr>
        <w:rFonts w:ascii="Courier New" w:hAnsi="Courier New" w:hint="default"/>
        <w:sz w:val="20"/>
      </w:rPr>
    </w:lvl>
    <w:lvl w:ilvl="2" w:tentative="1">
      <w:start w:val="1"/>
      <w:numFmt w:val="bullet"/>
      <w:lvlText w:val=""/>
      <w:lvlJc w:val="left"/>
      <w:pPr>
        <w:tabs>
          <w:tab w:val="num" w:pos="2215"/>
        </w:tabs>
        <w:ind w:left="2215" w:hanging="360"/>
      </w:pPr>
      <w:rPr>
        <w:rFonts w:ascii="Wingdings" w:hAnsi="Wingdings" w:hint="default"/>
        <w:sz w:val="20"/>
      </w:rPr>
    </w:lvl>
    <w:lvl w:ilvl="3" w:tentative="1">
      <w:start w:val="1"/>
      <w:numFmt w:val="bullet"/>
      <w:lvlText w:val=""/>
      <w:lvlJc w:val="left"/>
      <w:pPr>
        <w:tabs>
          <w:tab w:val="num" w:pos="2935"/>
        </w:tabs>
        <w:ind w:left="2935" w:hanging="360"/>
      </w:pPr>
      <w:rPr>
        <w:rFonts w:ascii="Wingdings" w:hAnsi="Wingdings" w:hint="default"/>
        <w:sz w:val="20"/>
      </w:rPr>
    </w:lvl>
    <w:lvl w:ilvl="4" w:tentative="1">
      <w:start w:val="1"/>
      <w:numFmt w:val="bullet"/>
      <w:lvlText w:val=""/>
      <w:lvlJc w:val="left"/>
      <w:pPr>
        <w:tabs>
          <w:tab w:val="num" w:pos="3655"/>
        </w:tabs>
        <w:ind w:left="3655" w:hanging="360"/>
      </w:pPr>
      <w:rPr>
        <w:rFonts w:ascii="Wingdings" w:hAnsi="Wingdings" w:hint="default"/>
        <w:sz w:val="20"/>
      </w:rPr>
    </w:lvl>
    <w:lvl w:ilvl="5" w:tentative="1">
      <w:start w:val="1"/>
      <w:numFmt w:val="bullet"/>
      <w:lvlText w:val=""/>
      <w:lvlJc w:val="left"/>
      <w:pPr>
        <w:tabs>
          <w:tab w:val="num" w:pos="4375"/>
        </w:tabs>
        <w:ind w:left="4375" w:hanging="360"/>
      </w:pPr>
      <w:rPr>
        <w:rFonts w:ascii="Wingdings" w:hAnsi="Wingdings" w:hint="default"/>
        <w:sz w:val="20"/>
      </w:rPr>
    </w:lvl>
    <w:lvl w:ilvl="6" w:tentative="1">
      <w:start w:val="1"/>
      <w:numFmt w:val="bullet"/>
      <w:lvlText w:val=""/>
      <w:lvlJc w:val="left"/>
      <w:pPr>
        <w:tabs>
          <w:tab w:val="num" w:pos="5095"/>
        </w:tabs>
        <w:ind w:left="5095" w:hanging="360"/>
      </w:pPr>
      <w:rPr>
        <w:rFonts w:ascii="Wingdings" w:hAnsi="Wingdings" w:hint="default"/>
        <w:sz w:val="20"/>
      </w:rPr>
    </w:lvl>
    <w:lvl w:ilvl="7" w:tentative="1">
      <w:start w:val="1"/>
      <w:numFmt w:val="bullet"/>
      <w:lvlText w:val=""/>
      <w:lvlJc w:val="left"/>
      <w:pPr>
        <w:tabs>
          <w:tab w:val="num" w:pos="5815"/>
        </w:tabs>
        <w:ind w:left="5815" w:hanging="360"/>
      </w:pPr>
      <w:rPr>
        <w:rFonts w:ascii="Wingdings" w:hAnsi="Wingdings" w:hint="default"/>
        <w:sz w:val="20"/>
      </w:rPr>
    </w:lvl>
    <w:lvl w:ilvl="8" w:tentative="1">
      <w:start w:val="1"/>
      <w:numFmt w:val="bullet"/>
      <w:lvlText w:val=""/>
      <w:lvlJc w:val="left"/>
      <w:pPr>
        <w:tabs>
          <w:tab w:val="num" w:pos="6535"/>
        </w:tabs>
        <w:ind w:left="6535" w:hanging="360"/>
      </w:pPr>
      <w:rPr>
        <w:rFonts w:ascii="Wingdings" w:hAnsi="Wingdings" w:hint="default"/>
        <w:sz w:val="20"/>
      </w:rPr>
    </w:lvl>
  </w:abstractNum>
  <w:abstractNum w:abstractNumId="17" w15:restartNumberingAfterBreak="0">
    <w:nsid w:val="15AA52F4"/>
    <w:multiLevelType w:val="hybridMultilevel"/>
    <w:tmpl w:val="6434AAD2"/>
    <w:lvl w:ilvl="0" w:tplc="0402000D">
      <w:start w:val="1"/>
      <w:numFmt w:val="bullet"/>
      <w:lvlText w:val=""/>
      <w:lvlJc w:val="left"/>
      <w:pPr>
        <w:ind w:left="862" w:hanging="360"/>
      </w:pPr>
      <w:rPr>
        <w:rFonts w:ascii="Wingdings" w:hAnsi="Wingdings" w:hint="default"/>
      </w:rPr>
    </w:lvl>
    <w:lvl w:ilvl="1" w:tplc="04020003" w:tentative="1">
      <w:start w:val="1"/>
      <w:numFmt w:val="bullet"/>
      <w:lvlText w:val="o"/>
      <w:lvlJc w:val="left"/>
      <w:pPr>
        <w:ind w:left="1582" w:hanging="360"/>
      </w:pPr>
      <w:rPr>
        <w:rFonts w:ascii="Courier New" w:hAnsi="Courier New" w:cs="Courier New" w:hint="default"/>
      </w:rPr>
    </w:lvl>
    <w:lvl w:ilvl="2" w:tplc="04020005" w:tentative="1">
      <w:start w:val="1"/>
      <w:numFmt w:val="bullet"/>
      <w:lvlText w:val=""/>
      <w:lvlJc w:val="left"/>
      <w:pPr>
        <w:ind w:left="2302" w:hanging="360"/>
      </w:pPr>
      <w:rPr>
        <w:rFonts w:ascii="Wingdings" w:hAnsi="Wingdings" w:hint="default"/>
      </w:rPr>
    </w:lvl>
    <w:lvl w:ilvl="3" w:tplc="04020001" w:tentative="1">
      <w:start w:val="1"/>
      <w:numFmt w:val="bullet"/>
      <w:lvlText w:val=""/>
      <w:lvlJc w:val="left"/>
      <w:pPr>
        <w:ind w:left="3022" w:hanging="360"/>
      </w:pPr>
      <w:rPr>
        <w:rFonts w:ascii="Symbol" w:hAnsi="Symbol" w:hint="default"/>
      </w:rPr>
    </w:lvl>
    <w:lvl w:ilvl="4" w:tplc="04020003" w:tentative="1">
      <w:start w:val="1"/>
      <w:numFmt w:val="bullet"/>
      <w:lvlText w:val="o"/>
      <w:lvlJc w:val="left"/>
      <w:pPr>
        <w:ind w:left="3742" w:hanging="360"/>
      </w:pPr>
      <w:rPr>
        <w:rFonts w:ascii="Courier New" w:hAnsi="Courier New" w:cs="Courier New" w:hint="default"/>
      </w:rPr>
    </w:lvl>
    <w:lvl w:ilvl="5" w:tplc="04020005" w:tentative="1">
      <w:start w:val="1"/>
      <w:numFmt w:val="bullet"/>
      <w:lvlText w:val=""/>
      <w:lvlJc w:val="left"/>
      <w:pPr>
        <w:ind w:left="4462" w:hanging="360"/>
      </w:pPr>
      <w:rPr>
        <w:rFonts w:ascii="Wingdings" w:hAnsi="Wingdings" w:hint="default"/>
      </w:rPr>
    </w:lvl>
    <w:lvl w:ilvl="6" w:tplc="04020001" w:tentative="1">
      <w:start w:val="1"/>
      <w:numFmt w:val="bullet"/>
      <w:lvlText w:val=""/>
      <w:lvlJc w:val="left"/>
      <w:pPr>
        <w:ind w:left="5182" w:hanging="360"/>
      </w:pPr>
      <w:rPr>
        <w:rFonts w:ascii="Symbol" w:hAnsi="Symbol" w:hint="default"/>
      </w:rPr>
    </w:lvl>
    <w:lvl w:ilvl="7" w:tplc="04020003" w:tentative="1">
      <w:start w:val="1"/>
      <w:numFmt w:val="bullet"/>
      <w:lvlText w:val="o"/>
      <w:lvlJc w:val="left"/>
      <w:pPr>
        <w:ind w:left="5902" w:hanging="360"/>
      </w:pPr>
      <w:rPr>
        <w:rFonts w:ascii="Courier New" w:hAnsi="Courier New" w:cs="Courier New" w:hint="default"/>
      </w:rPr>
    </w:lvl>
    <w:lvl w:ilvl="8" w:tplc="04020005" w:tentative="1">
      <w:start w:val="1"/>
      <w:numFmt w:val="bullet"/>
      <w:lvlText w:val=""/>
      <w:lvlJc w:val="left"/>
      <w:pPr>
        <w:ind w:left="6622" w:hanging="360"/>
      </w:pPr>
      <w:rPr>
        <w:rFonts w:ascii="Wingdings" w:hAnsi="Wingdings" w:hint="default"/>
      </w:rPr>
    </w:lvl>
  </w:abstractNum>
  <w:abstractNum w:abstractNumId="18" w15:restartNumberingAfterBreak="0">
    <w:nsid w:val="15C30F9B"/>
    <w:multiLevelType w:val="hybridMultilevel"/>
    <w:tmpl w:val="A52AD7B0"/>
    <w:lvl w:ilvl="0" w:tplc="C41AB4AE">
      <w:start w:val="3"/>
      <w:numFmt w:val="bullet"/>
      <w:lvlText w:val="-"/>
      <w:lvlJc w:val="left"/>
      <w:pPr>
        <w:ind w:left="720" w:hanging="360"/>
      </w:pPr>
      <w:rPr>
        <w:rFonts w:ascii="Times New Roman" w:eastAsia="Calibr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166C7529"/>
    <w:multiLevelType w:val="hybridMultilevel"/>
    <w:tmpl w:val="117AB6D2"/>
    <w:lvl w:ilvl="0" w:tplc="04020005">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0" w15:restartNumberingAfterBreak="0">
    <w:nsid w:val="18C85BD5"/>
    <w:multiLevelType w:val="hybridMultilevel"/>
    <w:tmpl w:val="7E7263E4"/>
    <w:lvl w:ilvl="0" w:tplc="E74E3FB0">
      <w:start w:val="1"/>
      <w:numFmt w:val="bullet"/>
      <w:lvlText w:val=""/>
      <w:lvlJc w:val="left"/>
      <w:pPr>
        <w:ind w:left="1004" w:hanging="360"/>
      </w:pPr>
      <w:rPr>
        <w:rFonts w:ascii="Symbol" w:hAnsi="Symbol" w:hint="default"/>
        <w:color w:val="auto"/>
        <w:u w:color="595C62" w:themeColor="accent6" w:themeShade="BF"/>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1" w15:restartNumberingAfterBreak="0">
    <w:nsid w:val="194C2B0F"/>
    <w:multiLevelType w:val="hybridMultilevel"/>
    <w:tmpl w:val="1952AEB8"/>
    <w:lvl w:ilvl="0" w:tplc="DF403858">
      <w:start w:val="2021"/>
      <w:numFmt w:val="bullet"/>
      <w:lvlText w:val="-"/>
      <w:lvlJc w:val="left"/>
      <w:pPr>
        <w:ind w:left="72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15:restartNumberingAfterBreak="0">
    <w:nsid w:val="1E9C7535"/>
    <w:multiLevelType w:val="hybridMultilevel"/>
    <w:tmpl w:val="A2320508"/>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23" w15:restartNumberingAfterBreak="0">
    <w:nsid w:val="20A168CE"/>
    <w:multiLevelType w:val="hybridMultilevel"/>
    <w:tmpl w:val="25C0B97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4" w15:restartNumberingAfterBreak="0">
    <w:nsid w:val="219E5357"/>
    <w:multiLevelType w:val="hybridMultilevel"/>
    <w:tmpl w:val="D24065C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15:restartNumberingAfterBreak="0">
    <w:nsid w:val="227B1027"/>
    <w:multiLevelType w:val="hybridMultilevel"/>
    <w:tmpl w:val="D46CD7DC"/>
    <w:lvl w:ilvl="0" w:tplc="82DA69E4">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36A4F89"/>
    <w:multiLevelType w:val="hybridMultilevel"/>
    <w:tmpl w:val="E2EAAF6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 w15:restartNumberingAfterBreak="0">
    <w:nsid w:val="2A0650DB"/>
    <w:multiLevelType w:val="hybridMultilevel"/>
    <w:tmpl w:val="459AA79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2B756F3C"/>
    <w:multiLevelType w:val="hybridMultilevel"/>
    <w:tmpl w:val="2EEA0DB6"/>
    <w:lvl w:ilvl="0" w:tplc="04020001">
      <w:start w:val="1"/>
      <w:numFmt w:val="bullet"/>
      <w:lvlText w:val=""/>
      <w:lvlJc w:val="left"/>
      <w:pPr>
        <w:ind w:left="1428" w:hanging="360"/>
      </w:pPr>
      <w:rPr>
        <w:rFonts w:ascii="Symbol" w:hAnsi="Symbol" w:hint="default"/>
      </w:rPr>
    </w:lvl>
    <w:lvl w:ilvl="1" w:tplc="04020003" w:tentative="1">
      <w:start w:val="1"/>
      <w:numFmt w:val="bullet"/>
      <w:lvlText w:val="o"/>
      <w:lvlJc w:val="left"/>
      <w:pPr>
        <w:ind w:left="2148" w:hanging="360"/>
      </w:pPr>
      <w:rPr>
        <w:rFonts w:ascii="Courier New" w:hAnsi="Courier New" w:cs="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cs="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cs="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29" w15:restartNumberingAfterBreak="0">
    <w:nsid w:val="2C3C4757"/>
    <w:multiLevelType w:val="hybridMultilevel"/>
    <w:tmpl w:val="D0B4006A"/>
    <w:lvl w:ilvl="0" w:tplc="F4EE1120">
      <w:start w:val="1"/>
      <w:numFmt w:val="bullet"/>
      <w:pStyle w:val="Heading5"/>
      <w:lvlText w:val=""/>
      <w:lvlJc w:val="left"/>
      <w:pPr>
        <w:ind w:left="720" w:hanging="360"/>
      </w:pPr>
      <w:rPr>
        <w:rFonts w:ascii="Symbol" w:hAnsi="Symbol" w:hint="default"/>
        <w:color w:val="auto"/>
        <w:u w:color="595C62" w:themeColor="accent6" w:themeShade="BF"/>
      </w:rPr>
    </w:lvl>
    <w:lvl w:ilvl="1" w:tplc="1AB617FC">
      <w:numFmt w:val="bullet"/>
      <w:lvlText w:val="•"/>
      <w:lvlJc w:val="left"/>
      <w:pPr>
        <w:ind w:left="1935" w:hanging="855"/>
      </w:pPr>
      <w:rPr>
        <w:rFonts w:ascii="Times New Roman" w:eastAsiaTheme="minorEastAsia" w:hAnsi="Times New Roman" w:cs="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D6C38F1"/>
    <w:multiLevelType w:val="hybridMultilevel"/>
    <w:tmpl w:val="8BC8114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 w15:restartNumberingAfterBreak="0">
    <w:nsid w:val="34B96541"/>
    <w:multiLevelType w:val="hybridMultilevel"/>
    <w:tmpl w:val="76C4C0DA"/>
    <w:lvl w:ilvl="0" w:tplc="E74E3FB0">
      <w:start w:val="1"/>
      <w:numFmt w:val="bullet"/>
      <w:lvlText w:val=""/>
      <w:lvlJc w:val="left"/>
      <w:pPr>
        <w:ind w:left="720" w:hanging="360"/>
      </w:pPr>
      <w:rPr>
        <w:rFonts w:ascii="Symbol" w:hAnsi="Symbol" w:hint="default"/>
        <w:color w:val="auto"/>
        <w:u w:color="595C62"/>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2" w15:restartNumberingAfterBreak="0">
    <w:nsid w:val="360352B9"/>
    <w:multiLevelType w:val="hybridMultilevel"/>
    <w:tmpl w:val="E3DAB9EC"/>
    <w:lvl w:ilvl="0" w:tplc="164817D8">
      <w:start w:val="1"/>
      <w:numFmt w:val="bullet"/>
      <w:lvlText w:val=""/>
      <w:lvlJc w:val="left"/>
      <w:pPr>
        <w:ind w:left="720" w:hanging="360"/>
      </w:pPr>
      <w:rPr>
        <w:rFonts w:ascii="Symbol" w:hAnsi="Symbol" w:hint="default"/>
        <w:color w:val="auto"/>
      </w:rPr>
    </w:lvl>
    <w:lvl w:ilvl="1" w:tplc="408EF2EA">
      <w:numFmt w:val="bullet"/>
      <w:lvlText w:val="-"/>
      <w:lvlJc w:val="left"/>
      <w:pPr>
        <w:ind w:left="1199" w:hanging="735"/>
      </w:pPr>
      <w:rPr>
        <w:rFonts w:ascii="Times New Roman" w:eastAsia="Times New Roman" w:hAnsi="Times New Roman" w:cs="Times New Roman" w:hint="default"/>
      </w:rPr>
    </w:lvl>
    <w:lvl w:ilvl="2" w:tplc="04020005">
      <w:start w:val="1"/>
      <w:numFmt w:val="bullet"/>
      <w:lvlText w:val=""/>
      <w:lvlJc w:val="left"/>
      <w:pPr>
        <w:ind w:left="1544" w:hanging="360"/>
      </w:pPr>
      <w:rPr>
        <w:rFonts w:ascii="Wingdings" w:hAnsi="Wingdings" w:hint="default"/>
      </w:rPr>
    </w:lvl>
    <w:lvl w:ilvl="3" w:tplc="04020001">
      <w:start w:val="1"/>
      <w:numFmt w:val="bullet"/>
      <w:lvlText w:val=""/>
      <w:lvlJc w:val="left"/>
      <w:pPr>
        <w:ind w:left="2264" w:hanging="360"/>
      </w:pPr>
      <w:rPr>
        <w:rFonts w:ascii="Symbol" w:hAnsi="Symbol" w:hint="default"/>
      </w:rPr>
    </w:lvl>
    <w:lvl w:ilvl="4" w:tplc="04020003">
      <w:start w:val="1"/>
      <w:numFmt w:val="bullet"/>
      <w:lvlText w:val="o"/>
      <w:lvlJc w:val="left"/>
      <w:pPr>
        <w:ind w:left="2984" w:hanging="360"/>
      </w:pPr>
      <w:rPr>
        <w:rFonts w:ascii="Courier New" w:hAnsi="Courier New" w:cs="Courier New" w:hint="default"/>
      </w:rPr>
    </w:lvl>
    <w:lvl w:ilvl="5" w:tplc="04020005">
      <w:start w:val="1"/>
      <w:numFmt w:val="bullet"/>
      <w:lvlText w:val=""/>
      <w:lvlJc w:val="left"/>
      <w:pPr>
        <w:ind w:left="3704" w:hanging="360"/>
      </w:pPr>
      <w:rPr>
        <w:rFonts w:ascii="Wingdings" w:hAnsi="Wingdings" w:hint="default"/>
      </w:rPr>
    </w:lvl>
    <w:lvl w:ilvl="6" w:tplc="04020001">
      <w:start w:val="1"/>
      <w:numFmt w:val="bullet"/>
      <w:lvlText w:val=""/>
      <w:lvlJc w:val="left"/>
      <w:pPr>
        <w:ind w:left="4424" w:hanging="360"/>
      </w:pPr>
      <w:rPr>
        <w:rFonts w:ascii="Symbol" w:hAnsi="Symbol" w:hint="default"/>
      </w:rPr>
    </w:lvl>
    <w:lvl w:ilvl="7" w:tplc="04020003">
      <w:start w:val="1"/>
      <w:numFmt w:val="bullet"/>
      <w:lvlText w:val="o"/>
      <w:lvlJc w:val="left"/>
      <w:pPr>
        <w:ind w:left="5144" w:hanging="360"/>
      </w:pPr>
      <w:rPr>
        <w:rFonts w:ascii="Courier New" w:hAnsi="Courier New" w:cs="Courier New" w:hint="default"/>
      </w:rPr>
    </w:lvl>
    <w:lvl w:ilvl="8" w:tplc="04020005">
      <w:start w:val="1"/>
      <w:numFmt w:val="bullet"/>
      <w:lvlText w:val=""/>
      <w:lvlJc w:val="left"/>
      <w:pPr>
        <w:ind w:left="5864" w:hanging="360"/>
      </w:pPr>
      <w:rPr>
        <w:rFonts w:ascii="Wingdings" w:hAnsi="Wingdings" w:hint="default"/>
      </w:rPr>
    </w:lvl>
  </w:abstractNum>
  <w:abstractNum w:abstractNumId="33" w15:restartNumberingAfterBreak="0">
    <w:nsid w:val="364E017B"/>
    <w:multiLevelType w:val="hybridMultilevel"/>
    <w:tmpl w:val="55701B0E"/>
    <w:lvl w:ilvl="0" w:tplc="95D45250">
      <w:start w:val="2021"/>
      <w:numFmt w:val="bullet"/>
      <w:lvlText w:val="-"/>
      <w:lvlJc w:val="left"/>
      <w:pPr>
        <w:ind w:left="72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4" w15:restartNumberingAfterBreak="0">
    <w:nsid w:val="36911A2B"/>
    <w:multiLevelType w:val="hybridMultilevel"/>
    <w:tmpl w:val="0316DBAC"/>
    <w:lvl w:ilvl="0" w:tplc="9F0035CA">
      <w:numFmt w:val="bullet"/>
      <w:lvlText w:val="-"/>
      <w:lvlJc w:val="left"/>
      <w:pPr>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5" w15:restartNumberingAfterBreak="0">
    <w:nsid w:val="3799280C"/>
    <w:multiLevelType w:val="hybridMultilevel"/>
    <w:tmpl w:val="016E20C8"/>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36" w15:restartNumberingAfterBreak="0">
    <w:nsid w:val="39C86547"/>
    <w:multiLevelType w:val="hybridMultilevel"/>
    <w:tmpl w:val="326834F6"/>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7" w15:restartNumberingAfterBreak="0">
    <w:nsid w:val="3F0D1A4A"/>
    <w:multiLevelType w:val="hybridMultilevel"/>
    <w:tmpl w:val="27CC0E1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8" w15:restartNumberingAfterBreak="0">
    <w:nsid w:val="40437AE7"/>
    <w:multiLevelType w:val="hybridMultilevel"/>
    <w:tmpl w:val="6D36276A"/>
    <w:lvl w:ilvl="0" w:tplc="C41AB4AE">
      <w:start w:val="3"/>
      <w:numFmt w:val="bullet"/>
      <w:lvlText w:val="-"/>
      <w:lvlJc w:val="left"/>
      <w:pPr>
        <w:ind w:left="1440" w:hanging="360"/>
      </w:pPr>
      <w:rPr>
        <w:rFonts w:ascii="Times New Roman" w:eastAsia="Calibri" w:hAnsi="Times New Roman" w:cs="Times New Roman" w:hint="default"/>
      </w:rPr>
    </w:lvl>
    <w:lvl w:ilvl="1" w:tplc="04020003">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39" w15:restartNumberingAfterBreak="0">
    <w:nsid w:val="40C4578F"/>
    <w:multiLevelType w:val="hybridMultilevel"/>
    <w:tmpl w:val="B01466E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0" w15:restartNumberingAfterBreak="0">
    <w:nsid w:val="42074CB5"/>
    <w:multiLevelType w:val="hybridMultilevel"/>
    <w:tmpl w:val="DFF2F0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 w15:restartNumberingAfterBreak="0">
    <w:nsid w:val="4367072C"/>
    <w:multiLevelType w:val="hybridMultilevel"/>
    <w:tmpl w:val="8CF4E9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46294B7C"/>
    <w:multiLevelType w:val="hybridMultilevel"/>
    <w:tmpl w:val="208C0256"/>
    <w:lvl w:ilvl="0" w:tplc="C41AB4AE">
      <w:start w:val="3"/>
      <w:numFmt w:val="bullet"/>
      <w:lvlText w:val="-"/>
      <w:lvlJc w:val="left"/>
      <w:pPr>
        <w:ind w:left="1080" w:hanging="360"/>
      </w:pPr>
      <w:rPr>
        <w:rFonts w:ascii="Times New Roman" w:eastAsia="Calibri"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43" w15:restartNumberingAfterBreak="0">
    <w:nsid w:val="49EB7376"/>
    <w:multiLevelType w:val="hybridMultilevel"/>
    <w:tmpl w:val="61AEC6F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4AAC682B"/>
    <w:multiLevelType w:val="hybridMultilevel"/>
    <w:tmpl w:val="33AA6FCA"/>
    <w:lvl w:ilvl="0" w:tplc="0809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5" w15:restartNumberingAfterBreak="0">
    <w:nsid w:val="4B622933"/>
    <w:multiLevelType w:val="hybridMultilevel"/>
    <w:tmpl w:val="74CAE21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46" w15:restartNumberingAfterBreak="0">
    <w:nsid w:val="4BDA1D1A"/>
    <w:multiLevelType w:val="hybridMultilevel"/>
    <w:tmpl w:val="53229D14"/>
    <w:name w:val="WW8Num12332"/>
    <w:lvl w:ilvl="0" w:tplc="8F0E7B18">
      <w:start w:val="1"/>
      <w:numFmt w:val="decimal"/>
      <w:lvlText w:val="%1."/>
      <w:lvlJc w:val="left"/>
      <w:pPr>
        <w:tabs>
          <w:tab w:val="num" w:pos="2340"/>
        </w:tabs>
        <w:ind w:left="2340" w:hanging="360"/>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47" w15:restartNumberingAfterBreak="0">
    <w:nsid w:val="4C1D46BD"/>
    <w:multiLevelType w:val="hybridMultilevel"/>
    <w:tmpl w:val="05200F1A"/>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8" w15:restartNumberingAfterBreak="0">
    <w:nsid w:val="4E316126"/>
    <w:multiLevelType w:val="hybridMultilevel"/>
    <w:tmpl w:val="67488B3E"/>
    <w:lvl w:ilvl="0" w:tplc="04020001">
      <w:start w:val="1"/>
      <w:numFmt w:val="bullet"/>
      <w:lvlText w:val=""/>
      <w:lvlJc w:val="left"/>
      <w:pPr>
        <w:ind w:left="720" w:hanging="360"/>
      </w:pPr>
      <w:rPr>
        <w:rFonts w:ascii="Symbol" w:hAnsi="Symbol" w:hint="default"/>
      </w:rPr>
    </w:lvl>
    <w:lvl w:ilvl="1" w:tplc="04020001">
      <w:start w:val="1"/>
      <w:numFmt w:val="bullet"/>
      <w:lvlText w:val=""/>
      <w:lvlJc w:val="left"/>
      <w:pPr>
        <w:ind w:left="1440" w:hanging="360"/>
      </w:pPr>
      <w:rPr>
        <w:rFonts w:ascii="Symbol" w:hAnsi="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9" w15:restartNumberingAfterBreak="0">
    <w:nsid w:val="4F3D2D8A"/>
    <w:multiLevelType w:val="hybridMultilevel"/>
    <w:tmpl w:val="9566E3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0" w15:restartNumberingAfterBreak="0">
    <w:nsid w:val="50EB7EA6"/>
    <w:multiLevelType w:val="hybridMultilevel"/>
    <w:tmpl w:val="D7323C3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1" w15:restartNumberingAfterBreak="0">
    <w:nsid w:val="513E7634"/>
    <w:multiLevelType w:val="hybridMultilevel"/>
    <w:tmpl w:val="106A17A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2" w15:restartNumberingAfterBreak="0">
    <w:nsid w:val="5194610D"/>
    <w:multiLevelType w:val="hybridMultilevel"/>
    <w:tmpl w:val="D556EC6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3" w15:restartNumberingAfterBreak="0">
    <w:nsid w:val="526F39D0"/>
    <w:multiLevelType w:val="hybridMultilevel"/>
    <w:tmpl w:val="6484A6A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4" w15:restartNumberingAfterBreak="0">
    <w:nsid w:val="52C1794B"/>
    <w:multiLevelType w:val="hybridMultilevel"/>
    <w:tmpl w:val="EDA8F670"/>
    <w:lvl w:ilvl="0" w:tplc="0402000D">
      <w:start w:val="1"/>
      <w:numFmt w:val="bullet"/>
      <w:lvlText w:val=""/>
      <w:lvlJc w:val="left"/>
      <w:pPr>
        <w:ind w:left="1069" w:hanging="360"/>
      </w:pPr>
      <w:rPr>
        <w:rFonts w:ascii="Wingdings" w:hAnsi="Wingdings" w:hint="default"/>
      </w:rPr>
    </w:lvl>
    <w:lvl w:ilvl="1" w:tplc="04020003" w:tentative="1">
      <w:start w:val="1"/>
      <w:numFmt w:val="bullet"/>
      <w:lvlText w:val="o"/>
      <w:lvlJc w:val="left"/>
      <w:pPr>
        <w:ind w:left="1789" w:hanging="360"/>
      </w:pPr>
      <w:rPr>
        <w:rFonts w:ascii="Courier New" w:hAnsi="Courier New" w:cs="Courier New" w:hint="default"/>
      </w:rPr>
    </w:lvl>
    <w:lvl w:ilvl="2" w:tplc="04020005" w:tentative="1">
      <w:start w:val="1"/>
      <w:numFmt w:val="bullet"/>
      <w:lvlText w:val=""/>
      <w:lvlJc w:val="left"/>
      <w:pPr>
        <w:ind w:left="2509" w:hanging="360"/>
      </w:pPr>
      <w:rPr>
        <w:rFonts w:ascii="Wingdings" w:hAnsi="Wingdings" w:hint="default"/>
      </w:rPr>
    </w:lvl>
    <w:lvl w:ilvl="3" w:tplc="04020001" w:tentative="1">
      <w:start w:val="1"/>
      <w:numFmt w:val="bullet"/>
      <w:lvlText w:val=""/>
      <w:lvlJc w:val="left"/>
      <w:pPr>
        <w:ind w:left="3229" w:hanging="360"/>
      </w:pPr>
      <w:rPr>
        <w:rFonts w:ascii="Symbol" w:hAnsi="Symbol" w:hint="default"/>
      </w:rPr>
    </w:lvl>
    <w:lvl w:ilvl="4" w:tplc="04020003" w:tentative="1">
      <w:start w:val="1"/>
      <w:numFmt w:val="bullet"/>
      <w:lvlText w:val="o"/>
      <w:lvlJc w:val="left"/>
      <w:pPr>
        <w:ind w:left="3949" w:hanging="360"/>
      </w:pPr>
      <w:rPr>
        <w:rFonts w:ascii="Courier New" w:hAnsi="Courier New" w:cs="Courier New" w:hint="default"/>
      </w:rPr>
    </w:lvl>
    <w:lvl w:ilvl="5" w:tplc="04020005" w:tentative="1">
      <w:start w:val="1"/>
      <w:numFmt w:val="bullet"/>
      <w:lvlText w:val=""/>
      <w:lvlJc w:val="left"/>
      <w:pPr>
        <w:ind w:left="4669" w:hanging="360"/>
      </w:pPr>
      <w:rPr>
        <w:rFonts w:ascii="Wingdings" w:hAnsi="Wingdings" w:hint="default"/>
      </w:rPr>
    </w:lvl>
    <w:lvl w:ilvl="6" w:tplc="04020001" w:tentative="1">
      <w:start w:val="1"/>
      <w:numFmt w:val="bullet"/>
      <w:lvlText w:val=""/>
      <w:lvlJc w:val="left"/>
      <w:pPr>
        <w:ind w:left="5389" w:hanging="360"/>
      </w:pPr>
      <w:rPr>
        <w:rFonts w:ascii="Symbol" w:hAnsi="Symbol" w:hint="default"/>
      </w:rPr>
    </w:lvl>
    <w:lvl w:ilvl="7" w:tplc="04020003" w:tentative="1">
      <w:start w:val="1"/>
      <w:numFmt w:val="bullet"/>
      <w:lvlText w:val="o"/>
      <w:lvlJc w:val="left"/>
      <w:pPr>
        <w:ind w:left="6109" w:hanging="360"/>
      </w:pPr>
      <w:rPr>
        <w:rFonts w:ascii="Courier New" w:hAnsi="Courier New" w:cs="Courier New" w:hint="default"/>
      </w:rPr>
    </w:lvl>
    <w:lvl w:ilvl="8" w:tplc="04020005" w:tentative="1">
      <w:start w:val="1"/>
      <w:numFmt w:val="bullet"/>
      <w:lvlText w:val=""/>
      <w:lvlJc w:val="left"/>
      <w:pPr>
        <w:ind w:left="6829" w:hanging="360"/>
      </w:pPr>
      <w:rPr>
        <w:rFonts w:ascii="Wingdings" w:hAnsi="Wingdings" w:hint="default"/>
      </w:rPr>
    </w:lvl>
  </w:abstractNum>
  <w:abstractNum w:abstractNumId="55" w15:restartNumberingAfterBreak="0">
    <w:nsid w:val="53606213"/>
    <w:multiLevelType w:val="hybridMultilevel"/>
    <w:tmpl w:val="62C69BB6"/>
    <w:lvl w:ilvl="0" w:tplc="04020001">
      <w:start w:val="1"/>
      <w:numFmt w:val="bullet"/>
      <w:lvlText w:val=""/>
      <w:lvlJc w:val="left"/>
      <w:pPr>
        <w:ind w:left="1069" w:hanging="360"/>
      </w:pPr>
      <w:rPr>
        <w:rFonts w:ascii="Symbol" w:hAnsi="Symbol" w:hint="default"/>
      </w:rPr>
    </w:lvl>
    <w:lvl w:ilvl="1" w:tplc="04020003" w:tentative="1">
      <w:start w:val="1"/>
      <w:numFmt w:val="bullet"/>
      <w:lvlText w:val="o"/>
      <w:lvlJc w:val="left"/>
      <w:pPr>
        <w:ind w:left="1789" w:hanging="360"/>
      </w:pPr>
      <w:rPr>
        <w:rFonts w:ascii="Courier New" w:hAnsi="Courier New" w:cs="Courier New" w:hint="default"/>
      </w:rPr>
    </w:lvl>
    <w:lvl w:ilvl="2" w:tplc="04020005" w:tentative="1">
      <w:start w:val="1"/>
      <w:numFmt w:val="bullet"/>
      <w:lvlText w:val=""/>
      <w:lvlJc w:val="left"/>
      <w:pPr>
        <w:ind w:left="2509" w:hanging="360"/>
      </w:pPr>
      <w:rPr>
        <w:rFonts w:ascii="Wingdings" w:hAnsi="Wingdings" w:hint="default"/>
      </w:rPr>
    </w:lvl>
    <w:lvl w:ilvl="3" w:tplc="04020001" w:tentative="1">
      <w:start w:val="1"/>
      <w:numFmt w:val="bullet"/>
      <w:lvlText w:val=""/>
      <w:lvlJc w:val="left"/>
      <w:pPr>
        <w:ind w:left="3229" w:hanging="360"/>
      </w:pPr>
      <w:rPr>
        <w:rFonts w:ascii="Symbol" w:hAnsi="Symbol" w:hint="default"/>
      </w:rPr>
    </w:lvl>
    <w:lvl w:ilvl="4" w:tplc="04020003" w:tentative="1">
      <w:start w:val="1"/>
      <w:numFmt w:val="bullet"/>
      <w:lvlText w:val="o"/>
      <w:lvlJc w:val="left"/>
      <w:pPr>
        <w:ind w:left="3949" w:hanging="360"/>
      </w:pPr>
      <w:rPr>
        <w:rFonts w:ascii="Courier New" w:hAnsi="Courier New" w:cs="Courier New" w:hint="default"/>
      </w:rPr>
    </w:lvl>
    <w:lvl w:ilvl="5" w:tplc="04020005" w:tentative="1">
      <w:start w:val="1"/>
      <w:numFmt w:val="bullet"/>
      <w:lvlText w:val=""/>
      <w:lvlJc w:val="left"/>
      <w:pPr>
        <w:ind w:left="4669" w:hanging="360"/>
      </w:pPr>
      <w:rPr>
        <w:rFonts w:ascii="Wingdings" w:hAnsi="Wingdings" w:hint="default"/>
      </w:rPr>
    </w:lvl>
    <w:lvl w:ilvl="6" w:tplc="04020001" w:tentative="1">
      <w:start w:val="1"/>
      <w:numFmt w:val="bullet"/>
      <w:lvlText w:val=""/>
      <w:lvlJc w:val="left"/>
      <w:pPr>
        <w:ind w:left="5389" w:hanging="360"/>
      </w:pPr>
      <w:rPr>
        <w:rFonts w:ascii="Symbol" w:hAnsi="Symbol" w:hint="default"/>
      </w:rPr>
    </w:lvl>
    <w:lvl w:ilvl="7" w:tplc="04020003" w:tentative="1">
      <w:start w:val="1"/>
      <w:numFmt w:val="bullet"/>
      <w:lvlText w:val="o"/>
      <w:lvlJc w:val="left"/>
      <w:pPr>
        <w:ind w:left="6109" w:hanging="360"/>
      </w:pPr>
      <w:rPr>
        <w:rFonts w:ascii="Courier New" w:hAnsi="Courier New" w:cs="Courier New" w:hint="default"/>
      </w:rPr>
    </w:lvl>
    <w:lvl w:ilvl="8" w:tplc="04020005" w:tentative="1">
      <w:start w:val="1"/>
      <w:numFmt w:val="bullet"/>
      <w:lvlText w:val=""/>
      <w:lvlJc w:val="left"/>
      <w:pPr>
        <w:ind w:left="6829" w:hanging="360"/>
      </w:pPr>
      <w:rPr>
        <w:rFonts w:ascii="Wingdings" w:hAnsi="Wingdings" w:hint="default"/>
      </w:rPr>
    </w:lvl>
  </w:abstractNum>
  <w:abstractNum w:abstractNumId="56" w15:restartNumberingAfterBreak="0">
    <w:nsid w:val="56A11453"/>
    <w:multiLevelType w:val="hybridMultilevel"/>
    <w:tmpl w:val="E8AA516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7" w15:restartNumberingAfterBreak="0">
    <w:nsid w:val="574A67BD"/>
    <w:multiLevelType w:val="multilevel"/>
    <w:tmpl w:val="6D4EEA4A"/>
    <w:lvl w:ilvl="0">
      <w:start w:val="1"/>
      <w:numFmt w:val="decimal"/>
      <w:lvlText w:val="%1."/>
      <w:lvlJc w:val="left"/>
      <w:pPr>
        <w:ind w:left="420" w:hanging="420"/>
      </w:pPr>
      <w:rPr>
        <w:rFonts w:hint="default"/>
      </w:rPr>
    </w:lvl>
    <w:lvl w:ilvl="1">
      <w:start w:val="5"/>
      <w:numFmt w:val="decimal"/>
      <w:lvlText w:val="%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pStyle w:val="Heading9"/>
      <w:lvlText w:val="%1.%2.%3.%4.%5.%6.%7.%8.%9."/>
      <w:lvlJc w:val="left"/>
      <w:pPr>
        <w:ind w:left="1800" w:hanging="1800"/>
      </w:pPr>
      <w:rPr>
        <w:rFonts w:hint="default"/>
      </w:rPr>
    </w:lvl>
  </w:abstractNum>
  <w:abstractNum w:abstractNumId="58" w15:restartNumberingAfterBreak="0">
    <w:nsid w:val="5E4C4475"/>
    <w:multiLevelType w:val="hybridMultilevel"/>
    <w:tmpl w:val="1CB01248"/>
    <w:lvl w:ilvl="0" w:tplc="04020005">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9" w15:restartNumberingAfterBreak="0">
    <w:nsid w:val="61AB3231"/>
    <w:multiLevelType w:val="hybridMultilevel"/>
    <w:tmpl w:val="6EEA7360"/>
    <w:lvl w:ilvl="0" w:tplc="04020001">
      <w:start w:val="1"/>
      <w:numFmt w:val="bullet"/>
      <w:lvlText w:val=""/>
      <w:lvlJc w:val="left"/>
      <w:pPr>
        <w:ind w:left="720" w:hanging="360"/>
      </w:pPr>
      <w:rPr>
        <w:rFonts w:ascii="Symbol" w:hAnsi="Symbol" w:hint="default"/>
      </w:rPr>
    </w:lvl>
    <w:lvl w:ilvl="1" w:tplc="04020001">
      <w:start w:val="1"/>
      <w:numFmt w:val="bullet"/>
      <w:lvlText w:val=""/>
      <w:lvlJc w:val="left"/>
      <w:pPr>
        <w:ind w:left="1440" w:hanging="360"/>
      </w:pPr>
      <w:rPr>
        <w:rFonts w:ascii="Symbol" w:hAnsi="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0" w15:restartNumberingAfterBreak="0">
    <w:nsid w:val="62B20AB6"/>
    <w:multiLevelType w:val="hybridMultilevel"/>
    <w:tmpl w:val="3DA4397A"/>
    <w:lvl w:ilvl="0" w:tplc="C41AB4AE">
      <w:start w:val="3"/>
      <w:numFmt w:val="bullet"/>
      <w:lvlText w:val="-"/>
      <w:lvlJc w:val="left"/>
      <w:pPr>
        <w:ind w:left="720" w:hanging="360"/>
      </w:pPr>
      <w:rPr>
        <w:rFonts w:ascii="Times New Roman" w:eastAsia="Calibr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1" w15:restartNumberingAfterBreak="0">
    <w:nsid w:val="634941DF"/>
    <w:multiLevelType w:val="hybridMultilevel"/>
    <w:tmpl w:val="B02895AA"/>
    <w:lvl w:ilvl="0" w:tplc="0402000B">
      <w:start w:val="1"/>
      <w:numFmt w:val="bullet"/>
      <w:lvlText w:val=""/>
      <w:lvlJc w:val="left"/>
      <w:pPr>
        <w:ind w:left="1429" w:hanging="360"/>
      </w:pPr>
      <w:rPr>
        <w:rFonts w:ascii="Wingdings" w:hAnsi="Wingdings"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62" w15:restartNumberingAfterBreak="0">
    <w:nsid w:val="658278E6"/>
    <w:multiLevelType w:val="hybridMultilevel"/>
    <w:tmpl w:val="B4F23F1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3" w15:restartNumberingAfterBreak="0">
    <w:nsid w:val="6BEA4BFA"/>
    <w:multiLevelType w:val="hybridMultilevel"/>
    <w:tmpl w:val="FF4CB4EC"/>
    <w:lvl w:ilvl="0" w:tplc="C41AB4AE">
      <w:start w:val="3"/>
      <w:numFmt w:val="bullet"/>
      <w:lvlText w:val="-"/>
      <w:lvlJc w:val="left"/>
      <w:pPr>
        <w:ind w:left="720" w:hanging="360"/>
      </w:pPr>
      <w:rPr>
        <w:rFonts w:ascii="Times New Roman" w:eastAsia="Calibr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4" w15:restartNumberingAfterBreak="0">
    <w:nsid w:val="6CA2523E"/>
    <w:multiLevelType w:val="hybridMultilevel"/>
    <w:tmpl w:val="9F10D6E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5" w15:restartNumberingAfterBreak="0">
    <w:nsid w:val="6EBF7192"/>
    <w:multiLevelType w:val="hybridMultilevel"/>
    <w:tmpl w:val="7B3C4318"/>
    <w:lvl w:ilvl="0" w:tplc="04020005">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6" w15:restartNumberingAfterBreak="0">
    <w:nsid w:val="6F597568"/>
    <w:multiLevelType w:val="hybridMultilevel"/>
    <w:tmpl w:val="D3C4A3E0"/>
    <w:lvl w:ilvl="0" w:tplc="04020001">
      <w:start w:val="1"/>
      <w:numFmt w:val="bullet"/>
      <w:lvlText w:val=""/>
      <w:lvlJc w:val="left"/>
      <w:pPr>
        <w:ind w:left="780" w:hanging="360"/>
      </w:pPr>
      <w:rPr>
        <w:rFonts w:ascii="Symbol" w:hAnsi="Symbol" w:hint="default"/>
      </w:rPr>
    </w:lvl>
    <w:lvl w:ilvl="1" w:tplc="04020003" w:tentative="1">
      <w:start w:val="1"/>
      <w:numFmt w:val="bullet"/>
      <w:lvlText w:val="o"/>
      <w:lvlJc w:val="left"/>
      <w:pPr>
        <w:ind w:left="1500" w:hanging="360"/>
      </w:pPr>
      <w:rPr>
        <w:rFonts w:ascii="Courier New" w:hAnsi="Courier New" w:cs="Courier New" w:hint="default"/>
      </w:rPr>
    </w:lvl>
    <w:lvl w:ilvl="2" w:tplc="04020005" w:tentative="1">
      <w:start w:val="1"/>
      <w:numFmt w:val="bullet"/>
      <w:lvlText w:val=""/>
      <w:lvlJc w:val="left"/>
      <w:pPr>
        <w:ind w:left="2220" w:hanging="360"/>
      </w:pPr>
      <w:rPr>
        <w:rFonts w:ascii="Wingdings" w:hAnsi="Wingdings" w:hint="default"/>
      </w:rPr>
    </w:lvl>
    <w:lvl w:ilvl="3" w:tplc="04020001" w:tentative="1">
      <w:start w:val="1"/>
      <w:numFmt w:val="bullet"/>
      <w:lvlText w:val=""/>
      <w:lvlJc w:val="left"/>
      <w:pPr>
        <w:ind w:left="2940" w:hanging="360"/>
      </w:pPr>
      <w:rPr>
        <w:rFonts w:ascii="Symbol" w:hAnsi="Symbol" w:hint="default"/>
      </w:rPr>
    </w:lvl>
    <w:lvl w:ilvl="4" w:tplc="04020003" w:tentative="1">
      <w:start w:val="1"/>
      <w:numFmt w:val="bullet"/>
      <w:lvlText w:val="o"/>
      <w:lvlJc w:val="left"/>
      <w:pPr>
        <w:ind w:left="3660" w:hanging="360"/>
      </w:pPr>
      <w:rPr>
        <w:rFonts w:ascii="Courier New" w:hAnsi="Courier New" w:cs="Courier New" w:hint="default"/>
      </w:rPr>
    </w:lvl>
    <w:lvl w:ilvl="5" w:tplc="04020005" w:tentative="1">
      <w:start w:val="1"/>
      <w:numFmt w:val="bullet"/>
      <w:lvlText w:val=""/>
      <w:lvlJc w:val="left"/>
      <w:pPr>
        <w:ind w:left="4380" w:hanging="360"/>
      </w:pPr>
      <w:rPr>
        <w:rFonts w:ascii="Wingdings" w:hAnsi="Wingdings" w:hint="default"/>
      </w:rPr>
    </w:lvl>
    <w:lvl w:ilvl="6" w:tplc="04020001" w:tentative="1">
      <w:start w:val="1"/>
      <w:numFmt w:val="bullet"/>
      <w:lvlText w:val=""/>
      <w:lvlJc w:val="left"/>
      <w:pPr>
        <w:ind w:left="5100" w:hanging="360"/>
      </w:pPr>
      <w:rPr>
        <w:rFonts w:ascii="Symbol" w:hAnsi="Symbol" w:hint="default"/>
      </w:rPr>
    </w:lvl>
    <w:lvl w:ilvl="7" w:tplc="04020003" w:tentative="1">
      <w:start w:val="1"/>
      <w:numFmt w:val="bullet"/>
      <w:lvlText w:val="o"/>
      <w:lvlJc w:val="left"/>
      <w:pPr>
        <w:ind w:left="5820" w:hanging="360"/>
      </w:pPr>
      <w:rPr>
        <w:rFonts w:ascii="Courier New" w:hAnsi="Courier New" w:cs="Courier New" w:hint="default"/>
      </w:rPr>
    </w:lvl>
    <w:lvl w:ilvl="8" w:tplc="04020005" w:tentative="1">
      <w:start w:val="1"/>
      <w:numFmt w:val="bullet"/>
      <w:lvlText w:val=""/>
      <w:lvlJc w:val="left"/>
      <w:pPr>
        <w:ind w:left="6540" w:hanging="360"/>
      </w:pPr>
      <w:rPr>
        <w:rFonts w:ascii="Wingdings" w:hAnsi="Wingdings" w:hint="default"/>
      </w:rPr>
    </w:lvl>
  </w:abstractNum>
  <w:abstractNum w:abstractNumId="67" w15:restartNumberingAfterBreak="0">
    <w:nsid w:val="723D636C"/>
    <w:multiLevelType w:val="hybridMultilevel"/>
    <w:tmpl w:val="DD0CA53C"/>
    <w:lvl w:ilvl="0" w:tplc="0402000B">
      <w:start w:val="1"/>
      <w:numFmt w:val="bullet"/>
      <w:lvlText w:val=""/>
      <w:lvlJc w:val="left"/>
      <w:pPr>
        <w:ind w:left="720" w:hanging="360"/>
      </w:pPr>
      <w:rPr>
        <w:rFonts w:ascii="Wingdings" w:hAnsi="Wingdings"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8" w15:restartNumberingAfterBreak="0">
    <w:nsid w:val="75366141"/>
    <w:multiLevelType w:val="hybridMultilevel"/>
    <w:tmpl w:val="B3C4ED42"/>
    <w:lvl w:ilvl="0" w:tplc="5AF28250">
      <w:start w:val="1"/>
      <w:numFmt w:val="decimal"/>
      <w:lvlText w:val="%1."/>
      <w:lvlJc w:val="left"/>
      <w:pPr>
        <w:ind w:left="1068" w:hanging="360"/>
      </w:pPr>
      <w:rPr>
        <w:rFonts w:hint="default"/>
      </w:rPr>
    </w:lvl>
    <w:lvl w:ilvl="1" w:tplc="04020019" w:tentative="1">
      <w:start w:val="1"/>
      <w:numFmt w:val="lowerLetter"/>
      <w:lvlText w:val="%2."/>
      <w:lvlJc w:val="left"/>
      <w:pPr>
        <w:ind w:left="1788" w:hanging="360"/>
      </w:pPr>
    </w:lvl>
    <w:lvl w:ilvl="2" w:tplc="0402001B" w:tentative="1">
      <w:start w:val="1"/>
      <w:numFmt w:val="lowerRoman"/>
      <w:lvlText w:val="%3."/>
      <w:lvlJc w:val="right"/>
      <w:pPr>
        <w:ind w:left="2508" w:hanging="180"/>
      </w:pPr>
    </w:lvl>
    <w:lvl w:ilvl="3" w:tplc="0402000F" w:tentative="1">
      <w:start w:val="1"/>
      <w:numFmt w:val="decimal"/>
      <w:lvlText w:val="%4."/>
      <w:lvlJc w:val="left"/>
      <w:pPr>
        <w:ind w:left="3228" w:hanging="360"/>
      </w:pPr>
    </w:lvl>
    <w:lvl w:ilvl="4" w:tplc="04020019" w:tentative="1">
      <w:start w:val="1"/>
      <w:numFmt w:val="lowerLetter"/>
      <w:lvlText w:val="%5."/>
      <w:lvlJc w:val="left"/>
      <w:pPr>
        <w:ind w:left="3948" w:hanging="360"/>
      </w:pPr>
    </w:lvl>
    <w:lvl w:ilvl="5" w:tplc="0402001B" w:tentative="1">
      <w:start w:val="1"/>
      <w:numFmt w:val="lowerRoman"/>
      <w:lvlText w:val="%6."/>
      <w:lvlJc w:val="right"/>
      <w:pPr>
        <w:ind w:left="4668" w:hanging="180"/>
      </w:pPr>
    </w:lvl>
    <w:lvl w:ilvl="6" w:tplc="0402000F" w:tentative="1">
      <w:start w:val="1"/>
      <w:numFmt w:val="decimal"/>
      <w:lvlText w:val="%7."/>
      <w:lvlJc w:val="left"/>
      <w:pPr>
        <w:ind w:left="5388" w:hanging="360"/>
      </w:pPr>
    </w:lvl>
    <w:lvl w:ilvl="7" w:tplc="04020019" w:tentative="1">
      <w:start w:val="1"/>
      <w:numFmt w:val="lowerLetter"/>
      <w:lvlText w:val="%8."/>
      <w:lvlJc w:val="left"/>
      <w:pPr>
        <w:ind w:left="6108" w:hanging="360"/>
      </w:pPr>
    </w:lvl>
    <w:lvl w:ilvl="8" w:tplc="0402001B" w:tentative="1">
      <w:start w:val="1"/>
      <w:numFmt w:val="lowerRoman"/>
      <w:lvlText w:val="%9."/>
      <w:lvlJc w:val="right"/>
      <w:pPr>
        <w:ind w:left="6828" w:hanging="180"/>
      </w:pPr>
    </w:lvl>
  </w:abstractNum>
  <w:abstractNum w:abstractNumId="69" w15:restartNumberingAfterBreak="0">
    <w:nsid w:val="76B24CCA"/>
    <w:multiLevelType w:val="hybridMultilevel"/>
    <w:tmpl w:val="6236503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0" w15:restartNumberingAfterBreak="0">
    <w:nsid w:val="78DD09DD"/>
    <w:multiLevelType w:val="hybridMultilevel"/>
    <w:tmpl w:val="41EC818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1" w15:restartNumberingAfterBreak="0">
    <w:nsid w:val="79685E1B"/>
    <w:multiLevelType w:val="hybridMultilevel"/>
    <w:tmpl w:val="18942AE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2" w15:restartNumberingAfterBreak="0">
    <w:nsid w:val="79BA1D12"/>
    <w:multiLevelType w:val="hybridMultilevel"/>
    <w:tmpl w:val="EEB669C0"/>
    <w:lvl w:ilvl="0" w:tplc="0402000D">
      <w:start w:val="1"/>
      <w:numFmt w:val="bullet"/>
      <w:lvlText w:val=""/>
      <w:lvlJc w:val="left"/>
      <w:pPr>
        <w:ind w:left="797" w:hanging="360"/>
      </w:pPr>
      <w:rPr>
        <w:rFonts w:ascii="Wingdings" w:hAnsi="Wingdings" w:hint="default"/>
      </w:rPr>
    </w:lvl>
    <w:lvl w:ilvl="1" w:tplc="04020003" w:tentative="1">
      <w:start w:val="1"/>
      <w:numFmt w:val="bullet"/>
      <w:lvlText w:val="o"/>
      <w:lvlJc w:val="left"/>
      <w:pPr>
        <w:ind w:left="1517" w:hanging="360"/>
      </w:pPr>
      <w:rPr>
        <w:rFonts w:ascii="Courier New" w:hAnsi="Courier New" w:cs="Courier New" w:hint="default"/>
      </w:rPr>
    </w:lvl>
    <w:lvl w:ilvl="2" w:tplc="04020005" w:tentative="1">
      <w:start w:val="1"/>
      <w:numFmt w:val="bullet"/>
      <w:lvlText w:val=""/>
      <w:lvlJc w:val="left"/>
      <w:pPr>
        <w:ind w:left="2237" w:hanging="360"/>
      </w:pPr>
      <w:rPr>
        <w:rFonts w:ascii="Wingdings" w:hAnsi="Wingdings" w:hint="default"/>
      </w:rPr>
    </w:lvl>
    <w:lvl w:ilvl="3" w:tplc="04020001" w:tentative="1">
      <w:start w:val="1"/>
      <w:numFmt w:val="bullet"/>
      <w:lvlText w:val=""/>
      <w:lvlJc w:val="left"/>
      <w:pPr>
        <w:ind w:left="2957" w:hanging="360"/>
      </w:pPr>
      <w:rPr>
        <w:rFonts w:ascii="Symbol" w:hAnsi="Symbol" w:hint="default"/>
      </w:rPr>
    </w:lvl>
    <w:lvl w:ilvl="4" w:tplc="04020003" w:tentative="1">
      <w:start w:val="1"/>
      <w:numFmt w:val="bullet"/>
      <w:lvlText w:val="o"/>
      <w:lvlJc w:val="left"/>
      <w:pPr>
        <w:ind w:left="3677" w:hanging="360"/>
      </w:pPr>
      <w:rPr>
        <w:rFonts w:ascii="Courier New" w:hAnsi="Courier New" w:cs="Courier New" w:hint="default"/>
      </w:rPr>
    </w:lvl>
    <w:lvl w:ilvl="5" w:tplc="04020005" w:tentative="1">
      <w:start w:val="1"/>
      <w:numFmt w:val="bullet"/>
      <w:lvlText w:val=""/>
      <w:lvlJc w:val="left"/>
      <w:pPr>
        <w:ind w:left="4397" w:hanging="360"/>
      </w:pPr>
      <w:rPr>
        <w:rFonts w:ascii="Wingdings" w:hAnsi="Wingdings" w:hint="default"/>
      </w:rPr>
    </w:lvl>
    <w:lvl w:ilvl="6" w:tplc="04020001" w:tentative="1">
      <w:start w:val="1"/>
      <w:numFmt w:val="bullet"/>
      <w:lvlText w:val=""/>
      <w:lvlJc w:val="left"/>
      <w:pPr>
        <w:ind w:left="5117" w:hanging="360"/>
      </w:pPr>
      <w:rPr>
        <w:rFonts w:ascii="Symbol" w:hAnsi="Symbol" w:hint="default"/>
      </w:rPr>
    </w:lvl>
    <w:lvl w:ilvl="7" w:tplc="04020003" w:tentative="1">
      <w:start w:val="1"/>
      <w:numFmt w:val="bullet"/>
      <w:lvlText w:val="o"/>
      <w:lvlJc w:val="left"/>
      <w:pPr>
        <w:ind w:left="5837" w:hanging="360"/>
      </w:pPr>
      <w:rPr>
        <w:rFonts w:ascii="Courier New" w:hAnsi="Courier New" w:cs="Courier New" w:hint="default"/>
      </w:rPr>
    </w:lvl>
    <w:lvl w:ilvl="8" w:tplc="04020005" w:tentative="1">
      <w:start w:val="1"/>
      <w:numFmt w:val="bullet"/>
      <w:lvlText w:val=""/>
      <w:lvlJc w:val="left"/>
      <w:pPr>
        <w:ind w:left="6557" w:hanging="360"/>
      </w:pPr>
      <w:rPr>
        <w:rFonts w:ascii="Wingdings" w:hAnsi="Wingdings" w:hint="default"/>
      </w:rPr>
    </w:lvl>
  </w:abstractNum>
  <w:abstractNum w:abstractNumId="73" w15:restartNumberingAfterBreak="0">
    <w:nsid w:val="79F336A1"/>
    <w:multiLevelType w:val="hybridMultilevel"/>
    <w:tmpl w:val="5936CBA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4" w15:restartNumberingAfterBreak="0">
    <w:nsid w:val="7A1427DB"/>
    <w:multiLevelType w:val="hybridMultilevel"/>
    <w:tmpl w:val="5B52DBA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5" w15:restartNumberingAfterBreak="0">
    <w:nsid w:val="7A9F019C"/>
    <w:multiLevelType w:val="hybridMultilevel"/>
    <w:tmpl w:val="96F84CB4"/>
    <w:lvl w:ilvl="0" w:tplc="73AC197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6" w15:restartNumberingAfterBreak="0">
    <w:nsid w:val="7E402339"/>
    <w:multiLevelType w:val="hybridMultilevel"/>
    <w:tmpl w:val="672C6B18"/>
    <w:lvl w:ilvl="0" w:tplc="15C816CE">
      <w:start w:val="1"/>
      <w:numFmt w:val="decimal"/>
      <w:pStyle w:val="Heading6"/>
      <w:lvlText w:val="1.2.%1"/>
      <w:lvlJc w:val="left"/>
      <w:pPr>
        <w:ind w:left="785" w:hanging="360"/>
      </w:pPr>
      <w:rPr>
        <w:rFonts w:hint="default"/>
      </w:rPr>
    </w:lvl>
    <w:lvl w:ilvl="1" w:tplc="4DF2B7E4">
      <w:start w:val="1"/>
      <w:numFmt w:val="decimal"/>
      <w:lvlText w:val="%2."/>
      <w:lvlJc w:val="left"/>
      <w:pPr>
        <w:ind w:left="1440" w:hanging="360"/>
      </w:pPr>
      <w:rPr>
        <w:rFonts w:hint="default"/>
      </w:rPr>
    </w:lvl>
    <w:lvl w:ilvl="2" w:tplc="3A94B572">
      <w:numFmt w:val="bullet"/>
      <w:lvlText w:val="•"/>
      <w:lvlJc w:val="left"/>
      <w:pPr>
        <w:ind w:left="2685" w:hanging="705"/>
      </w:pPr>
      <w:rPr>
        <w:rFonts w:ascii="Times New Roman" w:eastAsia="Batang" w:hAnsi="Times New Roman" w:cs="Times New Roman" w:hint="default"/>
      </w:r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7" w15:restartNumberingAfterBreak="0">
    <w:nsid w:val="7EC226B2"/>
    <w:multiLevelType w:val="hybridMultilevel"/>
    <w:tmpl w:val="4BB6F0E2"/>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8" w15:restartNumberingAfterBreak="0">
    <w:nsid w:val="7FB4602E"/>
    <w:multiLevelType w:val="hybridMultilevel"/>
    <w:tmpl w:val="08526D4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57"/>
  </w:num>
  <w:num w:numId="2">
    <w:abstractNumId w:val="13"/>
  </w:num>
  <w:num w:numId="3">
    <w:abstractNumId w:val="14"/>
  </w:num>
  <w:num w:numId="4">
    <w:abstractNumId w:val="6"/>
  </w:num>
  <w:num w:numId="5">
    <w:abstractNumId w:val="29"/>
  </w:num>
  <w:num w:numId="6">
    <w:abstractNumId w:val="76"/>
  </w:num>
  <w:num w:numId="7">
    <w:abstractNumId w:val="31"/>
  </w:num>
  <w:num w:numId="8">
    <w:abstractNumId w:val="40"/>
  </w:num>
  <w:num w:numId="9">
    <w:abstractNumId w:val="54"/>
  </w:num>
  <w:num w:numId="10">
    <w:abstractNumId w:val="74"/>
  </w:num>
  <w:num w:numId="11">
    <w:abstractNumId w:val="16"/>
  </w:num>
  <w:num w:numId="12">
    <w:abstractNumId w:val="20"/>
  </w:num>
  <w:num w:numId="13">
    <w:abstractNumId w:val="64"/>
  </w:num>
  <w:num w:numId="14">
    <w:abstractNumId w:val="26"/>
  </w:num>
  <w:num w:numId="15">
    <w:abstractNumId w:val="30"/>
  </w:num>
  <w:num w:numId="16">
    <w:abstractNumId w:val="49"/>
  </w:num>
  <w:num w:numId="17">
    <w:abstractNumId w:val="23"/>
  </w:num>
  <w:num w:numId="18">
    <w:abstractNumId w:val="5"/>
  </w:num>
  <w:num w:numId="19">
    <w:abstractNumId w:val="38"/>
  </w:num>
  <w:num w:numId="20">
    <w:abstractNumId w:val="19"/>
  </w:num>
  <w:num w:numId="21">
    <w:abstractNumId w:val="58"/>
  </w:num>
  <w:num w:numId="22">
    <w:abstractNumId w:val="47"/>
  </w:num>
  <w:num w:numId="23">
    <w:abstractNumId w:val="4"/>
  </w:num>
  <w:num w:numId="24">
    <w:abstractNumId w:val="24"/>
  </w:num>
  <w:num w:numId="25">
    <w:abstractNumId w:val="39"/>
  </w:num>
  <w:num w:numId="26">
    <w:abstractNumId w:val="25"/>
  </w:num>
  <w:num w:numId="27">
    <w:abstractNumId w:val="41"/>
  </w:num>
  <w:num w:numId="28">
    <w:abstractNumId w:val="35"/>
  </w:num>
  <w:num w:numId="29">
    <w:abstractNumId w:val="71"/>
  </w:num>
  <w:num w:numId="30">
    <w:abstractNumId w:val="17"/>
  </w:num>
  <w:num w:numId="31">
    <w:abstractNumId w:val="32"/>
  </w:num>
  <w:num w:numId="32">
    <w:abstractNumId w:val="69"/>
  </w:num>
  <w:num w:numId="33">
    <w:abstractNumId w:val="78"/>
  </w:num>
  <w:num w:numId="3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67"/>
  </w:num>
  <w:num w:numId="36">
    <w:abstractNumId w:val="77"/>
  </w:num>
  <w:num w:numId="37">
    <w:abstractNumId w:val="62"/>
  </w:num>
  <w:num w:numId="38">
    <w:abstractNumId w:val="75"/>
  </w:num>
  <w:num w:numId="39">
    <w:abstractNumId w:val="12"/>
  </w:num>
  <w:num w:numId="40">
    <w:abstractNumId w:val="28"/>
  </w:num>
  <w:num w:numId="41">
    <w:abstractNumId w:val="7"/>
  </w:num>
  <w:num w:numId="42">
    <w:abstractNumId w:val="18"/>
  </w:num>
  <w:num w:numId="43">
    <w:abstractNumId w:val="52"/>
  </w:num>
  <w:num w:numId="44">
    <w:abstractNumId w:val="63"/>
  </w:num>
  <w:num w:numId="45">
    <w:abstractNumId w:val="60"/>
  </w:num>
  <w:num w:numId="46">
    <w:abstractNumId w:val="43"/>
  </w:num>
  <w:num w:numId="47">
    <w:abstractNumId w:val="15"/>
  </w:num>
  <w:num w:numId="48">
    <w:abstractNumId w:val="48"/>
  </w:num>
  <w:num w:numId="49">
    <w:abstractNumId w:val="50"/>
  </w:num>
  <w:num w:numId="5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68"/>
  </w:num>
  <w:num w:numId="52">
    <w:abstractNumId w:val="11"/>
  </w:num>
  <w:num w:numId="53">
    <w:abstractNumId w:val="51"/>
  </w:num>
  <w:num w:numId="54">
    <w:abstractNumId w:val="56"/>
  </w:num>
  <w:num w:numId="55">
    <w:abstractNumId w:val="22"/>
  </w:num>
  <w:num w:numId="56">
    <w:abstractNumId w:val="42"/>
  </w:num>
  <w:num w:numId="57">
    <w:abstractNumId w:val="59"/>
  </w:num>
  <w:num w:numId="58">
    <w:abstractNumId w:val="55"/>
  </w:num>
  <w:num w:numId="59">
    <w:abstractNumId w:val="70"/>
  </w:num>
  <w:num w:numId="60">
    <w:abstractNumId w:val="44"/>
  </w:num>
  <w:num w:numId="61">
    <w:abstractNumId w:val="66"/>
  </w:num>
  <w:num w:numId="62">
    <w:abstractNumId w:val="8"/>
  </w:num>
  <w:num w:numId="63">
    <w:abstractNumId w:val="37"/>
  </w:num>
  <w:num w:numId="64">
    <w:abstractNumId w:val="72"/>
  </w:num>
  <w:num w:numId="65">
    <w:abstractNumId w:val="27"/>
  </w:num>
  <w:num w:numId="66">
    <w:abstractNumId w:val="21"/>
  </w:num>
  <w:num w:numId="67">
    <w:abstractNumId w:val="33"/>
  </w:num>
  <w:num w:numId="68">
    <w:abstractNumId w:val="73"/>
  </w:num>
  <w:num w:numId="69">
    <w:abstractNumId w:val="65"/>
  </w:num>
  <w:num w:numId="70">
    <w:abstractNumId w:val="53"/>
  </w:num>
  <w:num w:numId="71">
    <w:abstractNumId w:val="45"/>
  </w:num>
  <w:num w:numId="72">
    <w:abstractNumId w:val="61"/>
  </w:num>
  <w:num w:numId="73">
    <w:abstractNumId w:val="36"/>
  </w:num>
  <w:num w:numId="74">
    <w:abstractNumId w:val="34"/>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8"/>
  <w:hideSpellingErrors/>
  <w:hideGrammaticalErrors/>
  <w:defaultTabStop w:val="709"/>
  <w:hyphenationZone w:val="425"/>
  <w:defaultTableStyle w:val="MediumShading1-Accent2"/>
  <w:characterSpacingControl w:val="doNotCompress"/>
  <w:savePreviewPicture/>
  <w:hdrShapeDefaults>
    <o:shapedefaults v:ext="edit" spidmax="2049">
      <o:colormru v:ext="edit" colors="#dfd0ab,#f8cfc8"/>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41B9"/>
    <w:rsid w:val="000003C2"/>
    <w:rsid w:val="0000041D"/>
    <w:rsid w:val="00000434"/>
    <w:rsid w:val="000007C0"/>
    <w:rsid w:val="0000086C"/>
    <w:rsid w:val="00000BBF"/>
    <w:rsid w:val="00000CA6"/>
    <w:rsid w:val="00000E19"/>
    <w:rsid w:val="00001344"/>
    <w:rsid w:val="000014EA"/>
    <w:rsid w:val="000016B3"/>
    <w:rsid w:val="0000173C"/>
    <w:rsid w:val="000019DC"/>
    <w:rsid w:val="00001BD7"/>
    <w:rsid w:val="00001C9F"/>
    <w:rsid w:val="00002315"/>
    <w:rsid w:val="0000257D"/>
    <w:rsid w:val="00002758"/>
    <w:rsid w:val="00002CCA"/>
    <w:rsid w:val="000031B8"/>
    <w:rsid w:val="000033A6"/>
    <w:rsid w:val="000035A4"/>
    <w:rsid w:val="000038D7"/>
    <w:rsid w:val="00003A56"/>
    <w:rsid w:val="00003BCB"/>
    <w:rsid w:val="00003C5F"/>
    <w:rsid w:val="00003D9C"/>
    <w:rsid w:val="00004176"/>
    <w:rsid w:val="00004229"/>
    <w:rsid w:val="00004296"/>
    <w:rsid w:val="00004340"/>
    <w:rsid w:val="00004395"/>
    <w:rsid w:val="0000486F"/>
    <w:rsid w:val="00004B31"/>
    <w:rsid w:val="00004C7F"/>
    <w:rsid w:val="00004D61"/>
    <w:rsid w:val="00004ED2"/>
    <w:rsid w:val="00004F65"/>
    <w:rsid w:val="00005045"/>
    <w:rsid w:val="00005052"/>
    <w:rsid w:val="00005151"/>
    <w:rsid w:val="0000544B"/>
    <w:rsid w:val="000058F2"/>
    <w:rsid w:val="0000591A"/>
    <w:rsid w:val="00005B6D"/>
    <w:rsid w:val="00005C4A"/>
    <w:rsid w:val="00006816"/>
    <w:rsid w:val="0000683F"/>
    <w:rsid w:val="00006A45"/>
    <w:rsid w:val="00006D33"/>
    <w:rsid w:val="00006D65"/>
    <w:rsid w:val="00006F10"/>
    <w:rsid w:val="0000736B"/>
    <w:rsid w:val="00007384"/>
    <w:rsid w:val="000074F7"/>
    <w:rsid w:val="000076EB"/>
    <w:rsid w:val="000078A7"/>
    <w:rsid w:val="000079AC"/>
    <w:rsid w:val="0001019D"/>
    <w:rsid w:val="0001039D"/>
    <w:rsid w:val="00010648"/>
    <w:rsid w:val="000107EE"/>
    <w:rsid w:val="000110D2"/>
    <w:rsid w:val="00011239"/>
    <w:rsid w:val="00011426"/>
    <w:rsid w:val="00011744"/>
    <w:rsid w:val="00011B51"/>
    <w:rsid w:val="00011F0E"/>
    <w:rsid w:val="00011FFD"/>
    <w:rsid w:val="00012250"/>
    <w:rsid w:val="0001232F"/>
    <w:rsid w:val="000124E7"/>
    <w:rsid w:val="00012611"/>
    <w:rsid w:val="00012B18"/>
    <w:rsid w:val="00012B64"/>
    <w:rsid w:val="00012C71"/>
    <w:rsid w:val="000133FF"/>
    <w:rsid w:val="00013500"/>
    <w:rsid w:val="00013658"/>
    <w:rsid w:val="0001365B"/>
    <w:rsid w:val="00013FAF"/>
    <w:rsid w:val="000140D0"/>
    <w:rsid w:val="000141DB"/>
    <w:rsid w:val="000149D2"/>
    <w:rsid w:val="00014A50"/>
    <w:rsid w:val="00014AEF"/>
    <w:rsid w:val="00014DC6"/>
    <w:rsid w:val="00015038"/>
    <w:rsid w:val="0001504B"/>
    <w:rsid w:val="00015084"/>
    <w:rsid w:val="000152A1"/>
    <w:rsid w:val="000153AD"/>
    <w:rsid w:val="00015553"/>
    <w:rsid w:val="00015575"/>
    <w:rsid w:val="00015656"/>
    <w:rsid w:val="000158D9"/>
    <w:rsid w:val="000159E2"/>
    <w:rsid w:val="00015B5D"/>
    <w:rsid w:val="00015C56"/>
    <w:rsid w:val="00016203"/>
    <w:rsid w:val="000162DC"/>
    <w:rsid w:val="0001676C"/>
    <w:rsid w:val="00016BFE"/>
    <w:rsid w:val="00016C3A"/>
    <w:rsid w:val="00016D38"/>
    <w:rsid w:val="00016DFF"/>
    <w:rsid w:val="000171CD"/>
    <w:rsid w:val="000171D4"/>
    <w:rsid w:val="00017248"/>
    <w:rsid w:val="00017308"/>
    <w:rsid w:val="000177C9"/>
    <w:rsid w:val="00017BE7"/>
    <w:rsid w:val="00017DC5"/>
    <w:rsid w:val="00017EAD"/>
    <w:rsid w:val="00017F2B"/>
    <w:rsid w:val="00017F4B"/>
    <w:rsid w:val="000201AF"/>
    <w:rsid w:val="0002023C"/>
    <w:rsid w:val="00020277"/>
    <w:rsid w:val="0002045D"/>
    <w:rsid w:val="0002046C"/>
    <w:rsid w:val="000206F4"/>
    <w:rsid w:val="00020824"/>
    <w:rsid w:val="00020871"/>
    <w:rsid w:val="000208CE"/>
    <w:rsid w:val="0002098B"/>
    <w:rsid w:val="00020BAE"/>
    <w:rsid w:val="00020C7C"/>
    <w:rsid w:val="00020CAA"/>
    <w:rsid w:val="00020CC3"/>
    <w:rsid w:val="0002130A"/>
    <w:rsid w:val="00021A62"/>
    <w:rsid w:val="00021BE6"/>
    <w:rsid w:val="00021E64"/>
    <w:rsid w:val="000220FC"/>
    <w:rsid w:val="0002235F"/>
    <w:rsid w:val="00022665"/>
    <w:rsid w:val="00022E89"/>
    <w:rsid w:val="00023074"/>
    <w:rsid w:val="00023118"/>
    <w:rsid w:val="00023565"/>
    <w:rsid w:val="000238B6"/>
    <w:rsid w:val="00023A7F"/>
    <w:rsid w:val="0002415A"/>
    <w:rsid w:val="00024A9C"/>
    <w:rsid w:val="00024D45"/>
    <w:rsid w:val="00024EEA"/>
    <w:rsid w:val="00024FF4"/>
    <w:rsid w:val="000252EA"/>
    <w:rsid w:val="000252FD"/>
    <w:rsid w:val="00025B4E"/>
    <w:rsid w:val="00025D7F"/>
    <w:rsid w:val="00026235"/>
    <w:rsid w:val="000263B3"/>
    <w:rsid w:val="0002650E"/>
    <w:rsid w:val="000266E6"/>
    <w:rsid w:val="00026AF6"/>
    <w:rsid w:val="00026AFD"/>
    <w:rsid w:val="00026DC5"/>
    <w:rsid w:val="000273E1"/>
    <w:rsid w:val="000277ED"/>
    <w:rsid w:val="00027821"/>
    <w:rsid w:val="000278F2"/>
    <w:rsid w:val="00027934"/>
    <w:rsid w:val="00027945"/>
    <w:rsid w:val="000300BC"/>
    <w:rsid w:val="000301FE"/>
    <w:rsid w:val="00030493"/>
    <w:rsid w:val="000305AD"/>
    <w:rsid w:val="000305EB"/>
    <w:rsid w:val="00030753"/>
    <w:rsid w:val="00030A24"/>
    <w:rsid w:val="00030CF0"/>
    <w:rsid w:val="00030E59"/>
    <w:rsid w:val="00030F0C"/>
    <w:rsid w:val="00030F12"/>
    <w:rsid w:val="0003110F"/>
    <w:rsid w:val="0003134D"/>
    <w:rsid w:val="000315A2"/>
    <w:rsid w:val="00031745"/>
    <w:rsid w:val="00031D37"/>
    <w:rsid w:val="00031ED4"/>
    <w:rsid w:val="00031EE6"/>
    <w:rsid w:val="00032185"/>
    <w:rsid w:val="00032338"/>
    <w:rsid w:val="0003268C"/>
    <w:rsid w:val="0003270A"/>
    <w:rsid w:val="00032AFC"/>
    <w:rsid w:val="00032EBC"/>
    <w:rsid w:val="00032FBD"/>
    <w:rsid w:val="00033154"/>
    <w:rsid w:val="000333E6"/>
    <w:rsid w:val="0003341D"/>
    <w:rsid w:val="000337F0"/>
    <w:rsid w:val="00033EFC"/>
    <w:rsid w:val="000343FA"/>
    <w:rsid w:val="00034482"/>
    <w:rsid w:val="0003462A"/>
    <w:rsid w:val="00034C85"/>
    <w:rsid w:val="00034D77"/>
    <w:rsid w:val="00034EA8"/>
    <w:rsid w:val="000350FD"/>
    <w:rsid w:val="00035529"/>
    <w:rsid w:val="000355C4"/>
    <w:rsid w:val="0003572A"/>
    <w:rsid w:val="00035A59"/>
    <w:rsid w:val="00035A68"/>
    <w:rsid w:val="00035D0C"/>
    <w:rsid w:val="00035D57"/>
    <w:rsid w:val="00036330"/>
    <w:rsid w:val="00036336"/>
    <w:rsid w:val="0003650D"/>
    <w:rsid w:val="000365B7"/>
    <w:rsid w:val="00036AA8"/>
    <w:rsid w:val="00036CEB"/>
    <w:rsid w:val="00036E88"/>
    <w:rsid w:val="00036F0E"/>
    <w:rsid w:val="00037198"/>
    <w:rsid w:val="000375F2"/>
    <w:rsid w:val="00037A49"/>
    <w:rsid w:val="00037C36"/>
    <w:rsid w:val="00037E59"/>
    <w:rsid w:val="00037EBF"/>
    <w:rsid w:val="00040015"/>
    <w:rsid w:val="0004027E"/>
    <w:rsid w:val="00040595"/>
    <w:rsid w:val="00040AA2"/>
    <w:rsid w:val="00040C8E"/>
    <w:rsid w:val="00040DDF"/>
    <w:rsid w:val="00040DFE"/>
    <w:rsid w:val="00040E04"/>
    <w:rsid w:val="00041415"/>
    <w:rsid w:val="000414C7"/>
    <w:rsid w:val="00041801"/>
    <w:rsid w:val="00041907"/>
    <w:rsid w:val="00041A6E"/>
    <w:rsid w:val="00041A93"/>
    <w:rsid w:val="00041C6A"/>
    <w:rsid w:val="00041E7E"/>
    <w:rsid w:val="00041F91"/>
    <w:rsid w:val="0004204F"/>
    <w:rsid w:val="0004214C"/>
    <w:rsid w:val="00042488"/>
    <w:rsid w:val="0004252C"/>
    <w:rsid w:val="00042897"/>
    <w:rsid w:val="0004293E"/>
    <w:rsid w:val="00042C41"/>
    <w:rsid w:val="00042D09"/>
    <w:rsid w:val="00042F90"/>
    <w:rsid w:val="00043013"/>
    <w:rsid w:val="00043499"/>
    <w:rsid w:val="000434F4"/>
    <w:rsid w:val="00043550"/>
    <w:rsid w:val="00043717"/>
    <w:rsid w:val="00043734"/>
    <w:rsid w:val="0004379B"/>
    <w:rsid w:val="00043A01"/>
    <w:rsid w:val="00043BFC"/>
    <w:rsid w:val="00044016"/>
    <w:rsid w:val="000442E6"/>
    <w:rsid w:val="00044404"/>
    <w:rsid w:val="000444D5"/>
    <w:rsid w:val="0004499E"/>
    <w:rsid w:val="00044C06"/>
    <w:rsid w:val="00044D07"/>
    <w:rsid w:val="00044D8D"/>
    <w:rsid w:val="00044DE7"/>
    <w:rsid w:val="00044E5E"/>
    <w:rsid w:val="00045031"/>
    <w:rsid w:val="00045042"/>
    <w:rsid w:val="000450FE"/>
    <w:rsid w:val="00045B6E"/>
    <w:rsid w:val="00045CEA"/>
    <w:rsid w:val="000460E0"/>
    <w:rsid w:val="00046129"/>
    <w:rsid w:val="00046268"/>
    <w:rsid w:val="00046403"/>
    <w:rsid w:val="0004646F"/>
    <w:rsid w:val="0004648A"/>
    <w:rsid w:val="000465B5"/>
    <w:rsid w:val="00046707"/>
    <w:rsid w:val="00046799"/>
    <w:rsid w:val="00046C93"/>
    <w:rsid w:val="00046E4F"/>
    <w:rsid w:val="00046FC5"/>
    <w:rsid w:val="0004707E"/>
    <w:rsid w:val="0004714E"/>
    <w:rsid w:val="0004725B"/>
    <w:rsid w:val="0004797A"/>
    <w:rsid w:val="00047BDF"/>
    <w:rsid w:val="00047FC4"/>
    <w:rsid w:val="0005037E"/>
    <w:rsid w:val="00050680"/>
    <w:rsid w:val="00050839"/>
    <w:rsid w:val="00050977"/>
    <w:rsid w:val="000509C6"/>
    <w:rsid w:val="00050A7D"/>
    <w:rsid w:val="00050B9D"/>
    <w:rsid w:val="00050CEB"/>
    <w:rsid w:val="00050D74"/>
    <w:rsid w:val="00050F76"/>
    <w:rsid w:val="00051051"/>
    <w:rsid w:val="0005106F"/>
    <w:rsid w:val="00051200"/>
    <w:rsid w:val="000512C7"/>
    <w:rsid w:val="0005149A"/>
    <w:rsid w:val="00051764"/>
    <w:rsid w:val="00051B1B"/>
    <w:rsid w:val="00051C84"/>
    <w:rsid w:val="00051DD7"/>
    <w:rsid w:val="000521B1"/>
    <w:rsid w:val="00052267"/>
    <w:rsid w:val="000522D9"/>
    <w:rsid w:val="00052658"/>
    <w:rsid w:val="000527D1"/>
    <w:rsid w:val="000528F5"/>
    <w:rsid w:val="00052A67"/>
    <w:rsid w:val="00052AB4"/>
    <w:rsid w:val="00052C7B"/>
    <w:rsid w:val="00052D3D"/>
    <w:rsid w:val="0005316D"/>
    <w:rsid w:val="00053482"/>
    <w:rsid w:val="0005352F"/>
    <w:rsid w:val="00053C64"/>
    <w:rsid w:val="00053D4D"/>
    <w:rsid w:val="00053D86"/>
    <w:rsid w:val="00053DE2"/>
    <w:rsid w:val="00053E1D"/>
    <w:rsid w:val="00054228"/>
    <w:rsid w:val="000543C3"/>
    <w:rsid w:val="0005447B"/>
    <w:rsid w:val="0005459B"/>
    <w:rsid w:val="000545EB"/>
    <w:rsid w:val="00054F6F"/>
    <w:rsid w:val="000552FA"/>
    <w:rsid w:val="00055655"/>
    <w:rsid w:val="00055C9B"/>
    <w:rsid w:val="000567C6"/>
    <w:rsid w:val="00056918"/>
    <w:rsid w:val="00056ED9"/>
    <w:rsid w:val="000572E9"/>
    <w:rsid w:val="00057468"/>
    <w:rsid w:val="000574B7"/>
    <w:rsid w:val="000575C6"/>
    <w:rsid w:val="000577C4"/>
    <w:rsid w:val="00060085"/>
    <w:rsid w:val="0006023D"/>
    <w:rsid w:val="0006042A"/>
    <w:rsid w:val="000606A4"/>
    <w:rsid w:val="00060A60"/>
    <w:rsid w:val="00060E78"/>
    <w:rsid w:val="0006172A"/>
    <w:rsid w:val="00061861"/>
    <w:rsid w:val="0006215C"/>
    <w:rsid w:val="0006231D"/>
    <w:rsid w:val="000625BF"/>
    <w:rsid w:val="00062751"/>
    <w:rsid w:val="00062D5D"/>
    <w:rsid w:val="00062F1F"/>
    <w:rsid w:val="00063070"/>
    <w:rsid w:val="000635AC"/>
    <w:rsid w:val="000636D5"/>
    <w:rsid w:val="000636E7"/>
    <w:rsid w:val="00063A48"/>
    <w:rsid w:val="00064038"/>
    <w:rsid w:val="000640F0"/>
    <w:rsid w:val="000641CF"/>
    <w:rsid w:val="0006432B"/>
    <w:rsid w:val="0006443F"/>
    <w:rsid w:val="00064549"/>
    <w:rsid w:val="00064557"/>
    <w:rsid w:val="000648D9"/>
    <w:rsid w:val="0006499D"/>
    <w:rsid w:val="00064A27"/>
    <w:rsid w:val="00064BF8"/>
    <w:rsid w:val="00064C18"/>
    <w:rsid w:val="00064C61"/>
    <w:rsid w:val="00064EC5"/>
    <w:rsid w:val="00064ED0"/>
    <w:rsid w:val="000650C9"/>
    <w:rsid w:val="0006532D"/>
    <w:rsid w:val="0006559D"/>
    <w:rsid w:val="00065803"/>
    <w:rsid w:val="0006583C"/>
    <w:rsid w:val="00065A8F"/>
    <w:rsid w:val="00065AE4"/>
    <w:rsid w:val="00065CDA"/>
    <w:rsid w:val="00065D2A"/>
    <w:rsid w:val="00065E6E"/>
    <w:rsid w:val="00066018"/>
    <w:rsid w:val="00066209"/>
    <w:rsid w:val="000665BB"/>
    <w:rsid w:val="000665D9"/>
    <w:rsid w:val="000667CC"/>
    <w:rsid w:val="00066AD2"/>
    <w:rsid w:val="00066F9C"/>
    <w:rsid w:val="0006703C"/>
    <w:rsid w:val="000670F0"/>
    <w:rsid w:val="00067145"/>
    <w:rsid w:val="00067895"/>
    <w:rsid w:val="00067B46"/>
    <w:rsid w:val="00067D13"/>
    <w:rsid w:val="00067D54"/>
    <w:rsid w:val="00067FF9"/>
    <w:rsid w:val="0007074F"/>
    <w:rsid w:val="00070767"/>
    <w:rsid w:val="00070B3E"/>
    <w:rsid w:val="00070E04"/>
    <w:rsid w:val="00070F3F"/>
    <w:rsid w:val="00071079"/>
    <w:rsid w:val="000711B5"/>
    <w:rsid w:val="0007127E"/>
    <w:rsid w:val="00071446"/>
    <w:rsid w:val="0007168A"/>
    <w:rsid w:val="00071830"/>
    <w:rsid w:val="000718A4"/>
    <w:rsid w:val="000718DF"/>
    <w:rsid w:val="00071A4B"/>
    <w:rsid w:val="00071BCF"/>
    <w:rsid w:val="00071C6D"/>
    <w:rsid w:val="00071DCD"/>
    <w:rsid w:val="00071E21"/>
    <w:rsid w:val="00071E32"/>
    <w:rsid w:val="00071F05"/>
    <w:rsid w:val="00072190"/>
    <w:rsid w:val="0007232D"/>
    <w:rsid w:val="00072385"/>
    <w:rsid w:val="00072405"/>
    <w:rsid w:val="00072504"/>
    <w:rsid w:val="00072558"/>
    <w:rsid w:val="000725BF"/>
    <w:rsid w:val="00072645"/>
    <w:rsid w:val="0007339A"/>
    <w:rsid w:val="000733BC"/>
    <w:rsid w:val="000733CF"/>
    <w:rsid w:val="00073598"/>
    <w:rsid w:val="000738FC"/>
    <w:rsid w:val="00073BBB"/>
    <w:rsid w:val="00073BBF"/>
    <w:rsid w:val="00073D34"/>
    <w:rsid w:val="000740F8"/>
    <w:rsid w:val="000742BA"/>
    <w:rsid w:val="00074533"/>
    <w:rsid w:val="000745D0"/>
    <w:rsid w:val="000747DE"/>
    <w:rsid w:val="00074A69"/>
    <w:rsid w:val="00074DD4"/>
    <w:rsid w:val="00074F20"/>
    <w:rsid w:val="00075204"/>
    <w:rsid w:val="0007569E"/>
    <w:rsid w:val="000758BB"/>
    <w:rsid w:val="000759A9"/>
    <w:rsid w:val="00075B26"/>
    <w:rsid w:val="000760C2"/>
    <w:rsid w:val="000763F5"/>
    <w:rsid w:val="00076550"/>
    <w:rsid w:val="00076871"/>
    <w:rsid w:val="000768D0"/>
    <w:rsid w:val="00076F84"/>
    <w:rsid w:val="00076FB0"/>
    <w:rsid w:val="00077041"/>
    <w:rsid w:val="000772CC"/>
    <w:rsid w:val="0007730C"/>
    <w:rsid w:val="0007731D"/>
    <w:rsid w:val="0007747B"/>
    <w:rsid w:val="00077A44"/>
    <w:rsid w:val="00077AE8"/>
    <w:rsid w:val="00077C9E"/>
    <w:rsid w:val="00077DB4"/>
    <w:rsid w:val="00077E6A"/>
    <w:rsid w:val="00080114"/>
    <w:rsid w:val="00080231"/>
    <w:rsid w:val="00080234"/>
    <w:rsid w:val="000805C8"/>
    <w:rsid w:val="000807AA"/>
    <w:rsid w:val="00080BD4"/>
    <w:rsid w:val="00080C5C"/>
    <w:rsid w:val="000810AF"/>
    <w:rsid w:val="000812B9"/>
    <w:rsid w:val="0008158F"/>
    <w:rsid w:val="00081611"/>
    <w:rsid w:val="00081A1E"/>
    <w:rsid w:val="00081B29"/>
    <w:rsid w:val="00081DA5"/>
    <w:rsid w:val="00081FAE"/>
    <w:rsid w:val="00082029"/>
    <w:rsid w:val="00082189"/>
    <w:rsid w:val="000821B9"/>
    <w:rsid w:val="000823E1"/>
    <w:rsid w:val="000828E5"/>
    <w:rsid w:val="00082CE3"/>
    <w:rsid w:val="00082F97"/>
    <w:rsid w:val="00083361"/>
    <w:rsid w:val="000833F9"/>
    <w:rsid w:val="000834F2"/>
    <w:rsid w:val="00083580"/>
    <w:rsid w:val="00083599"/>
    <w:rsid w:val="0008367C"/>
    <w:rsid w:val="00083821"/>
    <w:rsid w:val="00083A4D"/>
    <w:rsid w:val="00083C89"/>
    <w:rsid w:val="000847E9"/>
    <w:rsid w:val="0008484C"/>
    <w:rsid w:val="00084D35"/>
    <w:rsid w:val="00084EAB"/>
    <w:rsid w:val="00085125"/>
    <w:rsid w:val="00085221"/>
    <w:rsid w:val="0008534B"/>
    <w:rsid w:val="000855FB"/>
    <w:rsid w:val="000856FC"/>
    <w:rsid w:val="00085792"/>
    <w:rsid w:val="000858B7"/>
    <w:rsid w:val="00085AE6"/>
    <w:rsid w:val="00085B59"/>
    <w:rsid w:val="00085BF5"/>
    <w:rsid w:val="00085D76"/>
    <w:rsid w:val="00085FB9"/>
    <w:rsid w:val="000860CA"/>
    <w:rsid w:val="000862A4"/>
    <w:rsid w:val="000865AC"/>
    <w:rsid w:val="00086865"/>
    <w:rsid w:val="00086A06"/>
    <w:rsid w:val="00086A08"/>
    <w:rsid w:val="00086BC3"/>
    <w:rsid w:val="00086EE1"/>
    <w:rsid w:val="000877C7"/>
    <w:rsid w:val="000879E8"/>
    <w:rsid w:val="00087DDF"/>
    <w:rsid w:val="00087E05"/>
    <w:rsid w:val="00087EFB"/>
    <w:rsid w:val="00087F4E"/>
    <w:rsid w:val="000900DC"/>
    <w:rsid w:val="000901EC"/>
    <w:rsid w:val="0009026C"/>
    <w:rsid w:val="0009030F"/>
    <w:rsid w:val="00090330"/>
    <w:rsid w:val="0009037F"/>
    <w:rsid w:val="000904CE"/>
    <w:rsid w:val="00090943"/>
    <w:rsid w:val="00090BF7"/>
    <w:rsid w:val="00090E55"/>
    <w:rsid w:val="00090FB3"/>
    <w:rsid w:val="000910EB"/>
    <w:rsid w:val="0009115E"/>
    <w:rsid w:val="000911F1"/>
    <w:rsid w:val="000913C7"/>
    <w:rsid w:val="000917F3"/>
    <w:rsid w:val="000918B0"/>
    <w:rsid w:val="00091F2F"/>
    <w:rsid w:val="000923F6"/>
    <w:rsid w:val="0009246B"/>
    <w:rsid w:val="0009270B"/>
    <w:rsid w:val="000927FE"/>
    <w:rsid w:val="00092829"/>
    <w:rsid w:val="00092908"/>
    <w:rsid w:val="0009294B"/>
    <w:rsid w:val="00092CBE"/>
    <w:rsid w:val="00092E82"/>
    <w:rsid w:val="00093715"/>
    <w:rsid w:val="000937A2"/>
    <w:rsid w:val="000937CC"/>
    <w:rsid w:val="000938F1"/>
    <w:rsid w:val="00093AAC"/>
    <w:rsid w:val="00093C1B"/>
    <w:rsid w:val="00094125"/>
    <w:rsid w:val="00094571"/>
    <w:rsid w:val="0009459C"/>
    <w:rsid w:val="00094979"/>
    <w:rsid w:val="00094B0C"/>
    <w:rsid w:val="00094C0B"/>
    <w:rsid w:val="00094C6F"/>
    <w:rsid w:val="00094C94"/>
    <w:rsid w:val="00094DD5"/>
    <w:rsid w:val="0009513D"/>
    <w:rsid w:val="0009577F"/>
    <w:rsid w:val="000958CB"/>
    <w:rsid w:val="000958D8"/>
    <w:rsid w:val="000958FA"/>
    <w:rsid w:val="0009646A"/>
    <w:rsid w:val="00096506"/>
    <w:rsid w:val="0009672B"/>
    <w:rsid w:val="00096DA3"/>
    <w:rsid w:val="00096DD8"/>
    <w:rsid w:val="00096E43"/>
    <w:rsid w:val="00097345"/>
    <w:rsid w:val="00097752"/>
    <w:rsid w:val="000978C1"/>
    <w:rsid w:val="00097B54"/>
    <w:rsid w:val="00097B5A"/>
    <w:rsid w:val="00097D98"/>
    <w:rsid w:val="00097F12"/>
    <w:rsid w:val="00097F3F"/>
    <w:rsid w:val="00097F42"/>
    <w:rsid w:val="00097F58"/>
    <w:rsid w:val="00097F91"/>
    <w:rsid w:val="000A0166"/>
    <w:rsid w:val="000A050F"/>
    <w:rsid w:val="000A0661"/>
    <w:rsid w:val="000A07CF"/>
    <w:rsid w:val="000A0D96"/>
    <w:rsid w:val="000A0E3C"/>
    <w:rsid w:val="000A165D"/>
    <w:rsid w:val="000A17A5"/>
    <w:rsid w:val="000A1920"/>
    <w:rsid w:val="000A19EF"/>
    <w:rsid w:val="000A1A81"/>
    <w:rsid w:val="000A1AEE"/>
    <w:rsid w:val="000A1F9F"/>
    <w:rsid w:val="000A25B3"/>
    <w:rsid w:val="000A25FD"/>
    <w:rsid w:val="000A2790"/>
    <w:rsid w:val="000A2872"/>
    <w:rsid w:val="000A28BE"/>
    <w:rsid w:val="000A294F"/>
    <w:rsid w:val="000A2A11"/>
    <w:rsid w:val="000A2A6C"/>
    <w:rsid w:val="000A2ACE"/>
    <w:rsid w:val="000A2EA8"/>
    <w:rsid w:val="000A2ECD"/>
    <w:rsid w:val="000A2F6A"/>
    <w:rsid w:val="000A2FFA"/>
    <w:rsid w:val="000A3240"/>
    <w:rsid w:val="000A3359"/>
    <w:rsid w:val="000A3575"/>
    <w:rsid w:val="000A365C"/>
    <w:rsid w:val="000A36B5"/>
    <w:rsid w:val="000A37BC"/>
    <w:rsid w:val="000A3D82"/>
    <w:rsid w:val="000A3DA3"/>
    <w:rsid w:val="000A4191"/>
    <w:rsid w:val="000A42FD"/>
    <w:rsid w:val="000A4713"/>
    <w:rsid w:val="000A4A4B"/>
    <w:rsid w:val="000A4C13"/>
    <w:rsid w:val="000A4D44"/>
    <w:rsid w:val="000A5123"/>
    <w:rsid w:val="000A5161"/>
    <w:rsid w:val="000A5351"/>
    <w:rsid w:val="000A5A96"/>
    <w:rsid w:val="000A5AF5"/>
    <w:rsid w:val="000A5D74"/>
    <w:rsid w:val="000A5E72"/>
    <w:rsid w:val="000A6922"/>
    <w:rsid w:val="000A6C19"/>
    <w:rsid w:val="000A6C98"/>
    <w:rsid w:val="000A6CD2"/>
    <w:rsid w:val="000A6D90"/>
    <w:rsid w:val="000A6E9A"/>
    <w:rsid w:val="000A702D"/>
    <w:rsid w:val="000A7796"/>
    <w:rsid w:val="000A7899"/>
    <w:rsid w:val="000A7A67"/>
    <w:rsid w:val="000A7BAE"/>
    <w:rsid w:val="000A7FCD"/>
    <w:rsid w:val="000B0004"/>
    <w:rsid w:val="000B05A5"/>
    <w:rsid w:val="000B05E1"/>
    <w:rsid w:val="000B07B5"/>
    <w:rsid w:val="000B0EF3"/>
    <w:rsid w:val="000B0F13"/>
    <w:rsid w:val="000B1113"/>
    <w:rsid w:val="000B14D5"/>
    <w:rsid w:val="000B1528"/>
    <w:rsid w:val="000B1EE5"/>
    <w:rsid w:val="000B2032"/>
    <w:rsid w:val="000B21F4"/>
    <w:rsid w:val="000B24BC"/>
    <w:rsid w:val="000B290C"/>
    <w:rsid w:val="000B293E"/>
    <w:rsid w:val="000B2CDD"/>
    <w:rsid w:val="000B2FE6"/>
    <w:rsid w:val="000B3234"/>
    <w:rsid w:val="000B32B5"/>
    <w:rsid w:val="000B32BA"/>
    <w:rsid w:val="000B3321"/>
    <w:rsid w:val="000B3348"/>
    <w:rsid w:val="000B3612"/>
    <w:rsid w:val="000B39E1"/>
    <w:rsid w:val="000B3AB2"/>
    <w:rsid w:val="000B3BF8"/>
    <w:rsid w:val="000B3CD1"/>
    <w:rsid w:val="000B3F21"/>
    <w:rsid w:val="000B4001"/>
    <w:rsid w:val="000B4086"/>
    <w:rsid w:val="000B417E"/>
    <w:rsid w:val="000B42E0"/>
    <w:rsid w:val="000B450A"/>
    <w:rsid w:val="000B45DB"/>
    <w:rsid w:val="000B48A4"/>
    <w:rsid w:val="000B48AE"/>
    <w:rsid w:val="000B4A35"/>
    <w:rsid w:val="000B4EB3"/>
    <w:rsid w:val="000B53D5"/>
    <w:rsid w:val="000B554E"/>
    <w:rsid w:val="000B56B0"/>
    <w:rsid w:val="000B5973"/>
    <w:rsid w:val="000B59F0"/>
    <w:rsid w:val="000B5A68"/>
    <w:rsid w:val="000B5C93"/>
    <w:rsid w:val="000B5E49"/>
    <w:rsid w:val="000B62BA"/>
    <w:rsid w:val="000B6572"/>
    <w:rsid w:val="000B65FA"/>
    <w:rsid w:val="000B6708"/>
    <w:rsid w:val="000B6709"/>
    <w:rsid w:val="000B6923"/>
    <w:rsid w:val="000B6A1B"/>
    <w:rsid w:val="000B6A66"/>
    <w:rsid w:val="000B6EC5"/>
    <w:rsid w:val="000B6F6F"/>
    <w:rsid w:val="000B7107"/>
    <w:rsid w:val="000B7122"/>
    <w:rsid w:val="000B72C2"/>
    <w:rsid w:val="000B72EB"/>
    <w:rsid w:val="000B74A4"/>
    <w:rsid w:val="000B77C7"/>
    <w:rsid w:val="000B7B87"/>
    <w:rsid w:val="000B7CD1"/>
    <w:rsid w:val="000B7D8E"/>
    <w:rsid w:val="000B7E47"/>
    <w:rsid w:val="000C0102"/>
    <w:rsid w:val="000C015F"/>
    <w:rsid w:val="000C043D"/>
    <w:rsid w:val="000C0628"/>
    <w:rsid w:val="000C0B10"/>
    <w:rsid w:val="000C0C99"/>
    <w:rsid w:val="000C0EB3"/>
    <w:rsid w:val="000C15DE"/>
    <w:rsid w:val="000C1AEA"/>
    <w:rsid w:val="000C1C21"/>
    <w:rsid w:val="000C1FF2"/>
    <w:rsid w:val="000C2047"/>
    <w:rsid w:val="000C20E8"/>
    <w:rsid w:val="000C23B3"/>
    <w:rsid w:val="000C25B8"/>
    <w:rsid w:val="000C25E3"/>
    <w:rsid w:val="000C2DEB"/>
    <w:rsid w:val="000C2EEF"/>
    <w:rsid w:val="000C2F24"/>
    <w:rsid w:val="000C30D9"/>
    <w:rsid w:val="000C3248"/>
    <w:rsid w:val="000C32FC"/>
    <w:rsid w:val="000C3303"/>
    <w:rsid w:val="000C3348"/>
    <w:rsid w:val="000C337E"/>
    <w:rsid w:val="000C3BC9"/>
    <w:rsid w:val="000C4029"/>
    <w:rsid w:val="000C44E3"/>
    <w:rsid w:val="000C4876"/>
    <w:rsid w:val="000C4E18"/>
    <w:rsid w:val="000C5191"/>
    <w:rsid w:val="000C51B1"/>
    <w:rsid w:val="000C5246"/>
    <w:rsid w:val="000C561A"/>
    <w:rsid w:val="000C584D"/>
    <w:rsid w:val="000C586B"/>
    <w:rsid w:val="000C59E0"/>
    <w:rsid w:val="000C5B72"/>
    <w:rsid w:val="000C5CDB"/>
    <w:rsid w:val="000C5D02"/>
    <w:rsid w:val="000C5DFE"/>
    <w:rsid w:val="000C5E96"/>
    <w:rsid w:val="000C613F"/>
    <w:rsid w:val="000C6630"/>
    <w:rsid w:val="000C6660"/>
    <w:rsid w:val="000C68D4"/>
    <w:rsid w:val="000C6C2B"/>
    <w:rsid w:val="000C6CED"/>
    <w:rsid w:val="000C6D03"/>
    <w:rsid w:val="000C6D9B"/>
    <w:rsid w:val="000C72F6"/>
    <w:rsid w:val="000C7460"/>
    <w:rsid w:val="000C75B8"/>
    <w:rsid w:val="000C76EA"/>
    <w:rsid w:val="000C786A"/>
    <w:rsid w:val="000C78D8"/>
    <w:rsid w:val="000C7A02"/>
    <w:rsid w:val="000C7C53"/>
    <w:rsid w:val="000D0089"/>
    <w:rsid w:val="000D0750"/>
    <w:rsid w:val="000D0875"/>
    <w:rsid w:val="000D0E9B"/>
    <w:rsid w:val="000D12A3"/>
    <w:rsid w:val="000D1701"/>
    <w:rsid w:val="000D18D4"/>
    <w:rsid w:val="000D1AE7"/>
    <w:rsid w:val="000D1B8E"/>
    <w:rsid w:val="000D1C11"/>
    <w:rsid w:val="000D1E8D"/>
    <w:rsid w:val="000D20F3"/>
    <w:rsid w:val="000D2396"/>
    <w:rsid w:val="000D26E1"/>
    <w:rsid w:val="000D2716"/>
    <w:rsid w:val="000D27FB"/>
    <w:rsid w:val="000D28BC"/>
    <w:rsid w:val="000D2BBC"/>
    <w:rsid w:val="000D314E"/>
    <w:rsid w:val="000D3464"/>
    <w:rsid w:val="000D382E"/>
    <w:rsid w:val="000D3E2E"/>
    <w:rsid w:val="000D4035"/>
    <w:rsid w:val="000D413E"/>
    <w:rsid w:val="000D43E9"/>
    <w:rsid w:val="000D44CE"/>
    <w:rsid w:val="000D4760"/>
    <w:rsid w:val="000D4777"/>
    <w:rsid w:val="000D47B3"/>
    <w:rsid w:val="000D4892"/>
    <w:rsid w:val="000D4B1F"/>
    <w:rsid w:val="000D4E68"/>
    <w:rsid w:val="000D4F95"/>
    <w:rsid w:val="000D570A"/>
    <w:rsid w:val="000D5AA1"/>
    <w:rsid w:val="000D63B0"/>
    <w:rsid w:val="000D649B"/>
    <w:rsid w:val="000D67D7"/>
    <w:rsid w:val="000D6804"/>
    <w:rsid w:val="000D69B5"/>
    <w:rsid w:val="000D6A98"/>
    <w:rsid w:val="000D6C5F"/>
    <w:rsid w:val="000D73B8"/>
    <w:rsid w:val="000D772D"/>
    <w:rsid w:val="000D7B38"/>
    <w:rsid w:val="000D7D4C"/>
    <w:rsid w:val="000D7EDA"/>
    <w:rsid w:val="000D7FC7"/>
    <w:rsid w:val="000E055C"/>
    <w:rsid w:val="000E0971"/>
    <w:rsid w:val="000E0A38"/>
    <w:rsid w:val="000E1211"/>
    <w:rsid w:val="000E1534"/>
    <w:rsid w:val="000E1780"/>
    <w:rsid w:val="000E17F4"/>
    <w:rsid w:val="000E18CA"/>
    <w:rsid w:val="000E19FB"/>
    <w:rsid w:val="000E1A28"/>
    <w:rsid w:val="000E1A56"/>
    <w:rsid w:val="000E1B08"/>
    <w:rsid w:val="000E1DA1"/>
    <w:rsid w:val="000E203C"/>
    <w:rsid w:val="000E205B"/>
    <w:rsid w:val="000E2461"/>
    <w:rsid w:val="000E26D1"/>
    <w:rsid w:val="000E2962"/>
    <w:rsid w:val="000E2FFB"/>
    <w:rsid w:val="000E38EF"/>
    <w:rsid w:val="000E3BE3"/>
    <w:rsid w:val="000E3FE9"/>
    <w:rsid w:val="000E40CE"/>
    <w:rsid w:val="000E44CC"/>
    <w:rsid w:val="000E44D1"/>
    <w:rsid w:val="000E480A"/>
    <w:rsid w:val="000E4A83"/>
    <w:rsid w:val="000E4F89"/>
    <w:rsid w:val="000E522E"/>
    <w:rsid w:val="000E54A2"/>
    <w:rsid w:val="000E54B3"/>
    <w:rsid w:val="000E5583"/>
    <w:rsid w:val="000E564D"/>
    <w:rsid w:val="000E58C4"/>
    <w:rsid w:val="000E58D9"/>
    <w:rsid w:val="000E59F6"/>
    <w:rsid w:val="000E5B30"/>
    <w:rsid w:val="000E5BBD"/>
    <w:rsid w:val="000E5E1F"/>
    <w:rsid w:val="000E6085"/>
    <w:rsid w:val="000E657C"/>
    <w:rsid w:val="000E66F8"/>
    <w:rsid w:val="000E6886"/>
    <w:rsid w:val="000E69FF"/>
    <w:rsid w:val="000E715A"/>
    <w:rsid w:val="000E73B9"/>
    <w:rsid w:val="000E76AC"/>
    <w:rsid w:val="000E78EE"/>
    <w:rsid w:val="000E7908"/>
    <w:rsid w:val="000E7954"/>
    <w:rsid w:val="000E796D"/>
    <w:rsid w:val="000E7F22"/>
    <w:rsid w:val="000E7FCA"/>
    <w:rsid w:val="000F0012"/>
    <w:rsid w:val="000F0751"/>
    <w:rsid w:val="000F08FA"/>
    <w:rsid w:val="000F09C2"/>
    <w:rsid w:val="000F0C81"/>
    <w:rsid w:val="000F0F5A"/>
    <w:rsid w:val="000F0F9C"/>
    <w:rsid w:val="000F13B4"/>
    <w:rsid w:val="000F1524"/>
    <w:rsid w:val="000F15AF"/>
    <w:rsid w:val="000F15EC"/>
    <w:rsid w:val="000F1CA0"/>
    <w:rsid w:val="000F1CC7"/>
    <w:rsid w:val="000F22E2"/>
    <w:rsid w:val="000F24B7"/>
    <w:rsid w:val="000F2A05"/>
    <w:rsid w:val="000F2B27"/>
    <w:rsid w:val="000F2B47"/>
    <w:rsid w:val="000F2F85"/>
    <w:rsid w:val="000F3571"/>
    <w:rsid w:val="000F36A0"/>
    <w:rsid w:val="000F36CB"/>
    <w:rsid w:val="000F3985"/>
    <w:rsid w:val="000F3A58"/>
    <w:rsid w:val="000F3AE3"/>
    <w:rsid w:val="000F3D83"/>
    <w:rsid w:val="000F428C"/>
    <w:rsid w:val="000F44F1"/>
    <w:rsid w:val="000F4678"/>
    <w:rsid w:val="000F4936"/>
    <w:rsid w:val="000F4B6B"/>
    <w:rsid w:val="000F4CBD"/>
    <w:rsid w:val="000F4D92"/>
    <w:rsid w:val="000F4E83"/>
    <w:rsid w:val="000F4ECB"/>
    <w:rsid w:val="000F4F9F"/>
    <w:rsid w:val="000F4FA5"/>
    <w:rsid w:val="000F509C"/>
    <w:rsid w:val="000F5212"/>
    <w:rsid w:val="000F5A31"/>
    <w:rsid w:val="000F5D1E"/>
    <w:rsid w:val="000F5F6A"/>
    <w:rsid w:val="000F63D6"/>
    <w:rsid w:val="000F6CB8"/>
    <w:rsid w:val="000F7234"/>
    <w:rsid w:val="000F7381"/>
    <w:rsid w:val="000F76DE"/>
    <w:rsid w:val="000F7812"/>
    <w:rsid w:val="000F7ABF"/>
    <w:rsid w:val="000F7FB4"/>
    <w:rsid w:val="00100523"/>
    <w:rsid w:val="0010059E"/>
    <w:rsid w:val="001006A8"/>
    <w:rsid w:val="001008EA"/>
    <w:rsid w:val="00100979"/>
    <w:rsid w:val="00100CE6"/>
    <w:rsid w:val="00100ECE"/>
    <w:rsid w:val="0010113C"/>
    <w:rsid w:val="0010116B"/>
    <w:rsid w:val="0010120E"/>
    <w:rsid w:val="001013E4"/>
    <w:rsid w:val="0010209C"/>
    <w:rsid w:val="0010214E"/>
    <w:rsid w:val="001026BE"/>
    <w:rsid w:val="001026C4"/>
    <w:rsid w:val="0010274F"/>
    <w:rsid w:val="00102A35"/>
    <w:rsid w:val="00102DB0"/>
    <w:rsid w:val="00103227"/>
    <w:rsid w:val="0010324F"/>
    <w:rsid w:val="0010342F"/>
    <w:rsid w:val="0010351F"/>
    <w:rsid w:val="0010356C"/>
    <w:rsid w:val="00103608"/>
    <w:rsid w:val="001036DE"/>
    <w:rsid w:val="0010385E"/>
    <w:rsid w:val="00103E69"/>
    <w:rsid w:val="0010404C"/>
    <w:rsid w:val="00104459"/>
    <w:rsid w:val="001045DB"/>
    <w:rsid w:val="00104663"/>
    <w:rsid w:val="001049E5"/>
    <w:rsid w:val="00104F69"/>
    <w:rsid w:val="001059C9"/>
    <w:rsid w:val="00105E9C"/>
    <w:rsid w:val="00106543"/>
    <w:rsid w:val="00106715"/>
    <w:rsid w:val="001067A9"/>
    <w:rsid w:val="00106C23"/>
    <w:rsid w:val="001070B7"/>
    <w:rsid w:val="00107524"/>
    <w:rsid w:val="00107624"/>
    <w:rsid w:val="0010771E"/>
    <w:rsid w:val="001077C2"/>
    <w:rsid w:val="001077C3"/>
    <w:rsid w:val="00107AA7"/>
    <w:rsid w:val="00107C01"/>
    <w:rsid w:val="00107C70"/>
    <w:rsid w:val="00107E28"/>
    <w:rsid w:val="00107E3D"/>
    <w:rsid w:val="00107E4D"/>
    <w:rsid w:val="00107E86"/>
    <w:rsid w:val="00107F4E"/>
    <w:rsid w:val="001106EA"/>
    <w:rsid w:val="001107B5"/>
    <w:rsid w:val="00110937"/>
    <w:rsid w:val="00110C4A"/>
    <w:rsid w:val="00111014"/>
    <w:rsid w:val="001112AB"/>
    <w:rsid w:val="00111853"/>
    <w:rsid w:val="00111904"/>
    <w:rsid w:val="0011192B"/>
    <w:rsid w:val="00111A55"/>
    <w:rsid w:val="00111A76"/>
    <w:rsid w:val="00111C22"/>
    <w:rsid w:val="00111E4D"/>
    <w:rsid w:val="00112053"/>
    <w:rsid w:val="0011251F"/>
    <w:rsid w:val="001125E6"/>
    <w:rsid w:val="0011277B"/>
    <w:rsid w:val="0011278D"/>
    <w:rsid w:val="00112C2A"/>
    <w:rsid w:val="0011300B"/>
    <w:rsid w:val="0011301C"/>
    <w:rsid w:val="00113177"/>
    <w:rsid w:val="001131B6"/>
    <w:rsid w:val="001132FF"/>
    <w:rsid w:val="0011358B"/>
    <w:rsid w:val="00113622"/>
    <w:rsid w:val="00113945"/>
    <w:rsid w:val="00113BDE"/>
    <w:rsid w:val="00113E93"/>
    <w:rsid w:val="0011406D"/>
    <w:rsid w:val="001141BD"/>
    <w:rsid w:val="0011428A"/>
    <w:rsid w:val="001143F9"/>
    <w:rsid w:val="001144D8"/>
    <w:rsid w:val="0011454A"/>
    <w:rsid w:val="001147F6"/>
    <w:rsid w:val="00114A1B"/>
    <w:rsid w:val="00114BAC"/>
    <w:rsid w:val="00114F86"/>
    <w:rsid w:val="0011586C"/>
    <w:rsid w:val="00115A48"/>
    <w:rsid w:val="00115E50"/>
    <w:rsid w:val="00116353"/>
    <w:rsid w:val="00116931"/>
    <w:rsid w:val="00116F95"/>
    <w:rsid w:val="001176F9"/>
    <w:rsid w:val="0011785B"/>
    <w:rsid w:val="00117BFD"/>
    <w:rsid w:val="00117C6C"/>
    <w:rsid w:val="0012000B"/>
    <w:rsid w:val="0012007D"/>
    <w:rsid w:val="001202DA"/>
    <w:rsid w:val="0012054A"/>
    <w:rsid w:val="00120577"/>
    <w:rsid w:val="0012065F"/>
    <w:rsid w:val="00120A0E"/>
    <w:rsid w:val="00120C28"/>
    <w:rsid w:val="00120C57"/>
    <w:rsid w:val="00120CF2"/>
    <w:rsid w:val="00120D90"/>
    <w:rsid w:val="001211C1"/>
    <w:rsid w:val="0012178C"/>
    <w:rsid w:val="001219A9"/>
    <w:rsid w:val="001219E0"/>
    <w:rsid w:val="00121A5F"/>
    <w:rsid w:val="00121E25"/>
    <w:rsid w:val="00121FF6"/>
    <w:rsid w:val="0012229C"/>
    <w:rsid w:val="001228E0"/>
    <w:rsid w:val="001228E3"/>
    <w:rsid w:val="00122B01"/>
    <w:rsid w:val="00122B5E"/>
    <w:rsid w:val="00122EE0"/>
    <w:rsid w:val="001235B2"/>
    <w:rsid w:val="001236BD"/>
    <w:rsid w:val="001242F9"/>
    <w:rsid w:val="001243C8"/>
    <w:rsid w:val="00124C18"/>
    <w:rsid w:val="00124F47"/>
    <w:rsid w:val="001251C4"/>
    <w:rsid w:val="001251CE"/>
    <w:rsid w:val="001252BD"/>
    <w:rsid w:val="00125687"/>
    <w:rsid w:val="00125A5B"/>
    <w:rsid w:val="00125E3A"/>
    <w:rsid w:val="00125FC2"/>
    <w:rsid w:val="001263FE"/>
    <w:rsid w:val="001265BD"/>
    <w:rsid w:val="001267C5"/>
    <w:rsid w:val="0012697B"/>
    <w:rsid w:val="0012703F"/>
    <w:rsid w:val="0012706E"/>
    <w:rsid w:val="001270A3"/>
    <w:rsid w:val="0012720C"/>
    <w:rsid w:val="0012730E"/>
    <w:rsid w:val="0012744D"/>
    <w:rsid w:val="001276FA"/>
    <w:rsid w:val="00127713"/>
    <w:rsid w:val="0012777C"/>
    <w:rsid w:val="00127D8E"/>
    <w:rsid w:val="00130465"/>
    <w:rsid w:val="001308E9"/>
    <w:rsid w:val="00131A05"/>
    <w:rsid w:val="00131A5F"/>
    <w:rsid w:val="0013205F"/>
    <w:rsid w:val="001321CD"/>
    <w:rsid w:val="00132306"/>
    <w:rsid w:val="00132618"/>
    <w:rsid w:val="0013279D"/>
    <w:rsid w:val="001327B2"/>
    <w:rsid w:val="00132843"/>
    <w:rsid w:val="00132B3B"/>
    <w:rsid w:val="00132BD2"/>
    <w:rsid w:val="00132CEE"/>
    <w:rsid w:val="00132D78"/>
    <w:rsid w:val="001332FF"/>
    <w:rsid w:val="00133400"/>
    <w:rsid w:val="00133661"/>
    <w:rsid w:val="0013398F"/>
    <w:rsid w:val="00133A08"/>
    <w:rsid w:val="00133BC2"/>
    <w:rsid w:val="0013412A"/>
    <w:rsid w:val="00134184"/>
    <w:rsid w:val="00134251"/>
    <w:rsid w:val="001342A1"/>
    <w:rsid w:val="0013465D"/>
    <w:rsid w:val="001346E4"/>
    <w:rsid w:val="0013487A"/>
    <w:rsid w:val="00134B1F"/>
    <w:rsid w:val="00134D79"/>
    <w:rsid w:val="00134F51"/>
    <w:rsid w:val="00134F5A"/>
    <w:rsid w:val="00134FC9"/>
    <w:rsid w:val="001354FF"/>
    <w:rsid w:val="001358B9"/>
    <w:rsid w:val="00135C6C"/>
    <w:rsid w:val="00136176"/>
    <w:rsid w:val="00136297"/>
    <w:rsid w:val="001362AC"/>
    <w:rsid w:val="001362DA"/>
    <w:rsid w:val="0013661C"/>
    <w:rsid w:val="00136760"/>
    <w:rsid w:val="001367FD"/>
    <w:rsid w:val="00136A1B"/>
    <w:rsid w:val="00136BE4"/>
    <w:rsid w:val="00136F79"/>
    <w:rsid w:val="00137049"/>
    <w:rsid w:val="001370B5"/>
    <w:rsid w:val="0013764E"/>
    <w:rsid w:val="001377B3"/>
    <w:rsid w:val="00137A14"/>
    <w:rsid w:val="0014029D"/>
    <w:rsid w:val="00140543"/>
    <w:rsid w:val="0014064D"/>
    <w:rsid w:val="001408F1"/>
    <w:rsid w:val="00140B1B"/>
    <w:rsid w:val="001411E9"/>
    <w:rsid w:val="001413B4"/>
    <w:rsid w:val="001416AF"/>
    <w:rsid w:val="001417DD"/>
    <w:rsid w:val="00141B17"/>
    <w:rsid w:val="00141C0F"/>
    <w:rsid w:val="00141D49"/>
    <w:rsid w:val="00141E7E"/>
    <w:rsid w:val="00141F72"/>
    <w:rsid w:val="00142083"/>
    <w:rsid w:val="001421A1"/>
    <w:rsid w:val="001421CF"/>
    <w:rsid w:val="0014247E"/>
    <w:rsid w:val="00142638"/>
    <w:rsid w:val="001429F6"/>
    <w:rsid w:val="00142D5D"/>
    <w:rsid w:val="00142D8A"/>
    <w:rsid w:val="00142ECC"/>
    <w:rsid w:val="00142EF5"/>
    <w:rsid w:val="001431B1"/>
    <w:rsid w:val="0014349B"/>
    <w:rsid w:val="001434D6"/>
    <w:rsid w:val="0014351D"/>
    <w:rsid w:val="00143DB0"/>
    <w:rsid w:val="00143EE8"/>
    <w:rsid w:val="00144153"/>
    <w:rsid w:val="0014423B"/>
    <w:rsid w:val="00144538"/>
    <w:rsid w:val="001452F8"/>
    <w:rsid w:val="001456DC"/>
    <w:rsid w:val="00145C58"/>
    <w:rsid w:val="00145CBD"/>
    <w:rsid w:val="00145DB3"/>
    <w:rsid w:val="001464EB"/>
    <w:rsid w:val="00146633"/>
    <w:rsid w:val="00146935"/>
    <w:rsid w:val="00147027"/>
    <w:rsid w:val="001474AD"/>
    <w:rsid w:val="0014782C"/>
    <w:rsid w:val="0014791E"/>
    <w:rsid w:val="00147F48"/>
    <w:rsid w:val="00147FFC"/>
    <w:rsid w:val="001500AD"/>
    <w:rsid w:val="001504BD"/>
    <w:rsid w:val="00150868"/>
    <w:rsid w:val="001509F2"/>
    <w:rsid w:val="00150A33"/>
    <w:rsid w:val="00150C8E"/>
    <w:rsid w:val="00151016"/>
    <w:rsid w:val="0015129C"/>
    <w:rsid w:val="00151320"/>
    <w:rsid w:val="001513D1"/>
    <w:rsid w:val="001514E7"/>
    <w:rsid w:val="001515D5"/>
    <w:rsid w:val="001516E1"/>
    <w:rsid w:val="00151BBB"/>
    <w:rsid w:val="00152208"/>
    <w:rsid w:val="001524A0"/>
    <w:rsid w:val="001524C5"/>
    <w:rsid w:val="0015263A"/>
    <w:rsid w:val="001528C1"/>
    <w:rsid w:val="001528FC"/>
    <w:rsid w:val="00152932"/>
    <w:rsid w:val="00152EBE"/>
    <w:rsid w:val="001534DD"/>
    <w:rsid w:val="0015350D"/>
    <w:rsid w:val="00153676"/>
    <w:rsid w:val="001540D4"/>
    <w:rsid w:val="00154149"/>
    <w:rsid w:val="00154386"/>
    <w:rsid w:val="0015442C"/>
    <w:rsid w:val="00154455"/>
    <w:rsid w:val="00154649"/>
    <w:rsid w:val="0015481E"/>
    <w:rsid w:val="001548EC"/>
    <w:rsid w:val="0015497B"/>
    <w:rsid w:val="00154A2F"/>
    <w:rsid w:val="00154CD5"/>
    <w:rsid w:val="00154E2F"/>
    <w:rsid w:val="00154F6B"/>
    <w:rsid w:val="00155526"/>
    <w:rsid w:val="00155555"/>
    <w:rsid w:val="00155719"/>
    <w:rsid w:val="0015574F"/>
    <w:rsid w:val="001557C2"/>
    <w:rsid w:val="00155AED"/>
    <w:rsid w:val="00155DC7"/>
    <w:rsid w:val="00155E77"/>
    <w:rsid w:val="00156024"/>
    <w:rsid w:val="001563FB"/>
    <w:rsid w:val="001565DA"/>
    <w:rsid w:val="0015692F"/>
    <w:rsid w:val="00156AEF"/>
    <w:rsid w:val="00157158"/>
    <w:rsid w:val="0015731D"/>
    <w:rsid w:val="0015755D"/>
    <w:rsid w:val="00157583"/>
    <w:rsid w:val="0015781F"/>
    <w:rsid w:val="001578D5"/>
    <w:rsid w:val="001579BE"/>
    <w:rsid w:val="00157B3A"/>
    <w:rsid w:val="00157EC3"/>
    <w:rsid w:val="00157ED6"/>
    <w:rsid w:val="00160314"/>
    <w:rsid w:val="0016061E"/>
    <w:rsid w:val="001606B3"/>
    <w:rsid w:val="00160AF1"/>
    <w:rsid w:val="00160B8C"/>
    <w:rsid w:val="00160F84"/>
    <w:rsid w:val="00160FAF"/>
    <w:rsid w:val="00161376"/>
    <w:rsid w:val="001614E6"/>
    <w:rsid w:val="00161C1F"/>
    <w:rsid w:val="001620E5"/>
    <w:rsid w:val="001622AA"/>
    <w:rsid w:val="0016276E"/>
    <w:rsid w:val="00162818"/>
    <w:rsid w:val="001628AA"/>
    <w:rsid w:val="00162AF9"/>
    <w:rsid w:val="00162B2B"/>
    <w:rsid w:val="00162DAB"/>
    <w:rsid w:val="00162E14"/>
    <w:rsid w:val="00162ED1"/>
    <w:rsid w:val="00162F4C"/>
    <w:rsid w:val="00163652"/>
    <w:rsid w:val="001638E7"/>
    <w:rsid w:val="00163A29"/>
    <w:rsid w:val="00163A4B"/>
    <w:rsid w:val="00163A69"/>
    <w:rsid w:val="00164169"/>
    <w:rsid w:val="00164482"/>
    <w:rsid w:val="001644E0"/>
    <w:rsid w:val="00164D2F"/>
    <w:rsid w:val="00165082"/>
    <w:rsid w:val="001650D7"/>
    <w:rsid w:val="0016510D"/>
    <w:rsid w:val="0016529A"/>
    <w:rsid w:val="001661FD"/>
    <w:rsid w:val="0016633F"/>
    <w:rsid w:val="001663E8"/>
    <w:rsid w:val="00166405"/>
    <w:rsid w:val="0016677C"/>
    <w:rsid w:val="0016688A"/>
    <w:rsid w:val="00166C70"/>
    <w:rsid w:val="00166CDE"/>
    <w:rsid w:val="00166FEB"/>
    <w:rsid w:val="00167013"/>
    <w:rsid w:val="00167089"/>
    <w:rsid w:val="001671F1"/>
    <w:rsid w:val="00167302"/>
    <w:rsid w:val="00167383"/>
    <w:rsid w:val="00167644"/>
    <w:rsid w:val="0016765D"/>
    <w:rsid w:val="001678DB"/>
    <w:rsid w:val="00167BBB"/>
    <w:rsid w:val="00167C1B"/>
    <w:rsid w:val="00167D1F"/>
    <w:rsid w:val="00170102"/>
    <w:rsid w:val="0017017B"/>
    <w:rsid w:val="001705F8"/>
    <w:rsid w:val="00170A47"/>
    <w:rsid w:val="00170E91"/>
    <w:rsid w:val="00171105"/>
    <w:rsid w:val="001718D4"/>
    <w:rsid w:val="00171BB8"/>
    <w:rsid w:val="00171D83"/>
    <w:rsid w:val="00171FA9"/>
    <w:rsid w:val="0017235B"/>
    <w:rsid w:val="0017240D"/>
    <w:rsid w:val="0017249F"/>
    <w:rsid w:val="00172507"/>
    <w:rsid w:val="001728E5"/>
    <w:rsid w:val="00173159"/>
    <w:rsid w:val="001732B1"/>
    <w:rsid w:val="001733EF"/>
    <w:rsid w:val="0017393E"/>
    <w:rsid w:val="00173AA3"/>
    <w:rsid w:val="00173AE5"/>
    <w:rsid w:val="00174444"/>
    <w:rsid w:val="00174531"/>
    <w:rsid w:val="00174535"/>
    <w:rsid w:val="001746A2"/>
    <w:rsid w:val="00174A78"/>
    <w:rsid w:val="00174C2E"/>
    <w:rsid w:val="00175015"/>
    <w:rsid w:val="001750F7"/>
    <w:rsid w:val="001751AD"/>
    <w:rsid w:val="001756E5"/>
    <w:rsid w:val="00175A97"/>
    <w:rsid w:val="00175C08"/>
    <w:rsid w:val="00175E4A"/>
    <w:rsid w:val="00175F1F"/>
    <w:rsid w:val="00175F95"/>
    <w:rsid w:val="00175FC2"/>
    <w:rsid w:val="0017634D"/>
    <w:rsid w:val="001763C3"/>
    <w:rsid w:val="00176560"/>
    <w:rsid w:val="0017669E"/>
    <w:rsid w:val="00176C75"/>
    <w:rsid w:val="00176E22"/>
    <w:rsid w:val="00176E39"/>
    <w:rsid w:val="00176F1A"/>
    <w:rsid w:val="00177017"/>
    <w:rsid w:val="001774D6"/>
    <w:rsid w:val="00177646"/>
    <w:rsid w:val="00177AA3"/>
    <w:rsid w:val="00177DD8"/>
    <w:rsid w:val="00177F74"/>
    <w:rsid w:val="00177FB1"/>
    <w:rsid w:val="001803A8"/>
    <w:rsid w:val="00180416"/>
    <w:rsid w:val="001804B7"/>
    <w:rsid w:val="0018055D"/>
    <w:rsid w:val="0018056A"/>
    <w:rsid w:val="0018058C"/>
    <w:rsid w:val="0018068B"/>
    <w:rsid w:val="00180E1F"/>
    <w:rsid w:val="00180EB2"/>
    <w:rsid w:val="00181047"/>
    <w:rsid w:val="001810D3"/>
    <w:rsid w:val="001812CB"/>
    <w:rsid w:val="0018141A"/>
    <w:rsid w:val="001817AB"/>
    <w:rsid w:val="0018193D"/>
    <w:rsid w:val="00181DC5"/>
    <w:rsid w:val="00181EDE"/>
    <w:rsid w:val="00181F46"/>
    <w:rsid w:val="0018233D"/>
    <w:rsid w:val="001825E4"/>
    <w:rsid w:val="00182924"/>
    <w:rsid w:val="00182B12"/>
    <w:rsid w:val="001832BC"/>
    <w:rsid w:val="0018333B"/>
    <w:rsid w:val="00183405"/>
    <w:rsid w:val="001837EB"/>
    <w:rsid w:val="00183924"/>
    <w:rsid w:val="0018395A"/>
    <w:rsid w:val="00183D6D"/>
    <w:rsid w:val="00183E02"/>
    <w:rsid w:val="001840E2"/>
    <w:rsid w:val="001843CC"/>
    <w:rsid w:val="00184B88"/>
    <w:rsid w:val="00184BDA"/>
    <w:rsid w:val="00184C71"/>
    <w:rsid w:val="001850C1"/>
    <w:rsid w:val="001851BD"/>
    <w:rsid w:val="00185608"/>
    <w:rsid w:val="0018677C"/>
    <w:rsid w:val="0018697A"/>
    <w:rsid w:val="00186A43"/>
    <w:rsid w:val="00186E41"/>
    <w:rsid w:val="00186F3C"/>
    <w:rsid w:val="00187215"/>
    <w:rsid w:val="00187389"/>
    <w:rsid w:val="001875C4"/>
    <w:rsid w:val="001878D3"/>
    <w:rsid w:val="00190138"/>
    <w:rsid w:val="00190669"/>
    <w:rsid w:val="00190761"/>
    <w:rsid w:val="00190E21"/>
    <w:rsid w:val="00190E5C"/>
    <w:rsid w:val="00191284"/>
    <w:rsid w:val="00191957"/>
    <w:rsid w:val="00191AF3"/>
    <w:rsid w:val="0019248C"/>
    <w:rsid w:val="001926B7"/>
    <w:rsid w:val="00192CE4"/>
    <w:rsid w:val="00192EC2"/>
    <w:rsid w:val="00193452"/>
    <w:rsid w:val="00193493"/>
    <w:rsid w:val="001934CC"/>
    <w:rsid w:val="00193504"/>
    <w:rsid w:val="001937F3"/>
    <w:rsid w:val="00193A19"/>
    <w:rsid w:val="00193F1F"/>
    <w:rsid w:val="00194532"/>
    <w:rsid w:val="0019459A"/>
    <w:rsid w:val="00194A80"/>
    <w:rsid w:val="00194D0E"/>
    <w:rsid w:val="0019511B"/>
    <w:rsid w:val="001952C1"/>
    <w:rsid w:val="001954FF"/>
    <w:rsid w:val="001958CF"/>
    <w:rsid w:val="0019596B"/>
    <w:rsid w:val="00195D12"/>
    <w:rsid w:val="00195DC0"/>
    <w:rsid w:val="001961A9"/>
    <w:rsid w:val="00196493"/>
    <w:rsid w:val="001964C4"/>
    <w:rsid w:val="00196603"/>
    <w:rsid w:val="00196789"/>
    <w:rsid w:val="00196BD1"/>
    <w:rsid w:val="00196D1B"/>
    <w:rsid w:val="00196D57"/>
    <w:rsid w:val="00197134"/>
    <w:rsid w:val="0019719A"/>
    <w:rsid w:val="0019728D"/>
    <w:rsid w:val="001977D8"/>
    <w:rsid w:val="00197ABE"/>
    <w:rsid w:val="00197FA2"/>
    <w:rsid w:val="001A0280"/>
    <w:rsid w:val="001A0295"/>
    <w:rsid w:val="001A042A"/>
    <w:rsid w:val="001A07BD"/>
    <w:rsid w:val="001A0CEF"/>
    <w:rsid w:val="001A0F3E"/>
    <w:rsid w:val="001A11B1"/>
    <w:rsid w:val="001A123E"/>
    <w:rsid w:val="001A128E"/>
    <w:rsid w:val="001A13B3"/>
    <w:rsid w:val="001A1616"/>
    <w:rsid w:val="001A1655"/>
    <w:rsid w:val="001A1868"/>
    <w:rsid w:val="001A1A11"/>
    <w:rsid w:val="001A1B29"/>
    <w:rsid w:val="001A1F42"/>
    <w:rsid w:val="001A245F"/>
    <w:rsid w:val="001A262F"/>
    <w:rsid w:val="001A2B1A"/>
    <w:rsid w:val="001A2DEE"/>
    <w:rsid w:val="001A2E9D"/>
    <w:rsid w:val="001A31D9"/>
    <w:rsid w:val="001A343F"/>
    <w:rsid w:val="001A3527"/>
    <w:rsid w:val="001A35BF"/>
    <w:rsid w:val="001A365E"/>
    <w:rsid w:val="001A36F3"/>
    <w:rsid w:val="001A3764"/>
    <w:rsid w:val="001A37A5"/>
    <w:rsid w:val="001A3AE3"/>
    <w:rsid w:val="001A3BB8"/>
    <w:rsid w:val="001A3E3F"/>
    <w:rsid w:val="001A4320"/>
    <w:rsid w:val="001A439C"/>
    <w:rsid w:val="001A44E8"/>
    <w:rsid w:val="001A46A5"/>
    <w:rsid w:val="001A46AC"/>
    <w:rsid w:val="001A4869"/>
    <w:rsid w:val="001A4FBC"/>
    <w:rsid w:val="001A5213"/>
    <w:rsid w:val="001A5A70"/>
    <w:rsid w:val="001A5C40"/>
    <w:rsid w:val="001A5D18"/>
    <w:rsid w:val="001A5D83"/>
    <w:rsid w:val="001A5E7D"/>
    <w:rsid w:val="001A6100"/>
    <w:rsid w:val="001A63A1"/>
    <w:rsid w:val="001A63C1"/>
    <w:rsid w:val="001A65A4"/>
    <w:rsid w:val="001A67A5"/>
    <w:rsid w:val="001A6AE9"/>
    <w:rsid w:val="001A6E68"/>
    <w:rsid w:val="001A718C"/>
    <w:rsid w:val="001A74F2"/>
    <w:rsid w:val="001A77FE"/>
    <w:rsid w:val="001A7D1F"/>
    <w:rsid w:val="001B0035"/>
    <w:rsid w:val="001B0470"/>
    <w:rsid w:val="001B0661"/>
    <w:rsid w:val="001B07A6"/>
    <w:rsid w:val="001B08B5"/>
    <w:rsid w:val="001B0A1A"/>
    <w:rsid w:val="001B0B28"/>
    <w:rsid w:val="001B0B32"/>
    <w:rsid w:val="001B116E"/>
    <w:rsid w:val="001B1227"/>
    <w:rsid w:val="001B1304"/>
    <w:rsid w:val="001B1421"/>
    <w:rsid w:val="001B147B"/>
    <w:rsid w:val="001B1541"/>
    <w:rsid w:val="001B17E1"/>
    <w:rsid w:val="001B1ADF"/>
    <w:rsid w:val="001B1E77"/>
    <w:rsid w:val="001B216B"/>
    <w:rsid w:val="001B27D4"/>
    <w:rsid w:val="001B27DE"/>
    <w:rsid w:val="001B2A5A"/>
    <w:rsid w:val="001B2BEC"/>
    <w:rsid w:val="001B3400"/>
    <w:rsid w:val="001B3615"/>
    <w:rsid w:val="001B36BB"/>
    <w:rsid w:val="001B36E8"/>
    <w:rsid w:val="001B380D"/>
    <w:rsid w:val="001B3854"/>
    <w:rsid w:val="001B407B"/>
    <w:rsid w:val="001B40E3"/>
    <w:rsid w:val="001B410F"/>
    <w:rsid w:val="001B41F8"/>
    <w:rsid w:val="001B429D"/>
    <w:rsid w:val="001B43A6"/>
    <w:rsid w:val="001B43E1"/>
    <w:rsid w:val="001B4495"/>
    <w:rsid w:val="001B4925"/>
    <w:rsid w:val="001B4B89"/>
    <w:rsid w:val="001B4C1B"/>
    <w:rsid w:val="001B4C9B"/>
    <w:rsid w:val="001B5038"/>
    <w:rsid w:val="001B50BA"/>
    <w:rsid w:val="001B517E"/>
    <w:rsid w:val="001B5744"/>
    <w:rsid w:val="001B5950"/>
    <w:rsid w:val="001B5C45"/>
    <w:rsid w:val="001B5D61"/>
    <w:rsid w:val="001B64BA"/>
    <w:rsid w:val="001B65C2"/>
    <w:rsid w:val="001B68AE"/>
    <w:rsid w:val="001B68DD"/>
    <w:rsid w:val="001B694F"/>
    <w:rsid w:val="001B6AF1"/>
    <w:rsid w:val="001B6E56"/>
    <w:rsid w:val="001B6ECF"/>
    <w:rsid w:val="001B6F44"/>
    <w:rsid w:val="001B6F9B"/>
    <w:rsid w:val="001B7000"/>
    <w:rsid w:val="001B74F1"/>
    <w:rsid w:val="001B757E"/>
    <w:rsid w:val="001B767B"/>
    <w:rsid w:val="001C0067"/>
    <w:rsid w:val="001C02F3"/>
    <w:rsid w:val="001C0430"/>
    <w:rsid w:val="001C050C"/>
    <w:rsid w:val="001C07A3"/>
    <w:rsid w:val="001C0856"/>
    <w:rsid w:val="001C08D3"/>
    <w:rsid w:val="001C0DE4"/>
    <w:rsid w:val="001C0F8C"/>
    <w:rsid w:val="001C1274"/>
    <w:rsid w:val="001C166A"/>
    <w:rsid w:val="001C16F7"/>
    <w:rsid w:val="001C172D"/>
    <w:rsid w:val="001C1860"/>
    <w:rsid w:val="001C18F6"/>
    <w:rsid w:val="001C1DA2"/>
    <w:rsid w:val="001C1E33"/>
    <w:rsid w:val="001C2014"/>
    <w:rsid w:val="001C219A"/>
    <w:rsid w:val="001C23E0"/>
    <w:rsid w:val="001C25BF"/>
    <w:rsid w:val="001C271D"/>
    <w:rsid w:val="001C2895"/>
    <w:rsid w:val="001C2B57"/>
    <w:rsid w:val="001C2D99"/>
    <w:rsid w:val="001C2FC8"/>
    <w:rsid w:val="001C3382"/>
    <w:rsid w:val="001C3384"/>
    <w:rsid w:val="001C3397"/>
    <w:rsid w:val="001C33A7"/>
    <w:rsid w:val="001C35DC"/>
    <w:rsid w:val="001C3621"/>
    <w:rsid w:val="001C36C4"/>
    <w:rsid w:val="001C3944"/>
    <w:rsid w:val="001C3C30"/>
    <w:rsid w:val="001C3C50"/>
    <w:rsid w:val="001C3CC1"/>
    <w:rsid w:val="001C4154"/>
    <w:rsid w:val="001C4296"/>
    <w:rsid w:val="001C431C"/>
    <w:rsid w:val="001C438B"/>
    <w:rsid w:val="001C4479"/>
    <w:rsid w:val="001C451C"/>
    <w:rsid w:val="001C46D4"/>
    <w:rsid w:val="001C4F6E"/>
    <w:rsid w:val="001C531B"/>
    <w:rsid w:val="001C53C4"/>
    <w:rsid w:val="001C5468"/>
    <w:rsid w:val="001C5907"/>
    <w:rsid w:val="001C5BD7"/>
    <w:rsid w:val="001C5F9F"/>
    <w:rsid w:val="001C61A5"/>
    <w:rsid w:val="001C64E7"/>
    <w:rsid w:val="001C657A"/>
    <w:rsid w:val="001C6AE1"/>
    <w:rsid w:val="001C6B75"/>
    <w:rsid w:val="001C6BEC"/>
    <w:rsid w:val="001C6D90"/>
    <w:rsid w:val="001C6E54"/>
    <w:rsid w:val="001C6EC8"/>
    <w:rsid w:val="001C6ECC"/>
    <w:rsid w:val="001C7535"/>
    <w:rsid w:val="001D01DB"/>
    <w:rsid w:val="001D0425"/>
    <w:rsid w:val="001D071F"/>
    <w:rsid w:val="001D0736"/>
    <w:rsid w:val="001D090F"/>
    <w:rsid w:val="001D121B"/>
    <w:rsid w:val="001D122C"/>
    <w:rsid w:val="001D12F1"/>
    <w:rsid w:val="001D14B4"/>
    <w:rsid w:val="001D187E"/>
    <w:rsid w:val="001D19AD"/>
    <w:rsid w:val="001D1BF3"/>
    <w:rsid w:val="001D1C87"/>
    <w:rsid w:val="001D1F80"/>
    <w:rsid w:val="001D20C6"/>
    <w:rsid w:val="001D21A5"/>
    <w:rsid w:val="001D23CD"/>
    <w:rsid w:val="001D2618"/>
    <w:rsid w:val="001D2679"/>
    <w:rsid w:val="001D285D"/>
    <w:rsid w:val="001D2922"/>
    <w:rsid w:val="001D2AEB"/>
    <w:rsid w:val="001D2B0C"/>
    <w:rsid w:val="001D2DD0"/>
    <w:rsid w:val="001D2E10"/>
    <w:rsid w:val="001D34D6"/>
    <w:rsid w:val="001D35D5"/>
    <w:rsid w:val="001D360E"/>
    <w:rsid w:val="001D3A47"/>
    <w:rsid w:val="001D3AC9"/>
    <w:rsid w:val="001D3B75"/>
    <w:rsid w:val="001D3E1E"/>
    <w:rsid w:val="001D3F1E"/>
    <w:rsid w:val="001D41D0"/>
    <w:rsid w:val="001D4673"/>
    <w:rsid w:val="001D47CA"/>
    <w:rsid w:val="001D4934"/>
    <w:rsid w:val="001D495E"/>
    <w:rsid w:val="001D49CF"/>
    <w:rsid w:val="001D4D1D"/>
    <w:rsid w:val="001D4ED3"/>
    <w:rsid w:val="001D525B"/>
    <w:rsid w:val="001D56BC"/>
    <w:rsid w:val="001D594F"/>
    <w:rsid w:val="001D5BCD"/>
    <w:rsid w:val="001D5C62"/>
    <w:rsid w:val="001D5C85"/>
    <w:rsid w:val="001D5C88"/>
    <w:rsid w:val="001D5D22"/>
    <w:rsid w:val="001D5D39"/>
    <w:rsid w:val="001D5F6E"/>
    <w:rsid w:val="001D60CC"/>
    <w:rsid w:val="001D619B"/>
    <w:rsid w:val="001D66B9"/>
    <w:rsid w:val="001D6A59"/>
    <w:rsid w:val="001D6E50"/>
    <w:rsid w:val="001D6E82"/>
    <w:rsid w:val="001D6F57"/>
    <w:rsid w:val="001D717A"/>
    <w:rsid w:val="001D7373"/>
    <w:rsid w:val="001D7823"/>
    <w:rsid w:val="001D7960"/>
    <w:rsid w:val="001D79C5"/>
    <w:rsid w:val="001E0068"/>
    <w:rsid w:val="001E0899"/>
    <w:rsid w:val="001E0A6A"/>
    <w:rsid w:val="001E0B45"/>
    <w:rsid w:val="001E0CD5"/>
    <w:rsid w:val="001E0DF0"/>
    <w:rsid w:val="001E0FB1"/>
    <w:rsid w:val="001E120D"/>
    <w:rsid w:val="001E135B"/>
    <w:rsid w:val="001E1494"/>
    <w:rsid w:val="001E1965"/>
    <w:rsid w:val="001E19D4"/>
    <w:rsid w:val="001E1ACA"/>
    <w:rsid w:val="001E1E34"/>
    <w:rsid w:val="001E1E4C"/>
    <w:rsid w:val="001E1F8A"/>
    <w:rsid w:val="001E1FAA"/>
    <w:rsid w:val="001E20A5"/>
    <w:rsid w:val="001E20FC"/>
    <w:rsid w:val="001E217E"/>
    <w:rsid w:val="001E226A"/>
    <w:rsid w:val="001E2425"/>
    <w:rsid w:val="001E2456"/>
    <w:rsid w:val="001E2714"/>
    <w:rsid w:val="001E281B"/>
    <w:rsid w:val="001E2E2B"/>
    <w:rsid w:val="001E2E40"/>
    <w:rsid w:val="001E2F44"/>
    <w:rsid w:val="001E3125"/>
    <w:rsid w:val="001E32E7"/>
    <w:rsid w:val="001E3349"/>
    <w:rsid w:val="001E3650"/>
    <w:rsid w:val="001E36E3"/>
    <w:rsid w:val="001E3863"/>
    <w:rsid w:val="001E394A"/>
    <w:rsid w:val="001E3B50"/>
    <w:rsid w:val="001E3F78"/>
    <w:rsid w:val="001E3FA1"/>
    <w:rsid w:val="001E4034"/>
    <w:rsid w:val="001E4050"/>
    <w:rsid w:val="001E4074"/>
    <w:rsid w:val="001E40B8"/>
    <w:rsid w:val="001E421A"/>
    <w:rsid w:val="001E4293"/>
    <w:rsid w:val="001E45B1"/>
    <w:rsid w:val="001E49DF"/>
    <w:rsid w:val="001E4CC4"/>
    <w:rsid w:val="001E4F86"/>
    <w:rsid w:val="001E5732"/>
    <w:rsid w:val="001E5A83"/>
    <w:rsid w:val="001E5C59"/>
    <w:rsid w:val="001E5D8A"/>
    <w:rsid w:val="001E628B"/>
    <w:rsid w:val="001E64A9"/>
    <w:rsid w:val="001E66EA"/>
    <w:rsid w:val="001E6FA6"/>
    <w:rsid w:val="001E72D4"/>
    <w:rsid w:val="001E7314"/>
    <w:rsid w:val="001E7A14"/>
    <w:rsid w:val="001E7C9B"/>
    <w:rsid w:val="001E7E26"/>
    <w:rsid w:val="001F047F"/>
    <w:rsid w:val="001F0555"/>
    <w:rsid w:val="001F0916"/>
    <w:rsid w:val="001F0B42"/>
    <w:rsid w:val="001F1588"/>
    <w:rsid w:val="001F17FC"/>
    <w:rsid w:val="001F1B1C"/>
    <w:rsid w:val="001F1C0D"/>
    <w:rsid w:val="001F1C2B"/>
    <w:rsid w:val="001F1C52"/>
    <w:rsid w:val="001F1D0B"/>
    <w:rsid w:val="001F1D40"/>
    <w:rsid w:val="001F202C"/>
    <w:rsid w:val="001F2302"/>
    <w:rsid w:val="001F239C"/>
    <w:rsid w:val="001F2513"/>
    <w:rsid w:val="001F279C"/>
    <w:rsid w:val="001F2924"/>
    <w:rsid w:val="001F2AC2"/>
    <w:rsid w:val="001F30ED"/>
    <w:rsid w:val="001F30F1"/>
    <w:rsid w:val="001F3300"/>
    <w:rsid w:val="001F35F5"/>
    <w:rsid w:val="001F4035"/>
    <w:rsid w:val="001F42B0"/>
    <w:rsid w:val="001F42EA"/>
    <w:rsid w:val="001F434B"/>
    <w:rsid w:val="001F46E7"/>
    <w:rsid w:val="001F479A"/>
    <w:rsid w:val="001F48A2"/>
    <w:rsid w:val="001F4B50"/>
    <w:rsid w:val="001F51F7"/>
    <w:rsid w:val="001F5232"/>
    <w:rsid w:val="001F5408"/>
    <w:rsid w:val="001F54ED"/>
    <w:rsid w:val="001F55C9"/>
    <w:rsid w:val="001F574E"/>
    <w:rsid w:val="001F582F"/>
    <w:rsid w:val="001F583E"/>
    <w:rsid w:val="001F599F"/>
    <w:rsid w:val="001F5BB1"/>
    <w:rsid w:val="001F5BD9"/>
    <w:rsid w:val="001F619F"/>
    <w:rsid w:val="001F64F0"/>
    <w:rsid w:val="001F675F"/>
    <w:rsid w:val="001F6918"/>
    <w:rsid w:val="001F6E26"/>
    <w:rsid w:val="001F6E35"/>
    <w:rsid w:val="001F6F7A"/>
    <w:rsid w:val="001F7204"/>
    <w:rsid w:val="001F7833"/>
    <w:rsid w:val="001F7DDF"/>
    <w:rsid w:val="001F7E27"/>
    <w:rsid w:val="002001CE"/>
    <w:rsid w:val="0020020F"/>
    <w:rsid w:val="00200B95"/>
    <w:rsid w:val="00200D43"/>
    <w:rsid w:val="00200E38"/>
    <w:rsid w:val="00201434"/>
    <w:rsid w:val="0020148B"/>
    <w:rsid w:val="002015C1"/>
    <w:rsid w:val="00201A34"/>
    <w:rsid w:val="00201B78"/>
    <w:rsid w:val="00201E54"/>
    <w:rsid w:val="00202070"/>
    <w:rsid w:val="002024AF"/>
    <w:rsid w:val="00202515"/>
    <w:rsid w:val="0020293D"/>
    <w:rsid w:val="00202A4B"/>
    <w:rsid w:val="00202A75"/>
    <w:rsid w:val="00202B4F"/>
    <w:rsid w:val="00202D48"/>
    <w:rsid w:val="00202ECC"/>
    <w:rsid w:val="00203367"/>
    <w:rsid w:val="002034D8"/>
    <w:rsid w:val="002034E1"/>
    <w:rsid w:val="00203767"/>
    <w:rsid w:val="002038AB"/>
    <w:rsid w:val="00203C51"/>
    <w:rsid w:val="00203E9D"/>
    <w:rsid w:val="00203F2F"/>
    <w:rsid w:val="00203FA3"/>
    <w:rsid w:val="00204556"/>
    <w:rsid w:val="0020471B"/>
    <w:rsid w:val="0020487E"/>
    <w:rsid w:val="00204A5D"/>
    <w:rsid w:val="00204B62"/>
    <w:rsid w:val="00204BF7"/>
    <w:rsid w:val="00204C82"/>
    <w:rsid w:val="002050DD"/>
    <w:rsid w:val="00205256"/>
    <w:rsid w:val="0020562F"/>
    <w:rsid w:val="00205809"/>
    <w:rsid w:val="00205955"/>
    <w:rsid w:val="00205C42"/>
    <w:rsid w:val="0020621B"/>
    <w:rsid w:val="00206279"/>
    <w:rsid w:val="00206508"/>
    <w:rsid w:val="002067B1"/>
    <w:rsid w:val="00206984"/>
    <w:rsid w:val="00206B66"/>
    <w:rsid w:val="00206BD2"/>
    <w:rsid w:val="00206BDB"/>
    <w:rsid w:val="00206C57"/>
    <w:rsid w:val="00206C85"/>
    <w:rsid w:val="00207332"/>
    <w:rsid w:val="00207518"/>
    <w:rsid w:val="0020759B"/>
    <w:rsid w:val="0020765B"/>
    <w:rsid w:val="002076E5"/>
    <w:rsid w:val="00207B56"/>
    <w:rsid w:val="00207D67"/>
    <w:rsid w:val="00210563"/>
    <w:rsid w:val="002105ED"/>
    <w:rsid w:val="002106BB"/>
    <w:rsid w:val="00210735"/>
    <w:rsid w:val="00210978"/>
    <w:rsid w:val="00210994"/>
    <w:rsid w:val="002112F7"/>
    <w:rsid w:val="002118FC"/>
    <w:rsid w:val="00211900"/>
    <w:rsid w:val="00211953"/>
    <w:rsid w:val="00211C0A"/>
    <w:rsid w:val="00211CE4"/>
    <w:rsid w:val="00211D2F"/>
    <w:rsid w:val="00211DE5"/>
    <w:rsid w:val="00211EAA"/>
    <w:rsid w:val="0021253D"/>
    <w:rsid w:val="00212828"/>
    <w:rsid w:val="00212B1B"/>
    <w:rsid w:val="00212B57"/>
    <w:rsid w:val="00212BD4"/>
    <w:rsid w:val="002130F9"/>
    <w:rsid w:val="002131A1"/>
    <w:rsid w:val="00213454"/>
    <w:rsid w:val="002136DC"/>
    <w:rsid w:val="0021375D"/>
    <w:rsid w:val="002137A3"/>
    <w:rsid w:val="002139DE"/>
    <w:rsid w:val="00213A6D"/>
    <w:rsid w:val="00213ACD"/>
    <w:rsid w:val="00213F08"/>
    <w:rsid w:val="00214017"/>
    <w:rsid w:val="00214102"/>
    <w:rsid w:val="0021442E"/>
    <w:rsid w:val="002146D4"/>
    <w:rsid w:val="0021490D"/>
    <w:rsid w:val="00214931"/>
    <w:rsid w:val="00214C95"/>
    <w:rsid w:val="00214D6A"/>
    <w:rsid w:val="00214DA3"/>
    <w:rsid w:val="00214DBD"/>
    <w:rsid w:val="002151A1"/>
    <w:rsid w:val="0021530B"/>
    <w:rsid w:val="002153DB"/>
    <w:rsid w:val="00215503"/>
    <w:rsid w:val="0021579D"/>
    <w:rsid w:val="00215D5F"/>
    <w:rsid w:val="002164F8"/>
    <w:rsid w:val="0021667D"/>
    <w:rsid w:val="00216756"/>
    <w:rsid w:val="00216B3D"/>
    <w:rsid w:val="00216BFE"/>
    <w:rsid w:val="00216D28"/>
    <w:rsid w:val="00216E70"/>
    <w:rsid w:val="00217048"/>
    <w:rsid w:val="00217947"/>
    <w:rsid w:val="00217C72"/>
    <w:rsid w:val="00217D85"/>
    <w:rsid w:val="00217FBC"/>
    <w:rsid w:val="00220051"/>
    <w:rsid w:val="002204A0"/>
    <w:rsid w:val="0022087D"/>
    <w:rsid w:val="002208FF"/>
    <w:rsid w:val="002209DD"/>
    <w:rsid w:val="00220B50"/>
    <w:rsid w:val="00220B83"/>
    <w:rsid w:val="00220F1B"/>
    <w:rsid w:val="00220FAE"/>
    <w:rsid w:val="0022126B"/>
    <w:rsid w:val="0022134C"/>
    <w:rsid w:val="00221351"/>
    <w:rsid w:val="0022146C"/>
    <w:rsid w:val="002216C7"/>
    <w:rsid w:val="00221843"/>
    <w:rsid w:val="00221921"/>
    <w:rsid w:val="00221B8B"/>
    <w:rsid w:val="00221F04"/>
    <w:rsid w:val="00222428"/>
    <w:rsid w:val="00222661"/>
    <w:rsid w:val="002226EC"/>
    <w:rsid w:val="00222727"/>
    <w:rsid w:val="0022273B"/>
    <w:rsid w:val="0022281D"/>
    <w:rsid w:val="0022293F"/>
    <w:rsid w:val="00222A43"/>
    <w:rsid w:val="00222AD4"/>
    <w:rsid w:val="002232DC"/>
    <w:rsid w:val="002232F8"/>
    <w:rsid w:val="00223486"/>
    <w:rsid w:val="00223AD8"/>
    <w:rsid w:val="00223DBE"/>
    <w:rsid w:val="00223DCD"/>
    <w:rsid w:val="00223F89"/>
    <w:rsid w:val="002242E0"/>
    <w:rsid w:val="0022436A"/>
    <w:rsid w:val="002243A6"/>
    <w:rsid w:val="002243DC"/>
    <w:rsid w:val="00224473"/>
    <w:rsid w:val="00224611"/>
    <w:rsid w:val="00224908"/>
    <w:rsid w:val="00224B0B"/>
    <w:rsid w:val="0022500C"/>
    <w:rsid w:val="00225904"/>
    <w:rsid w:val="00225908"/>
    <w:rsid w:val="00225A9F"/>
    <w:rsid w:val="00225EA8"/>
    <w:rsid w:val="0022601E"/>
    <w:rsid w:val="00226211"/>
    <w:rsid w:val="0022623A"/>
    <w:rsid w:val="00226B19"/>
    <w:rsid w:val="00226B3B"/>
    <w:rsid w:val="00226E00"/>
    <w:rsid w:val="00226FF5"/>
    <w:rsid w:val="002275A7"/>
    <w:rsid w:val="00227C28"/>
    <w:rsid w:val="00230199"/>
    <w:rsid w:val="00230340"/>
    <w:rsid w:val="002304C2"/>
    <w:rsid w:val="002308B7"/>
    <w:rsid w:val="0023098F"/>
    <w:rsid w:val="00230B86"/>
    <w:rsid w:val="00230F0D"/>
    <w:rsid w:val="0023154F"/>
    <w:rsid w:val="002316DF"/>
    <w:rsid w:val="00231830"/>
    <w:rsid w:val="002318F9"/>
    <w:rsid w:val="00231945"/>
    <w:rsid w:val="00231E68"/>
    <w:rsid w:val="0023205F"/>
    <w:rsid w:val="00232094"/>
    <w:rsid w:val="002321A8"/>
    <w:rsid w:val="002323AB"/>
    <w:rsid w:val="002324D8"/>
    <w:rsid w:val="00232A24"/>
    <w:rsid w:val="00232AC7"/>
    <w:rsid w:val="00232D53"/>
    <w:rsid w:val="00232E0E"/>
    <w:rsid w:val="00232EDB"/>
    <w:rsid w:val="00232FCB"/>
    <w:rsid w:val="00232FE9"/>
    <w:rsid w:val="002332E5"/>
    <w:rsid w:val="002335DF"/>
    <w:rsid w:val="00233689"/>
    <w:rsid w:val="0023384C"/>
    <w:rsid w:val="00233883"/>
    <w:rsid w:val="002338B3"/>
    <w:rsid w:val="00233995"/>
    <w:rsid w:val="00233A25"/>
    <w:rsid w:val="00233E6A"/>
    <w:rsid w:val="00233F94"/>
    <w:rsid w:val="002342D3"/>
    <w:rsid w:val="002346B9"/>
    <w:rsid w:val="002348D6"/>
    <w:rsid w:val="002348EF"/>
    <w:rsid w:val="00234D7A"/>
    <w:rsid w:val="002354EE"/>
    <w:rsid w:val="00235733"/>
    <w:rsid w:val="00235900"/>
    <w:rsid w:val="00235ADC"/>
    <w:rsid w:val="00235D51"/>
    <w:rsid w:val="00235FAF"/>
    <w:rsid w:val="0023614D"/>
    <w:rsid w:val="0023670C"/>
    <w:rsid w:val="00236726"/>
    <w:rsid w:val="0023676C"/>
    <w:rsid w:val="00236B3A"/>
    <w:rsid w:val="00236BDA"/>
    <w:rsid w:val="00236DA6"/>
    <w:rsid w:val="00236DE4"/>
    <w:rsid w:val="00236DF1"/>
    <w:rsid w:val="00236E81"/>
    <w:rsid w:val="002372EA"/>
    <w:rsid w:val="002377DA"/>
    <w:rsid w:val="00237849"/>
    <w:rsid w:val="00237B2A"/>
    <w:rsid w:val="00237DAE"/>
    <w:rsid w:val="00237E85"/>
    <w:rsid w:val="00237E97"/>
    <w:rsid w:val="00237E9E"/>
    <w:rsid w:val="00237F3A"/>
    <w:rsid w:val="0024054B"/>
    <w:rsid w:val="00240591"/>
    <w:rsid w:val="002407AA"/>
    <w:rsid w:val="0024091B"/>
    <w:rsid w:val="00240ABD"/>
    <w:rsid w:val="00240B53"/>
    <w:rsid w:val="00240F30"/>
    <w:rsid w:val="00240FE2"/>
    <w:rsid w:val="002410CC"/>
    <w:rsid w:val="00241105"/>
    <w:rsid w:val="002411D4"/>
    <w:rsid w:val="002412B6"/>
    <w:rsid w:val="002418A5"/>
    <w:rsid w:val="00241A3F"/>
    <w:rsid w:val="00241D98"/>
    <w:rsid w:val="00242119"/>
    <w:rsid w:val="002423F1"/>
    <w:rsid w:val="002425D0"/>
    <w:rsid w:val="002426AF"/>
    <w:rsid w:val="0024327F"/>
    <w:rsid w:val="0024348E"/>
    <w:rsid w:val="0024360E"/>
    <w:rsid w:val="002438DD"/>
    <w:rsid w:val="002438E1"/>
    <w:rsid w:val="002439D4"/>
    <w:rsid w:val="00243B2C"/>
    <w:rsid w:val="00243BF6"/>
    <w:rsid w:val="00243CC2"/>
    <w:rsid w:val="0024482F"/>
    <w:rsid w:val="00244C67"/>
    <w:rsid w:val="00244D46"/>
    <w:rsid w:val="002450D9"/>
    <w:rsid w:val="0024514A"/>
    <w:rsid w:val="0024538E"/>
    <w:rsid w:val="0024547C"/>
    <w:rsid w:val="0024558D"/>
    <w:rsid w:val="0024573A"/>
    <w:rsid w:val="002457A2"/>
    <w:rsid w:val="00245D6E"/>
    <w:rsid w:val="0024611D"/>
    <w:rsid w:val="002461DB"/>
    <w:rsid w:val="002463FB"/>
    <w:rsid w:val="0024658B"/>
    <w:rsid w:val="002465C0"/>
    <w:rsid w:val="00246708"/>
    <w:rsid w:val="00246892"/>
    <w:rsid w:val="0024695B"/>
    <w:rsid w:val="0024701E"/>
    <w:rsid w:val="00247030"/>
    <w:rsid w:val="00247061"/>
    <w:rsid w:val="00247129"/>
    <w:rsid w:val="00247183"/>
    <w:rsid w:val="00247952"/>
    <w:rsid w:val="00247AEF"/>
    <w:rsid w:val="00247F0B"/>
    <w:rsid w:val="002502D4"/>
    <w:rsid w:val="00250443"/>
    <w:rsid w:val="00250534"/>
    <w:rsid w:val="0025063C"/>
    <w:rsid w:val="00250F6B"/>
    <w:rsid w:val="00251079"/>
    <w:rsid w:val="00251113"/>
    <w:rsid w:val="002514F0"/>
    <w:rsid w:val="00251760"/>
    <w:rsid w:val="0025181A"/>
    <w:rsid w:val="002518AA"/>
    <w:rsid w:val="00251CE3"/>
    <w:rsid w:val="0025229D"/>
    <w:rsid w:val="0025259B"/>
    <w:rsid w:val="002525B6"/>
    <w:rsid w:val="00252801"/>
    <w:rsid w:val="002528E3"/>
    <w:rsid w:val="002528F7"/>
    <w:rsid w:val="00252971"/>
    <w:rsid w:val="00252AB8"/>
    <w:rsid w:val="00252BA7"/>
    <w:rsid w:val="00252E31"/>
    <w:rsid w:val="002533B6"/>
    <w:rsid w:val="00253452"/>
    <w:rsid w:val="00253522"/>
    <w:rsid w:val="00253841"/>
    <w:rsid w:val="002538DE"/>
    <w:rsid w:val="00253940"/>
    <w:rsid w:val="00253A58"/>
    <w:rsid w:val="00253F94"/>
    <w:rsid w:val="002543B6"/>
    <w:rsid w:val="002549FC"/>
    <w:rsid w:val="00254AEF"/>
    <w:rsid w:val="00254C97"/>
    <w:rsid w:val="00254D16"/>
    <w:rsid w:val="002551C1"/>
    <w:rsid w:val="0025562E"/>
    <w:rsid w:val="002557D5"/>
    <w:rsid w:val="00255A71"/>
    <w:rsid w:val="00255A91"/>
    <w:rsid w:val="00255EE5"/>
    <w:rsid w:val="00255F99"/>
    <w:rsid w:val="00256072"/>
    <w:rsid w:val="002562ED"/>
    <w:rsid w:val="0025639E"/>
    <w:rsid w:val="002566B6"/>
    <w:rsid w:val="002566BB"/>
    <w:rsid w:val="002566FC"/>
    <w:rsid w:val="00256ABA"/>
    <w:rsid w:val="00256DAF"/>
    <w:rsid w:val="00256EFF"/>
    <w:rsid w:val="00257020"/>
    <w:rsid w:val="002571EB"/>
    <w:rsid w:val="002574F0"/>
    <w:rsid w:val="002575D1"/>
    <w:rsid w:val="00257C2D"/>
    <w:rsid w:val="00257E6D"/>
    <w:rsid w:val="002603B6"/>
    <w:rsid w:val="0026048B"/>
    <w:rsid w:val="002604FA"/>
    <w:rsid w:val="002607FB"/>
    <w:rsid w:val="00260DA5"/>
    <w:rsid w:val="00260E17"/>
    <w:rsid w:val="00261054"/>
    <w:rsid w:val="002610CD"/>
    <w:rsid w:val="00261697"/>
    <w:rsid w:val="00261718"/>
    <w:rsid w:val="00261CDA"/>
    <w:rsid w:val="00261D54"/>
    <w:rsid w:val="00261E59"/>
    <w:rsid w:val="00261EB9"/>
    <w:rsid w:val="0026219D"/>
    <w:rsid w:val="00262669"/>
    <w:rsid w:val="00262A6A"/>
    <w:rsid w:val="00262B56"/>
    <w:rsid w:val="00262C51"/>
    <w:rsid w:val="00263370"/>
    <w:rsid w:val="002633CC"/>
    <w:rsid w:val="00263555"/>
    <w:rsid w:val="00263635"/>
    <w:rsid w:val="0026374D"/>
    <w:rsid w:val="002638E9"/>
    <w:rsid w:val="00263A75"/>
    <w:rsid w:val="00263B46"/>
    <w:rsid w:val="00263F9A"/>
    <w:rsid w:val="00263FE5"/>
    <w:rsid w:val="002642D4"/>
    <w:rsid w:val="00264956"/>
    <w:rsid w:val="00264ABB"/>
    <w:rsid w:val="00264B79"/>
    <w:rsid w:val="00264C03"/>
    <w:rsid w:val="00265211"/>
    <w:rsid w:val="0026533E"/>
    <w:rsid w:val="00265B73"/>
    <w:rsid w:val="00265C38"/>
    <w:rsid w:val="00265C9C"/>
    <w:rsid w:val="00265CF3"/>
    <w:rsid w:val="00265DCA"/>
    <w:rsid w:val="00265E7D"/>
    <w:rsid w:val="00266466"/>
    <w:rsid w:val="00266711"/>
    <w:rsid w:val="00266D14"/>
    <w:rsid w:val="00266DBC"/>
    <w:rsid w:val="002672E0"/>
    <w:rsid w:val="002673A6"/>
    <w:rsid w:val="002673B5"/>
    <w:rsid w:val="00267723"/>
    <w:rsid w:val="00267B50"/>
    <w:rsid w:val="00270196"/>
    <w:rsid w:val="0027030C"/>
    <w:rsid w:val="00270581"/>
    <w:rsid w:val="00270AAD"/>
    <w:rsid w:val="00270B09"/>
    <w:rsid w:val="00270D2E"/>
    <w:rsid w:val="00270D7F"/>
    <w:rsid w:val="00270E5E"/>
    <w:rsid w:val="00270E60"/>
    <w:rsid w:val="00270F01"/>
    <w:rsid w:val="00271110"/>
    <w:rsid w:val="002711E0"/>
    <w:rsid w:val="0027151C"/>
    <w:rsid w:val="00271530"/>
    <w:rsid w:val="002715C2"/>
    <w:rsid w:val="00271643"/>
    <w:rsid w:val="002716C4"/>
    <w:rsid w:val="00271BEC"/>
    <w:rsid w:val="00271C9A"/>
    <w:rsid w:val="00271D9B"/>
    <w:rsid w:val="002722A0"/>
    <w:rsid w:val="00272654"/>
    <w:rsid w:val="00272710"/>
    <w:rsid w:val="002727E7"/>
    <w:rsid w:val="00272913"/>
    <w:rsid w:val="00272ADE"/>
    <w:rsid w:val="00272AE0"/>
    <w:rsid w:val="00272E17"/>
    <w:rsid w:val="00272ED2"/>
    <w:rsid w:val="00272FB8"/>
    <w:rsid w:val="00272FBD"/>
    <w:rsid w:val="0027337E"/>
    <w:rsid w:val="0027369B"/>
    <w:rsid w:val="0027382F"/>
    <w:rsid w:val="0027392B"/>
    <w:rsid w:val="00273DBE"/>
    <w:rsid w:val="00273E3F"/>
    <w:rsid w:val="002741F1"/>
    <w:rsid w:val="00274262"/>
    <w:rsid w:val="00274572"/>
    <w:rsid w:val="00274E04"/>
    <w:rsid w:val="00275679"/>
    <w:rsid w:val="0027579C"/>
    <w:rsid w:val="0027583B"/>
    <w:rsid w:val="00275887"/>
    <w:rsid w:val="00275972"/>
    <w:rsid w:val="00275A75"/>
    <w:rsid w:val="00275AB6"/>
    <w:rsid w:val="00275B35"/>
    <w:rsid w:val="0027608A"/>
    <w:rsid w:val="002763C5"/>
    <w:rsid w:val="00276558"/>
    <w:rsid w:val="0027667D"/>
    <w:rsid w:val="00276C07"/>
    <w:rsid w:val="00276DB7"/>
    <w:rsid w:val="00276E10"/>
    <w:rsid w:val="002770F9"/>
    <w:rsid w:val="00277285"/>
    <w:rsid w:val="002772AF"/>
    <w:rsid w:val="002773C9"/>
    <w:rsid w:val="002773D8"/>
    <w:rsid w:val="0027743A"/>
    <w:rsid w:val="0027761C"/>
    <w:rsid w:val="00280421"/>
    <w:rsid w:val="002806CD"/>
    <w:rsid w:val="0028072A"/>
    <w:rsid w:val="00280A05"/>
    <w:rsid w:val="00280B15"/>
    <w:rsid w:val="00280D99"/>
    <w:rsid w:val="00280E92"/>
    <w:rsid w:val="00281088"/>
    <w:rsid w:val="002810D1"/>
    <w:rsid w:val="00281199"/>
    <w:rsid w:val="00281550"/>
    <w:rsid w:val="0028176C"/>
    <w:rsid w:val="00281DD0"/>
    <w:rsid w:val="002820D6"/>
    <w:rsid w:val="002824B8"/>
    <w:rsid w:val="002825B9"/>
    <w:rsid w:val="00282C26"/>
    <w:rsid w:val="00282E9D"/>
    <w:rsid w:val="002834F0"/>
    <w:rsid w:val="002835EC"/>
    <w:rsid w:val="00283926"/>
    <w:rsid w:val="00283A3F"/>
    <w:rsid w:val="00283D0E"/>
    <w:rsid w:val="00283DFE"/>
    <w:rsid w:val="00283E5C"/>
    <w:rsid w:val="0028428C"/>
    <w:rsid w:val="00284716"/>
    <w:rsid w:val="00284C30"/>
    <w:rsid w:val="00285184"/>
    <w:rsid w:val="002852EE"/>
    <w:rsid w:val="00285334"/>
    <w:rsid w:val="00285336"/>
    <w:rsid w:val="00285836"/>
    <w:rsid w:val="00285897"/>
    <w:rsid w:val="00285CB4"/>
    <w:rsid w:val="00285D09"/>
    <w:rsid w:val="00285DA7"/>
    <w:rsid w:val="00285EBF"/>
    <w:rsid w:val="00286074"/>
    <w:rsid w:val="00286153"/>
    <w:rsid w:val="00286470"/>
    <w:rsid w:val="002864C2"/>
    <w:rsid w:val="0028676F"/>
    <w:rsid w:val="002868B4"/>
    <w:rsid w:val="00286A2C"/>
    <w:rsid w:val="00286D25"/>
    <w:rsid w:val="00286F5C"/>
    <w:rsid w:val="00287059"/>
    <w:rsid w:val="002878B8"/>
    <w:rsid w:val="00287901"/>
    <w:rsid w:val="00287936"/>
    <w:rsid w:val="00287B5E"/>
    <w:rsid w:val="00287B9A"/>
    <w:rsid w:val="00287BB7"/>
    <w:rsid w:val="00287BE9"/>
    <w:rsid w:val="00287E18"/>
    <w:rsid w:val="0029003E"/>
    <w:rsid w:val="00290123"/>
    <w:rsid w:val="002909B0"/>
    <w:rsid w:val="00290B16"/>
    <w:rsid w:val="00290DA2"/>
    <w:rsid w:val="00290EC5"/>
    <w:rsid w:val="00290F8D"/>
    <w:rsid w:val="00291564"/>
    <w:rsid w:val="00291581"/>
    <w:rsid w:val="00291C06"/>
    <w:rsid w:val="00291D2D"/>
    <w:rsid w:val="00292041"/>
    <w:rsid w:val="002920E5"/>
    <w:rsid w:val="0029211E"/>
    <w:rsid w:val="0029227D"/>
    <w:rsid w:val="00292873"/>
    <w:rsid w:val="00292931"/>
    <w:rsid w:val="00292A7D"/>
    <w:rsid w:val="00292F18"/>
    <w:rsid w:val="0029336A"/>
    <w:rsid w:val="002933D2"/>
    <w:rsid w:val="002936AC"/>
    <w:rsid w:val="00293AE8"/>
    <w:rsid w:val="00293BC5"/>
    <w:rsid w:val="0029401C"/>
    <w:rsid w:val="0029425C"/>
    <w:rsid w:val="00294619"/>
    <w:rsid w:val="00294720"/>
    <w:rsid w:val="002947A2"/>
    <w:rsid w:val="00294A41"/>
    <w:rsid w:val="00294E3E"/>
    <w:rsid w:val="002952F5"/>
    <w:rsid w:val="0029536A"/>
    <w:rsid w:val="002953AF"/>
    <w:rsid w:val="002953C6"/>
    <w:rsid w:val="0029578B"/>
    <w:rsid w:val="0029596E"/>
    <w:rsid w:val="002959CD"/>
    <w:rsid w:val="00295AC4"/>
    <w:rsid w:val="00295B14"/>
    <w:rsid w:val="00295B9E"/>
    <w:rsid w:val="00295CDF"/>
    <w:rsid w:val="002960B4"/>
    <w:rsid w:val="002962FE"/>
    <w:rsid w:val="0029656D"/>
    <w:rsid w:val="00296752"/>
    <w:rsid w:val="00296834"/>
    <w:rsid w:val="00296912"/>
    <w:rsid w:val="00296916"/>
    <w:rsid w:val="00296AE8"/>
    <w:rsid w:val="00296D3F"/>
    <w:rsid w:val="00296D50"/>
    <w:rsid w:val="00296E1E"/>
    <w:rsid w:val="00297250"/>
    <w:rsid w:val="002972D6"/>
    <w:rsid w:val="00297360"/>
    <w:rsid w:val="0029788B"/>
    <w:rsid w:val="00297BED"/>
    <w:rsid w:val="00297E9C"/>
    <w:rsid w:val="00297F07"/>
    <w:rsid w:val="002A02E5"/>
    <w:rsid w:val="002A058F"/>
    <w:rsid w:val="002A063D"/>
    <w:rsid w:val="002A07D8"/>
    <w:rsid w:val="002A0A14"/>
    <w:rsid w:val="002A0B97"/>
    <w:rsid w:val="002A115B"/>
    <w:rsid w:val="002A1160"/>
    <w:rsid w:val="002A186E"/>
    <w:rsid w:val="002A1B1F"/>
    <w:rsid w:val="002A1BC0"/>
    <w:rsid w:val="002A1C31"/>
    <w:rsid w:val="002A1E72"/>
    <w:rsid w:val="002A21A8"/>
    <w:rsid w:val="002A22C4"/>
    <w:rsid w:val="002A23A8"/>
    <w:rsid w:val="002A2549"/>
    <w:rsid w:val="002A26B0"/>
    <w:rsid w:val="002A2758"/>
    <w:rsid w:val="002A2D64"/>
    <w:rsid w:val="002A2F96"/>
    <w:rsid w:val="002A2FC9"/>
    <w:rsid w:val="002A310D"/>
    <w:rsid w:val="002A315B"/>
    <w:rsid w:val="002A3225"/>
    <w:rsid w:val="002A343B"/>
    <w:rsid w:val="002A3540"/>
    <w:rsid w:val="002A35EA"/>
    <w:rsid w:val="002A37C0"/>
    <w:rsid w:val="002A3A1D"/>
    <w:rsid w:val="002A3B0B"/>
    <w:rsid w:val="002A3FD9"/>
    <w:rsid w:val="002A402D"/>
    <w:rsid w:val="002A4342"/>
    <w:rsid w:val="002A4437"/>
    <w:rsid w:val="002A4575"/>
    <w:rsid w:val="002A48C2"/>
    <w:rsid w:val="002A48DC"/>
    <w:rsid w:val="002A4B9C"/>
    <w:rsid w:val="002A4C9D"/>
    <w:rsid w:val="002A4D82"/>
    <w:rsid w:val="002A57B4"/>
    <w:rsid w:val="002A5D19"/>
    <w:rsid w:val="002A5E32"/>
    <w:rsid w:val="002A6001"/>
    <w:rsid w:val="002A670E"/>
    <w:rsid w:val="002A686C"/>
    <w:rsid w:val="002A6BEC"/>
    <w:rsid w:val="002A6C99"/>
    <w:rsid w:val="002A6D16"/>
    <w:rsid w:val="002A6D47"/>
    <w:rsid w:val="002A6E59"/>
    <w:rsid w:val="002A6FB1"/>
    <w:rsid w:val="002A71E7"/>
    <w:rsid w:val="002A7416"/>
    <w:rsid w:val="002A7442"/>
    <w:rsid w:val="002A74E2"/>
    <w:rsid w:val="002A7531"/>
    <w:rsid w:val="002A7668"/>
    <w:rsid w:val="002A772B"/>
    <w:rsid w:val="002A7C29"/>
    <w:rsid w:val="002A7D3B"/>
    <w:rsid w:val="002A7F61"/>
    <w:rsid w:val="002B048F"/>
    <w:rsid w:val="002B0528"/>
    <w:rsid w:val="002B06BC"/>
    <w:rsid w:val="002B0758"/>
    <w:rsid w:val="002B0E60"/>
    <w:rsid w:val="002B1062"/>
    <w:rsid w:val="002B10A3"/>
    <w:rsid w:val="002B149E"/>
    <w:rsid w:val="002B1656"/>
    <w:rsid w:val="002B176B"/>
    <w:rsid w:val="002B1824"/>
    <w:rsid w:val="002B1A92"/>
    <w:rsid w:val="002B1C4C"/>
    <w:rsid w:val="002B1EB8"/>
    <w:rsid w:val="002B1F57"/>
    <w:rsid w:val="002B26F5"/>
    <w:rsid w:val="002B29B7"/>
    <w:rsid w:val="002B2ADB"/>
    <w:rsid w:val="002B2E23"/>
    <w:rsid w:val="002B3465"/>
    <w:rsid w:val="002B34C5"/>
    <w:rsid w:val="002B34EE"/>
    <w:rsid w:val="002B3548"/>
    <w:rsid w:val="002B366B"/>
    <w:rsid w:val="002B3975"/>
    <w:rsid w:val="002B3AFF"/>
    <w:rsid w:val="002B3BA7"/>
    <w:rsid w:val="002B3BD5"/>
    <w:rsid w:val="002B3F47"/>
    <w:rsid w:val="002B471F"/>
    <w:rsid w:val="002B497E"/>
    <w:rsid w:val="002B4990"/>
    <w:rsid w:val="002B4F86"/>
    <w:rsid w:val="002B501F"/>
    <w:rsid w:val="002B513F"/>
    <w:rsid w:val="002B5178"/>
    <w:rsid w:val="002B51E9"/>
    <w:rsid w:val="002B560B"/>
    <w:rsid w:val="002B5660"/>
    <w:rsid w:val="002B5889"/>
    <w:rsid w:val="002B59C4"/>
    <w:rsid w:val="002B5B1F"/>
    <w:rsid w:val="002B5E7F"/>
    <w:rsid w:val="002B6220"/>
    <w:rsid w:val="002B6564"/>
    <w:rsid w:val="002B65A6"/>
    <w:rsid w:val="002B6690"/>
    <w:rsid w:val="002B6721"/>
    <w:rsid w:val="002B68C1"/>
    <w:rsid w:val="002B6C7A"/>
    <w:rsid w:val="002B6CBD"/>
    <w:rsid w:val="002B6D79"/>
    <w:rsid w:val="002B6DC4"/>
    <w:rsid w:val="002B71E7"/>
    <w:rsid w:val="002B7940"/>
    <w:rsid w:val="002B7D0F"/>
    <w:rsid w:val="002C0272"/>
    <w:rsid w:val="002C0682"/>
    <w:rsid w:val="002C07C9"/>
    <w:rsid w:val="002C0A7C"/>
    <w:rsid w:val="002C0BE8"/>
    <w:rsid w:val="002C0D0D"/>
    <w:rsid w:val="002C0DD2"/>
    <w:rsid w:val="002C0F3C"/>
    <w:rsid w:val="002C1141"/>
    <w:rsid w:val="002C126A"/>
    <w:rsid w:val="002C13FB"/>
    <w:rsid w:val="002C1A02"/>
    <w:rsid w:val="002C1B04"/>
    <w:rsid w:val="002C1C4F"/>
    <w:rsid w:val="002C1CF1"/>
    <w:rsid w:val="002C1E77"/>
    <w:rsid w:val="002C2010"/>
    <w:rsid w:val="002C29ED"/>
    <w:rsid w:val="002C2A51"/>
    <w:rsid w:val="002C2B5B"/>
    <w:rsid w:val="002C2BBE"/>
    <w:rsid w:val="002C2C4F"/>
    <w:rsid w:val="002C2CCC"/>
    <w:rsid w:val="002C2E36"/>
    <w:rsid w:val="002C3214"/>
    <w:rsid w:val="002C3453"/>
    <w:rsid w:val="002C361F"/>
    <w:rsid w:val="002C3809"/>
    <w:rsid w:val="002C3A4A"/>
    <w:rsid w:val="002C4017"/>
    <w:rsid w:val="002C4110"/>
    <w:rsid w:val="002C4510"/>
    <w:rsid w:val="002C4611"/>
    <w:rsid w:val="002C4650"/>
    <w:rsid w:val="002C4F67"/>
    <w:rsid w:val="002C5156"/>
    <w:rsid w:val="002C5180"/>
    <w:rsid w:val="002C5391"/>
    <w:rsid w:val="002C548E"/>
    <w:rsid w:val="002C54E0"/>
    <w:rsid w:val="002C58CB"/>
    <w:rsid w:val="002C595A"/>
    <w:rsid w:val="002C5A1B"/>
    <w:rsid w:val="002C5F7D"/>
    <w:rsid w:val="002C6015"/>
    <w:rsid w:val="002C689B"/>
    <w:rsid w:val="002C700E"/>
    <w:rsid w:val="002C702B"/>
    <w:rsid w:val="002C72DF"/>
    <w:rsid w:val="002C7487"/>
    <w:rsid w:val="002C7543"/>
    <w:rsid w:val="002C758F"/>
    <w:rsid w:val="002C776D"/>
    <w:rsid w:val="002C77DD"/>
    <w:rsid w:val="002C7981"/>
    <w:rsid w:val="002C7DEC"/>
    <w:rsid w:val="002D011A"/>
    <w:rsid w:val="002D0179"/>
    <w:rsid w:val="002D040C"/>
    <w:rsid w:val="002D044F"/>
    <w:rsid w:val="002D05E2"/>
    <w:rsid w:val="002D0870"/>
    <w:rsid w:val="002D0B7F"/>
    <w:rsid w:val="002D0C62"/>
    <w:rsid w:val="002D1343"/>
    <w:rsid w:val="002D1506"/>
    <w:rsid w:val="002D15DC"/>
    <w:rsid w:val="002D168A"/>
    <w:rsid w:val="002D16D6"/>
    <w:rsid w:val="002D17C6"/>
    <w:rsid w:val="002D1A87"/>
    <w:rsid w:val="002D1BF3"/>
    <w:rsid w:val="002D1D73"/>
    <w:rsid w:val="002D20BD"/>
    <w:rsid w:val="002D244D"/>
    <w:rsid w:val="002D28EB"/>
    <w:rsid w:val="002D2992"/>
    <w:rsid w:val="002D29FD"/>
    <w:rsid w:val="002D2B2F"/>
    <w:rsid w:val="002D2E8A"/>
    <w:rsid w:val="002D2EE9"/>
    <w:rsid w:val="002D2F09"/>
    <w:rsid w:val="002D331C"/>
    <w:rsid w:val="002D35CA"/>
    <w:rsid w:val="002D37B4"/>
    <w:rsid w:val="002D3AC8"/>
    <w:rsid w:val="002D3CF7"/>
    <w:rsid w:val="002D3D97"/>
    <w:rsid w:val="002D3DEB"/>
    <w:rsid w:val="002D3E25"/>
    <w:rsid w:val="002D3ED6"/>
    <w:rsid w:val="002D4936"/>
    <w:rsid w:val="002D533B"/>
    <w:rsid w:val="002D54AD"/>
    <w:rsid w:val="002D55B7"/>
    <w:rsid w:val="002D5659"/>
    <w:rsid w:val="002D57BC"/>
    <w:rsid w:val="002D5EC3"/>
    <w:rsid w:val="002D610E"/>
    <w:rsid w:val="002D673D"/>
    <w:rsid w:val="002D6C66"/>
    <w:rsid w:val="002D7124"/>
    <w:rsid w:val="002D7B79"/>
    <w:rsid w:val="002D7CD1"/>
    <w:rsid w:val="002D7CED"/>
    <w:rsid w:val="002D7E97"/>
    <w:rsid w:val="002D7F47"/>
    <w:rsid w:val="002E00B3"/>
    <w:rsid w:val="002E0283"/>
    <w:rsid w:val="002E043E"/>
    <w:rsid w:val="002E0672"/>
    <w:rsid w:val="002E08F7"/>
    <w:rsid w:val="002E0BB1"/>
    <w:rsid w:val="002E0D9B"/>
    <w:rsid w:val="002E1052"/>
    <w:rsid w:val="002E152E"/>
    <w:rsid w:val="002E17CB"/>
    <w:rsid w:val="002E1B45"/>
    <w:rsid w:val="002E1D8B"/>
    <w:rsid w:val="002E2810"/>
    <w:rsid w:val="002E2B7F"/>
    <w:rsid w:val="002E2CC6"/>
    <w:rsid w:val="002E2DED"/>
    <w:rsid w:val="002E2F24"/>
    <w:rsid w:val="002E3319"/>
    <w:rsid w:val="002E357C"/>
    <w:rsid w:val="002E3B36"/>
    <w:rsid w:val="002E3E71"/>
    <w:rsid w:val="002E4316"/>
    <w:rsid w:val="002E47B7"/>
    <w:rsid w:val="002E4D01"/>
    <w:rsid w:val="002E53BF"/>
    <w:rsid w:val="002E579E"/>
    <w:rsid w:val="002E5A95"/>
    <w:rsid w:val="002E5D3C"/>
    <w:rsid w:val="002E6407"/>
    <w:rsid w:val="002E641A"/>
    <w:rsid w:val="002E678D"/>
    <w:rsid w:val="002E6850"/>
    <w:rsid w:val="002E68C2"/>
    <w:rsid w:val="002E6B22"/>
    <w:rsid w:val="002E6B81"/>
    <w:rsid w:val="002E6ECE"/>
    <w:rsid w:val="002E6FBF"/>
    <w:rsid w:val="002E71A7"/>
    <w:rsid w:val="002E71F1"/>
    <w:rsid w:val="002E7369"/>
    <w:rsid w:val="002E7442"/>
    <w:rsid w:val="002E770E"/>
    <w:rsid w:val="002E7894"/>
    <w:rsid w:val="002E7CEE"/>
    <w:rsid w:val="002E7D8C"/>
    <w:rsid w:val="002E7FCE"/>
    <w:rsid w:val="002F0997"/>
    <w:rsid w:val="002F0D74"/>
    <w:rsid w:val="002F0E12"/>
    <w:rsid w:val="002F0E20"/>
    <w:rsid w:val="002F109F"/>
    <w:rsid w:val="002F1C32"/>
    <w:rsid w:val="002F1D11"/>
    <w:rsid w:val="002F1E48"/>
    <w:rsid w:val="002F1EEE"/>
    <w:rsid w:val="002F203A"/>
    <w:rsid w:val="002F2D29"/>
    <w:rsid w:val="002F2D79"/>
    <w:rsid w:val="002F2FFA"/>
    <w:rsid w:val="002F3000"/>
    <w:rsid w:val="002F3508"/>
    <w:rsid w:val="002F3814"/>
    <w:rsid w:val="002F3AD5"/>
    <w:rsid w:val="002F3BBC"/>
    <w:rsid w:val="002F3C95"/>
    <w:rsid w:val="002F3FDC"/>
    <w:rsid w:val="002F404B"/>
    <w:rsid w:val="002F422B"/>
    <w:rsid w:val="002F4440"/>
    <w:rsid w:val="002F4755"/>
    <w:rsid w:val="002F4780"/>
    <w:rsid w:val="002F4E71"/>
    <w:rsid w:val="002F4FCC"/>
    <w:rsid w:val="002F52D0"/>
    <w:rsid w:val="002F52DD"/>
    <w:rsid w:val="002F533B"/>
    <w:rsid w:val="002F53E1"/>
    <w:rsid w:val="002F5441"/>
    <w:rsid w:val="002F55FA"/>
    <w:rsid w:val="002F58F4"/>
    <w:rsid w:val="002F5A72"/>
    <w:rsid w:val="002F5FDE"/>
    <w:rsid w:val="002F6658"/>
    <w:rsid w:val="002F691F"/>
    <w:rsid w:val="002F6AA9"/>
    <w:rsid w:val="002F6B06"/>
    <w:rsid w:val="002F6DD1"/>
    <w:rsid w:val="002F6FDA"/>
    <w:rsid w:val="002F6FDE"/>
    <w:rsid w:val="002F7024"/>
    <w:rsid w:val="002F7164"/>
    <w:rsid w:val="002F7171"/>
    <w:rsid w:val="002F7260"/>
    <w:rsid w:val="002F7C5A"/>
    <w:rsid w:val="002F7E63"/>
    <w:rsid w:val="0030012D"/>
    <w:rsid w:val="00300550"/>
    <w:rsid w:val="0030073D"/>
    <w:rsid w:val="00300747"/>
    <w:rsid w:val="00300C6F"/>
    <w:rsid w:val="00300CBD"/>
    <w:rsid w:val="00301939"/>
    <w:rsid w:val="00301C94"/>
    <w:rsid w:val="00301D4D"/>
    <w:rsid w:val="00301F0D"/>
    <w:rsid w:val="00301FB1"/>
    <w:rsid w:val="00302246"/>
    <w:rsid w:val="003022E6"/>
    <w:rsid w:val="0030235C"/>
    <w:rsid w:val="0030253D"/>
    <w:rsid w:val="00302675"/>
    <w:rsid w:val="00302B7F"/>
    <w:rsid w:val="00303187"/>
    <w:rsid w:val="0030335A"/>
    <w:rsid w:val="00303453"/>
    <w:rsid w:val="00303D29"/>
    <w:rsid w:val="00303EF3"/>
    <w:rsid w:val="0030405E"/>
    <w:rsid w:val="0030479F"/>
    <w:rsid w:val="00304A36"/>
    <w:rsid w:val="00304A84"/>
    <w:rsid w:val="00304E97"/>
    <w:rsid w:val="00304F51"/>
    <w:rsid w:val="003051F0"/>
    <w:rsid w:val="00305205"/>
    <w:rsid w:val="003052E6"/>
    <w:rsid w:val="0030589C"/>
    <w:rsid w:val="00305905"/>
    <w:rsid w:val="00305991"/>
    <w:rsid w:val="003059C6"/>
    <w:rsid w:val="00305A0A"/>
    <w:rsid w:val="003061D9"/>
    <w:rsid w:val="003061E5"/>
    <w:rsid w:val="00306415"/>
    <w:rsid w:val="0030648A"/>
    <w:rsid w:val="003064E7"/>
    <w:rsid w:val="0030656B"/>
    <w:rsid w:val="00306793"/>
    <w:rsid w:val="003067D0"/>
    <w:rsid w:val="00306A1A"/>
    <w:rsid w:val="00306A29"/>
    <w:rsid w:val="00306A8D"/>
    <w:rsid w:val="00306B7B"/>
    <w:rsid w:val="00306D54"/>
    <w:rsid w:val="00306DCE"/>
    <w:rsid w:val="003071B1"/>
    <w:rsid w:val="0030775C"/>
    <w:rsid w:val="00307867"/>
    <w:rsid w:val="0030799F"/>
    <w:rsid w:val="00307B52"/>
    <w:rsid w:val="00307B58"/>
    <w:rsid w:val="00307C1D"/>
    <w:rsid w:val="0031004A"/>
    <w:rsid w:val="0031013B"/>
    <w:rsid w:val="003104B2"/>
    <w:rsid w:val="003105A8"/>
    <w:rsid w:val="0031069E"/>
    <w:rsid w:val="00310779"/>
    <w:rsid w:val="0031091F"/>
    <w:rsid w:val="0031147D"/>
    <w:rsid w:val="00311547"/>
    <w:rsid w:val="003115C0"/>
    <w:rsid w:val="00311627"/>
    <w:rsid w:val="00311727"/>
    <w:rsid w:val="0031175C"/>
    <w:rsid w:val="00312060"/>
    <w:rsid w:val="00312063"/>
    <w:rsid w:val="00312289"/>
    <w:rsid w:val="00312317"/>
    <w:rsid w:val="003124A7"/>
    <w:rsid w:val="003124FB"/>
    <w:rsid w:val="0031259A"/>
    <w:rsid w:val="0031288A"/>
    <w:rsid w:val="00312A85"/>
    <w:rsid w:val="00312C03"/>
    <w:rsid w:val="00312C5B"/>
    <w:rsid w:val="00313021"/>
    <w:rsid w:val="003131A5"/>
    <w:rsid w:val="00313586"/>
    <w:rsid w:val="00313BCB"/>
    <w:rsid w:val="00313C5D"/>
    <w:rsid w:val="00313DE8"/>
    <w:rsid w:val="00313E8F"/>
    <w:rsid w:val="00313EAE"/>
    <w:rsid w:val="00313EC4"/>
    <w:rsid w:val="00314315"/>
    <w:rsid w:val="0031459E"/>
    <w:rsid w:val="00314B5A"/>
    <w:rsid w:val="00314BBA"/>
    <w:rsid w:val="00314DBD"/>
    <w:rsid w:val="00314DCF"/>
    <w:rsid w:val="00314DDC"/>
    <w:rsid w:val="0031535D"/>
    <w:rsid w:val="0031538C"/>
    <w:rsid w:val="003153D7"/>
    <w:rsid w:val="003154BF"/>
    <w:rsid w:val="0031553D"/>
    <w:rsid w:val="003155C9"/>
    <w:rsid w:val="003156C5"/>
    <w:rsid w:val="00315816"/>
    <w:rsid w:val="00315829"/>
    <w:rsid w:val="003158CD"/>
    <w:rsid w:val="00315B2F"/>
    <w:rsid w:val="00315B5F"/>
    <w:rsid w:val="00315DA7"/>
    <w:rsid w:val="00315DAE"/>
    <w:rsid w:val="00315F5E"/>
    <w:rsid w:val="0031629C"/>
    <w:rsid w:val="003162BF"/>
    <w:rsid w:val="00316489"/>
    <w:rsid w:val="003166F9"/>
    <w:rsid w:val="00316755"/>
    <w:rsid w:val="00316B1C"/>
    <w:rsid w:val="00316C29"/>
    <w:rsid w:val="00316C36"/>
    <w:rsid w:val="00316CB6"/>
    <w:rsid w:val="00316FF7"/>
    <w:rsid w:val="00317033"/>
    <w:rsid w:val="0031732B"/>
    <w:rsid w:val="00317722"/>
    <w:rsid w:val="00317737"/>
    <w:rsid w:val="00317784"/>
    <w:rsid w:val="0031793A"/>
    <w:rsid w:val="00317A2C"/>
    <w:rsid w:val="00317A73"/>
    <w:rsid w:val="00317C6B"/>
    <w:rsid w:val="00317E49"/>
    <w:rsid w:val="0032014B"/>
    <w:rsid w:val="00320425"/>
    <w:rsid w:val="0032049B"/>
    <w:rsid w:val="0032050F"/>
    <w:rsid w:val="0032074B"/>
    <w:rsid w:val="00320918"/>
    <w:rsid w:val="00320B80"/>
    <w:rsid w:val="00320CC9"/>
    <w:rsid w:val="00320ECA"/>
    <w:rsid w:val="00320F15"/>
    <w:rsid w:val="003210D0"/>
    <w:rsid w:val="0032165A"/>
    <w:rsid w:val="003216E9"/>
    <w:rsid w:val="00321775"/>
    <w:rsid w:val="00321BD6"/>
    <w:rsid w:val="003220B5"/>
    <w:rsid w:val="003223BE"/>
    <w:rsid w:val="00322A45"/>
    <w:rsid w:val="00322AE8"/>
    <w:rsid w:val="00322D9C"/>
    <w:rsid w:val="003230E6"/>
    <w:rsid w:val="00323872"/>
    <w:rsid w:val="00323AFE"/>
    <w:rsid w:val="00323BE0"/>
    <w:rsid w:val="00324366"/>
    <w:rsid w:val="00324502"/>
    <w:rsid w:val="003247E8"/>
    <w:rsid w:val="00324AA2"/>
    <w:rsid w:val="00324CD3"/>
    <w:rsid w:val="00324D7D"/>
    <w:rsid w:val="00324E2B"/>
    <w:rsid w:val="00324F59"/>
    <w:rsid w:val="00324F76"/>
    <w:rsid w:val="00324FAB"/>
    <w:rsid w:val="00325276"/>
    <w:rsid w:val="0032543A"/>
    <w:rsid w:val="00325549"/>
    <w:rsid w:val="00325879"/>
    <w:rsid w:val="00325C30"/>
    <w:rsid w:val="00325D87"/>
    <w:rsid w:val="003263C3"/>
    <w:rsid w:val="003263C4"/>
    <w:rsid w:val="0032640E"/>
    <w:rsid w:val="00326566"/>
    <w:rsid w:val="0032659D"/>
    <w:rsid w:val="0032672E"/>
    <w:rsid w:val="00326B58"/>
    <w:rsid w:val="00326C48"/>
    <w:rsid w:val="00326EFE"/>
    <w:rsid w:val="003274FC"/>
    <w:rsid w:val="00327933"/>
    <w:rsid w:val="00327A6A"/>
    <w:rsid w:val="00327A98"/>
    <w:rsid w:val="00327F98"/>
    <w:rsid w:val="00330013"/>
    <w:rsid w:val="00330084"/>
    <w:rsid w:val="0033025A"/>
    <w:rsid w:val="00330382"/>
    <w:rsid w:val="00330415"/>
    <w:rsid w:val="00330A00"/>
    <w:rsid w:val="00330AAD"/>
    <w:rsid w:val="00330C0E"/>
    <w:rsid w:val="003310A6"/>
    <w:rsid w:val="003310D8"/>
    <w:rsid w:val="0033120A"/>
    <w:rsid w:val="00331216"/>
    <w:rsid w:val="00331309"/>
    <w:rsid w:val="003314EA"/>
    <w:rsid w:val="003315C2"/>
    <w:rsid w:val="00331FD9"/>
    <w:rsid w:val="0033210A"/>
    <w:rsid w:val="003321FE"/>
    <w:rsid w:val="003322FC"/>
    <w:rsid w:val="003326B3"/>
    <w:rsid w:val="0033288E"/>
    <w:rsid w:val="003329DD"/>
    <w:rsid w:val="00332DAA"/>
    <w:rsid w:val="00332E58"/>
    <w:rsid w:val="00333076"/>
    <w:rsid w:val="0033314F"/>
    <w:rsid w:val="00333423"/>
    <w:rsid w:val="003335FD"/>
    <w:rsid w:val="0033363F"/>
    <w:rsid w:val="003336ED"/>
    <w:rsid w:val="0033441C"/>
    <w:rsid w:val="00334549"/>
    <w:rsid w:val="0033491E"/>
    <w:rsid w:val="00334CB5"/>
    <w:rsid w:val="00334D5E"/>
    <w:rsid w:val="00334F93"/>
    <w:rsid w:val="00335008"/>
    <w:rsid w:val="003350B3"/>
    <w:rsid w:val="003350EA"/>
    <w:rsid w:val="00335376"/>
    <w:rsid w:val="003354FE"/>
    <w:rsid w:val="003356D7"/>
    <w:rsid w:val="00335720"/>
    <w:rsid w:val="0033580A"/>
    <w:rsid w:val="003359EB"/>
    <w:rsid w:val="0033600A"/>
    <w:rsid w:val="00336498"/>
    <w:rsid w:val="003364FC"/>
    <w:rsid w:val="0033663C"/>
    <w:rsid w:val="00336987"/>
    <w:rsid w:val="00336A52"/>
    <w:rsid w:val="00336B0E"/>
    <w:rsid w:val="00336C6F"/>
    <w:rsid w:val="0033704E"/>
    <w:rsid w:val="0033732A"/>
    <w:rsid w:val="00337BB4"/>
    <w:rsid w:val="00337DB2"/>
    <w:rsid w:val="00337EE8"/>
    <w:rsid w:val="00337FCD"/>
    <w:rsid w:val="003402AD"/>
    <w:rsid w:val="003403BF"/>
    <w:rsid w:val="003406C8"/>
    <w:rsid w:val="00340830"/>
    <w:rsid w:val="00340B4F"/>
    <w:rsid w:val="00340C09"/>
    <w:rsid w:val="00340C6D"/>
    <w:rsid w:val="00340E31"/>
    <w:rsid w:val="003410A5"/>
    <w:rsid w:val="0034123C"/>
    <w:rsid w:val="0034135F"/>
    <w:rsid w:val="0034184C"/>
    <w:rsid w:val="0034195B"/>
    <w:rsid w:val="00341981"/>
    <w:rsid w:val="00341B07"/>
    <w:rsid w:val="00341BE0"/>
    <w:rsid w:val="00341C7F"/>
    <w:rsid w:val="00341E58"/>
    <w:rsid w:val="00341F86"/>
    <w:rsid w:val="0034208C"/>
    <w:rsid w:val="003422C8"/>
    <w:rsid w:val="00342C14"/>
    <w:rsid w:val="00342DC0"/>
    <w:rsid w:val="00342F99"/>
    <w:rsid w:val="00343028"/>
    <w:rsid w:val="0034315D"/>
    <w:rsid w:val="00343387"/>
    <w:rsid w:val="0034338D"/>
    <w:rsid w:val="00343412"/>
    <w:rsid w:val="0034341A"/>
    <w:rsid w:val="003434B3"/>
    <w:rsid w:val="0034355D"/>
    <w:rsid w:val="003435A3"/>
    <w:rsid w:val="003435FB"/>
    <w:rsid w:val="003436B4"/>
    <w:rsid w:val="00343785"/>
    <w:rsid w:val="00343886"/>
    <w:rsid w:val="00343AFF"/>
    <w:rsid w:val="00343CF0"/>
    <w:rsid w:val="003443F6"/>
    <w:rsid w:val="00344592"/>
    <w:rsid w:val="0034462A"/>
    <w:rsid w:val="003447C0"/>
    <w:rsid w:val="00344AF3"/>
    <w:rsid w:val="00344B7E"/>
    <w:rsid w:val="00344C75"/>
    <w:rsid w:val="00344CBA"/>
    <w:rsid w:val="003450ED"/>
    <w:rsid w:val="00345257"/>
    <w:rsid w:val="00345514"/>
    <w:rsid w:val="00345DA0"/>
    <w:rsid w:val="00345F89"/>
    <w:rsid w:val="0034614A"/>
    <w:rsid w:val="0034668F"/>
    <w:rsid w:val="00346985"/>
    <w:rsid w:val="00346D00"/>
    <w:rsid w:val="00346EBD"/>
    <w:rsid w:val="00347210"/>
    <w:rsid w:val="0034728F"/>
    <w:rsid w:val="00347393"/>
    <w:rsid w:val="00347434"/>
    <w:rsid w:val="00347460"/>
    <w:rsid w:val="00347827"/>
    <w:rsid w:val="003479CE"/>
    <w:rsid w:val="00347E92"/>
    <w:rsid w:val="00350191"/>
    <w:rsid w:val="003503CB"/>
    <w:rsid w:val="00350A84"/>
    <w:rsid w:val="00350E2F"/>
    <w:rsid w:val="00350ED6"/>
    <w:rsid w:val="003511F3"/>
    <w:rsid w:val="003519EA"/>
    <w:rsid w:val="00351BAC"/>
    <w:rsid w:val="003521CC"/>
    <w:rsid w:val="0035221E"/>
    <w:rsid w:val="00352292"/>
    <w:rsid w:val="00352506"/>
    <w:rsid w:val="0035250D"/>
    <w:rsid w:val="0035257B"/>
    <w:rsid w:val="00352898"/>
    <w:rsid w:val="003528CD"/>
    <w:rsid w:val="00352D67"/>
    <w:rsid w:val="00352D9C"/>
    <w:rsid w:val="003532A6"/>
    <w:rsid w:val="003533A3"/>
    <w:rsid w:val="00353477"/>
    <w:rsid w:val="003534E8"/>
    <w:rsid w:val="00353722"/>
    <w:rsid w:val="00353D33"/>
    <w:rsid w:val="00353DC7"/>
    <w:rsid w:val="0035424B"/>
    <w:rsid w:val="0035452A"/>
    <w:rsid w:val="003547A9"/>
    <w:rsid w:val="0035484A"/>
    <w:rsid w:val="0035488E"/>
    <w:rsid w:val="003548BE"/>
    <w:rsid w:val="00354F25"/>
    <w:rsid w:val="00354FA0"/>
    <w:rsid w:val="00355492"/>
    <w:rsid w:val="00355628"/>
    <w:rsid w:val="00355682"/>
    <w:rsid w:val="00355771"/>
    <w:rsid w:val="00355928"/>
    <w:rsid w:val="00355EF4"/>
    <w:rsid w:val="00356112"/>
    <w:rsid w:val="00356833"/>
    <w:rsid w:val="00356988"/>
    <w:rsid w:val="00356A81"/>
    <w:rsid w:val="00356CCD"/>
    <w:rsid w:val="00357103"/>
    <w:rsid w:val="00357241"/>
    <w:rsid w:val="00357382"/>
    <w:rsid w:val="003573BE"/>
    <w:rsid w:val="0035782A"/>
    <w:rsid w:val="00357994"/>
    <w:rsid w:val="00357B02"/>
    <w:rsid w:val="00357D70"/>
    <w:rsid w:val="00357F53"/>
    <w:rsid w:val="00360004"/>
    <w:rsid w:val="003600D0"/>
    <w:rsid w:val="003602B1"/>
    <w:rsid w:val="0036079B"/>
    <w:rsid w:val="00360AA3"/>
    <w:rsid w:val="00360E74"/>
    <w:rsid w:val="00360E9D"/>
    <w:rsid w:val="00360EFC"/>
    <w:rsid w:val="003613B0"/>
    <w:rsid w:val="0036153A"/>
    <w:rsid w:val="003617B0"/>
    <w:rsid w:val="003618FB"/>
    <w:rsid w:val="003619E9"/>
    <w:rsid w:val="00361AB1"/>
    <w:rsid w:val="00361B88"/>
    <w:rsid w:val="00361BE0"/>
    <w:rsid w:val="00361C0B"/>
    <w:rsid w:val="00361C87"/>
    <w:rsid w:val="00361F9B"/>
    <w:rsid w:val="003620D0"/>
    <w:rsid w:val="0036220F"/>
    <w:rsid w:val="00362312"/>
    <w:rsid w:val="003623A5"/>
    <w:rsid w:val="0036265C"/>
    <w:rsid w:val="00362832"/>
    <w:rsid w:val="003629D5"/>
    <w:rsid w:val="00362BAF"/>
    <w:rsid w:val="00362DF0"/>
    <w:rsid w:val="00362ECA"/>
    <w:rsid w:val="00363595"/>
    <w:rsid w:val="0036369E"/>
    <w:rsid w:val="00363787"/>
    <w:rsid w:val="00363E03"/>
    <w:rsid w:val="00363E3E"/>
    <w:rsid w:val="00363EDB"/>
    <w:rsid w:val="00363F6B"/>
    <w:rsid w:val="0036412B"/>
    <w:rsid w:val="0036465C"/>
    <w:rsid w:val="0036470C"/>
    <w:rsid w:val="003651AE"/>
    <w:rsid w:val="0036520D"/>
    <w:rsid w:val="00365459"/>
    <w:rsid w:val="003657EF"/>
    <w:rsid w:val="00365ACC"/>
    <w:rsid w:val="00365B9E"/>
    <w:rsid w:val="00365CAD"/>
    <w:rsid w:val="00365D40"/>
    <w:rsid w:val="00365E30"/>
    <w:rsid w:val="003661BC"/>
    <w:rsid w:val="003663B2"/>
    <w:rsid w:val="00366631"/>
    <w:rsid w:val="003666A0"/>
    <w:rsid w:val="00366A52"/>
    <w:rsid w:val="00366BCB"/>
    <w:rsid w:val="00366DF2"/>
    <w:rsid w:val="00366E51"/>
    <w:rsid w:val="00366F69"/>
    <w:rsid w:val="0036707A"/>
    <w:rsid w:val="00367094"/>
    <w:rsid w:val="0036717F"/>
    <w:rsid w:val="003673B6"/>
    <w:rsid w:val="003673BB"/>
    <w:rsid w:val="00367570"/>
    <w:rsid w:val="00367A1A"/>
    <w:rsid w:val="00367D2F"/>
    <w:rsid w:val="0037017D"/>
    <w:rsid w:val="00370580"/>
    <w:rsid w:val="00370C81"/>
    <w:rsid w:val="00370D9E"/>
    <w:rsid w:val="00370EBC"/>
    <w:rsid w:val="00371321"/>
    <w:rsid w:val="00371406"/>
    <w:rsid w:val="00371568"/>
    <w:rsid w:val="003716FE"/>
    <w:rsid w:val="003720BE"/>
    <w:rsid w:val="003726AF"/>
    <w:rsid w:val="00372827"/>
    <w:rsid w:val="00372DD7"/>
    <w:rsid w:val="003730FF"/>
    <w:rsid w:val="0037312A"/>
    <w:rsid w:val="003736C7"/>
    <w:rsid w:val="003738E9"/>
    <w:rsid w:val="00373DF8"/>
    <w:rsid w:val="00374056"/>
    <w:rsid w:val="0037441B"/>
    <w:rsid w:val="003749AC"/>
    <w:rsid w:val="003749D4"/>
    <w:rsid w:val="00374E98"/>
    <w:rsid w:val="00374EBC"/>
    <w:rsid w:val="003750F7"/>
    <w:rsid w:val="003751C1"/>
    <w:rsid w:val="0037581E"/>
    <w:rsid w:val="003759F2"/>
    <w:rsid w:val="00375A2A"/>
    <w:rsid w:val="00375B7C"/>
    <w:rsid w:val="0037600F"/>
    <w:rsid w:val="0037687E"/>
    <w:rsid w:val="003768C2"/>
    <w:rsid w:val="003768D9"/>
    <w:rsid w:val="00376AFC"/>
    <w:rsid w:val="00376F74"/>
    <w:rsid w:val="00377098"/>
    <w:rsid w:val="003770B9"/>
    <w:rsid w:val="0037734C"/>
    <w:rsid w:val="0037739F"/>
    <w:rsid w:val="00377509"/>
    <w:rsid w:val="00377BFE"/>
    <w:rsid w:val="00377D42"/>
    <w:rsid w:val="00377F22"/>
    <w:rsid w:val="00377FF6"/>
    <w:rsid w:val="00380139"/>
    <w:rsid w:val="00380280"/>
    <w:rsid w:val="00380348"/>
    <w:rsid w:val="003804DA"/>
    <w:rsid w:val="003806B8"/>
    <w:rsid w:val="00380803"/>
    <w:rsid w:val="0038095A"/>
    <w:rsid w:val="00380A81"/>
    <w:rsid w:val="00380B1D"/>
    <w:rsid w:val="00380BB5"/>
    <w:rsid w:val="00380DF6"/>
    <w:rsid w:val="003810D9"/>
    <w:rsid w:val="00381301"/>
    <w:rsid w:val="003813CB"/>
    <w:rsid w:val="0038193C"/>
    <w:rsid w:val="00381944"/>
    <w:rsid w:val="00381ADB"/>
    <w:rsid w:val="00381AE1"/>
    <w:rsid w:val="00381AEC"/>
    <w:rsid w:val="00381C98"/>
    <w:rsid w:val="00381CB1"/>
    <w:rsid w:val="00382492"/>
    <w:rsid w:val="003826BE"/>
    <w:rsid w:val="00382873"/>
    <w:rsid w:val="00382B04"/>
    <w:rsid w:val="00382D9D"/>
    <w:rsid w:val="00383026"/>
    <w:rsid w:val="003830A5"/>
    <w:rsid w:val="00383171"/>
    <w:rsid w:val="00383932"/>
    <w:rsid w:val="00383B3F"/>
    <w:rsid w:val="0038425A"/>
    <w:rsid w:val="003843AC"/>
    <w:rsid w:val="003846AF"/>
    <w:rsid w:val="003848AA"/>
    <w:rsid w:val="00384A30"/>
    <w:rsid w:val="00384C25"/>
    <w:rsid w:val="00384D4E"/>
    <w:rsid w:val="00384F6C"/>
    <w:rsid w:val="00385119"/>
    <w:rsid w:val="0038589B"/>
    <w:rsid w:val="00385DC1"/>
    <w:rsid w:val="00385DC9"/>
    <w:rsid w:val="00385F03"/>
    <w:rsid w:val="00385FAF"/>
    <w:rsid w:val="00386204"/>
    <w:rsid w:val="003863ED"/>
    <w:rsid w:val="00386497"/>
    <w:rsid w:val="00386693"/>
    <w:rsid w:val="0038674E"/>
    <w:rsid w:val="003869AB"/>
    <w:rsid w:val="00386B3C"/>
    <w:rsid w:val="00386B4B"/>
    <w:rsid w:val="00386ED6"/>
    <w:rsid w:val="003871BA"/>
    <w:rsid w:val="0038725A"/>
    <w:rsid w:val="0038746E"/>
    <w:rsid w:val="00387502"/>
    <w:rsid w:val="00387823"/>
    <w:rsid w:val="003878CF"/>
    <w:rsid w:val="00387A0A"/>
    <w:rsid w:val="00387A4E"/>
    <w:rsid w:val="00387D39"/>
    <w:rsid w:val="00390090"/>
    <w:rsid w:val="0039031A"/>
    <w:rsid w:val="0039042D"/>
    <w:rsid w:val="0039069B"/>
    <w:rsid w:val="0039085B"/>
    <w:rsid w:val="00390BC9"/>
    <w:rsid w:val="00390F55"/>
    <w:rsid w:val="00391247"/>
    <w:rsid w:val="003912C4"/>
    <w:rsid w:val="00391332"/>
    <w:rsid w:val="003913C7"/>
    <w:rsid w:val="00391A6E"/>
    <w:rsid w:val="00391C6D"/>
    <w:rsid w:val="00391CB2"/>
    <w:rsid w:val="00391CF1"/>
    <w:rsid w:val="003921B2"/>
    <w:rsid w:val="00392DF4"/>
    <w:rsid w:val="00392E41"/>
    <w:rsid w:val="003933D3"/>
    <w:rsid w:val="003934A7"/>
    <w:rsid w:val="00393532"/>
    <w:rsid w:val="00393568"/>
    <w:rsid w:val="00393740"/>
    <w:rsid w:val="003937FE"/>
    <w:rsid w:val="00393A79"/>
    <w:rsid w:val="00393C90"/>
    <w:rsid w:val="00393D2D"/>
    <w:rsid w:val="00393DDB"/>
    <w:rsid w:val="00393F6E"/>
    <w:rsid w:val="00394BC6"/>
    <w:rsid w:val="00394BE9"/>
    <w:rsid w:val="00394E74"/>
    <w:rsid w:val="00395013"/>
    <w:rsid w:val="00395050"/>
    <w:rsid w:val="00395180"/>
    <w:rsid w:val="003952B6"/>
    <w:rsid w:val="003953E8"/>
    <w:rsid w:val="0039545B"/>
    <w:rsid w:val="00395499"/>
    <w:rsid w:val="0039556E"/>
    <w:rsid w:val="00395727"/>
    <w:rsid w:val="003957D4"/>
    <w:rsid w:val="00395AA6"/>
    <w:rsid w:val="0039607E"/>
    <w:rsid w:val="003961E6"/>
    <w:rsid w:val="003965BA"/>
    <w:rsid w:val="0039686B"/>
    <w:rsid w:val="0039691F"/>
    <w:rsid w:val="00396AB3"/>
    <w:rsid w:val="00396BA5"/>
    <w:rsid w:val="00396CBC"/>
    <w:rsid w:val="00396EB7"/>
    <w:rsid w:val="00397252"/>
    <w:rsid w:val="0039727A"/>
    <w:rsid w:val="0039734F"/>
    <w:rsid w:val="00397A3E"/>
    <w:rsid w:val="00397AEB"/>
    <w:rsid w:val="00397DDC"/>
    <w:rsid w:val="00397E1F"/>
    <w:rsid w:val="00397EA9"/>
    <w:rsid w:val="003A00DD"/>
    <w:rsid w:val="003A036B"/>
    <w:rsid w:val="003A04FC"/>
    <w:rsid w:val="003A05EF"/>
    <w:rsid w:val="003A06A0"/>
    <w:rsid w:val="003A0A4E"/>
    <w:rsid w:val="003A1244"/>
    <w:rsid w:val="003A15D5"/>
    <w:rsid w:val="003A15F6"/>
    <w:rsid w:val="003A1674"/>
    <w:rsid w:val="003A1783"/>
    <w:rsid w:val="003A1865"/>
    <w:rsid w:val="003A1880"/>
    <w:rsid w:val="003A193D"/>
    <w:rsid w:val="003A1B4E"/>
    <w:rsid w:val="003A1BC9"/>
    <w:rsid w:val="003A1BE2"/>
    <w:rsid w:val="003A1C4D"/>
    <w:rsid w:val="003A1FF3"/>
    <w:rsid w:val="003A22EB"/>
    <w:rsid w:val="003A247D"/>
    <w:rsid w:val="003A25ED"/>
    <w:rsid w:val="003A2BDF"/>
    <w:rsid w:val="003A33A7"/>
    <w:rsid w:val="003A3661"/>
    <w:rsid w:val="003A36BC"/>
    <w:rsid w:val="003A3C8F"/>
    <w:rsid w:val="003A3D07"/>
    <w:rsid w:val="003A3DCA"/>
    <w:rsid w:val="003A3E42"/>
    <w:rsid w:val="003A3E6C"/>
    <w:rsid w:val="003A3EE7"/>
    <w:rsid w:val="003A494B"/>
    <w:rsid w:val="003A4E42"/>
    <w:rsid w:val="003A4E72"/>
    <w:rsid w:val="003A4EC5"/>
    <w:rsid w:val="003A50D1"/>
    <w:rsid w:val="003A5441"/>
    <w:rsid w:val="003A5546"/>
    <w:rsid w:val="003A5685"/>
    <w:rsid w:val="003A575F"/>
    <w:rsid w:val="003A5772"/>
    <w:rsid w:val="003A589F"/>
    <w:rsid w:val="003A58ED"/>
    <w:rsid w:val="003A5C4D"/>
    <w:rsid w:val="003A5DBF"/>
    <w:rsid w:val="003A6128"/>
    <w:rsid w:val="003A617C"/>
    <w:rsid w:val="003A62D5"/>
    <w:rsid w:val="003A6696"/>
    <w:rsid w:val="003A6847"/>
    <w:rsid w:val="003A6A87"/>
    <w:rsid w:val="003A72C9"/>
    <w:rsid w:val="003A74BD"/>
    <w:rsid w:val="003A74BF"/>
    <w:rsid w:val="003A751D"/>
    <w:rsid w:val="003A767E"/>
    <w:rsid w:val="003A7958"/>
    <w:rsid w:val="003A7A42"/>
    <w:rsid w:val="003A7F1F"/>
    <w:rsid w:val="003A7F3B"/>
    <w:rsid w:val="003B0167"/>
    <w:rsid w:val="003B01A7"/>
    <w:rsid w:val="003B037D"/>
    <w:rsid w:val="003B04F9"/>
    <w:rsid w:val="003B0570"/>
    <w:rsid w:val="003B064D"/>
    <w:rsid w:val="003B0834"/>
    <w:rsid w:val="003B0A8D"/>
    <w:rsid w:val="003B1248"/>
    <w:rsid w:val="003B14AD"/>
    <w:rsid w:val="003B1604"/>
    <w:rsid w:val="003B19D0"/>
    <w:rsid w:val="003B1AC1"/>
    <w:rsid w:val="003B1E72"/>
    <w:rsid w:val="003B214D"/>
    <w:rsid w:val="003B24BC"/>
    <w:rsid w:val="003B255B"/>
    <w:rsid w:val="003B25B0"/>
    <w:rsid w:val="003B2702"/>
    <w:rsid w:val="003B2820"/>
    <w:rsid w:val="003B2BA5"/>
    <w:rsid w:val="003B2C5A"/>
    <w:rsid w:val="003B2E7D"/>
    <w:rsid w:val="003B3B26"/>
    <w:rsid w:val="003B3ECC"/>
    <w:rsid w:val="003B3FFA"/>
    <w:rsid w:val="003B4140"/>
    <w:rsid w:val="003B4385"/>
    <w:rsid w:val="003B4834"/>
    <w:rsid w:val="003B48CE"/>
    <w:rsid w:val="003B4FB4"/>
    <w:rsid w:val="003B508D"/>
    <w:rsid w:val="003B5460"/>
    <w:rsid w:val="003B5625"/>
    <w:rsid w:val="003B5865"/>
    <w:rsid w:val="003B5B98"/>
    <w:rsid w:val="003B5CB9"/>
    <w:rsid w:val="003B5E61"/>
    <w:rsid w:val="003B5FFD"/>
    <w:rsid w:val="003B60DD"/>
    <w:rsid w:val="003B6251"/>
    <w:rsid w:val="003B644A"/>
    <w:rsid w:val="003B652F"/>
    <w:rsid w:val="003B679A"/>
    <w:rsid w:val="003B681D"/>
    <w:rsid w:val="003B6862"/>
    <w:rsid w:val="003B749E"/>
    <w:rsid w:val="003B75C5"/>
    <w:rsid w:val="003B785F"/>
    <w:rsid w:val="003B7D30"/>
    <w:rsid w:val="003C002B"/>
    <w:rsid w:val="003C0431"/>
    <w:rsid w:val="003C07EA"/>
    <w:rsid w:val="003C0959"/>
    <w:rsid w:val="003C0B57"/>
    <w:rsid w:val="003C0F0C"/>
    <w:rsid w:val="003C0FE1"/>
    <w:rsid w:val="003C113C"/>
    <w:rsid w:val="003C1264"/>
    <w:rsid w:val="003C135D"/>
    <w:rsid w:val="003C150F"/>
    <w:rsid w:val="003C1625"/>
    <w:rsid w:val="003C165F"/>
    <w:rsid w:val="003C2043"/>
    <w:rsid w:val="003C20B6"/>
    <w:rsid w:val="003C21ED"/>
    <w:rsid w:val="003C2595"/>
    <w:rsid w:val="003C2738"/>
    <w:rsid w:val="003C27E4"/>
    <w:rsid w:val="003C34F8"/>
    <w:rsid w:val="003C382B"/>
    <w:rsid w:val="003C3A14"/>
    <w:rsid w:val="003C3C8A"/>
    <w:rsid w:val="003C4199"/>
    <w:rsid w:val="003C42D8"/>
    <w:rsid w:val="003C42FC"/>
    <w:rsid w:val="003C4422"/>
    <w:rsid w:val="003C47D2"/>
    <w:rsid w:val="003C4AC3"/>
    <w:rsid w:val="003C4E1D"/>
    <w:rsid w:val="003C5444"/>
    <w:rsid w:val="003C5AC6"/>
    <w:rsid w:val="003C5BD0"/>
    <w:rsid w:val="003C5EBE"/>
    <w:rsid w:val="003C5F2C"/>
    <w:rsid w:val="003C5F3B"/>
    <w:rsid w:val="003C609C"/>
    <w:rsid w:val="003C6318"/>
    <w:rsid w:val="003C63A9"/>
    <w:rsid w:val="003C6401"/>
    <w:rsid w:val="003C6422"/>
    <w:rsid w:val="003C697F"/>
    <w:rsid w:val="003C6A3E"/>
    <w:rsid w:val="003C6D42"/>
    <w:rsid w:val="003C6D9A"/>
    <w:rsid w:val="003C6F67"/>
    <w:rsid w:val="003C6FED"/>
    <w:rsid w:val="003C708A"/>
    <w:rsid w:val="003C71BF"/>
    <w:rsid w:val="003C7747"/>
    <w:rsid w:val="003C7841"/>
    <w:rsid w:val="003C7A0A"/>
    <w:rsid w:val="003C7BE1"/>
    <w:rsid w:val="003C7C7B"/>
    <w:rsid w:val="003D027A"/>
    <w:rsid w:val="003D0879"/>
    <w:rsid w:val="003D0F57"/>
    <w:rsid w:val="003D10E2"/>
    <w:rsid w:val="003D13CD"/>
    <w:rsid w:val="003D14C4"/>
    <w:rsid w:val="003D14C7"/>
    <w:rsid w:val="003D175E"/>
    <w:rsid w:val="003D177D"/>
    <w:rsid w:val="003D1836"/>
    <w:rsid w:val="003D1B10"/>
    <w:rsid w:val="003D1B27"/>
    <w:rsid w:val="003D1E36"/>
    <w:rsid w:val="003D1F63"/>
    <w:rsid w:val="003D2034"/>
    <w:rsid w:val="003D2251"/>
    <w:rsid w:val="003D2312"/>
    <w:rsid w:val="003D233A"/>
    <w:rsid w:val="003D2377"/>
    <w:rsid w:val="003D24BE"/>
    <w:rsid w:val="003D2523"/>
    <w:rsid w:val="003D26B4"/>
    <w:rsid w:val="003D2888"/>
    <w:rsid w:val="003D29D6"/>
    <w:rsid w:val="003D304F"/>
    <w:rsid w:val="003D31B5"/>
    <w:rsid w:val="003D338D"/>
    <w:rsid w:val="003D343D"/>
    <w:rsid w:val="003D3EF4"/>
    <w:rsid w:val="003D3FB6"/>
    <w:rsid w:val="003D45C9"/>
    <w:rsid w:val="003D47E4"/>
    <w:rsid w:val="003D4E76"/>
    <w:rsid w:val="003D51F5"/>
    <w:rsid w:val="003D54A7"/>
    <w:rsid w:val="003D55AA"/>
    <w:rsid w:val="003D59AF"/>
    <w:rsid w:val="003D5AB9"/>
    <w:rsid w:val="003D5C78"/>
    <w:rsid w:val="003D6528"/>
    <w:rsid w:val="003D69B4"/>
    <w:rsid w:val="003D69EC"/>
    <w:rsid w:val="003D6CCC"/>
    <w:rsid w:val="003D7286"/>
    <w:rsid w:val="003D7F4D"/>
    <w:rsid w:val="003E00FF"/>
    <w:rsid w:val="003E01AD"/>
    <w:rsid w:val="003E046A"/>
    <w:rsid w:val="003E09BA"/>
    <w:rsid w:val="003E0AA8"/>
    <w:rsid w:val="003E0DD9"/>
    <w:rsid w:val="003E0F26"/>
    <w:rsid w:val="003E10F4"/>
    <w:rsid w:val="003E1281"/>
    <w:rsid w:val="003E1413"/>
    <w:rsid w:val="003E1527"/>
    <w:rsid w:val="003E160E"/>
    <w:rsid w:val="003E1926"/>
    <w:rsid w:val="003E1A3B"/>
    <w:rsid w:val="003E1A6E"/>
    <w:rsid w:val="003E1B8F"/>
    <w:rsid w:val="003E1C5F"/>
    <w:rsid w:val="003E1D4E"/>
    <w:rsid w:val="003E1E2D"/>
    <w:rsid w:val="003E1E65"/>
    <w:rsid w:val="003E2226"/>
    <w:rsid w:val="003E25D4"/>
    <w:rsid w:val="003E26C4"/>
    <w:rsid w:val="003E2A21"/>
    <w:rsid w:val="003E2D98"/>
    <w:rsid w:val="003E2F5D"/>
    <w:rsid w:val="003E2F6D"/>
    <w:rsid w:val="003E3105"/>
    <w:rsid w:val="003E3275"/>
    <w:rsid w:val="003E35ED"/>
    <w:rsid w:val="003E36DC"/>
    <w:rsid w:val="003E39D6"/>
    <w:rsid w:val="003E3E25"/>
    <w:rsid w:val="003E3F68"/>
    <w:rsid w:val="003E3F75"/>
    <w:rsid w:val="003E3FC6"/>
    <w:rsid w:val="003E401A"/>
    <w:rsid w:val="003E42CC"/>
    <w:rsid w:val="003E4777"/>
    <w:rsid w:val="003E4911"/>
    <w:rsid w:val="003E4B04"/>
    <w:rsid w:val="003E4B9D"/>
    <w:rsid w:val="003E5009"/>
    <w:rsid w:val="003E5542"/>
    <w:rsid w:val="003E562A"/>
    <w:rsid w:val="003E5696"/>
    <w:rsid w:val="003E5A13"/>
    <w:rsid w:val="003E5C3A"/>
    <w:rsid w:val="003E5EAD"/>
    <w:rsid w:val="003E5EAE"/>
    <w:rsid w:val="003E5EEA"/>
    <w:rsid w:val="003E60D6"/>
    <w:rsid w:val="003E629E"/>
    <w:rsid w:val="003E6307"/>
    <w:rsid w:val="003E64E6"/>
    <w:rsid w:val="003E66C6"/>
    <w:rsid w:val="003E6760"/>
    <w:rsid w:val="003E68B5"/>
    <w:rsid w:val="003E6C58"/>
    <w:rsid w:val="003E6C81"/>
    <w:rsid w:val="003E6F32"/>
    <w:rsid w:val="003E6F93"/>
    <w:rsid w:val="003E731A"/>
    <w:rsid w:val="003E7500"/>
    <w:rsid w:val="003E7506"/>
    <w:rsid w:val="003E754F"/>
    <w:rsid w:val="003E772A"/>
    <w:rsid w:val="003E7804"/>
    <w:rsid w:val="003E7944"/>
    <w:rsid w:val="003E7DF4"/>
    <w:rsid w:val="003E7E90"/>
    <w:rsid w:val="003E7FDB"/>
    <w:rsid w:val="003F06EB"/>
    <w:rsid w:val="003F09EC"/>
    <w:rsid w:val="003F0BD0"/>
    <w:rsid w:val="003F1033"/>
    <w:rsid w:val="003F11C8"/>
    <w:rsid w:val="003F1924"/>
    <w:rsid w:val="003F1E74"/>
    <w:rsid w:val="003F1EBF"/>
    <w:rsid w:val="003F2479"/>
    <w:rsid w:val="003F2712"/>
    <w:rsid w:val="003F27A9"/>
    <w:rsid w:val="003F286E"/>
    <w:rsid w:val="003F2917"/>
    <w:rsid w:val="003F2ADF"/>
    <w:rsid w:val="003F2AFD"/>
    <w:rsid w:val="003F2BD7"/>
    <w:rsid w:val="003F2BE7"/>
    <w:rsid w:val="003F2D33"/>
    <w:rsid w:val="003F305A"/>
    <w:rsid w:val="003F305D"/>
    <w:rsid w:val="003F30E8"/>
    <w:rsid w:val="003F35F6"/>
    <w:rsid w:val="003F3BF7"/>
    <w:rsid w:val="003F4297"/>
    <w:rsid w:val="003F4447"/>
    <w:rsid w:val="003F44C6"/>
    <w:rsid w:val="003F453E"/>
    <w:rsid w:val="003F4D16"/>
    <w:rsid w:val="003F4DC5"/>
    <w:rsid w:val="003F4EB1"/>
    <w:rsid w:val="003F50C7"/>
    <w:rsid w:val="003F523F"/>
    <w:rsid w:val="003F5405"/>
    <w:rsid w:val="003F56E1"/>
    <w:rsid w:val="003F592F"/>
    <w:rsid w:val="003F599B"/>
    <w:rsid w:val="003F5AB1"/>
    <w:rsid w:val="003F5DF1"/>
    <w:rsid w:val="003F62A0"/>
    <w:rsid w:val="003F710A"/>
    <w:rsid w:val="003F7414"/>
    <w:rsid w:val="003F7B70"/>
    <w:rsid w:val="003F7FE6"/>
    <w:rsid w:val="004003B6"/>
    <w:rsid w:val="004006CC"/>
    <w:rsid w:val="00400895"/>
    <w:rsid w:val="004008D8"/>
    <w:rsid w:val="00400B7F"/>
    <w:rsid w:val="00400F85"/>
    <w:rsid w:val="00400FFB"/>
    <w:rsid w:val="00401065"/>
    <w:rsid w:val="00401176"/>
    <w:rsid w:val="004011B3"/>
    <w:rsid w:val="00401311"/>
    <w:rsid w:val="0040133D"/>
    <w:rsid w:val="00401657"/>
    <w:rsid w:val="00401704"/>
    <w:rsid w:val="004018DA"/>
    <w:rsid w:val="0040190E"/>
    <w:rsid w:val="00401B37"/>
    <w:rsid w:val="00401CCB"/>
    <w:rsid w:val="00402244"/>
    <w:rsid w:val="004023B1"/>
    <w:rsid w:val="004023BD"/>
    <w:rsid w:val="004023F8"/>
    <w:rsid w:val="0040256A"/>
    <w:rsid w:val="0040271F"/>
    <w:rsid w:val="00402730"/>
    <w:rsid w:val="004027AE"/>
    <w:rsid w:val="00402FE2"/>
    <w:rsid w:val="00403073"/>
    <w:rsid w:val="004030F1"/>
    <w:rsid w:val="0040357E"/>
    <w:rsid w:val="0040362D"/>
    <w:rsid w:val="004036B3"/>
    <w:rsid w:val="00403770"/>
    <w:rsid w:val="00403C4A"/>
    <w:rsid w:val="00403CBF"/>
    <w:rsid w:val="0040456F"/>
    <w:rsid w:val="00404932"/>
    <w:rsid w:val="00404ABE"/>
    <w:rsid w:val="00404D56"/>
    <w:rsid w:val="0040505E"/>
    <w:rsid w:val="004050BC"/>
    <w:rsid w:val="00405134"/>
    <w:rsid w:val="004052FB"/>
    <w:rsid w:val="0040536E"/>
    <w:rsid w:val="00405379"/>
    <w:rsid w:val="0040554B"/>
    <w:rsid w:val="0040558D"/>
    <w:rsid w:val="004057D2"/>
    <w:rsid w:val="004059E4"/>
    <w:rsid w:val="00405C09"/>
    <w:rsid w:val="00405CBC"/>
    <w:rsid w:val="00405FE3"/>
    <w:rsid w:val="004064BE"/>
    <w:rsid w:val="00406A5B"/>
    <w:rsid w:val="00406A6C"/>
    <w:rsid w:val="00406C2A"/>
    <w:rsid w:val="004070A4"/>
    <w:rsid w:val="004071B1"/>
    <w:rsid w:val="0040745C"/>
    <w:rsid w:val="004076B8"/>
    <w:rsid w:val="0040785B"/>
    <w:rsid w:val="00407892"/>
    <w:rsid w:val="00407C98"/>
    <w:rsid w:val="00407D17"/>
    <w:rsid w:val="00407D70"/>
    <w:rsid w:val="00407DA7"/>
    <w:rsid w:val="00407E44"/>
    <w:rsid w:val="00407EE7"/>
    <w:rsid w:val="00407F9F"/>
    <w:rsid w:val="004100C6"/>
    <w:rsid w:val="004104BC"/>
    <w:rsid w:val="004109AC"/>
    <w:rsid w:val="00410D46"/>
    <w:rsid w:val="00410D90"/>
    <w:rsid w:val="00410F24"/>
    <w:rsid w:val="00410F43"/>
    <w:rsid w:val="004112AF"/>
    <w:rsid w:val="00411328"/>
    <w:rsid w:val="00411410"/>
    <w:rsid w:val="004115A2"/>
    <w:rsid w:val="00411F86"/>
    <w:rsid w:val="00412280"/>
    <w:rsid w:val="0041230D"/>
    <w:rsid w:val="0041278F"/>
    <w:rsid w:val="00412844"/>
    <w:rsid w:val="00412A71"/>
    <w:rsid w:val="00412AB9"/>
    <w:rsid w:val="00412D86"/>
    <w:rsid w:val="00412FD3"/>
    <w:rsid w:val="004130F3"/>
    <w:rsid w:val="00413336"/>
    <w:rsid w:val="00413351"/>
    <w:rsid w:val="00413368"/>
    <w:rsid w:val="004139AA"/>
    <w:rsid w:val="00413BF9"/>
    <w:rsid w:val="00413D75"/>
    <w:rsid w:val="00413D8E"/>
    <w:rsid w:val="00413F55"/>
    <w:rsid w:val="00414742"/>
    <w:rsid w:val="00414851"/>
    <w:rsid w:val="00414CF3"/>
    <w:rsid w:val="00414D10"/>
    <w:rsid w:val="004151C0"/>
    <w:rsid w:val="00415334"/>
    <w:rsid w:val="004153A1"/>
    <w:rsid w:val="004155D3"/>
    <w:rsid w:val="00415CC4"/>
    <w:rsid w:val="00415F54"/>
    <w:rsid w:val="00415F9A"/>
    <w:rsid w:val="0041622A"/>
    <w:rsid w:val="004162CD"/>
    <w:rsid w:val="00416513"/>
    <w:rsid w:val="00416580"/>
    <w:rsid w:val="004165F1"/>
    <w:rsid w:val="00416821"/>
    <w:rsid w:val="0041686E"/>
    <w:rsid w:val="004168CF"/>
    <w:rsid w:val="00416EF8"/>
    <w:rsid w:val="00417120"/>
    <w:rsid w:val="0041724F"/>
    <w:rsid w:val="004173AA"/>
    <w:rsid w:val="004177FD"/>
    <w:rsid w:val="004179A0"/>
    <w:rsid w:val="00417AA5"/>
    <w:rsid w:val="00417ABA"/>
    <w:rsid w:val="00417DBB"/>
    <w:rsid w:val="00417F1D"/>
    <w:rsid w:val="004200B2"/>
    <w:rsid w:val="00420A64"/>
    <w:rsid w:val="00420CB6"/>
    <w:rsid w:val="00421475"/>
    <w:rsid w:val="00421589"/>
    <w:rsid w:val="0042167A"/>
    <w:rsid w:val="0042170D"/>
    <w:rsid w:val="004219EC"/>
    <w:rsid w:val="00421B73"/>
    <w:rsid w:val="00421B7B"/>
    <w:rsid w:val="00421E8E"/>
    <w:rsid w:val="004220A3"/>
    <w:rsid w:val="00422233"/>
    <w:rsid w:val="00422345"/>
    <w:rsid w:val="004226CB"/>
    <w:rsid w:val="004228AF"/>
    <w:rsid w:val="00422AEF"/>
    <w:rsid w:val="00422CAA"/>
    <w:rsid w:val="00422CD1"/>
    <w:rsid w:val="00422D35"/>
    <w:rsid w:val="00422DE1"/>
    <w:rsid w:val="0042307D"/>
    <w:rsid w:val="00423115"/>
    <w:rsid w:val="00423166"/>
    <w:rsid w:val="004233BC"/>
    <w:rsid w:val="00423556"/>
    <w:rsid w:val="0042365E"/>
    <w:rsid w:val="00423827"/>
    <w:rsid w:val="004238B1"/>
    <w:rsid w:val="00423BCC"/>
    <w:rsid w:val="00423C1E"/>
    <w:rsid w:val="00423F52"/>
    <w:rsid w:val="004240F3"/>
    <w:rsid w:val="00424142"/>
    <w:rsid w:val="0042422C"/>
    <w:rsid w:val="00424768"/>
    <w:rsid w:val="00424795"/>
    <w:rsid w:val="004247C9"/>
    <w:rsid w:val="00424817"/>
    <w:rsid w:val="004252B3"/>
    <w:rsid w:val="00425339"/>
    <w:rsid w:val="0042555E"/>
    <w:rsid w:val="0042557F"/>
    <w:rsid w:val="00425767"/>
    <w:rsid w:val="004257EE"/>
    <w:rsid w:val="00425957"/>
    <w:rsid w:val="00425968"/>
    <w:rsid w:val="00425B18"/>
    <w:rsid w:val="00425C71"/>
    <w:rsid w:val="00425DB0"/>
    <w:rsid w:val="00425EA7"/>
    <w:rsid w:val="00425F07"/>
    <w:rsid w:val="0042614D"/>
    <w:rsid w:val="00426212"/>
    <w:rsid w:val="004263EC"/>
    <w:rsid w:val="00426C2E"/>
    <w:rsid w:val="004271A1"/>
    <w:rsid w:val="0042740A"/>
    <w:rsid w:val="00427A61"/>
    <w:rsid w:val="00427A82"/>
    <w:rsid w:val="00427BFE"/>
    <w:rsid w:val="00427CA6"/>
    <w:rsid w:val="00427CC9"/>
    <w:rsid w:val="00427D87"/>
    <w:rsid w:val="00430111"/>
    <w:rsid w:val="00430662"/>
    <w:rsid w:val="004309D9"/>
    <w:rsid w:val="00430BC9"/>
    <w:rsid w:val="00430E30"/>
    <w:rsid w:val="00430EB9"/>
    <w:rsid w:val="00430FDC"/>
    <w:rsid w:val="00431240"/>
    <w:rsid w:val="004313F6"/>
    <w:rsid w:val="004315E4"/>
    <w:rsid w:val="0043162F"/>
    <w:rsid w:val="00431668"/>
    <w:rsid w:val="00431918"/>
    <w:rsid w:val="00431BF1"/>
    <w:rsid w:val="00431DBD"/>
    <w:rsid w:val="00431E77"/>
    <w:rsid w:val="004326E5"/>
    <w:rsid w:val="0043294F"/>
    <w:rsid w:val="00432A36"/>
    <w:rsid w:val="00432D12"/>
    <w:rsid w:val="00432ECE"/>
    <w:rsid w:val="004330A8"/>
    <w:rsid w:val="00433269"/>
    <w:rsid w:val="0043328A"/>
    <w:rsid w:val="004333A3"/>
    <w:rsid w:val="00433724"/>
    <w:rsid w:val="0043377E"/>
    <w:rsid w:val="00433AE7"/>
    <w:rsid w:val="00433CA7"/>
    <w:rsid w:val="00433D2A"/>
    <w:rsid w:val="00433D74"/>
    <w:rsid w:val="00433F5B"/>
    <w:rsid w:val="00434275"/>
    <w:rsid w:val="004342FE"/>
    <w:rsid w:val="00434364"/>
    <w:rsid w:val="0043453E"/>
    <w:rsid w:val="004349A9"/>
    <w:rsid w:val="004349B9"/>
    <w:rsid w:val="00434AA9"/>
    <w:rsid w:val="00434D0A"/>
    <w:rsid w:val="004350D7"/>
    <w:rsid w:val="00435222"/>
    <w:rsid w:val="00435262"/>
    <w:rsid w:val="0043574D"/>
    <w:rsid w:val="004357A2"/>
    <w:rsid w:val="004358A1"/>
    <w:rsid w:val="00435A93"/>
    <w:rsid w:val="00435D1A"/>
    <w:rsid w:val="00435EF6"/>
    <w:rsid w:val="004361F1"/>
    <w:rsid w:val="00436326"/>
    <w:rsid w:val="004363AC"/>
    <w:rsid w:val="00436797"/>
    <w:rsid w:val="00436930"/>
    <w:rsid w:val="00436A32"/>
    <w:rsid w:val="00436B5C"/>
    <w:rsid w:val="00436EFE"/>
    <w:rsid w:val="0043706B"/>
    <w:rsid w:val="00437309"/>
    <w:rsid w:val="0043739D"/>
    <w:rsid w:val="004378F0"/>
    <w:rsid w:val="00437912"/>
    <w:rsid w:val="004379A0"/>
    <w:rsid w:val="00437C76"/>
    <w:rsid w:val="00440028"/>
    <w:rsid w:val="004402B0"/>
    <w:rsid w:val="00440749"/>
    <w:rsid w:val="00440969"/>
    <w:rsid w:val="00440A25"/>
    <w:rsid w:val="00440B27"/>
    <w:rsid w:val="00440C7F"/>
    <w:rsid w:val="00440DC7"/>
    <w:rsid w:val="00440F17"/>
    <w:rsid w:val="00440FCA"/>
    <w:rsid w:val="00441132"/>
    <w:rsid w:val="004412F7"/>
    <w:rsid w:val="00441586"/>
    <w:rsid w:val="004418CB"/>
    <w:rsid w:val="00441DDB"/>
    <w:rsid w:val="00441E44"/>
    <w:rsid w:val="00441F6C"/>
    <w:rsid w:val="00441F6F"/>
    <w:rsid w:val="00442330"/>
    <w:rsid w:val="00442755"/>
    <w:rsid w:val="00442997"/>
    <w:rsid w:val="00442A0A"/>
    <w:rsid w:val="0044329F"/>
    <w:rsid w:val="00443519"/>
    <w:rsid w:val="00443529"/>
    <w:rsid w:val="00443733"/>
    <w:rsid w:val="00443805"/>
    <w:rsid w:val="0044399C"/>
    <w:rsid w:val="00443A13"/>
    <w:rsid w:val="0044402E"/>
    <w:rsid w:val="00444206"/>
    <w:rsid w:val="004444E2"/>
    <w:rsid w:val="0044453F"/>
    <w:rsid w:val="004445E2"/>
    <w:rsid w:val="00444654"/>
    <w:rsid w:val="00444739"/>
    <w:rsid w:val="00444AF6"/>
    <w:rsid w:val="00444BAB"/>
    <w:rsid w:val="00444F49"/>
    <w:rsid w:val="00444FCC"/>
    <w:rsid w:val="00445288"/>
    <w:rsid w:val="0044531D"/>
    <w:rsid w:val="00445412"/>
    <w:rsid w:val="00445A9D"/>
    <w:rsid w:val="00445B38"/>
    <w:rsid w:val="00445D93"/>
    <w:rsid w:val="00446083"/>
    <w:rsid w:val="0044648A"/>
    <w:rsid w:val="004464E6"/>
    <w:rsid w:val="00446633"/>
    <w:rsid w:val="004466D3"/>
    <w:rsid w:val="00446A27"/>
    <w:rsid w:val="00446A6D"/>
    <w:rsid w:val="00446BEF"/>
    <w:rsid w:val="00446CB1"/>
    <w:rsid w:val="0044753C"/>
    <w:rsid w:val="00447724"/>
    <w:rsid w:val="00447757"/>
    <w:rsid w:val="00447797"/>
    <w:rsid w:val="00447819"/>
    <w:rsid w:val="00450237"/>
    <w:rsid w:val="004502B6"/>
    <w:rsid w:val="00450397"/>
    <w:rsid w:val="004503CE"/>
    <w:rsid w:val="00450659"/>
    <w:rsid w:val="00450B15"/>
    <w:rsid w:val="00450B35"/>
    <w:rsid w:val="00450D5B"/>
    <w:rsid w:val="00450DEE"/>
    <w:rsid w:val="0045126E"/>
    <w:rsid w:val="004512C3"/>
    <w:rsid w:val="004512EF"/>
    <w:rsid w:val="0045158D"/>
    <w:rsid w:val="0045188A"/>
    <w:rsid w:val="00451B01"/>
    <w:rsid w:val="00451D88"/>
    <w:rsid w:val="004520D4"/>
    <w:rsid w:val="004520EC"/>
    <w:rsid w:val="00452143"/>
    <w:rsid w:val="00452A80"/>
    <w:rsid w:val="00452D8B"/>
    <w:rsid w:val="00452F1A"/>
    <w:rsid w:val="00452FB6"/>
    <w:rsid w:val="00453272"/>
    <w:rsid w:val="00453391"/>
    <w:rsid w:val="00453472"/>
    <w:rsid w:val="004536AA"/>
    <w:rsid w:val="00453966"/>
    <w:rsid w:val="00453A2B"/>
    <w:rsid w:val="00453C5B"/>
    <w:rsid w:val="00453C6C"/>
    <w:rsid w:val="00453CE9"/>
    <w:rsid w:val="00453D15"/>
    <w:rsid w:val="00453FA9"/>
    <w:rsid w:val="00453FEE"/>
    <w:rsid w:val="00454122"/>
    <w:rsid w:val="00454137"/>
    <w:rsid w:val="00454165"/>
    <w:rsid w:val="00454210"/>
    <w:rsid w:val="004542B1"/>
    <w:rsid w:val="0045448E"/>
    <w:rsid w:val="004546F9"/>
    <w:rsid w:val="004547B5"/>
    <w:rsid w:val="00454AD4"/>
    <w:rsid w:val="00454BD9"/>
    <w:rsid w:val="004551F6"/>
    <w:rsid w:val="0045541B"/>
    <w:rsid w:val="004556D1"/>
    <w:rsid w:val="004558F9"/>
    <w:rsid w:val="00455A1C"/>
    <w:rsid w:val="00455AD4"/>
    <w:rsid w:val="0045604D"/>
    <w:rsid w:val="00456060"/>
    <w:rsid w:val="004560A9"/>
    <w:rsid w:val="00456107"/>
    <w:rsid w:val="004561B6"/>
    <w:rsid w:val="004563B0"/>
    <w:rsid w:val="00456788"/>
    <w:rsid w:val="00456793"/>
    <w:rsid w:val="00456AD4"/>
    <w:rsid w:val="00456D39"/>
    <w:rsid w:val="00456E11"/>
    <w:rsid w:val="00456FCA"/>
    <w:rsid w:val="00457080"/>
    <w:rsid w:val="00457173"/>
    <w:rsid w:val="00457298"/>
    <w:rsid w:val="004573F9"/>
    <w:rsid w:val="0045745C"/>
    <w:rsid w:val="00460196"/>
    <w:rsid w:val="0046025C"/>
    <w:rsid w:val="00460420"/>
    <w:rsid w:val="0046071F"/>
    <w:rsid w:val="00460797"/>
    <w:rsid w:val="004608E7"/>
    <w:rsid w:val="00460CD6"/>
    <w:rsid w:val="00460D18"/>
    <w:rsid w:val="00460EE7"/>
    <w:rsid w:val="004610B5"/>
    <w:rsid w:val="004615AF"/>
    <w:rsid w:val="0046168A"/>
    <w:rsid w:val="004617E6"/>
    <w:rsid w:val="004618B6"/>
    <w:rsid w:val="004620DB"/>
    <w:rsid w:val="004621C9"/>
    <w:rsid w:val="00462252"/>
    <w:rsid w:val="004624C0"/>
    <w:rsid w:val="00462504"/>
    <w:rsid w:val="00462702"/>
    <w:rsid w:val="004627C6"/>
    <w:rsid w:val="00462B14"/>
    <w:rsid w:val="00462BAC"/>
    <w:rsid w:val="00462C5F"/>
    <w:rsid w:val="004631B4"/>
    <w:rsid w:val="00463652"/>
    <w:rsid w:val="004639BC"/>
    <w:rsid w:val="00463CCB"/>
    <w:rsid w:val="00463D32"/>
    <w:rsid w:val="00463E23"/>
    <w:rsid w:val="00463E9A"/>
    <w:rsid w:val="00464001"/>
    <w:rsid w:val="00464050"/>
    <w:rsid w:val="004642BB"/>
    <w:rsid w:val="004644A5"/>
    <w:rsid w:val="0046478D"/>
    <w:rsid w:val="004648E3"/>
    <w:rsid w:val="00464931"/>
    <w:rsid w:val="0046496C"/>
    <w:rsid w:val="00464E7E"/>
    <w:rsid w:val="0046525C"/>
    <w:rsid w:val="00465475"/>
    <w:rsid w:val="00465485"/>
    <w:rsid w:val="0046548D"/>
    <w:rsid w:val="00465918"/>
    <w:rsid w:val="00465961"/>
    <w:rsid w:val="00466192"/>
    <w:rsid w:val="0046638E"/>
    <w:rsid w:val="004669E9"/>
    <w:rsid w:val="00466A54"/>
    <w:rsid w:val="00466C88"/>
    <w:rsid w:val="00466CC1"/>
    <w:rsid w:val="00466E57"/>
    <w:rsid w:val="00467685"/>
    <w:rsid w:val="0046770C"/>
    <w:rsid w:val="0046776D"/>
    <w:rsid w:val="00470C7D"/>
    <w:rsid w:val="00470CF3"/>
    <w:rsid w:val="00470F1D"/>
    <w:rsid w:val="0047118B"/>
    <w:rsid w:val="004711BD"/>
    <w:rsid w:val="004717F5"/>
    <w:rsid w:val="004718F4"/>
    <w:rsid w:val="00471B1C"/>
    <w:rsid w:val="00471EF3"/>
    <w:rsid w:val="00471F50"/>
    <w:rsid w:val="00472169"/>
    <w:rsid w:val="00472318"/>
    <w:rsid w:val="004725D4"/>
    <w:rsid w:val="0047268D"/>
    <w:rsid w:val="00472C16"/>
    <w:rsid w:val="00472CCB"/>
    <w:rsid w:val="00472CCE"/>
    <w:rsid w:val="004732D8"/>
    <w:rsid w:val="004740BA"/>
    <w:rsid w:val="004741DC"/>
    <w:rsid w:val="004743E4"/>
    <w:rsid w:val="0047454E"/>
    <w:rsid w:val="0047462F"/>
    <w:rsid w:val="004746FF"/>
    <w:rsid w:val="004747C5"/>
    <w:rsid w:val="0047497C"/>
    <w:rsid w:val="00474DA4"/>
    <w:rsid w:val="00475284"/>
    <w:rsid w:val="0047560E"/>
    <w:rsid w:val="00475685"/>
    <w:rsid w:val="004756A6"/>
    <w:rsid w:val="00475953"/>
    <w:rsid w:val="00475B75"/>
    <w:rsid w:val="00475BCE"/>
    <w:rsid w:val="00475BDD"/>
    <w:rsid w:val="004760FA"/>
    <w:rsid w:val="00476161"/>
    <w:rsid w:val="0047623E"/>
    <w:rsid w:val="0047626C"/>
    <w:rsid w:val="004762F0"/>
    <w:rsid w:val="004763AE"/>
    <w:rsid w:val="00476445"/>
    <w:rsid w:val="004764A9"/>
    <w:rsid w:val="0047674D"/>
    <w:rsid w:val="00476A81"/>
    <w:rsid w:val="00476D70"/>
    <w:rsid w:val="004776A0"/>
    <w:rsid w:val="00477756"/>
    <w:rsid w:val="004779C7"/>
    <w:rsid w:val="00477BCE"/>
    <w:rsid w:val="00477C85"/>
    <w:rsid w:val="00477D34"/>
    <w:rsid w:val="00480200"/>
    <w:rsid w:val="00480A2A"/>
    <w:rsid w:val="00480A4A"/>
    <w:rsid w:val="00480ACB"/>
    <w:rsid w:val="00480EB7"/>
    <w:rsid w:val="00480F3B"/>
    <w:rsid w:val="004810C6"/>
    <w:rsid w:val="00481237"/>
    <w:rsid w:val="004815DB"/>
    <w:rsid w:val="00481677"/>
    <w:rsid w:val="00481F46"/>
    <w:rsid w:val="004823F9"/>
    <w:rsid w:val="00482592"/>
    <w:rsid w:val="00482775"/>
    <w:rsid w:val="00482B63"/>
    <w:rsid w:val="00482F5F"/>
    <w:rsid w:val="004830DB"/>
    <w:rsid w:val="00483619"/>
    <w:rsid w:val="00483690"/>
    <w:rsid w:val="00483745"/>
    <w:rsid w:val="00483747"/>
    <w:rsid w:val="004837F8"/>
    <w:rsid w:val="0048390E"/>
    <w:rsid w:val="00483A03"/>
    <w:rsid w:val="00483F24"/>
    <w:rsid w:val="004844EE"/>
    <w:rsid w:val="004844FB"/>
    <w:rsid w:val="00484698"/>
    <w:rsid w:val="004846A4"/>
    <w:rsid w:val="004848FC"/>
    <w:rsid w:val="00484A8A"/>
    <w:rsid w:val="00484AE4"/>
    <w:rsid w:val="00484F6C"/>
    <w:rsid w:val="00485591"/>
    <w:rsid w:val="00485619"/>
    <w:rsid w:val="004856DD"/>
    <w:rsid w:val="004856E7"/>
    <w:rsid w:val="00485B70"/>
    <w:rsid w:val="00485DB9"/>
    <w:rsid w:val="00486139"/>
    <w:rsid w:val="00486414"/>
    <w:rsid w:val="00486447"/>
    <w:rsid w:val="004866E9"/>
    <w:rsid w:val="00486787"/>
    <w:rsid w:val="004867AD"/>
    <w:rsid w:val="00486A1D"/>
    <w:rsid w:val="00486AA5"/>
    <w:rsid w:val="00486C7A"/>
    <w:rsid w:val="00486E08"/>
    <w:rsid w:val="00486E64"/>
    <w:rsid w:val="00487262"/>
    <w:rsid w:val="0048749F"/>
    <w:rsid w:val="0048751A"/>
    <w:rsid w:val="00487653"/>
    <w:rsid w:val="0048792D"/>
    <w:rsid w:val="00487961"/>
    <w:rsid w:val="00487A44"/>
    <w:rsid w:val="00487AE1"/>
    <w:rsid w:val="00487B37"/>
    <w:rsid w:val="00487D8A"/>
    <w:rsid w:val="00487EA9"/>
    <w:rsid w:val="00487F0A"/>
    <w:rsid w:val="00490789"/>
    <w:rsid w:val="00490C17"/>
    <w:rsid w:val="00490C3A"/>
    <w:rsid w:val="00490C51"/>
    <w:rsid w:val="00490DF7"/>
    <w:rsid w:val="00490E97"/>
    <w:rsid w:val="004910C0"/>
    <w:rsid w:val="00491123"/>
    <w:rsid w:val="004912A3"/>
    <w:rsid w:val="0049143B"/>
    <w:rsid w:val="004917F1"/>
    <w:rsid w:val="00491A5D"/>
    <w:rsid w:val="00491BF8"/>
    <w:rsid w:val="00491FD9"/>
    <w:rsid w:val="00492022"/>
    <w:rsid w:val="0049222F"/>
    <w:rsid w:val="004929F5"/>
    <w:rsid w:val="00492B2E"/>
    <w:rsid w:val="0049321F"/>
    <w:rsid w:val="0049347B"/>
    <w:rsid w:val="004935AA"/>
    <w:rsid w:val="00493694"/>
    <w:rsid w:val="00493A67"/>
    <w:rsid w:val="00493E4C"/>
    <w:rsid w:val="00493E95"/>
    <w:rsid w:val="00493F80"/>
    <w:rsid w:val="004940A0"/>
    <w:rsid w:val="00494179"/>
    <w:rsid w:val="004941CE"/>
    <w:rsid w:val="004945F6"/>
    <w:rsid w:val="00494E58"/>
    <w:rsid w:val="00494E8A"/>
    <w:rsid w:val="004952C5"/>
    <w:rsid w:val="0049573C"/>
    <w:rsid w:val="004957B8"/>
    <w:rsid w:val="0049592F"/>
    <w:rsid w:val="00495999"/>
    <w:rsid w:val="00495C64"/>
    <w:rsid w:val="00495D93"/>
    <w:rsid w:val="00495E0F"/>
    <w:rsid w:val="00495F14"/>
    <w:rsid w:val="00496027"/>
    <w:rsid w:val="00496252"/>
    <w:rsid w:val="0049644E"/>
    <w:rsid w:val="00496644"/>
    <w:rsid w:val="004966A5"/>
    <w:rsid w:val="004968EC"/>
    <w:rsid w:val="00496C96"/>
    <w:rsid w:val="004975C9"/>
    <w:rsid w:val="00497750"/>
    <w:rsid w:val="004977EA"/>
    <w:rsid w:val="00497EA7"/>
    <w:rsid w:val="004A0050"/>
    <w:rsid w:val="004A039B"/>
    <w:rsid w:val="004A047E"/>
    <w:rsid w:val="004A04E8"/>
    <w:rsid w:val="004A05F9"/>
    <w:rsid w:val="004A073B"/>
    <w:rsid w:val="004A0748"/>
    <w:rsid w:val="004A0751"/>
    <w:rsid w:val="004A0766"/>
    <w:rsid w:val="004A0A4C"/>
    <w:rsid w:val="004A0A5E"/>
    <w:rsid w:val="004A0AA6"/>
    <w:rsid w:val="004A0C9D"/>
    <w:rsid w:val="004A0CCC"/>
    <w:rsid w:val="004A0E7E"/>
    <w:rsid w:val="004A0E97"/>
    <w:rsid w:val="004A0F19"/>
    <w:rsid w:val="004A102E"/>
    <w:rsid w:val="004A10A9"/>
    <w:rsid w:val="004A11BB"/>
    <w:rsid w:val="004A13C9"/>
    <w:rsid w:val="004A1493"/>
    <w:rsid w:val="004A171D"/>
    <w:rsid w:val="004A1795"/>
    <w:rsid w:val="004A17E4"/>
    <w:rsid w:val="004A1920"/>
    <w:rsid w:val="004A1BE9"/>
    <w:rsid w:val="004A27F6"/>
    <w:rsid w:val="004A2A3B"/>
    <w:rsid w:val="004A2A96"/>
    <w:rsid w:val="004A2DC2"/>
    <w:rsid w:val="004A2DCB"/>
    <w:rsid w:val="004A31A9"/>
    <w:rsid w:val="004A3294"/>
    <w:rsid w:val="004A32AB"/>
    <w:rsid w:val="004A32BA"/>
    <w:rsid w:val="004A333E"/>
    <w:rsid w:val="004A389F"/>
    <w:rsid w:val="004A3D7B"/>
    <w:rsid w:val="004A3EB7"/>
    <w:rsid w:val="004A4044"/>
    <w:rsid w:val="004A4338"/>
    <w:rsid w:val="004A4734"/>
    <w:rsid w:val="004A480B"/>
    <w:rsid w:val="004A4834"/>
    <w:rsid w:val="004A4950"/>
    <w:rsid w:val="004A566D"/>
    <w:rsid w:val="004A5A39"/>
    <w:rsid w:val="004A5C31"/>
    <w:rsid w:val="004A5F8F"/>
    <w:rsid w:val="004A6416"/>
    <w:rsid w:val="004A665B"/>
    <w:rsid w:val="004A66A8"/>
    <w:rsid w:val="004A67C3"/>
    <w:rsid w:val="004A688B"/>
    <w:rsid w:val="004A6BC4"/>
    <w:rsid w:val="004A6C51"/>
    <w:rsid w:val="004A6CC5"/>
    <w:rsid w:val="004A6F4B"/>
    <w:rsid w:val="004A7105"/>
    <w:rsid w:val="004A7217"/>
    <w:rsid w:val="004A74C4"/>
    <w:rsid w:val="004A7543"/>
    <w:rsid w:val="004A7575"/>
    <w:rsid w:val="004A7A5C"/>
    <w:rsid w:val="004A7E1D"/>
    <w:rsid w:val="004B0230"/>
    <w:rsid w:val="004B027E"/>
    <w:rsid w:val="004B033E"/>
    <w:rsid w:val="004B0448"/>
    <w:rsid w:val="004B055B"/>
    <w:rsid w:val="004B06A9"/>
    <w:rsid w:val="004B0705"/>
    <w:rsid w:val="004B09F2"/>
    <w:rsid w:val="004B0CA8"/>
    <w:rsid w:val="004B0CBF"/>
    <w:rsid w:val="004B140A"/>
    <w:rsid w:val="004B1864"/>
    <w:rsid w:val="004B19B6"/>
    <w:rsid w:val="004B1A2D"/>
    <w:rsid w:val="004B20B9"/>
    <w:rsid w:val="004B2353"/>
    <w:rsid w:val="004B2425"/>
    <w:rsid w:val="004B257D"/>
    <w:rsid w:val="004B2710"/>
    <w:rsid w:val="004B288D"/>
    <w:rsid w:val="004B28B9"/>
    <w:rsid w:val="004B2AD4"/>
    <w:rsid w:val="004B2CB1"/>
    <w:rsid w:val="004B2CB5"/>
    <w:rsid w:val="004B34CC"/>
    <w:rsid w:val="004B36E0"/>
    <w:rsid w:val="004B3E2E"/>
    <w:rsid w:val="004B3F41"/>
    <w:rsid w:val="004B3F4F"/>
    <w:rsid w:val="004B4160"/>
    <w:rsid w:val="004B4507"/>
    <w:rsid w:val="004B4792"/>
    <w:rsid w:val="004B47C2"/>
    <w:rsid w:val="004B47D9"/>
    <w:rsid w:val="004B48C5"/>
    <w:rsid w:val="004B4C70"/>
    <w:rsid w:val="004B50D6"/>
    <w:rsid w:val="004B51B1"/>
    <w:rsid w:val="004B53EA"/>
    <w:rsid w:val="004B5418"/>
    <w:rsid w:val="004B5A7E"/>
    <w:rsid w:val="004B5D07"/>
    <w:rsid w:val="004B5F67"/>
    <w:rsid w:val="004B5FEF"/>
    <w:rsid w:val="004B6120"/>
    <w:rsid w:val="004B66CE"/>
    <w:rsid w:val="004B6BF0"/>
    <w:rsid w:val="004B73D5"/>
    <w:rsid w:val="004B7435"/>
    <w:rsid w:val="004B7671"/>
    <w:rsid w:val="004B76FE"/>
    <w:rsid w:val="004B799B"/>
    <w:rsid w:val="004B7A8D"/>
    <w:rsid w:val="004B7AC8"/>
    <w:rsid w:val="004B7C77"/>
    <w:rsid w:val="004B7E6D"/>
    <w:rsid w:val="004C05B6"/>
    <w:rsid w:val="004C0A14"/>
    <w:rsid w:val="004C138A"/>
    <w:rsid w:val="004C142D"/>
    <w:rsid w:val="004C146C"/>
    <w:rsid w:val="004C164F"/>
    <w:rsid w:val="004C1921"/>
    <w:rsid w:val="004C196C"/>
    <w:rsid w:val="004C1DE0"/>
    <w:rsid w:val="004C20EA"/>
    <w:rsid w:val="004C2463"/>
    <w:rsid w:val="004C2D7B"/>
    <w:rsid w:val="004C30AE"/>
    <w:rsid w:val="004C3169"/>
    <w:rsid w:val="004C32F9"/>
    <w:rsid w:val="004C334E"/>
    <w:rsid w:val="004C34D4"/>
    <w:rsid w:val="004C399D"/>
    <w:rsid w:val="004C39AC"/>
    <w:rsid w:val="004C39EA"/>
    <w:rsid w:val="004C3A38"/>
    <w:rsid w:val="004C3CD4"/>
    <w:rsid w:val="004C3E8A"/>
    <w:rsid w:val="004C4359"/>
    <w:rsid w:val="004C43D0"/>
    <w:rsid w:val="004C4470"/>
    <w:rsid w:val="004C489C"/>
    <w:rsid w:val="004C4D63"/>
    <w:rsid w:val="004C4DF4"/>
    <w:rsid w:val="004C4F46"/>
    <w:rsid w:val="004C4FB4"/>
    <w:rsid w:val="004C503D"/>
    <w:rsid w:val="004C5366"/>
    <w:rsid w:val="004C5975"/>
    <w:rsid w:val="004C5A73"/>
    <w:rsid w:val="004C5D33"/>
    <w:rsid w:val="004C5FCE"/>
    <w:rsid w:val="004C651D"/>
    <w:rsid w:val="004C68F7"/>
    <w:rsid w:val="004C69ED"/>
    <w:rsid w:val="004C6B33"/>
    <w:rsid w:val="004C6C8A"/>
    <w:rsid w:val="004C6DE1"/>
    <w:rsid w:val="004C706C"/>
    <w:rsid w:val="004C7280"/>
    <w:rsid w:val="004C73D8"/>
    <w:rsid w:val="004C76F3"/>
    <w:rsid w:val="004C7731"/>
    <w:rsid w:val="004C7920"/>
    <w:rsid w:val="004C7D28"/>
    <w:rsid w:val="004C7EAC"/>
    <w:rsid w:val="004C7ECE"/>
    <w:rsid w:val="004C7F43"/>
    <w:rsid w:val="004D00A0"/>
    <w:rsid w:val="004D0424"/>
    <w:rsid w:val="004D0481"/>
    <w:rsid w:val="004D060B"/>
    <w:rsid w:val="004D078A"/>
    <w:rsid w:val="004D0CB3"/>
    <w:rsid w:val="004D0D74"/>
    <w:rsid w:val="004D1A38"/>
    <w:rsid w:val="004D1E39"/>
    <w:rsid w:val="004D1E89"/>
    <w:rsid w:val="004D2AE2"/>
    <w:rsid w:val="004D2B17"/>
    <w:rsid w:val="004D2BCE"/>
    <w:rsid w:val="004D2E00"/>
    <w:rsid w:val="004D31B5"/>
    <w:rsid w:val="004D31C1"/>
    <w:rsid w:val="004D37EF"/>
    <w:rsid w:val="004D3900"/>
    <w:rsid w:val="004D3D1E"/>
    <w:rsid w:val="004D4141"/>
    <w:rsid w:val="004D4265"/>
    <w:rsid w:val="004D43B8"/>
    <w:rsid w:val="004D4404"/>
    <w:rsid w:val="004D45FA"/>
    <w:rsid w:val="004D4B81"/>
    <w:rsid w:val="004D4BD8"/>
    <w:rsid w:val="004D4BE0"/>
    <w:rsid w:val="004D4CAF"/>
    <w:rsid w:val="004D4CBC"/>
    <w:rsid w:val="004D4F01"/>
    <w:rsid w:val="004D5326"/>
    <w:rsid w:val="004D5392"/>
    <w:rsid w:val="004D545A"/>
    <w:rsid w:val="004D5731"/>
    <w:rsid w:val="004D574C"/>
    <w:rsid w:val="004D5850"/>
    <w:rsid w:val="004D5947"/>
    <w:rsid w:val="004D5B39"/>
    <w:rsid w:val="004D65EE"/>
    <w:rsid w:val="004D660B"/>
    <w:rsid w:val="004D6D10"/>
    <w:rsid w:val="004D777A"/>
    <w:rsid w:val="004D7A2B"/>
    <w:rsid w:val="004D7CB8"/>
    <w:rsid w:val="004E031B"/>
    <w:rsid w:val="004E0557"/>
    <w:rsid w:val="004E058F"/>
    <w:rsid w:val="004E0658"/>
    <w:rsid w:val="004E07A3"/>
    <w:rsid w:val="004E0812"/>
    <w:rsid w:val="004E08F9"/>
    <w:rsid w:val="004E0A23"/>
    <w:rsid w:val="004E0C28"/>
    <w:rsid w:val="004E0C30"/>
    <w:rsid w:val="004E0C94"/>
    <w:rsid w:val="004E0D6D"/>
    <w:rsid w:val="004E0E6F"/>
    <w:rsid w:val="004E0E8C"/>
    <w:rsid w:val="004E10BD"/>
    <w:rsid w:val="004E1550"/>
    <w:rsid w:val="004E1659"/>
    <w:rsid w:val="004E1703"/>
    <w:rsid w:val="004E1920"/>
    <w:rsid w:val="004E1AD6"/>
    <w:rsid w:val="004E2202"/>
    <w:rsid w:val="004E232C"/>
    <w:rsid w:val="004E2501"/>
    <w:rsid w:val="004E2EFF"/>
    <w:rsid w:val="004E3167"/>
    <w:rsid w:val="004E34C1"/>
    <w:rsid w:val="004E36DE"/>
    <w:rsid w:val="004E37F3"/>
    <w:rsid w:val="004E3881"/>
    <w:rsid w:val="004E3DFE"/>
    <w:rsid w:val="004E402B"/>
    <w:rsid w:val="004E48A1"/>
    <w:rsid w:val="004E4A10"/>
    <w:rsid w:val="004E5023"/>
    <w:rsid w:val="004E50A5"/>
    <w:rsid w:val="004E553D"/>
    <w:rsid w:val="004E56D5"/>
    <w:rsid w:val="004E57F7"/>
    <w:rsid w:val="004E5DAE"/>
    <w:rsid w:val="004E5ECF"/>
    <w:rsid w:val="004E5F1C"/>
    <w:rsid w:val="004E6014"/>
    <w:rsid w:val="004E6328"/>
    <w:rsid w:val="004E639B"/>
    <w:rsid w:val="004E6982"/>
    <w:rsid w:val="004E6F53"/>
    <w:rsid w:val="004E6FDB"/>
    <w:rsid w:val="004E741A"/>
    <w:rsid w:val="004E75EC"/>
    <w:rsid w:val="004E7A51"/>
    <w:rsid w:val="004E7B33"/>
    <w:rsid w:val="004E7CD6"/>
    <w:rsid w:val="004E7E3B"/>
    <w:rsid w:val="004E7E43"/>
    <w:rsid w:val="004F001A"/>
    <w:rsid w:val="004F0247"/>
    <w:rsid w:val="004F0472"/>
    <w:rsid w:val="004F0526"/>
    <w:rsid w:val="004F0630"/>
    <w:rsid w:val="004F0CD1"/>
    <w:rsid w:val="004F0F16"/>
    <w:rsid w:val="004F0FC4"/>
    <w:rsid w:val="004F12A1"/>
    <w:rsid w:val="004F1317"/>
    <w:rsid w:val="004F13EF"/>
    <w:rsid w:val="004F1A45"/>
    <w:rsid w:val="004F1E7F"/>
    <w:rsid w:val="004F2344"/>
    <w:rsid w:val="004F248D"/>
    <w:rsid w:val="004F260F"/>
    <w:rsid w:val="004F26D7"/>
    <w:rsid w:val="004F2DEB"/>
    <w:rsid w:val="004F2EFD"/>
    <w:rsid w:val="004F2FAF"/>
    <w:rsid w:val="004F30D0"/>
    <w:rsid w:val="004F37F8"/>
    <w:rsid w:val="004F38B2"/>
    <w:rsid w:val="004F3A31"/>
    <w:rsid w:val="004F3BCF"/>
    <w:rsid w:val="004F3C71"/>
    <w:rsid w:val="004F41AD"/>
    <w:rsid w:val="004F46C8"/>
    <w:rsid w:val="004F4A5D"/>
    <w:rsid w:val="004F4C0F"/>
    <w:rsid w:val="004F4C22"/>
    <w:rsid w:val="004F4CF3"/>
    <w:rsid w:val="004F4E34"/>
    <w:rsid w:val="004F520C"/>
    <w:rsid w:val="004F5379"/>
    <w:rsid w:val="004F5740"/>
    <w:rsid w:val="004F577D"/>
    <w:rsid w:val="004F57B2"/>
    <w:rsid w:val="004F5835"/>
    <w:rsid w:val="004F592A"/>
    <w:rsid w:val="004F59E4"/>
    <w:rsid w:val="004F5A2C"/>
    <w:rsid w:val="004F5DA4"/>
    <w:rsid w:val="004F5F58"/>
    <w:rsid w:val="004F605B"/>
    <w:rsid w:val="004F6431"/>
    <w:rsid w:val="004F65CF"/>
    <w:rsid w:val="004F66EF"/>
    <w:rsid w:val="004F6737"/>
    <w:rsid w:val="004F695B"/>
    <w:rsid w:val="004F6BF3"/>
    <w:rsid w:val="004F6E50"/>
    <w:rsid w:val="004F74C8"/>
    <w:rsid w:val="004F750E"/>
    <w:rsid w:val="004F753B"/>
    <w:rsid w:val="004F76F2"/>
    <w:rsid w:val="004F7780"/>
    <w:rsid w:val="004F7AA6"/>
    <w:rsid w:val="004F7CE8"/>
    <w:rsid w:val="004F7F19"/>
    <w:rsid w:val="004F7F2D"/>
    <w:rsid w:val="004F7FE2"/>
    <w:rsid w:val="00500142"/>
    <w:rsid w:val="005009FF"/>
    <w:rsid w:val="00500A10"/>
    <w:rsid w:val="00500B03"/>
    <w:rsid w:val="00500CE2"/>
    <w:rsid w:val="00500FD0"/>
    <w:rsid w:val="00501038"/>
    <w:rsid w:val="0050121D"/>
    <w:rsid w:val="00501B14"/>
    <w:rsid w:val="00501D68"/>
    <w:rsid w:val="00502099"/>
    <w:rsid w:val="0050239B"/>
    <w:rsid w:val="00502830"/>
    <w:rsid w:val="0050299E"/>
    <w:rsid w:val="00502D59"/>
    <w:rsid w:val="00502E0C"/>
    <w:rsid w:val="0050334F"/>
    <w:rsid w:val="0050335D"/>
    <w:rsid w:val="00503B2C"/>
    <w:rsid w:val="00503EB7"/>
    <w:rsid w:val="00504093"/>
    <w:rsid w:val="005042DD"/>
    <w:rsid w:val="005042E4"/>
    <w:rsid w:val="005043EF"/>
    <w:rsid w:val="00504433"/>
    <w:rsid w:val="0050454E"/>
    <w:rsid w:val="00504AAB"/>
    <w:rsid w:val="00504B0A"/>
    <w:rsid w:val="00504FA4"/>
    <w:rsid w:val="005055A7"/>
    <w:rsid w:val="00505870"/>
    <w:rsid w:val="00505B27"/>
    <w:rsid w:val="00505E41"/>
    <w:rsid w:val="00505FF2"/>
    <w:rsid w:val="005061C5"/>
    <w:rsid w:val="005064AE"/>
    <w:rsid w:val="00506D65"/>
    <w:rsid w:val="0050726B"/>
    <w:rsid w:val="005072AA"/>
    <w:rsid w:val="005072C7"/>
    <w:rsid w:val="00507766"/>
    <w:rsid w:val="00507C90"/>
    <w:rsid w:val="00507FE8"/>
    <w:rsid w:val="00510067"/>
    <w:rsid w:val="0051066A"/>
    <w:rsid w:val="00510898"/>
    <w:rsid w:val="00510F12"/>
    <w:rsid w:val="0051107F"/>
    <w:rsid w:val="005110B2"/>
    <w:rsid w:val="005111F2"/>
    <w:rsid w:val="005112FA"/>
    <w:rsid w:val="00511337"/>
    <w:rsid w:val="005114FB"/>
    <w:rsid w:val="005115A3"/>
    <w:rsid w:val="005117A4"/>
    <w:rsid w:val="005118ED"/>
    <w:rsid w:val="00511BD1"/>
    <w:rsid w:val="00511CD2"/>
    <w:rsid w:val="00511DA7"/>
    <w:rsid w:val="005122EE"/>
    <w:rsid w:val="00512425"/>
    <w:rsid w:val="00512566"/>
    <w:rsid w:val="005126FD"/>
    <w:rsid w:val="005127B7"/>
    <w:rsid w:val="00512A0E"/>
    <w:rsid w:val="00512D23"/>
    <w:rsid w:val="00512E94"/>
    <w:rsid w:val="00512FF1"/>
    <w:rsid w:val="0051332E"/>
    <w:rsid w:val="005133FD"/>
    <w:rsid w:val="00513457"/>
    <w:rsid w:val="00513570"/>
    <w:rsid w:val="005138B6"/>
    <w:rsid w:val="00513D8F"/>
    <w:rsid w:val="00514066"/>
    <w:rsid w:val="0051479E"/>
    <w:rsid w:val="005147E4"/>
    <w:rsid w:val="00514B8F"/>
    <w:rsid w:val="00514D07"/>
    <w:rsid w:val="00514DD7"/>
    <w:rsid w:val="00514EA8"/>
    <w:rsid w:val="00514F0A"/>
    <w:rsid w:val="0051501F"/>
    <w:rsid w:val="00515028"/>
    <w:rsid w:val="0051520A"/>
    <w:rsid w:val="005152A1"/>
    <w:rsid w:val="00515388"/>
    <w:rsid w:val="00515537"/>
    <w:rsid w:val="00515594"/>
    <w:rsid w:val="0051580B"/>
    <w:rsid w:val="00515946"/>
    <w:rsid w:val="00516055"/>
    <w:rsid w:val="005162C6"/>
    <w:rsid w:val="0051633A"/>
    <w:rsid w:val="0051676A"/>
    <w:rsid w:val="0051679A"/>
    <w:rsid w:val="00516858"/>
    <w:rsid w:val="0051695D"/>
    <w:rsid w:val="00516A7C"/>
    <w:rsid w:val="00516B66"/>
    <w:rsid w:val="00516C17"/>
    <w:rsid w:val="00516FE0"/>
    <w:rsid w:val="0051703B"/>
    <w:rsid w:val="00517382"/>
    <w:rsid w:val="005173CE"/>
    <w:rsid w:val="005174AD"/>
    <w:rsid w:val="00517521"/>
    <w:rsid w:val="00517ABC"/>
    <w:rsid w:val="00517D0A"/>
    <w:rsid w:val="00520004"/>
    <w:rsid w:val="0052000E"/>
    <w:rsid w:val="00520033"/>
    <w:rsid w:val="00520115"/>
    <w:rsid w:val="005201F3"/>
    <w:rsid w:val="00520645"/>
    <w:rsid w:val="005207E8"/>
    <w:rsid w:val="00520867"/>
    <w:rsid w:val="0052092A"/>
    <w:rsid w:val="00520971"/>
    <w:rsid w:val="00520B7D"/>
    <w:rsid w:val="00520BE2"/>
    <w:rsid w:val="00520BF8"/>
    <w:rsid w:val="00520E27"/>
    <w:rsid w:val="00520F20"/>
    <w:rsid w:val="00520F57"/>
    <w:rsid w:val="00521B93"/>
    <w:rsid w:val="00521D28"/>
    <w:rsid w:val="00521EBD"/>
    <w:rsid w:val="00522008"/>
    <w:rsid w:val="00522275"/>
    <w:rsid w:val="005222B0"/>
    <w:rsid w:val="005223E9"/>
    <w:rsid w:val="005228D7"/>
    <w:rsid w:val="00522E56"/>
    <w:rsid w:val="005230C2"/>
    <w:rsid w:val="00523154"/>
    <w:rsid w:val="00523586"/>
    <w:rsid w:val="005236B9"/>
    <w:rsid w:val="00523762"/>
    <w:rsid w:val="005239CF"/>
    <w:rsid w:val="00523BB4"/>
    <w:rsid w:val="00523C7E"/>
    <w:rsid w:val="00524048"/>
    <w:rsid w:val="005242A0"/>
    <w:rsid w:val="005244F1"/>
    <w:rsid w:val="0052466B"/>
    <w:rsid w:val="00524A87"/>
    <w:rsid w:val="00525064"/>
    <w:rsid w:val="005250E3"/>
    <w:rsid w:val="005253FE"/>
    <w:rsid w:val="00525893"/>
    <w:rsid w:val="00525942"/>
    <w:rsid w:val="00525E3B"/>
    <w:rsid w:val="0052615D"/>
    <w:rsid w:val="00526E8B"/>
    <w:rsid w:val="0052718A"/>
    <w:rsid w:val="005271A9"/>
    <w:rsid w:val="005274C7"/>
    <w:rsid w:val="00527591"/>
    <w:rsid w:val="005278C2"/>
    <w:rsid w:val="00527B74"/>
    <w:rsid w:val="00527D78"/>
    <w:rsid w:val="00527F54"/>
    <w:rsid w:val="00527F62"/>
    <w:rsid w:val="00527FE3"/>
    <w:rsid w:val="00530225"/>
    <w:rsid w:val="005304FF"/>
    <w:rsid w:val="005305ED"/>
    <w:rsid w:val="00530617"/>
    <w:rsid w:val="0053085C"/>
    <w:rsid w:val="005308F0"/>
    <w:rsid w:val="00530984"/>
    <w:rsid w:val="00530AAA"/>
    <w:rsid w:val="00530C4D"/>
    <w:rsid w:val="00530DB8"/>
    <w:rsid w:val="00531255"/>
    <w:rsid w:val="00531356"/>
    <w:rsid w:val="005316A8"/>
    <w:rsid w:val="00531CC7"/>
    <w:rsid w:val="00531E97"/>
    <w:rsid w:val="00531EE2"/>
    <w:rsid w:val="005322BF"/>
    <w:rsid w:val="005329CC"/>
    <w:rsid w:val="00532EFA"/>
    <w:rsid w:val="00532FB3"/>
    <w:rsid w:val="00533397"/>
    <w:rsid w:val="0053349E"/>
    <w:rsid w:val="00533699"/>
    <w:rsid w:val="0053388D"/>
    <w:rsid w:val="00533D30"/>
    <w:rsid w:val="00534106"/>
    <w:rsid w:val="00534240"/>
    <w:rsid w:val="0053461E"/>
    <w:rsid w:val="00534B6E"/>
    <w:rsid w:val="00534FD7"/>
    <w:rsid w:val="00535024"/>
    <w:rsid w:val="00535155"/>
    <w:rsid w:val="00535256"/>
    <w:rsid w:val="005353B7"/>
    <w:rsid w:val="005359AA"/>
    <w:rsid w:val="00535A9A"/>
    <w:rsid w:val="00535BBB"/>
    <w:rsid w:val="005360D7"/>
    <w:rsid w:val="005361AA"/>
    <w:rsid w:val="005361E0"/>
    <w:rsid w:val="0053632F"/>
    <w:rsid w:val="005364CE"/>
    <w:rsid w:val="0053652D"/>
    <w:rsid w:val="00536A2B"/>
    <w:rsid w:val="00536AA9"/>
    <w:rsid w:val="00536B07"/>
    <w:rsid w:val="00536B6C"/>
    <w:rsid w:val="0053711F"/>
    <w:rsid w:val="005372B4"/>
    <w:rsid w:val="005375AC"/>
    <w:rsid w:val="0053794E"/>
    <w:rsid w:val="00537DF7"/>
    <w:rsid w:val="00540283"/>
    <w:rsid w:val="0054050B"/>
    <w:rsid w:val="00540718"/>
    <w:rsid w:val="0054095F"/>
    <w:rsid w:val="005409C4"/>
    <w:rsid w:val="00540A2C"/>
    <w:rsid w:val="00540AA7"/>
    <w:rsid w:val="005410DF"/>
    <w:rsid w:val="0054140D"/>
    <w:rsid w:val="0054182F"/>
    <w:rsid w:val="0054264B"/>
    <w:rsid w:val="00542B52"/>
    <w:rsid w:val="00542BF3"/>
    <w:rsid w:val="00542CF3"/>
    <w:rsid w:val="00543194"/>
    <w:rsid w:val="005433CA"/>
    <w:rsid w:val="00543560"/>
    <w:rsid w:val="00543654"/>
    <w:rsid w:val="00543756"/>
    <w:rsid w:val="005437A5"/>
    <w:rsid w:val="00543983"/>
    <w:rsid w:val="00543AE8"/>
    <w:rsid w:val="00544029"/>
    <w:rsid w:val="005446E1"/>
    <w:rsid w:val="00544753"/>
    <w:rsid w:val="00544778"/>
    <w:rsid w:val="005447FC"/>
    <w:rsid w:val="00544D4F"/>
    <w:rsid w:val="00544DC7"/>
    <w:rsid w:val="005450B7"/>
    <w:rsid w:val="00545229"/>
    <w:rsid w:val="0054556D"/>
    <w:rsid w:val="00545906"/>
    <w:rsid w:val="00545946"/>
    <w:rsid w:val="005459A0"/>
    <w:rsid w:val="00545B15"/>
    <w:rsid w:val="00545B32"/>
    <w:rsid w:val="00545CAD"/>
    <w:rsid w:val="00545F31"/>
    <w:rsid w:val="00546327"/>
    <w:rsid w:val="0054679C"/>
    <w:rsid w:val="00546811"/>
    <w:rsid w:val="005471D8"/>
    <w:rsid w:val="00547508"/>
    <w:rsid w:val="00547561"/>
    <w:rsid w:val="00547605"/>
    <w:rsid w:val="00547666"/>
    <w:rsid w:val="005479F8"/>
    <w:rsid w:val="00547AAD"/>
    <w:rsid w:val="00547C8E"/>
    <w:rsid w:val="00547CF6"/>
    <w:rsid w:val="0055001F"/>
    <w:rsid w:val="00550032"/>
    <w:rsid w:val="0055007D"/>
    <w:rsid w:val="005500B3"/>
    <w:rsid w:val="00550109"/>
    <w:rsid w:val="005501BC"/>
    <w:rsid w:val="0055046C"/>
    <w:rsid w:val="005505B1"/>
    <w:rsid w:val="005509C2"/>
    <w:rsid w:val="00550FC2"/>
    <w:rsid w:val="005512C5"/>
    <w:rsid w:val="005513CA"/>
    <w:rsid w:val="00551401"/>
    <w:rsid w:val="00551580"/>
    <w:rsid w:val="005519CA"/>
    <w:rsid w:val="00551A03"/>
    <w:rsid w:val="00551CE4"/>
    <w:rsid w:val="00551EDE"/>
    <w:rsid w:val="00551FA1"/>
    <w:rsid w:val="0055208D"/>
    <w:rsid w:val="005520B9"/>
    <w:rsid w:val="00552598"/>
    <w:rsid w:val="005525D4"/>
    <w:rsid w:val="00552695"/>
    <w:rsid w:val="005526F4"/>
    <w:rsid w:val="00552717"/>
    <w:rsid w:val="0055280D"/>
    <w:rsid w:val="0055282D"/>
    <w:rsid w:val="00552835"/>
    <w:rsid w:val="00552A64"/>
    <w:rsid w:val="00552D82"/>
    <w:rsid w:val="00552FF4"/>
    <w:rsid w:val="00553031"/>
    <w:rsid w:val="00553240"/>
    <w:rsid w:val="005537B3"/>
    <w:rsid w:val="00553830"/>
    <w:rsid w:val="00553BFA"/>
    <w:rsid w:val="00553C32"/>
    <w:rsid w:val="00553C6B"/>
    <w:rsid w:val="00553CDE"/>
    <w:rsid w:val="00553D9E"/>
    <w:rsid w:val="0055416E"/>
    <w:rsid w:val="005541CF"/>
    <w:rsid w:val="00554354"/>
    <w:rsid w:val="00554865"/>
    <w:rsid w:val="005548FA"/>
    <w:rsid w:val="005549D8"/>
    <w:rsid w:val="00554B8E"/>
    <w:rsid w:val="00554F02"/>
    <w:rsid w:val="00554F17"/>
    <w:rsid w:val="005550C4"/>
    <w:rsid w:val="005552A5"/>
    <w:rsid w:val="005553CB"/>
    <w:rsid w:val="0055584A"/>
    <w:rsid w:val="00555960"/>
    <w:rsid w:val="00555AEB"/>
    <w:rsid w:val="00555B1F"/>
    <w:rsid w:val="00555BBB"/>
    <w:rsid w:val="00555C8F"/>
    <w:rsid w:val="0055601E"/>
    <w:rsid w:val="0055614D"/>
    <w:rsid w:val="005566BC"/>
    <w:rsid w:val="005569B4"/>
    <w:rsid w:val="00556E8B"/>
    <w:rsid w:val="00556EBD"/>
    <w:rsid w:val="00557109"/>
    <w:rsid w:val="005572EB"/>
    <w:rsid w:val="005577AA"/>
    <w:rsid w:val="00557916"/>
    <w:rsid w:val="00557C44"/>
    <w:rsid w:val="00557D3D"/>
    <w:rsid w:val="00557E82"/>
    <w:rsid w:val="005601FE"/>
    <w:rsid w:val="00560368"/>
    <w:rsid w:val="005603B9"/>
    <w:rsid w:val="005603EF"/>
    <w:rsid w:val="005604D0"/>
    <w:rsid w:val="0056063A"/>
    <w:rsid w:val="00560685"/>
    <w:rsid w:val="00560778"/>
    <w:rsid w:val="0056095A"/>
    <w:rsid w:val="00560E7F"/>
    <w:rsid w:val="00560EDA"/>
    <w:rsid w:val="00560F78"/>
    <w:rsid w:val="005610AC"/>
    <w:rsid w:val="005610C8"/>
    <w:rsid w:val="005611DE"/>
    <w:rsid w:val="00561311"/>
    <w:rsid w:val="0056200F"/>
    <w:rsid w:val="0056227B"/>
    <w:rsid w:val="00562587"/>
    <w:rsid w:val="00562C39"/>
    <w:rsid w:val="00562E96"/>
    <w:rsid w:val="00563330"/>
    <w:rsid w:val="0056365E"/>
    <w:rsid w:val="005637F8"/>
    <w:rsid w:val="00563971"/>
    <w:rsid w:val="00563984"/>
    <w:rsid w:val="00563BA6"/>
    <w:rsid w:val="00563BEA"/>
    <w:rsid w:val="00563C10"/>
    <w:rsid w:val="00563CF1"/>
    <w:rsid w:val="00563F13"/>
    <w:rsid w:val="0056402B"/>
    <w:rsid w:val="00564260"/>
    <w:rsid w:val="00565002"/>
    <w:rsid w:val="005653AD"/>
    <w:rsid w:val="005653DE"/>
    <w:rsid w:val="00565525"/>
    <w:rsid w:val="00565586"/>
    <w:rsid w:val="005656B2"/>
    <w:rsid w:val="00565837"/>
    <w:rsid w:val="0056583A"/>
    <w:rsid w:val="005658ED"/>
    <w:rsid w:val="00565989"/>
    <w:rsid w:val="00566333"/>
    <w:rsid w:val="00566682"/>
    <w:rsid w:val="005667F8"/>
    <w:rsid w:val="0056688F"/>
    <w:rsid w:val="00566C97"/>
    <w:rsid w:val="00566DB2"/>
    <w:rsid w:val="00567039"/>
    <w:rsid w:val="005670A4"/>
    <w:rsid w:val="00567163"/>
    <w:rsid w:val="00567408"/>
    <w:rsid w:val="0056748C"/>
    <w:rsid w:val="005677CF"/>
    <w:rsid w:val="00567A1D"/>
    <w:rsid w:val="00567B2B"/>
    <w:rsid w:val="00567C8A"/>
    <w:rsid w:val="00567DD2"/>
    <w:rsid w:val="00567EEF"/>
    <w:rsid w:val="00570594"/>
    <w:rsid w:val="005706D9"/>
    <w:rsid w:val="00570874"/>
    <w:rsid w:val="00570A86"/>
    <w:rsid w:val="00570C14"/>
    <w:rsid w:val="00570F2E"/>
    <w:rsid w:val="00571101"/>
    <w:rsid w:val="0057148C"/>
    <w:rsid w:val="00571A5D"/>
    <w:rsid w:val="00571CEB"/>
    <w:rsid w:val="00571D35"/>
    <w:rsid w:val="00572142"/>
    <w:rsid w:val="005723C0"/>
    <w:rsid w:val="00572433"/>
    <w:rsid w:val="00572474"/>
    <w:rsid w:val="005725B8"/>
    <w:rsid w:val="005729D4"/>
    <w:rsid w:val="00572C76"/>
    <w:rsid w:val="00572EFB"/>
    <w:rsid w:val="00572FC9"/>
    <w:rsid w:val="0057301A"/>
    <w:rsid w:val="0057319A"/>
    <w:rsid w:val="00573230"/>
    <w:rsid w:val="00573265"/>
    <w:rsid w:val="00573577"/>
    <w:rsid w:val="0057363D"/>
    <w:rsid w:val="005736F6"/>
    <w:rsid w:val="0057392A"/>
    <w:rsid w:val="00573A22"/>
    <w:rsid w:val="00573E86"/>
    <w:rsid w:val="00573F9E"/>
    <w:rsid w:val="00574457"/>
    <w:rsid w:val="005744B0"/>
    <w:rsid w:val="005748E4"/>
    <w:rsid w:val="00574A2C"/>
    <w:rsid w:val="00574C6E"/>
    <w:rsid w:val="00574F0F"/>
    <w:rsid w:val="00574F8B"/>
    <w:rsid w:val="00574FFC"/>
    <w:rsid w:val="0057514B"/>
    <w:rsid w:val="00575216"/>
    <w:rsid w:val="00575ABB"/>
    <w:rsid w:val="00576032"/>
    <w:rsid w:val="00576224"/>
    <w:rsid w:val="00576249"/>
    <w:rsid w:val="005762EE"/>
    <w:rsid w:val="00576709"/>
    <w:rsid w:val="00576796"/>
    <w:rsid w:val="0057689B"/>
    <w:rsid w:val="00576A7E"/>
    <w:rsid w:val="00576C39"/>
    <w:rsid w:val="00576DAD"/>
    <w:rsid w:val="00576F7C"/>
    <w:rsid w:val="00577194"/>
    <w:rsid w:val="00577328"/>
    <w:rsid w:val="0057739A"/>
    <w:rsid w:val="005778B9"/>
    <w:rsid w:val="005779D1"/>
    <w:rsid w:val="00577CB7"/>
    <w:rsid w:val="00577CF6"/>
    <w:rsid w:val="005803E7"/>
    <w:rsid w:val="005805E6"/>
    <w:rsid w:val="005808E5"/>
    <w:rsid w:val="00580ABF"/>
    <w:rsid w:val="00581832"/>
    <w:rsid w:val="00581F8B"/>
    <w:rsid w:val="00582042"/>
    <w:rsid w:val="00582085"/>
    <w:rsid w:val="005821FC"/>
    <w:rsid w:val="00582298"/>
    <w:rsid w:val="005823AF"/>
    <w:rsid w:val="0058282F"/>
    <w:rsid w:val="0058283F"/>
    <w:rsid w:val="0058284D"/>
    <w:rsid w:val="00582BBE"/>
    <w:rsid w:val="00583152"/>
    <w:rsid w:val="00583499"/>
    <w:rsid w:val="005835B2"/>
    <w:rsid w:val="005838B6"/>
    <w:rsid w:val="005838F2"/>
    <w:rsid w:val="00583BE6"/>
    <w:rsid w:val="00583C5D"/>
    <w:rsid w:val="00583F5A"/>
    <w:rsid w:val="0058412E"/>
    <w:rsid w:val="00584343"/>
    <w:rsid w:val="00584E7A"/>
    <w:rsid w:val="00584F00"/>
    <w:rsid w:val="00584F34"/>
    <w:rsid w:val="0058523B"/>
    <w:rsid w:val="005853B8"/>
    <w:rsid w:val="005853D8"/>
    <w:rsid w:val="00585411"/>
    <w:rsid w:val="00585478"/>
    <w:rsid w:val="0058553F"/>
    <w:rsid w:val="0058554B"/>
    <w:rsid w:val="00585714"/>
    <w:rsid w:val="00585761"/>
    <w:rsid w:val="0058597B"/>
    <w:rsid w:val="00585C67"/>
    <w:rsid w:val="00586035"/>
    <w:rsid w:val="005860FF"/>
    <w:rsid w:val="005862AE"/>
    <w:rsid w:val="00586363"/>
    <w:rsid w:val="0058645E"/>
    <w:rsid w:val="00586F40"/>
    <w:rsid w:val="00586F68"/>
    <w:rsid w:val="00587993"/>
    <w:rsid w:val="00587B86"/>
    <w:rsid w:val="00587E14"/>
    <w:rsid w:val="00587FBE"/>
    <w:rsid w:val="0059003A"/>
    <w:rsid w:val="00590295"/>
    <w:rsid w:val="00590305"/>
    <w:rsid w:val="005903C8"/>
    <w:rsid w:val="005904B7"/>
    <w:rsid w:val="0059064F"/>
    <w:rsid w:val="00590696"/>
    <w:rsid w:val="00590CDD"/>
    <w:rsid w:val="00590D17"/>
    <w:rsid w:val="00590DCE"/>
    <w:rsid w:val="00591092"/>
    <w:rsid w:val="005911B3"/>
    <w:rsid w:val="005916A6"/>
    <w:rsid w:val="00591795"/>
    <w:rsid w:val="005917C9"/>
    <w:rsid w:val="00591A45"/>
    <w:rsid w:val="005920A2"/>
    <w:rsid w:val="0059222D"/>
    <w:rsid w:val="0059224D"/>
    <w:rsid w:val="00592501"/>
    <w:rsid w:val="005925BF"/>
    <w:rsid w:val="0059287E"/>
    <w:rsid w:val="00592A3A"/>
    <w:rsid w:val="00592C64"/>
    <w:rsid w:val="00592E82"/>
    <w:rsid w:val="00593237"/>
    <w:rsid w:val="00593BA2"/>
    <w:rsid w:val="00593C7D"/>
    <w:rsid w:val="00593CCC"/>
    <w:rsid w:val="00593F02"/>
    <w:rsid w:val="0059412E"/>
    <w:rsid w:val="0059437A"/>
    <w:rsid w:val="005943B0"/>
    <w:rsid w:val="00594B6C"/>
    <w:rsid w:val="00594D3C"/>
    <w:rsid w:val="00594DCF"/>
    <w:rsid w:val="00594DF9"/>
    <w:rsid w:val="00594DFF"/>
    <w:rsid w:val="005952A7"/>
    <w:rsid w:val="0059531F"/>
    <w:rsid w:val="005955F5"/>
    <w:rsid w:val="00595749"/>
    <w:rsid w:val="00595AC7"/>
    <w:rsid w:val="00595B3A"/>
    <w:rsid w:val="00595C23"/>
    <w:rsid w:val="00595D2A"/>
    <w:rsid w:val="00595FB4"/>
    <w:rsid w:val="00596127"/>
    <w:rsid w:val="00596139"/>
    <w:rsid w:val="00596188"/>
    <w:rsid w:val="00596319"/>
    <w:rsid w:val="00596C5D"/>
    <w:rsid w:val="00596F18"/>
    <w:rsid w:val="0059712A"/>
    <w:rsid w:val="00597467"/>
    <w:rsid w:val="00597481"/>
    <w:rsid w:val="0059749B"/>
    <w:rsid w:val="005974A1"/>
    <w:rsid w:val="0059752F"/>
    <w:rsid w:val="00597C92"/>
    <w:rsid w:val="005A0090"/>
    <w:rsid w:val="005A0360"/>
    <w:rsid w:val="005A0A4E"/>
    <w:rsid w:val="005A0B1E"/>
    <w:rsid w:val="005A0B5B"/>
    <w:rsid w:val="005A0C19"/>
    <w:rsid w:val="005A0DCE"/>
    <w:rsid w:val="005A0E88"/>
    <w:rsid w:val="005A0F49"/>
    <w:rsid w:val="005A0F75"/>
    <w:rsid w:val="005A139C"/>
    <w:rsid w:val="005A1664"/>
    <w:rsid w:val="005A18FD"/>
    <w:rsid w:val="005A1A0B"/>
    <w:rsid w:val="005A1B71"/>
    <w:rsid w:val="005A1E39"/>
    <w:rsid w:val="005A2069"/>
    <w:rsid w:val="005A20DE"/>
    <w:rsid w:val="005A25EF"/>
    <w:rsid w:val="005A26CB"/>
    <w:rsid w:val="005A2755"/>
    <w:rsid w:val="005A2919"/>
    <w:rsid w:val="005A2C13"/>
    <w:rsid w:val="005A2E7F"/>
    <w:rsid w:val="005A2F28"/>
    <w:rsid w:val="005A2FB4"/>
    <w:rsid w:val="005A30CA"/>
    <w:rsid w:val="005A32EF"/>
    <w:rsid w:val="005A37D3"/>
    <w:rsid w:val="005A3841"/>
    <w:rsid w:val="005A3877"/>
    <w:rsid w:val="005A39E1"/>
    <w:rsid w:val="005A39E8"/>
    <w:rsid w:val="005A3BEF"/>
    <w:rsid w:val="005A3C99"/>
    <w:rsid w:val="005A4023"/>
    <w:rsid w:val="005A45A5"/>
    <w:rsid w:val="005A45E3"/>
    <w:rsid w:val="005A49B6"/>
    <w:rsid w:val="005A4D86"/>
    <w:rsid w:val="005A4E86"/>
    <w:rsid w:val="005A4FB5"/>
    <w:rsid w:val="005A5038"/>
    <w:rsid w:val="005A5197"/>
    <w:rsid w:val="005A52AE"/>
    <w:rsid w:val="005A55B8"/>
    <w:rsid w:val="005A57EA"/>
    <w:rsid w:val="005A5F78"/>
    <w:rsid w:val="005A5FE6"/>
    <w:rsid w:val="005A60B2"/>
    <w:rsid w:val="005A631F"/>
    <w:rsid w:val="005A6467"/>
    <w:rsid w:val="005A69ED"/>
    <w:rsid w:val="005A6ED5"/>
    <w:rsid w:val="005A7070"/>
    <w:rsid w:val="005A7526"/>
    <w:rsid w:val="005A763F"/>
    <w:rsid w:val="005A765B"/>
    <w:rsid w:val="005A771E"/>
    <w:rsid w:val="005A7988"/>
    <w:rsid w:val="005A7C5C"/>
    <w:rsid w:val="005B0094"/>
    <w:rsid w:val="005B0126"/>
    <w:rsid w:val="005B023A"/>
    <w:rsid w:val="005B03C0"/>
    <w:rsid w:val="005B03C4"/>
    <w:rsid w:val="005B0B52"/>
    <w:rsid w:val="005B0C93"/>
    <w:rsid w:val="005B0CEA"/>
    <w:rsid w:val="005B0D30"/>
    <w:rsid w:val="005B103C"/>
    <w:rsid w:val="005B1318"/>
    <w:rsid w:val="005B1399"/>
    <w:rsid w:val="005B13AE"/>
    <w:rsid w:val="005B16AE"/>
    <w:rsid w:val="005B1911"/>
    <w:rsid w:val="005B1E72"/>
    <w:rsid w:val="005B1EF7"/>
    <w:rsid w:val="005B1F4F"/>
    <w:rsid w:val="005B266F"/>
    <w:rsid w:val="005B2734"/>
    <w:rsid w:val="005B2766"/>
    <w:rsid w:val="005B28AC"/>
    <w:rsid w:val="005B2A6C"/>
    <w:rsid w:val="005B2A87"/>
    <w:rsid w:val="005B2AB9"/>
    <w:rsid w:val="005B2C91"/>
    <w:rsid w:val="005B3006"/>
    <w:rsid w:val="005B30AF"/>
    <w:rsid w:val="005B33B4"/>
    <w:rsid w:val="005B33F8"/>
    <w:rsid w:val="005B3434"/>
    <w:rsid w:val="005B3506"/>
    <w:rsid w:val="005B38AE"/>
    <w:rsid w:val="005B3E1D"/>
    <w:rsid w:val="005B3FE0"/>
    <w:rsid w:val="005B4C8E"/>
    <w:rsid w:val="005B4CE4"/>
    <w:rsid w:val="005B4D37"/>
    <w:rsid w:val="005B509A"/>
    <w:rsid w:val="005B534F"/>
    <w:rsid w:val="005B53E0"/>
    <w:rsid w:val="005B608E"/>
    <w:rsid w:val="005B6198"/>
    <w:rsid w:val="005B637C"/>
    <w:rsid w:val="005B6535"/>
    <w:rsid w:val="005B6754"/>
    <w:rsid w:val="005B6F42"/>
    <w:rsid w:val="005B7513"/>
    <w:rsid w:val="005C00F7"/>
    <w:rsid w:val="005C0102"/>
    <w:rsid w:val="005C0163"/>
    <w:rsid w:val="005C094D"/>
    <w:rsid w:val="005C0A5D"/>
    <w:rsid w:val="005C0C36"/>
    <w:rsid w:val="005C0F14"/>
    <w:rsid w:val="005C113E"/>
    <w:rsid w:val="005C1388"/>
    <w:rsid w:val="005C14E4"/>
    <w:rsid w:val="005C1D7D"/>
    <w:rsid w:val="005C1E99"/>
    <w:rsid w:val="005C237B"/>
    <w:rsid w:val="005C2960"/>
    <w:rsid w:val="005C2BB1"/>
    <w:rsid w:val="005C2D7C"/>
    <w:rsid w:val="005C307E"/>
    <w:rsid w:val="005C3347"/>
    <w:rsid w:val="005C33DC"/>
    <w:rsid w:val="005C37C0"/>
    <w:rsid w:val="005C38BF"/>
    <w:rsid w:val="005C3C3A"/>
    <w:rsid w:val="005C3EC4"/>
    <w:rsid w:val="005C40EB"/>
    <w:rsid w:val="005C42F3"/>
    <w:rsid w:val="005C432E"/>
    <w:rsid w:val="005C438A"/>
    <w:rsid w:val="005C4451"/>
    <w:rsid w:val="005C4480"/>
    <w:rsid w:val="005C4944"/>
    <w:rsid w:val="005C5162"/>
    <w:rsid w:val="005C51D8"/>
    <w:rsid w:val="005C5345"/>
    <w:rsid w:val="005C5484"/>
    <w:rsid w:val="005C564A"/>
    <w:rsid w:val="005C56FB"/>
    <w:rsid w:val="005C57E7"/>
    <w:rsid w:val="005C5AC0"/>
    <w:rsid w:val="005C5DD1"/>
    <w:rsid w:val="005C64A2"/>
    <w:rsid w:val="005C65AF"/>
    <w:rsid w:val="005C663B"/>
    <w:rsid w:val="005C6688"/>
    <w:rsid w:val="005C6894"/>
    <w:rsid w:val="005C68D9"/>
    <w:rsid w:val="005C6951"/>
    <w:rsid w:val="005C6DA4"/>
    <w:rsid w:val="005C6DBA"/>
    <w:rsid w:val="005C6FF6"/>
    <w:rsid w:val="005C72FC"/>
    <w:rsid w:val="005C76A0"/>
    <w:rsid w:val="005C79DB"/>
    <w:rsid w:val="005C7A5D"/>
    <w:rsid w:val="005C7B62"/>
    <w:rsid w:val="005D0369"/>
    <w:rsid w:val="005D041D"/>
    <w:rsid w:val="005D0604"/>
    <w:rsid w:val="005D0A67"/>
    <w:rsid w:val="005D0BE8"/>
    <w:rsid w:val="005D0D0A"/>
    <w:rsid w:val="005D0D59"/>
    <w:rsid w:val="005D12BD"/>
    <w:rsid w:val="005D145E"/>
    <w:rsid w:val="005D146F"/>
    <w:rsid w:val="005D1555"/>
    <w:rsid w:val="005D1A14"/>
    <w:rsid w:val="005D1A51"/>
    <w:rsid w:val="005D1DAD"/>
    <w:rsid w:val="005D2263"/>
    <w:rsid w:val="005D2353"/>
    <w:rsid w:val="005D2465"/>
    <w:rsid w:val="005D2D98"/>
    <w:rsid w:val="005D2DB2"/>
    <w:rsid w:val="005D3645"/>
    <w:rsid w:val="005D3728"/>
    <w:rsid w:val="005D3790"/>
    <w:rsid w:val="005D391E"/>
    <w:rsid w:val="005D3B1D"/>
    <w:rsid w:val="005D3E67"/>
    <w:rsid w:val="005D4465"/>
    <w:rsid w:val="005D4499"/>
    <w:rsid w:val="005D479C"/>
    <w:rsid w:val="005D489F"/>
    <w:rsid w:val="005D49FF"/>
    <w:rsid w:val="005D4B70"/>
    <w:rsid w:val="005D4C10"/>
    <w:rsid w:val="005D4FD5"/>
    <w:rsid w:val="005D525B"/>
    <w:rsid w:val="005D559D"/>
    <w:rsid w:val="005D5815"/>
    <w:rsid w:val="005D58F9"/>
    <w:rsid w:val="005D5907"/>
    <w:rsid w:val="005D59EC"/>
    <w:rsid w:val="005D669C"/>
    <w:rsid w:val="005D6CCD"/>
    <w:rsid w:val="005D6F92"/>
    <w:rsid w:val="005D7285"/>
    <w:rsid w:val="005D7401"/>
    <w:rsid w:val="005D7434"/>
    <w:rsid w:val="005D753D"/>
    <w:rsid w:val="005D754C"/>
    <w:rsid w:val="005D7554"/>
    <w:rsid w:val="005D767F"/>
    <w:rsid w:val="005D7A2B"/>
    <w:rsid w:val="005D7B01"/>
    <w:rsid w:val="005D7BE7"/>
    <w:rsid w:val="005D7D96"/>
    <w:rsid w:val="005D7DFA"/>
    <w:rsid w:val="005E0727"/>
    <w:rsid w:val="005E0DEC"/>
    <w:rsid w:val="005E117B"/>
    <w:rsid w:val="005E126E"/>
    <w:rsid w:val="005E13E3"/>
    <w:rsid w:val="005E1418"/>
    <w:rsid w:val="005E1583"/>
    <w:rsid w:val="005E170B"/>
    <w:rsid w:val="005E18EA"/>
    <w:rsid w:val="005E1AEB"/>
    <w:rsid w:val="005E1C28"/>
    <w:rsid w:val="005E1DB9"/>
    <w:rsid w:val="005E1F3D"/>
    <w:rsid w:val="005E1F4A"/>
    <w:rsid w:val="005E1F95"/>
    <w:rsid w:val="005E2206"/>
    <w:rsid w:val="005E22E2"/>
    <w:rsid w:val="005E235D"/>
    <w:rsid w:val="005E241F"/>
    <w:rsid w:val="005E2D2A"/>
    <w:rsid w:val="005E322C"/>
    <w:rsid w:val="005E32A3"/>
    <w:rsid w:val="005E3338"/>
    <w:rsid w:val="005E34DC"/>
    <w:rsid w:val="005E38E3"/>
    <w:rsid w:val="005E3B9A"/>
    <w:rsid w:val="005E4412"/>
    <w:rsid w:val="005E4453"/>
    <w:rsid w:val="005E45C7"/>
    <w:rsid w:val="005E45CC"/>
    <w:rsid w:val="005E4619"/>
    <w:rsid w:val="005E4716"/>
    <w:rsid w:val="005E4768"/>
    <w:rsid w:val="005E47DB"/>
    <w:rsid w:val="005E48BC"/>
    <w:rsid w:val="005E4B3D"/>
    <w:rsid w:val="005E4BB1"/>
    <w:rsid w:val="005E4C1E"/>
    <w:rsid w:val="005E4D4F"/>
    <w:rsid w:val="005E4D74"/>
    <w:rsid w:val="005E4F9E"/>
    <w:rsid w:val="005E5198"/>
    <w:rsid w:val="005E5250"/>
    <w:rsid w:val="005E53F1"/>
    <w:rsid w:val="005E5405"/>
    <w:rsid w:val="005E5678"/>
    <w:rsid w:val="005E5FDF"/>
    <w:rsid w:val="005E6004"/>
    <w:rsid w:val="005E6095"/>
    <w:rsid w:val="005E6119"/>
    <w:rsid w:val="005E65B2"/>
    <w:rsid w:val="005E66FB"/>
    <w:rsid w:val="005E6924"/>
    <w:rsid w:val="005E6973"/>
    <w:rsid w:val="005E6984"/>
    <w:rsid w:val="005E6DE3"/>
    <w:rsid w:val="005E6E49"/>
    <w:rsid w:val="005E6FCD"/>
    <w:rsid w:val="005E7264"/>
    <w:rsid w:val="005E72C0"/>
    <w:rsid w:val="005E76CD"/>
    <w:rsid w:val="005E777C"/>
    <w:rsid w:val="005E7C9B"/>
    <w:rsid w:val="005E7FB7"/>
    <w:rsid w:val="005F01AD"/>
    <w:rsid w:val="005F06BB"/>
    <w:rsid w:val="005F0821"/>
    <w:rsid w:val="005F0AFE"/>
    <w:rsid w:val="005F0B5F"/>
    <w:rsid w:val="005F0BD5"/>
    <w:rsid w:val="005F0C7F"/>
    <w:rsid w:val="005F0F79"/>
    <w:rsid w:val="005F1611"/>
    <w:rsid w:val="005F18D3"/>
    <w:rsid w:val="005F20A0"/>
    <w:rsid w:val="005F225A"/>
    <w:rsid w:val="005F243B"/>
    <w:rsid w:val="005F246D"/>
    <w:rsid w:val="005F2581"/>
    <w:rsid w:val="005F2890"/>
    <w:rsid w:val="005F297C"/>
    <w:rsid w:val="005F29B8"/>
    <w:rsid w:val="005F2B1A"/>
    <w:rsid w:val="005F2B33"/>
    <w:rsid w:val="005F2BFC"/>
    <w:rsid w:val="005F2EA9"/>
    <w:rsid w:val="005F3289"/>
    <w:rsid w:val="005F35EF"/>
    <w:rsid w:val="005F3C23"/>
    <w:rsid w:val="005F3C8B"/>
    <w:rsid w:val="005F4857"/>
    <w:rsid w:val="005F4CC5"/>
    <w:rsid w:val="005F4D0A"/>
    <w:rsid w:val="005F531E"/>
    <w:rsid w:val="005F54BF"/>
    <w:rsid w:val="005F55BD"/>
    <w:rsid w:val="005F57D2"/>
    <w:rsid w:val="005F5EC0"/>
    <w:rsid w:val="005F5FEB"/>
    <w:rsid w:val="005F6612"/>
    <w:rsid w:val="005F67EF"/>
    <w:rsid w:val="005F67FC"/>
    <w:rsid w:val="005F6CF3"/>
    <w:rsid w:val="005F6EDA"/>
    <w:rsid w:val="005F7038"/>
    <w:rsid w:val="005F72BF"/>
    <w:rsid w:val="005F77B4"/>
    <w:rsid w:val="005F7B24"/>
    <w:rsid w:val="005F7C56"/>
    <w:rsid w:val="005F7C86"/>
    <w:rsid w:val="005F7E64"/>
    <w:rsid w:val="00600115"/>
    <w:rsid w:val="00600132"/>
    <w:rsid w:val="0060062F"/>
    <w:rsid w:val="0060090E"/>
    <w:rsid w:val="00600BE0"/>
    <w:rsid w:val="00600E64"/>
    <w:rsid w:val="00600F10"/>
    <w:rsid w:val="00601018"/>
    <w:rsid w:val="00601116"/>
    <w:rsid w:val="0060155F"/>
    <w:rsid w:val="006015AA"/>
    <w:rsid w:val="0060194A"/>
    <w:rsid w:val="0060195A"/>
    <w:rsid w:val="00602072"/>
    <w:rsid w:val="006020E0"/>
    <w:rsid w:val="006024CC"/>
    <w:rsid w:val="006028FB"/>
    <w:rsid w:val="00602947"/>
    <w:rsid w:val="00602CE5"/>
    <w:rsid w:val="00603237"/>
    <w:rsid w:val="00603714"/>
    <w:rsid w:val="00603996"/>
    <w:rsid w:val="00603A5E"/>
    <w:rsid w:val="00603B38"/>
    <w:rsid w:val="00603B7C"/>
    <w:rsid w:val="00603E09"/>
    <w:rsid w:val="00603FC3"/>
    <w:rsid w:val="0060408C"/>
    <w:rsid w:val="006042BE"/>
    <w:rsid w:val="00604658"/>
    <w:rsid w:val="00604706"/>
    <w:rsid w:val="006048A2"/>
    <w:rsid w:val="00604946"/>
    <w:rsid w:val="00604969"/>
    <w:rsid w:val="00604A89"/>
    <w:rsid w:val="00605308"/>
    <w:rsid w:val="006055DB"/>
    <w:rsid w:val="00605B24"/>
    <w:rsid w:val="00605E30"/>
    <w:rsid w:val="00605F77"/>
    <w:rsid w:val="006060D0"/>
    <w:rsid w:val="0060630B"/>
    <w:rsid w:val="0060645D"/>
    <w:rsid w:val="00606531"/>
    <w:rsid w:val="006065BB"/>
    <w:rsid w:val="006066AD"/>
    <w:rsid w:val="00606735"/>
    <w:rsid w:val="006067A9"/>
    <w:rsid w:val="00606CA0"/>
    <w:rsid w:val="006070A1"/>
    <w:rsid w:val="0060738C"/>
    <w:rsid w:val="00607871"/>
    <w:rsid w:val="00607BAE"/>
    <w:rsid w:val="00607D46"/>
    <w:rsid w:val="00607F21"/>
    <w:rsid w:val="00610029"/>
    <w:rsid w:val="006100EB"/>
    <w:rsid w:val="00610275"/>
    <w:rsid w:val="006105CD"/>
    <w:rsid w:val="006108A0"/>
    <w:rsid w:val="00610C7C"/>
    <w:rsid w:val="00610C9C"/>
    <w:rsid w:val="00610DE6"/>
    <w:rsid w:val="00610EBE"/>
    <w:rsid w:val="00610F8C"/>
    <w:rsid w:val="006110A6"/>
    <w:rsid w:val="0061133D"/>
    <w:rsid w:val="00611505"/>
    <w:rsid w:val="006115FC"/>
    <w:rsid w:val="0061175A"/>
    <w:rsid w:val="0061176C"/>
    <w:rsid w:val="00611897"/>
    <w:rsid w:val="00611F15"/>
    <w:rsid w:val="00612061"/>
    <w:rsid w:val="00612492"/>
    <w:rsid w:val="006125CA"/>
    <w:rsid w:val="00612949"/>
    <w:rsid w:val="00612C59"/>
    <w:rsid w:val="00612D00"/>
    <w:rsid w:val="00613368"/>
    <w:rsid w:val="0061336C"/>
    <w:rsid w:val="006134DE"/>
    <w:rsid w:val="006136B3"/>
    <w:rsid w:val="0061380B"/>
    <w:rsid w:val="006138E0"/>
    <w:rsid w:val="00613ABC"/>
    <w:rsid w:val="00613AD6"/>
    <w:rsid w:val="00613BE7"/>
    <w:rsid w:val="00613FEA"/>
    <w:rsid w:val="006140A3"/>
    <w:rsid w:val="0061426E"/>
    <w:rsid w:val="0061433F"/>
    <w:rsid w:val="00614601"/>
    <w:rsid w:val="00614CA1"/>
    <w:rsid w:val="00614DB0"/>
    <w:rsid w:val="00614E05"/>
    <w:rsid w:val="00614F73"/>
    <w:rsid w:val="00614F97"/>
    <w:rsid w:val="0061513A"/>
    <w:rsid w:val="00615A4E"/>
    <w:rsid w:val="00615CD7"/>
    <w:rsid w:val="00615F4C"/>
    <w:rsid w:val="00616025"/>
    <w:rsid w:val="006160DB"/>
    <w:rsid w:val="0061661C"/>
    <w:rsid w:val="00616646"/>
    <w:rsid w:val="00616AE3"/>
    <w:rsid w:val="00616B43"/>
    <w:rsid w:val="00616C7A"/>
    <w:rsid w:val="00617A31"/>
    <w:rsid w:val="00617A4A"/>
    <w:rsid w:val="00617A69"/>
    <w:rsid w:val="00617C7C"/>
    <w:rsid w:val="00617C90"/>
    <w:rsid w:val="00620121"/>
    <w:rsid w:val="006201C3"/>
    <w:rsid w:val="006202AD"/>
    <w:rsid w:val="00620332"/>
    <w:rsid w:val="006204BB"/>
    <w:rsid w:val="00620502"/>
    <w:rsid w:val="0062052C"/>
    <w:rsid w:val="0062054B"/>
    <w:rsid w:val="00620639"/>
    <w:rsid w:val="006208D4"/>
    <w:rsid w:val="00620945"/>
    <w:rsid w:val="00620CE2"/>
    <w:rsid w:val="00620EAF"/>
    <w:rsid w:val="00620FB7"/>
    <w:rsid w:val="00621070"/>
    <w:rsid w:val="006213C9"/>
    <w:rsid w:val="00621B72"/>
    <w:rsid w:val="00621BEA"/>
    <w:rsid w:val="00621EDF"/>
    <w:rsid w:val="006221BE"/>
    <w:rsid w:val="006224F5"/>
    <w:rsid w:val="006226E8"/>
    <w:rsid w:val="00622708"/>
    <w:rsid w:val="00622782"/>
    <w:rsid w:val="006228B3"/>
    <w:rsid w:val="00622BA5"/>
    <w:rsid w:val="00623527"/>
    <w:rsid w:val="0062352F"/>
    <w:rsid w:val="00623572"/>
    <w:rsid w:val="006236A7"/>
    <w:rsid w:val="0062403B"/>
    <w:rsid w:val="006243DC"/>
    <w:rsid w:val="0062474E"/>
    <w:rsid w:val="00624A00"/>
    <w:rsid w:val="00624CF9"/>
    <w:rsid w:val="00624FCA"/>
    <w:rsid w:val="0062527D"/>
    <w:rsid w:val="0062534F"/>
    <w:rsid w:val="00625B14"/>
    <w:rsid w:val="00625BCC"/>
    <w:rsid w:val="00626324"/>
    <w:rsid w:val="00626494"/>
    <w:rsid w:val="00626600"/>
    <w:rsid w:val="00626678"/>
    <w:rsid w:val="006266B0"/>
    <w:rsid w:val="00626AA9"/>
    <w:rsid w:val="00626AC5"/>
    <w:rsid w:val="00626CC8"/>
    <w:rsid w:val="00626DDE"/>
    <w:rsid w:val="006271A9"/>
    <w:rsid w:val="0062757F"/>
    <w:rsid w:val="0062768A"/>
    <w:rsid w:val="00627C63"/>
    <w:rsid w:val="0063007D"/>
    <w:rsid w:val="00630295"/>
    <w:rsid w:val="006304D4"/>
    <w:rsid w:val="006307E0"/>
    <w:rsid w:val="00630DDE"/>
    <w:rsid w:val="00631109"/>
    <w:rsid w:val="00631504"/>
    <w:rsid w:val="00631556"/>
    <w:rsid w:val="00631566"/>
    <w:rsid w:val="00631616"/>
    <w:rsid w:val="006316A5"/>
    <w:rsid w:val="00631A2B"/>
    <w:rsid w:val="0063258C"/>
    <w:rsid w:val="0063269B"/>
    <w:rsid w:val="006326E9"/>
    <w:rsid w:val="00632E1E"/>
    <w:rsid w:val="00632EE7"/>
    <w:rsid w:val="0063321A"/>
    <w:rsid w:val="006333E3"/>
    <w:rsid w:val="00633882"/>
    <w:rsid w:val="006339E7"/>
    <w:rsid w:val="00633BB4"/>
    <w:rsid w:val="00633C00"/>
    <w:rsid w:val="00633C4A"/>
    <w:rsid w:val="00634070"/>
    <w:rsid w:val="006342FA"/>
    <w:rsid w:val="006344CB"/>
    <w:rsid w:val="00634680"/>
    <w:rsid w:val="006346D3"/>
    <w:rsid w:val="006346DA"/>
    <w:rsid w:val="00634791"/>
    <w:rsid w:val="006347F4"/>
    <w:rsid w:val="00634958"/>
    <w:rsid w:val="00634ADF"/>
    <w:rsid w:val="00634DF8"/>
    <w:rsid w:val="00635029"/>
    <w:rsid w:val="00635227"/>
    <w:rsid w:val="00635268"/>
    <w:rsid w:val="0063537B"/>
    <w:rsid w:val="00635711"/>
    <w:rsid w:val="00635781"/>
    <w:rsid w:val="00635897"/>
    <w:rsid w:val="006359FD"/>
    <w:rsid w:val="00635AF2"/>
    <w:rsid w:val="00635CF8"/>
    <w:rsid w:val="00635E14"/>
    <w:rsid w:val="00635EE5"/>
    <w:rsid w:val="006361C2"/>
    <w:rsid w:val="006363AA"/>
    <w:rsid w:val="00636974"/>
    <w:rsid w:val="00636B4A"/>
    <w:rsid w:val="00636B9E"/>
    <w:rsid w:val="00636BC6"/>
    <w:rsid w:val="00636BD4"/>
    <w:rsid w:val="0063704A"/>
    <w:rsid w:val="00637208"/>
    <w:rsid w:val="006372EC"/>
    <w:rsid w:val="006373DF"/>
    <w:rsid w:val="00637402"/>
    <w:rsid w:val="0063780D"/>
    <w:rsid w:val="00637FA4"/>
    <w:rsid w:val="0064020F"/>
    <w:rsid w:val="00640340"/>
    <w:rsid w:val="006406AC"/>
    <w:rsid w:val="0064094A"/>
    <w:rsid w:val="00640AC0"/>
    <w:rsid w:val="00640C35"/>
    <w:rsid w:val="00640F6B"/>
    <w:rsid w:val="00641015"/>
    <w:rsid w:val="006410F3"/>
    <w:rsid w:val="0064179B"/>
    <w:rsid w:val="006417DE"/>
    <w:rsid w:val="00641853"/>
    <w:rsid w:val="0064198A"/>
    <w:rsid w:val="00641C24"/>
    <w:rsid w:val="00641DD5"/>
    <w:rsid w:val="00641E9B"/>
    <w:rsid w:val="00642148"/>
    <w:rsid w:val="00642167"/>
    <w:rsid w:val="00642351"/>
    <w:rsid w:val="006424AA"/>
    <w:rsid w:val="0064267B"/>
    <w:rsid w:val="00642690"/>
    <w:rsid w:val="00642A78"/>
    <w:rsid w:val="00642C0E"/>
    <w:rsid w:val="00643520"/>
    <w:rsid w:val="0064363F"/>
    <w:rsid w:val="00643662"/>
    <w:rsid w:val="00643775"/>
    <w:rsid w:val="00643B36"/>
    <w:rsid w:val="00643C3F"/>
    <w:rsid w:val="00643D0C"/>
    <w:rsid w:val="00643D3C"/>
    <w:rsid w:val="00643EDF"/>
    <w:rsid w:val="00643F0B"/>
    <w:rsid w:val="0064403F"/>
    <w:rsid w:val="006442BC"/>
    <w:rsid w:val="00644570"/>
    <w:rsid w:val="006445D1"/>
    <w:rsid w:val="0064483A"/>
    <w:rsid w:val="006448C0"/>
    <w:rsid w:val="00644A7A"/>
    <w:rsid w:val="0064549A"/>
    <w:rsid w:val="006455B3"/>
    <w:rsid w:val="00645774"/>
    <w:rsid w:val="00645804"/>
    <w:rsid w:val="00645874"/>
    <w:rsid w:val="0064590B"/>
    <w:rsid w:val="00645AB2"/>
    <w:rsid w:val="00645E65"/>
    <w:rsid w:val="00645EAA"/>
    <w:rsid w:val="006460F0"/>
    <w:rsid w:val="00646B5B"/>
    <w:rsid w:val="00646EDF"/>
    <w:rsid w:val="006470B2"/>
    <w:rsid w:val="00647201"/>
    <w:rsid w:val="006472A9"/>
    <w:rsid w:val="006472D6"/>
    <w:rsid w:val="0064740F"/>
    <w:rsid w:val="006475D8"/>
    <w:rsid w:val="006476AF"/>
    <w:rsid w:val="006476E8"/>
    <w:rsid w:val="00647705"/>
    <w:rsid w:val="00647A8B"/>
    <w:rsid w:val="00647C44"/>
    <w:rsid w:val="00647D24"/>
    <w:rsid w:val="00650A9D"/>
    <w:rsid w:val="00650B85"/>
    <w:rsid w:val="00650BC5"/>
    <w:rsid w:val="00650C55"/>
    <w:rsid w:val="00650DD9"/>
    <w:rsid w:val="0065106F"/>
    <w:rsid w:val="0065108C"/>
    <w:rsid w:val="00651215"/>
    <w:rsid w:val="006512ED"/>
    <w:rsid w:val="00651530"/>
    <w:rsid w:val="00651562"/>
    <w:rsid w:val="00651582"/>
    <w:rsid w:val="00651782"/>
    <w:rsid w:val="006518BE"/>
    <w:rsid w:val="00651F52"/>
    <w:rsid w:val="00652172"/>
    <w:rsid w:val="0065218F"/>
    <w:rsid w:val="00652B3F"/>
    <w:rsid w:val="00652BA1"/>
    <w:rsid w:val="00652BD4"/>
    <w:rsid w:val="00652CCB"/>
    <w:rsid w:val="00652DE7"/>
    <w:rsid w:val="00652E06"/>
    <w:rsid w:val="006531CF"/>
    <w:rsid w:val="006531DC"/>
    <w:rsid w:val="00653836"/>
    <w:rsid w:val="00653CC8"/>
    <w:rsid w:val="006545F7"/>
    <w:rsid w:val="006546FE"/>
    <w:rsid w:val="0065477E"/>
    <w:rsid w:val="00654A24"/>
    <w:rsid w:val="00654D94"/>
    <w:rsid w:val="00654FB4"/>
    <w:rsid w:val="006553AC"/>
    <w:rsid w:val="0065546E"/>
    <w:rsid w:val="00655890"/>
    <w:rsid w:val="0065595E"/>
    <w:rsid w:val="00655A3C"/>
    <w:rsid w:val="00655C23"/>
    <w:rsid w:val="00655EEA"/>
    <w:rsid w:val="0065601D"/>
    <w:rsid w:val="0065607A"/>
    <w:rsid w:val="00656198"/>
    <w:rsid w:val="006563BB"/>
    <w:rsid w:val="00656721"/>
    <w:rsid w:val="00657005"/>
    <w:rsid w:val="006570A2"/>
    <w:rsid w:val="00657861"/>
    <w:rsid w:val="00657A1A"/>
    <w:rsid w:val="00657A9C"/>
    <w:rsid w:val="006601CB"/>
    <w:rsid w:val="006604EA"/>
    <w:rsid w:val="0066053A"/>
    <w:rsid w:val="00660965"/>
    <w:rsid w:val="006609C6"/>
    <w:rsid w:val="00660BEB"/>
    <w:rsid w:val="00660D9D"/>
    <w:rsid w:val="00660DC6"/>
    <w:rsid w:val="0066183B"/>
    <w:rsid w:val="00662304"/>
    <w:rsid w:val="006625CF"/>
    <w:rsid w:val="006628A1"/>
    <w:rsid w:val="00662B77"/>
    <w:rsid w:val="00662B8F"/>
    <w:rsid w:val="00662BBA"/>
    <w:rsid w:val="00662D79"/>
    <w:rsid w:val="00662E32"/>
    <w:rsid w:val="00662FF8"/>
    <w:rsid w:val="0066303C"/>
    <w:rsid w:val="0066312E"/>
    <w:rsid w:val="00663295"/>
    <w:rsid w:val="0066333D"/>
    <w:rsid w:val="006636B4"/>
    <w:rsid w:val="006637B0"/>
    <w:rsid w:val="00663A25"/>
    <w:rsid w:val="00663B46"/>
    <w:rsid w:val="00663BBC"/>
    <w:rsid w:val="00663CD7"/>
    <w:rsid w:val="00663F27"/>
    <w:rsid w:val="006641AC"/>
    <w:rsid w:val="0066436A"/>
    <w:rsid w:val="0066454C"/>
    <w:rsid w:val="00664628"/>
    <w:rsid w:val="00664A34"/>
    <w:rsid w:val="00664AA3"/>
    <w:rsid w:val="00664DF3"/>
    <w:rsid w:val="00664F93"/>
    <w:rsid w:val="00664FFA"/>
    <w:rsid w:val="0066527A"/>
    <w:rsid w:val="006653F3"/>
    <w:rsid w:val="0066555D"/>
    <w:rsid w:val="00665779"/>
    <w:rsid w:val="0066594E"/>
    <w:rsid w:val="00665C25"/>
    <w:rsid w:val="00665DD1"/>
    <w:rsid w:val="00665E9C"/>
    <w:rsid w:val="00665FDC"/>
    <w:rsid w:val="00666014"/>
    <w:rsid w:val="006665C6"/>
    <w:rsid w:val="00666604"/>
    <w:rsid w:val="00666B32"/>
    <w:rsid w:val="00666C09"/>
    <w:rsid w:val="006673ED"/>
    <w:rsid w:val="006674FB"/>
    <w:rsid w:val="00667523"/>
    <w:rsid w:val="0066756E"/>
    <w:rsid w:val="00667685"/>
    <w:rsid w:val="00667B17"/>
    <w:rsid w:val="00667E8E"/>
    <w:rsid w:val="00667FD2"/>
    <w:rsid w:val="00670186"/>
    <w:rsid w:val="00670610"/>
    <w:rsid w:val="00670750"/>
    <w:rsid w:val="00670792"/>
    <w:rsid w:val="0067095C"/>
    <w:rsid w:val="00671665"/>
    <w:rsid w:val="0067199A"/>
    <w:rsid w:val="00671ACB"/>
    <w:rsid w:val="006720EC"/>
    <w:rsid w:val="00672133"/>
    <w:rsid w:val="006723B4"/>
    <w:rsid w:val="006724BF"/>
    <w:rsid w:val="00672784"/>
    <w:rsid w:val="006727FC"/>
    <w:rsid w:val="00672847"/>
    <w:rsid w:val="006728B7"/>
    <w:rsid w:val="00672C2E"/>
    <w:rsid w:val="00672C39"/>
    <w:rsid w:val="00672EF3"/>
    <w:rsid w:val="00672F56"/>
    <w:rsid w:val="006736BB"/>
    <w:rsid w:val="006737BC"/>
    <w:rsid w:val="006737FC"/>
    <w:rsid w:val="00673A3D"/>
    <w:rsid w:val="00673B7C"/>
    <w:rsid w:val="00673C13"/>
    <w:rsid w:val="00673E6A"/>
    <w:rsid w:val="00673E8C"/>
    <w:rsid w:val="00673FA2"/>
    <w:rsid w:val="00674162"/>
    <w:rsid w:val="00674346"/>
    <w:rsid w:val="0067451D"/>
    <w:rsid w:val="006747D3"/>
    <w:rsid w:val="00674AAA"/>
    <w:rsid w:val="00674B22"/>
    <w:rsid w:val="00674B2F"/>
    <w:rsid w:val="00674B55"/>
    <w:rsid w:val="00675198"/>
    <w:rsid w:val="00675209"/>
    <w:rsid w:val="006752C3"/>
    <w:rsid w:val="00675762"/>
    <w:rsid w:val="00675A9E"/>
    <w:rsid w:val="00675AE6"/>
    <w:rsid w:val="00675B36"/>
    <w:rsid w:val="00675B51"/>
    <w:rsid w:val="00675BA4"/>
    <w:rsid w:val="00675BAA"/>
    <w:rsid w:val="00675D55"/>
    <w:rsid w:val="00675ED9"/>
    <w:rsid w:val="0067614A"/>
    <w:rsid w:val="00676753"/>
    <w:rsid w:val="00676785"/>
    <w:rsid w:val="00676AFF"/>
    <w:rsid w:val="00676F06"/>
    <w:rsid w:val="00676F46"/>
    <w:rsid w:val="0067718C"/>
    <w:rsid w:val="00677361"/>
    <w:rsid w:val="006776B0"/>
    <w:rsid w:val="0067774B"/>
    <w:rsid w:val="006777DA"/>
    <w:rsid w:val="006778A5"/>
    <w:rsid w:val="00677CCB"/>
    <w:rsid w:val="00677CFD"/>
    <w:rsid w:val="00677E57"/>
    <w:rsid w:val="0068019E"/>
    <w:rsid w:val="0068037A"/>
    <w:rsid w:val="00680AE6"/>
    <w:rsid w:val="00680BAA"/>
    <w:rsid w:val="00680C65"/>
    <w:rsid w:val="00680C74"/>
    <w:rsid w:val="006810A8"/>
    <w:rsid w:val="006811B3"/>
    <w:rsid w:val="006815F9"/>
    <w:rsid w:val="006816EE"/>
    <w:rsid w:val="0068197C"/>
    <w:rsid w:val="00681B9E"/>
    <w:rsid w:val="00681BEF"/>
    <w:rsid w:val="00681D1E"/>
    <w:rsid w:val="00682563"/>
    <w:rsid w:val="006827E4"/>
    <w:rsid w:val="00683765"/>
    <w:rsid w:val="00683874"/>
    <w:rsid w:val="006838E9"/>
    <w:rsid w:val="00683929"/>
    <w:rsid w:val="0068392C"/>
    <w:rsid w:val="00683A87"/>
    <w:rsid w:val="00683B87"/>
    <w:rsid w:val="00683CDA"/>
    <w:rsid w:val="00683F4D"/>
    <w:rsid w:val="006840CA"/>
    <w:rsid w:val="006845EE"/>
    <w:rsid w:val="006849CF"/>
    <w:rsid w:val="00684D8B"/>
    <w:rsid w:val="00684DA0"/>
    <w:rsid w:val="00685020"/>
    <w:rsid w:val="0068503D"/>
    <w:rsid w:val="006850BC"/>
    <w:rsid w:val="00685267"/>
    <w:rsid w:val="00685669"/>
    <w:rsid w:val="00685B64"/>
    <w:rsid w:val="006861C4"/>
    <w:rsid w:val="006864F7"/>
    <w:rsid w:val="006865D9"/>
    <w:rsid w:val="0068676D"/>
    <w:rsid w:val="00686A1D"/>
    <w:rsid w:val="00686AC6"/>
    <w:rsid w:val="00686B75"/>
    <w:rsid w:val="00686C49"/>
    <w:rsid w:val="00687041"/>
    <w:rsid w:val="006874F5"/>
    <w:rsid w:val="00687ACA"/>
    <w:rsid w:val="00687D15"/>
    <w:rsid w:val="00690009"/>
    <w:rsid w:val="00690A5F"/>
    <w:rsid w:val="00690A75"/>
    <w:rsid w:val="00690B8F"/>
    <w:rsid w:val="00690ECD"/>
    <w:rsid w:val="006910ED"/>
    <w:rsid w:val="0069125B"/>
    <w:rsid w:val="006912DC"/>
    <w:rsid w:val="006913D6"/>
    <w:rsid w:val="00691623"/>
    <w:rsid w:val="0069165F"/>
    <w:rsid w:val="00692429"/>
    <w:rsid w:val="00692482"/>
    <w:rsid w:val="00692567"/>
    <w:rsid w:val="00692A4B"/>
    <w:rsid w:val="00692D07"/>
    <w:rsid w:val="00692E4E"/>
    <w:rsid w:val="006932A6"/>
    <w:rsid w:val="006934DD"/>
    <w:rsid w:val="00693864"/>
    <w:rsid w:val="00693955"/>
    <w:rsid w:val="006939C3"/>
    <w:rsid w:val="00693A21"/>
    <w:rsid w:val="00693AF0"/>
    <w:rsid w:val="00693B44"/>
    <w:rsid w:val="00693B72"/>
    <w:rsid w:val="00693B94"/>
    <w:rsid w:val="00693C10"/>
    <w:rsid w:val="00694110"/>
    <w:rsid w:val="00694526"/>
    <w:rsid w:val="006948E9"/>
    <w:rsid w:val="0069498C"/>
    <w:rsid w:val="00694CF8"/>
    <w:rsid w:val="00694FFC"/>
    <w:rsid w:val="006954DD"/>
    <w:rsid w:val="0069567D"/>
    <w:rsid w:val="006957B8"/>
    <w:rsid w:val="00695928"/>
    <w:rsid w:val="00695A6D"/>
    <w:rsid w:val="00695CD6"/>
    <w:rsid w:val="00695E76"/>
    <w:rsid w:val="00695F98"/>
    <w:rsid w:val="00695F9A"/>
    <w:rsid w:val="00696102"/>
    <w:rsid w:val="00696146"/>
    <w:rsid w:val="006962AA"/>
    <w:rsid w:val="0069631E"/>
    <w:rsid w:val="006963AB"/>
    <w:rsid w:val="0069659E"/>
    <w:rsid w:val="00696662"/>
    <w:rsid w:val="0069672B"/>
    <w:rsid w:val="00696951"/>
    <w:rsid w:val="006970D9"/>
    <w:rsid w:val="006974AA"/>
    <w:rsid w:val="006974DE"/>
    <w:rsid w:val="0069753F"/>
    <w:rsid w:val="00697956"/>
    <w:rsid w:val="00697C0C"/>
    <w:rsid w:val="00697F2A"/>
    <w:rsid w:val="006A0317"/>
    <w:rsid w:val="006A03C9"/>
    <w:rsid w:val="006A03FA"/>
    <w:rsid w:val="006A0663"/>
    <w:rsid w:val="006A0A04"/>
    <w:rsid w:val="006A0EBD"/>
    <w:rsid w:val="006A11EF"/>
    <w:rsid w:val="006A1237"/>
    <w:rsid w:val="006A1380"/>
    <w:rsid w:val="006A1558"/>
    <w:rsid w:val="006A17A8"/>
    <w:rsid w:val="006A1AFB"/>
    <w:rsid w:val="006A1B68"/>
    <w:rsid w:val="006A1CC8"/>
    <w:rsid w:val="006A1DC8"/>
    <w:rsid w:val="006A2189"/>
    <w:rsid w:val="006A2605"/>
    <w:rsid w:val="006A2718"/>
    <w:rsid w:val="006A285D"/>
    <w:rsid w:val="006A28C3"/>
    <w:rsid w:val="006A2AE5"/>
    <w:rsid w:val="006A2B0E"/>
    <w:rsid w:val="006A2C19"/>
    <w:rsid w:val="006A2D3A"/>
    <w:rsid w:val="006A2E0D"/>
    <w:rsid w:val="006A31A5"/>
    <w:rsid w:val="006A3773"/>
    <w:rsid w:val="006A3DBA"/>
    <w:rsid w:val="006A3ED1"/>
    <w:rsid w:val="006A447A"/>
    <w:rsid w:val="006A4571"/>
    <w:rsid w:val="006A4852"/>
    <w:rsid w:val="006A499D"/>
    <w:rsid w:val="006A4E69"/>
    <w:rsid w:val="006A4FEA"/>
    <w:rsid w:val="006A5024"/>
    <w:rsid w:val="006A509F"/>
    <w:rsid w:val="006A5358"/>
    <w:rsid w:val="006A57CC"/>
    <w:rsid w:val="006A5AB2"/>
    <w:rsid w:val="006A5B2B"/>
    <w:rsid w:val="006A5D21"/>
    <w:rsid w:val="006A63DC"/>
    <w:rsid w:val="006A648C"/>
    <w:rsid w:val="006A66DB"/>
    <w:rsid w:val="006A68DF"/>
    <w:rsid w:val="006A68F2"/>
    <w:rsid w:val="006A6924"/>
    <w:rsid w:val="006A6B28"/>
    <w:rsid w:val="006A6DF8"/>
    <w:rsid w:val="006A6F24"/>
    <w:rsid w:val="006A7087"/>
    <w:rsid w:val="006A7146"/>
    <w:rsid w:val="006A716D"/>
    <w:rsid w:val="006A7195"/>
    <w:rsid w:val="006A7568"/>
    <w:rsid w:val="006A7DF8"/>
    <w:rsid w:val="006B02AB"/>
    <w:rsid w:val="006B0311"/>
    <w:rsid w:val="006B05C3"/>
    <w:rsid w:val="006B05D6"/>
    <w:rsid w:val="006B0838"/>
    <w:rsid w:val="006B0A26"/>
    <w:rsid w:val="006B0B8D"/>
    <w:rsid w:val="006B0BBA"/>
    <w:rsid w:val="006B0CD1"/>
    <w:rsid w:val="006B0DB3"/>
    <w:rsid w:val="006B10F4"/>
    <w:rsid w:val="006B10F9"/>
    <w:rsid w:val="006B17EA"/>
    <w:rsid w:val="006B212E"/>
    <w:rsid w:val="006B242B"/>
    <w:rsid w:val="006B27C0"/>
    <w:rsid w:val="006B28D1"/>
    <w:rsid w:val="006B28E1"/>
    <w:rsid w:val="006B2EA3"/>
    <w:rsid w:val="006B2F1C"/>
    <w:rsid w:val="006B3128"/>
    <w:rsid w:val="006B3141"/>
    <w:rsid w:val="006B317E"/>
    <w:rsid w:val="006B3552"/>
    <w:rsid w:val="006B367D"/>
    <w:rsid w:val="006B368F"/>
    <w:rsid w:val="006B3690"/>
    <w:rsid w:val="006B3967"/>
    <w:rsid w:val="006B3BB9"/>
    <w:rsid w:val="006B3C90"/>
    <w:rsid w:val="006B3D9C"/>
    <w:rsid w:val="006B3E29"/>
    <w:rsid w:val="006B3E7F"/>
    <w:rsid w:val="006B4344"/>
    <w:rsid w:val="006B43C1"/>
    <w:rsid w:val="006B43C5"/>
    <w:rsid w:val="006B43CE"/>
    <w:rsid w:val="006B47C5"/>
    <w:rsid w:val="006B4AC3"/>
    <w:rsid w:val="006B4AE5"/>
    <w:rsid w:val="006B4B6A"/>
    <w:rsid w:val="006B4CF8"/>
    <w:rsid w:val="006B4D0A"/>
    <w:rsid w:val="006B5109"/>
    <w:rsid w:val="006B5324"/>
    <w:rsid w:val="006B5326"/>
    <w:rsid w:val="006B54B5"/>
    <w:rsid w:val="006B59F1"/>
    <w:rsid w:val="006B5AD6"/>
    <w:rsid w:val="006B5C65"/>
    <w:rsid w:val="006B5DE6"/>
    <w:rsid w:val="006B642B"/>
    <w:rsid w:val="006B65CF"/>
    <w:rsid w:val="006B6618"/>
    <w:rsid w:val="006B684F"/>
    <w:rsid w:val="006B6CEE"/>
    <w:rsid w:val="006B780A"/>
    <w:rsid w:val="006B793B"/>
    <w:rsid w:val="006B7C81"/>
    <w:rsid w:val="006B7CE2"/>
    <w:rsid w:val="006B7D14"/>
    <w:rsid w:val="006B7E20"/>
    <w:rsid w:val="006C0324"/>
    <w:rsid w:val="006C0466"/>
    <w:rsid w:val="006C052F"/>
    <w:rsid w:val="006C0CB7"/>
    <w:rsid w:val="006C10EA"/>
    <w:rsid w:val="006C1196"/>
    <w:rsid w:val="006C1BD2"/>
    <w:rsid w:val="006C1F9C"/>
    <w:rsid w:val="006C2144"/>
    <w:rsid w:val="006C21CF"/>
    <w:rsid w:val="006C22A8"/>
    <w:rsid w:val="006C230B"/>
    <w:rsid w:val="006C235B"/>
    <w:rsid w:val="006C239D"/>
    <w:rsid w:val="006C245D"/>
    <w:rsid w:val="006C2728"/>
    <w:rsid w:val="006C29B2"/>
    <w:rsid w:val="006C29FB"/>
    <w:rsid w:val="006C2B18"/>
    <w:rsid w:val="006C2C8D"/>
    <w:rsid w:val="006C2DB4"/>
    <w:rsid w:val="006C3094"/>
    <w:rsid w:val="006C3105"/>
    <w:rsid w:val="006C311A"/>
    <w:rsid w:val="006C36EE"/>
    <w:rsid w:val="006C370C"/>
    <w:rsid w:val="006C3756"/>
    <w:rsid w:val="006C3E68"/>
    <w:rsid w:val="006C434D"/>
    <w:rsid w:val="006C45A5"/>
    <w:rsid w:val="006C47F3"/>
    <w:rsid w:val="006C490A"/>
    <w:rsid w:val="006C4934"/>
    <w:rsid w:val="006C517D"/>
    <w:rsid w:val="006C5183"/>
    <w:rsid w:val="006C51AF"/>
    <w:rsid w:val="006C54AA"/>
    <w:rsid w:val="006C55F0"/>
    <w:rsid w:val="006C581E"/>
    <w:rsid w:val="006C5B64"/>
    <w:rsid w:val="006C6264"/>
    <w:rsid w:val="006C639C"/>
    <w:rsid w:val="006C6441"/>
    <w:rsid w:val="006C657A"/>
    <w:rsid w:val="006C65F2"/>
    <w:rsid w:val="006C6683"/>
    <w:rsid w:val="006C6777"/>
    <w:rsid w:val="006C6A09"/>
    <w:rsid w:val="006C6B24"/>
    <w:rsid w:val="006C6C1B"/>
    <w:rsid w:val="006C720A"/>
    <w:rsid w:val="006C7477"/>
    <w:rsid w:val="006C753D"/>
    <w:rsid w:val="006C76ED"/>
    <w:rsid w:val="006C78D7"/>
    <w:rsid w:val="006C7955"/>
    <w:rsid w:val="006C7E1D"/>
    <w:rsid w:val="006D0447"/>
    <w:rsid w:val="006D05AA"/>
    <w:rsid w:val="006D0619"/>
    <w:rsid w:val="006D0A5D"/>
    <w:rsid w:val="006D0B8D"/>
    <w:rsid w:val="006D0C8E"/>
    <w:rsid w:val="006D0CDD"/>
    <w:rsid w:val="006D0DD5"/>
    <w:rsid w:val="006D0EB8"/>
    <w:rsid w:val="006D0ECC"/>
    <w:rsid w:val="006D105E"/>
    <w:rsid w:val="006D11C2"/>
    <w:rsid w:val="006D1A26"/>
    <w:rsid w:val="006D1CB2"/>
    <w:rsid w:val="006D1E56"/>
    <w:rsid w:val="006D1EEB"/>
    <w:rsid w:val="006D24D0"/>
    <w:rsid w:val="006D2638"/>
    <w:rsid w:val="006D2AF1"/>
    <w:rsid w:val="006D2F2B"/>
    <w:rsid w:val="006D319D"/>
    <w:rsid w:val="006D3243"/>
    <w:rsid w:val="006D3249"/>
    <w:rsid w:val="006D3336"/>
    <w:rsid w:val="006D34C3"/>
    <w:rsid w:val="006D3653"/>
    <w:rsid w:val="006D3A35"/>
    <w:rsid w:val="006D3D20"/>
    <w:rsid w:val="006D4211"/>
    <w:rsid w:val="006D4342"/>
    <w:rsid w:val="006D4502"/>
    <w:rsid w:val="006D4769"/>
    <w:rsid w:val="006D4A95"/>
    <w:rsid w:val="006D4E08"/>
    <w:rsid w:val="006D4E84"/>
    <w:rsid w:val="006D5044"/>
    <w:rsid w:val="006D511E"/>
    <w:rsid w:val="006D5710"/>
    <w:rsid w:val="006D59ED"/>
    <w:rsid w:val="006D5AB0"/>
    <w:rsid w:val="006D5C0C"/>
    <w:rsid w:val="006D5E46"/>
    <w:rsid w:val="006D5FBF"/>
    <w:rsid w:val="006D622A"/>
    <w:rsid w:val="006D671D"/>
    <w:rsid w:val="006D67BB"/>
    <w:rsid w:val="006D6A7A"/>
    <w:rsid w:val="006D6F49"/>
    <w:rsid w:val="006D70E2"/>
    <w:rsid w:val="006D7178"/>
    <w:rsid w:val="006D7531"/>
    <w:rsid w:val="006D7845"/>
    <w:rsid w:val="006D79A1"/>
    <w:rsid w:val="006D7A2D"/>
    <w:rsid w:val="006E030A"/>
    <w:rsid w:val="006E066B"/>
    <w:rsid w:val="006E06E6"/>
    <w:rsid w:val="006E099D"/>
    <w:rsid w:val="006E0CA8"/>
    <w:rsid w:val="006E0DB4"/>
    <w:rsid w:val="006E14E2"/>
    <w:rsid w:val="006E16D0"/>
    <w:rsid w:val="006E16DC"/>
    <w:rsid w:val="006E179A"/>
    <w:rsid w:val="006E18B3"/>
    <w:rsid w:val="006E1905"/>
    <w:rsid w:val="006E1A69"/>
    <w:rsid w:val="006E1AE0"/>
    <w:rsid w:val="006E1DFC"/>
    <w:rsid w:val="006E237E"/>
    <w:rsid w:val="006E2717"/>
    <w:rsid w:val="006E2CE3"/>
    <w:rsid w:val="006E31A1"/>
    <w:rsid w:val="006E3403"/>
    <w:rsid w:val="006E34C5"/>
    <w:rsid w:val="006E3599"/>
    <w:rsid w:val="006E359F"/>
    <w:rsid w:val="006E3B5D"/>
    <w:rsid w:val="006E3BB5"/>
    <w:rsid w:val="006E3BD3"/>
    <w:rsid w:val="006E3DBE"/>
    <w:rsid w:val="006E3F3B"/>
    <w:rsid w:val="006E3F9C"/>
    <w:rsid w:val="006E415F"/>
    <w:rsid w:val="006E41B2"/>
    <w:rsid w:val="006E428B"/>
    <w:rsid w:val="006E42D0"/>
    <w:rsid w:val="006E459E"/>
    <w:rsid w:val="006E49EC"/>
    <w:rsid w:val="006E4A83"/>
    <w:rsid w:val="006E5100"/>
    <w:rsid w:val="006E55D4"/>
    <w:rsid w:val="006E569F"/>
    <w:rsid w:val="006E5824"/>
    <w:rsid w:val="006E5DC1"/>
    <w:rsid w:val="006E5E17"/>
    <w:rsid w:val="006E5E5F"/>
    <w:rsid w:val="006E61AB"/>
    <w:rsid w:val="006E62F0"/>
    <w:rsid w:val="006E673C"/>
    <w:rsid w:val="006E67BD"/>
    <w:rsid w:val="006E6FFB"/>
    <w:rsid w:val="006E74D4"/>
    <w:rsid w:val="006E7543"/>
    <w:rsid w:val="006E7758"/>
    <w:rsid w:val="006E7768"/>
    <w:rsid w:val="006E777E"/>
    <w:rsid w:val="006E7A4B"/>
    <w:rsid w:val="006E7B28"/>
    <w:rsid w:val="006E7DC1"/>
    <w:rsid w:val="006F01FD"/>
    <w:rsid w:val="006F0301"/>
    <w:rsid w:val="006F0367"/>
    <w:rsid w:val="006F0525"/>
    <w:rsid w:val="006F05A0"/>
    <w:rsid w:val="006F05F2"/>
    <w:rsid w:val="006F08F9"/>
    <w:rsid w:val="006F0951"/>
    <w:rsid w:val="006F0B92"/>
    <w:rsid w:val="006F0EB1"/>
    <w:rsid w:val="006F0FA0"/>
    <w:rsid w:val="006F1009"/>
    <w:rsid w:val="006F15CC"/>
    <w:rsid w:val="006F1913"/>
    <w:rsid w:val="006F1F18"/>
    <w:rsid w:val="006F266B"/>
    <w:rsid w:val="006F27E4"/>
    <w:rsid w:val="006F2A2B"/>
    <w:rsid w:val="006F2A87"/>
    <w:rsid w:val="006F2AE6"/>
    <w:rsid w:val="006F2C50"/>
    <w:rsid w:val="006F2CDA"/>
    <w:rsid w:val="006F3064"/>
    <w:rsid w:val="006F33FB"/>
    <w:rsid w:val="006F37C6"/>
    <w:rsid w:val="006F3842"/>
    <w:rsid w:val="006F3872"/>
    <w:rsid w:val="006F3B7C"/>
    <w:rsid w:val="006F3D2B"/>
    <w:rsid w:val="006F4507"/>
    <w:rsid w:val="006F461F"/>
    <w:rsid w:val="006F47C1"/>
    <w:rsid w:val="006F4957"/>
    <w:rsid w:val="006F4B41"/>
    <w:rsid w:val="006F4C5A"/>
    <w:rsid w:val="006F5151"/>
    <w:rsid w:val="006F5339"/>
    <w:rsid w:val="006F55C0"/>
    <w:rsid w:val="006F5621"/>
    <w:rsid w:val="006F574A"/>
    <w:rsid w:val="006F59E1"/>
    <w:rsid w:val="006F5E52"/>
    <w:rsid w:val="006F5E9F"/>
    <w:rsid w:val="006F5F2A"/>
    <w:rsid w:val="006F647B"/>
    <w:rsid w:val="006F64C2"/>
    <w:rsid w:val="006F6660"/>
    <w:rsid w:val="006F6797"/>
    <w:rsid w:val="006F69BF"/>
    <w:rsid w:val="006F6E54"/>
    <w:rsid w:val="006F6F0F"/>
    <w:rsid w:val="006F7331"/>
    <w:rsid w:val="006F75B1"/>
    <w:rsid w:val="006F78E3"/>
    <w:rsid w:val="006F7B57"/>
    <w:rsid w:val="006F7C6B"/>
    <w:rsid w:val="006F7F2A"/>
    <w:rsid w:val="006F7FE4"/>
    <w:rsid w:val="00700527"/>
    <w:rsid w:val="007006A4"/>
    <w:rsid w:val="007006FC"/>
    <w:rsid w:val="007009B4"/>
    <w:rsid w:val="00700A73"/>
    <w:rsid w:val="00700BE4"/>
    <w:rsid w:val="00700BFE"/>
    <w:rsid w:val="00700C01"/>
    <w:rsid w:val="00700C3F"/>
    <w:rsid w:val="00700D37"/>
    <w:rsid w:val="00700DA1"/>
    <w:rsid w:val="00700F0B"/>
    <w:rsid w:val="00701012"/>
    <w:rsid w:val="007016DF"/>
    <w:rsid w:val="007016EB"/>
    <w:rsid w:val="007017CF"/>
    <w:rsid w:val="00701AE0"/>
    <w:rsid w:val="00701DA3"/>
    <w:rsid w:val="007022EF"/>
    <w:rsid w:val="007026B8"/>
    <w:rsid w:val="007027DF"/>
    <w:rsid w:val="007027EF"/>
    <w:rsid w:val="0070298D"/>
    <w:rsid w:val="00702B9C"/>
    <w:rsid w:val="00702CFE"/>
    <w:rsid w:val="00702D34"/>
    <w:rsid w:val="00702DD8"/>
    <w:rsid w:val="00702F6C"/>
    <w:rsid w:val="0070315F"/>
    <w:rsid w:val="00703868"/>
    <w:rsid w:val="007039FC"/>
    <w:rsid w:val="00703C99"/>
    <w:rsid w:val="00704036"/>
    <w:rsid w:val="007040D1"/>
    <w:rsid w:val="0070473B"/>
    <w:rsid w:val="007048BA"/>
    <w:rsid w:val="00704A88"/>
    <w:rsid w:val="0070519D"/>
    <w:rsid w:val="007052BF"/>
    <w:rsid w:val="0070539F"/>
    <w:rsid w:val="00705480"/>
    <w:rsid w:val="00705781"/>
    <w:rsid w:val="00705BAA"/>
    <w:rsid w:val="00705D3D"/>
    <w:rsid w:val="00705EFC"/>
    <w:rsid w:val="00706193"/>
    <w:rsid w:val="007061C0"/>
    <w:rsid w:val="0070654F"/>
    <w:rsid w:val="00706743"/>
    <w:rsid w:val="0070674A"/>
    <w:rsid w:val="0070686B"/>
    <w:rsid w:val="00706B0D"/>
    <w:rsid w:val="007072FB"/>
    <w:rsid w:val="007073BD"/>
    <w:rsid w:val="00707912"/>
    <w:rsid w:val="00707E17"/>
    <w:rsid w:val="00707F85"/>
    <w:rsid w:val="00707FA0"/>
    <w:rsid w:val="007100B2"/>
    <w:rsid w:val="007102A2"/>
    <w:rsid w:val="007103FD"/>
    <w:rsid w:val="00710413"/>
    <w:rsid w:val="00710488"/>
    <w:rsid w:val="007104D9"/>
    <w:rsid w:val="00710BBF"/>
    <w:rsid w:val="00710C44"/>
    <w:rsid w:val="00711217"/>
    <w:rsid w:val="00711798"/>
    <w:rsid w:val="007119FA"/>
    <w:rsid w:val="00711E95"/>
    <w:rsid w:val="00711FFC"/>
    <w:rsid w:val="007120C6"/>
    <w:rsid w:val="0071219D"/>
    <w:rsid w:val="0071247F"/>
    <w:rsid w:val="0071255C"/>
    <w:rsid w:val="0071263F"/>
    <w:rsid w:val="0071265E"/>
    <w:rsid w:val="00712996"/>
    <w:rsid w:val="00713143"/>
    <w:rsid w:val="00713B70"/>
    <w:rsid w:val="00713C8A"/>
    <w:rsid w:val="00713F90"/>
    <w:rsid w:val="00713F9A"/>
    <w:rsid w:val="00714112"/>
    <w:rsid w:val="00714173"/>
    <w:rsid w:val="0071417F"/>
    <w:rsid w:val="00714305"/>
    <w:rsid w:val="00714455"/>
    <w:rsid w:val="00714F42"/>
    <w:rsid w:val="00714FFB"/>
    <w:rsid w:val="00715135"/>
    <w:rsid w:val="0071524A"/>
    <w:rsid w:val="0071529B"/>
    <w:rsid w:val="007153F4"/>
    <w:rsid w:val="007154FD"/>
    <w:rsid w:val="0071569F"/>
    <w:rsid w:val="007158B3"/>
    <w:rsid w:val="00715D5E"/>
    <w:rsid w:val="0071602C"/>
    <w:rsid w:val="00716451"/>
    <w:rsid w:val="0071665F"/>
    <w:rsid w:val="007167C9"/>
    <w:rsid w:val="007167F2"/>
    <w:rsid w:val="007169DF"/>
    <w:rsid w:val="00716A21"/>
    <w:rsid w:val="00716AB2"/>
    <w:rsid w:val="00716B60"/>
    <w:rsid w:val="00716D30"/>
    <w:rsid w:val="00716E82"/>
    <w:rsid w:val="0071707B"/>
    <w:rsid w:val="00717585"/>
    <w:rsid w:val="0071761D"/>
    <w:rsid w:val="007176B7"/>
    <w:rsid w:val="00717875"/>
    <w:rsid w:val="00717ACD"/>
    <w:rsid w:val="00717B4E"/>
    <w:rsid w:val="00717B7F"/>
    <w:rsid w:val="00717ED6"/>
    <w:rsid w:val="00720069"/>
    <w:rsid w:val="00720232"/>
    <w:rsid w:val="0072059B"/>
    <w:rsid w:val="007207BB"/>
    <w:rsid w:val="00720D95"/>
    <w:rsid w:val="00720DCC"/>
    <w:rsid w:val="00720E7B"/>
    <w:rsid w:val="00720F2A"/>
    <w:rsid w:val="00721132"/>
    <w:rsid w:val="00721201"/>
    <w:rsid w:val="007216D0"/>
    <w:rsid w:val="007218A8"/>
    <w:rsid w:val="00721A1F"/>
    <w:rsid w:val="00721AE0"/>
    <w:rsid w:val="00721B10"/>
    <w:rsid w:val="00721D35"/>
    <w:rsid w:val="00721EB8"/>
    <w:rsid w:val="007221B9"/>
    <w:rsid w:val="00722263"/>
    <w:rsid w:val="0072230E"/>
    <w:rsid w:val="0072260E"/>
    <w:rsid w:val="007226C1"/>
    <w:rsid w:val="00722728"/>
    <w:rsid w:val="00722AE1"/>
    <w:rsid w:val="00722AE5"/>
    <w:rsid w:val="00722C23"/>
    <w:rsid w:val="00722CC6"/>
    <w:rsid w:val="0072394C"/>
    <w:rsid w:val="0072399D"/>
    <w:rsid w:val="00723B88"/>
    <w:rsid w:val="00723CFC"/>
    <w:rsid w:val="00723D5D"/>
    <w:rsid w:val="007240ED"/>
    <w:rsid w:val="0072431E"/>
    <w:rsid w:val="007243BF"/>
    <w:rsid w:val="0072463E"/>
    <w:rsid w:val="00724717"/>
    <w:rsid w:val="0072477D"/>
    <w:rsid w:val="007247E6"/>
    <w:rsid w:val="00724B3A"/>
    <w:rsid w:val="00724B97"/>
    <w:rsid w:val="00724DFF"/>
    <w:rsid w:val="00724E76"/>
    <w:rsid w:val="00724F47"/>
    <w:rsid w:val="00724F51"/>
    <w:rsid w:val="00725308"/>
    <w:rsid w:val="00725311"/>
    <w:rsid w:val="00725353"/>
    <w:rsid w:val="0072540B"/>
    <w:rsid w:val="00725710"/>
    <w:rsid w:val="00725A96"/>
    <w:rsid w:val="00725AD5"/>
    <w:rsid w:val="00725B38"/>
    <w:rsid w:val="00725F0B"/>
    <w:rsid w:val="00726345"/>
    <w:rsid w:val="00726349"/>
    <w:rsid w:val="0072635A"/>
    <w:rsid w:val="0072656E"/>
    <w:rsid w:val="007266E6"/>
    <w:rsid w:val="0072681B"/>
    <w:rsid w:val="0072684A"/>
    <w:rsid w:val="00726889"/>
    <w:rsid w:val="00726A64"/>
    <w:rsid w:val="00726AE5"/>
    <w:rsid w:val="00726BE8"/>
    <w:rsid w:val="00726EF2"/>
    <w:rsid w:val="0072704B"/>
    <w:rsid w:val="0072725D"/>
    <w:rsid w:val="007274AC"/>
    <w:rsid w:val="007275A4"/>
    <w:rsid w:val="00727A78"/>
    <w:rsid w:val="00727A9A"/>
    <w:rsid w:val="00727D13"/>
    <w:rsid w:val="00730178"/>
    <w:rsid w:val="00730263"/>
    <w:rsid w:val="00730390"/>
    <w:rsid w:val="007303A2"/>
    <w:rsid w:val="0073073F"/>
    <w:rsid w:val="00730906"/>
    <w:rsid w:val="00730995"/>
    <w:rsid w:val="00730A94"/>
    <w:rsid w:val="00730E71"/>
    <w:rsid w:val="00731142"/>
    <w:rsid w:val="00731467"/>
    <w:rsid w:val="00731727"/>
    <w:rsid w:val="007319E5"/>
    <w:rsid w:val="00731DAC"/>
    <w:rsid w:val="007322F6"/>
    <w:rsid w:val="00732536"/>
    <w:rsid w:val="00732731"/>
    <w:rsid w:val="00732853"/>
    <w:rsid w:val="007328A8"/>
    <w:rsid w:val="00732931"/>
    <w:rsid w:val="00732AC6"/>
    <w:rsid w:val="00732B20"/>
    <w:rsid w:val="00732B45"/>
    <w:rsid w:val="00732BB9"/>
    <w:rsid w:val="00732E75"/>
    <w:rsid w:val="007331BD"/>
    <w:rsid w:val="007336B7"/>
    <w:rsid w:val="00733B0F"/>
    <w:rsid w:val="00733C04"/>
    <w:rsid w:val="00733F0F"/>
    <w:rsid w:val="0073440B"/>
    <w:rsid w:val="007344E0"/>
    <w:rsid w:val="007345CA"/>
    <w:rsid w:val="00734673"/>
    <w:rsid w:val="0073468F"/>
    <w:rsid w:val="00734821"/>
    <w:rsid w:val="007348BB"/>
    <w:rsid w:val="00734937"/>
    <w:rsid w:val="00734939"/>
    <w:rsid w:val="007349D8"/>
    <w:rsid w:val="00734A76"/>
    <w:rsid w:val="00734AB9"/>
    <w:rsid w:val="00734B01"/>
    <w:rsid w:val="00734CBF"/>
    <w:rsid w:val="00734DE5"/>
    <w:rsid w:val="00734E86"/>
    <w:rsid w:val="00735043"/>
    <w:rsid w:val="00735352"/>
    <w:rsid w:val="00735468"/>
    <w:rsid w:val="00735642"/>
    <w:rsid w:val="007357F1"/>
    <w:rsid w:val="00735852"/>
    <w:rsid w:val="00735955"/>
    <w:rsid w:val="00735DBD"/>
    <w:rsid w:val="0073610F"/>
    <w:rsid w:val="00736A8D"/>
    <w:rsid w:val="00736D9D"/>
    <w:rsid w:val="00736E30"/>
    <w:rsid w:val="00736E32"/>
    <w:rsid w:val="00736EF0"/>
    <w:rsid w:val="00737280"/>
    <w:rsid w:val="007372DA"/>
    <w:rsid w:val="007372F0"/>
    <w:rsid w:val="0073738F"/>
    <w:rsid w:val="00737605"/>
    <w:rsid w:val="007378D1"/>
    <w:rsid w:val="00737B44"/>
    <w:rsid w:val="00737D4F"/>
    <w:rsid w:val="00737E85"/>
    <w:rsid w:val="007403FB"/>
    <w:rsid w:val="00740403"/>
    <w:rsid w:val="00740BB9"/>
    <w:rsid w:val="00740BF5"/>
    <w:rsid w:val="007410AC"/>
    <w:rsid w:val="00741119"/>
    <w:rsid w:val="00741306"/>
    <w:rsid w:val="00741489"/>
    <w:rsid w:val="007416F4"/>
    <w:rsid w:val="00741E13"/>
    <w:rsid w:val="00741E8B"/>
    <w:rsid w:val="0074244B"/>
    <w:rsid w:val="00742666"/>
    <w:rsid w:val="00742A37"/>
    <w:rsid w:val="00742A96"/>
    <w:rsid w:val="00742BAA"/>
    <w:rsid w:val="00742D0C"/>
    <w:rsid w:val="00742D6B"/>
    <w:rsid w:val="00742F65"/>
    <w:rsid w:val="007431DB"/>
    <w:rsid w:val="00743450"/>
    <w:rsid w:val="007434C3"/>
    <w:rsid w:val="0074369D"/>
    <w:rsid w:val="00743A93"/>
    <w:rsid w:val="00743ADA"/>
    <w:rsid w:val="00743D55"/>
    <w:rsid w:val="00743F6F"/>
    <w:rsid w:val="007440E0"/>
    <w:rsid w:val="007441E2"/>
    <w:rsid w:val="00744242"/>
    <w:rsid w:val="00744284"/>
    <w:rsid w:val="00744285"/>
    <w:rsid w:val="007447DD"/>
    <w:rsid w:val="0074483D"/>
    <w:rsid w:val="00744F82"/>
    <w:rsid w:val="0074503B"/>
    <w:rsid w:val="0074504C"/>
    <w:rsid w:val="0074509C"/>
    <w:rsid w:val="007450EB"/>
    <w:rsid w:val="00745148"/>
    <w:rsid w:val="00745420"/>
    <w:rsid w:val="007454E0"/>
    <w:rsid w:val="007455FF"/>
    <w:rsid w:val="00745621"/>
    <w:rsid w:val="0074572F"/>
    <w:rsid w:val="0074595A"/>
    <w:rsid w:val="007459C0"/>
    <w:rsid w:val="00745A34"/>
    <w:rsid w:val="00745EDE"/>
    <w:rsid w:val="00746B8F"/>
    <w:rsid w:val="0074700E"/>
    <w:rsid w:val="0074702C"/>
    <w:rsid w:val="00747175"/>
    <w:rsid w:val="00747446"/>
    <w:rsid w:val="00747503"/>
    <w:rsid w:val="00747699"/>
    <w:rsid w:val="007478EA"/>
    <w:rsid w:val="00747ADA"/>
    <w:rsid w:val="00747B14"/>
    <w:rsid w:val="00747E58"/>
    <w:rsid w:val="00747F4D"/>
    <w:rsid w:val="00750730"/>
    <w:rsid w:val="007507A0"/>
    <w:rsid w:val="007509CD"/>
    <w:rsid w:val="00750A5E"/>
    <w:rsid w:val="00750C16"/>
    <w:rsid w:val="00750CA8"/>
    <w:rsid w:val="00750DE8"/>
    <w:rsid w:val="00750F83"/>
    <w:rsid w:val="007514F1"/>
    <w:rsid w:val="007515D5"/>
    <w:rsid w:val="007519D8"/>
    <w:rsid w:val="00751BA3"/>
    <w:rsid w:val="0075219A"/>
    <w:rsid w:val="007523CD"/>
    <w:rsid w:val="007523E1"/>
    <w:rsid w:val="00752607"/>
    <w:rsid w:val="00753413"/>
    <w:rsid w:val="00753520"/>
    <w:rsid w:val="00753B41"/>
    <w:rsid w:val="00753F4D"/>
    <w:rsid w:val="0075417C"/>
    <w:rsid w:val="00754186"/>
    <w:rsid w:val="007541FE"/>
    <w:rsid w:val="00754396"/>
    <w:rsid w:val="007544D2"/>
    <w:rsid w:val="0075454E"/>
    <w:rsid w:val="0075472C"/>
    <w:rsid w:val="00754899"/>
    <w:rsid w:val="00754A59"/>
    <w:rsid w:val="00754B4D"/>
    <w:rsid w:val="00754C19"/>
    <w:rsid w:val="00754C46"/>
    <w:rsid w:val="00754C53"/>
    <w:rsid w:val="00754F95"/>
    <w:rsid w:val="007555FB"/>
    <w:rsid w:val="0075569A"/>
    <w:rsid w:val="007559F6"/>
    <w:rsid w:val="00755C19"/>
    <w:rsid w:val="00755CF3"/>
    <w:rsid w:val="00755F6E"/>
    <w:rsid w:val="00755FE8"/>
    <w:rsid w:val="0075618B"/>
    <w:rsid w:val="00756227"/>
    <w:rsid w:val="00756A2F"/>
    <w:rsid w:val="00756BA7"/>
    <w:rsid w:val="00756D73"/>
    <w:rsid w:val="00756DB2"/>
    <w:rsid w:val="00756DE1"/>
    <w:rsid w:val="00756E14"/>
    <w:rsid w:val="00756F4B"/>
    <w:rsid w:val="0075726C"/>
    <w:rsid w:val="00757546"/>
    <w:rsid w:val="007576E8"/>
    <w:rsid w:val="00757A0C"/>
    <w:rsid w:val="00757B39"/>
    <w:rsid w:val="007603D5"/>
    <w:rsid w:val="0076056D"/>
    <w:rsid w:val="0076067E"/>
    <w:rsid w:val="007606E8"/>
    <w:rsid w:val="007607B4"/>
    <w:rsid w:val="007608C7"/>
    <w:rsid w:val="00760A19"/>
    <w:rsid w:val="00760C23"/>
    <w:rsid w:val="007614ED"/>
    <w:rsid w:val="0076173E"/>
    <w:rsid w:val="0076188D"/>
    <w:rsid w:val="0076192D"/>
    <w:rsid w:val="00761C74"/>
    <w:rsid w:val="00761DF5"/>
    <w:rsid w:val="00761FE9"/>
    <w:rsid w:val="007620EE"/>
    <w:rsid w:val="00762673"/>
    <w:rsid w:val="007627B0"/>
    <w:rsid w:val="007627D5"/>
    <w:rsid w:val="007628F3"/>
    <w:rsid w:val="00762BBB"/>
    <w:rsid w:val="00762F2C"/>
    <w:rsid w:val="007630CA"/>
    <w:rsid w:val="007632D7"/>
    <w:rsid w:val="00763377"/>
    <w:rsid w:val="007633AA"/>
    <w:rsid w:val="00763A7B"/>
    <w:rsid w:val="00764606"/>
    <w:rsid w:val="007647A1"/>
    <w:rsid w:val="007647CC"/>
    <w:rsid w:val="007648A7"/>
    <w:rsid w:val="00764BCC"/>
    <w:rsid w:val="00764D03"/>
    <w:rsid w:val="00764D04"/>
    <w:rsid w:val="00764D54"/>
    <w:rsid w:val="00764D83"/>
    <w:rsid w:val="00765089"/>
    <w:rsid w:val="0076529C"/>
    <w:rsid w:val="007652E6"/>
    <w:rsid w:val="00765A31"/>
    <w:rsid w:val="00765D92"/>
    <w:rsid w:val="00765E98"/>
    <w:rsid w:val="00765F47"/>
    <w:rsid w:val="007661A0"/>
    <w:rsid w:val="007662A6"/>
    <w:rsid w:val="007665DD"/>
    <w:rsid w:val="00766621"/>
    <w:rsid w:val="00766769"/>
    <w:rsid w:val="00766B91"/>
    <w:rsid w:val="00766DCF"/>
    <w:rsid w:val="00766DD5"/>
    <w:rsid w:val="00766E91"/>
    <w:rsid w:val="00766ED6"/>
    <w:rsid w:val="0076766D"/>
    <w:rsid w:val="007679BF"/>
    <w:rsid w:val="00767A42"/>
    <w:rsid w:val="00767BA0"/>
    <w:rsid w:val="00767C8F"/>
    <w:rsid w:val="00767EC7"/>
    <w:rsid w:val="00767FE0"/>
    <w:rsid w:val="00770323"/>
    <w:rsid w:val="0077033E"/>
    <w:rsid w:val="00770412"/>
    <w:rsid w:val="007705F4"/>
    <w:rsid w:val="00770DF6"/>
    <w:rsid w:val="00770F3F"/>
    <w:rsid w:val="007714A6"/>
    <w:rsid w:val="0077150A"/>
    <w:rsid w:val="0077161D"/>
    <w:rsid w:val="0077163A"/>
    <w:rsid w:val="00771764"/>
    <w:rsid w:val="00771A69"/>
    <w:rsid w:val="00771DEA"/>
    <w:rsid w:val="0077216D"/>
    <w:rsid w:val="0077286B"/>
    <w:rsid w:val="00772962"/>
    <w:rsid w:val="00772B63"/>
    <w:rsid w:val="00773500"/>
    <w:rsid w:val="0077355F"/>
    <w:rsid w:val="00773974"/>
    <w:rsid w:val="007739ED"/>
    <w:rsid w:val="00773B86"/>
    <w:rsid w:val="00773D90"/>
    <w:rsid w:val="00773E27"/>
    <w:rsid w:val="00773FB1"/>
    <w:rsid w:val="00774429"/>
    <w:rsid w:val="007745A2"/>
    <w:rsid w:val="00774F05"/>
    <w:rsid w:val="00774F76"/>
    <w:rsid w:val="0077500F"/>
    <w:rsid w:val="00775089"/>
    <w:rsid w:val="0077542D"/>
    <w:rsid w:val="00775461"/>
    <w:rsid w:val="007754B4"/>
    <w:rsid w:val="0077573F"/>
    <w:rsid w:val="00775947"/>
    <w:rsid w:val="00775ACC"/>
    <w:rsid w:val="00775BAD"/>
    <w:rsid w:val="00775FB8"/>
    <w:rsid w:val="007761E6"/>
    <w:rsid w:val="007765D4"/>
    <w:rsid w:val="0077668B"/>
    <w:rsid w:val="00776C38"/>
    <w:rsid w:val="00776DAA"/>
    <w:rsid w:val="00776E05"/>
    <w:rsid w:val="00776E0F"/>
    <w:rsid w:val="00776EDA"/>
    <w:rsid w:val="00777078"/>
    <w:rsid w:val="0077717C"/>
    <w:rsid w:val="007774BA"/>
    <w:rsid w:val="007774E4"/>
    <w:rsid w:val="00777BEF"/>
    <w:rsid w:val="00777C89"/>
    <w:rsid w:val="00780208"/>
    <w:rsid w:val="007802EB"/>
    <w:rsid w:val="00780529"/>
    <w:rsid w:val="00780791"/>
    <w:rsid w:val="00780FF5"/>
    <w:rsid w:val="0078117A"/>
    <w:rsid w:val="00781275"/>
    <w:rsid w:val="007813C4"/>
    <w:rsid w:val="0078157A"/>
    <w:rsid w:val="00781955"/>
    <w:rsid w:val="00781EC0"/>
    <w:rsid w:val="00782270"/>
    <w:rsid w:val="00782307"/>
    <w:rsid w:val="0078240D"/>
    <w:rsid w:val="0078275D"/>
    <w:rsid w:val="007829F5"/>
    <w:rsid w:val="00782CEC"/>
    <w:rsid w:val="0078329A"/>
    <w:rsid w:val="00783335"/>
    <w:rsid w:val="0078362C"/>
    <w:rsid w:val="00783644"/>
    <w:rsid w:val="007839F8"/>
    <w:rsid w:val="00783DCB"/>
    <w:rsid w:val="007840A1"/>
    <w:rsid w:val="00784268"/>
    <w:rsid w:val="0078474A"/>
    <w:rsid w:val="00784A2D"/>
    <w:rsid w:val="00784CEE"/>
    <w:rsid w:val="00784DDA"/>
    <w:rsid w:val="00784DE3"/>
    <w:rsid w:val="00784DEF"/>
    <w:rsid w:val="0078504B"/>
    <w:rsid w:val="007850D5"/>
    <w:rsid w:val="0078517E"/>
    <w:rsid w:val="007852FF"/>
    <w:rsid w:val="00785B89"/>
    <w:rsid w:val="0078618D"/>
    <w:rsid w:val="007865EA"/>
    <w:rsid w:val="007868B1"/>
    <w:rsid w:val="00786AD9"/>
    <w:rsid w:val="00786B76"/>
    <w:rsid w:val="007871A6"/>
    <w:rsid w:val="00787210"/>
    <w:rsid w:val="00787250"/>
    <w:rsid w:val="0078741C"/>
    <w:rsid w:val="00787673"/>
    <w:rsid w:val="00787855"/>
    <w:rsid w:val="00787998"/>
    <w:rsid w:val="00787E2C"/>
    <w:rsid w:val="007906D2"/>
    <w:rsid w:val="00790A78"/>
    <w:rsid w:val="00790BB3"/>
    <w:rsid w:val="00791032"/>
    <w:rsid w:val="00791075"/>
    <w:rsid w:val="007911E2"/>
    <w:rsid w:val="00791305"/>
    <w:rsid w:val="00791351"/>
    <w:rsid w:val="00791845"/>
    <w:rsid w:val="00791872"/>
    <w:rsid w:val="00791A75"/>
    <w:rsid w:val="00791B5C"/>
    <w:rsid w:val="00791D0C"/>
    <w:rsid w:val="00791DB7"/>
    <w:rsid w:val="00791FE0"/>
    <w:rsid w:val="007924D6"/>
    <w:rsid w:val="0079253C"/>
    <w:rsid w:val="007925B8"/>
    <w:rsid w:val="00792D69"/>
    <w:rsid w:val="00792DB7"/>
    <w:rsid w:val="00792E5C"/>
    <w:rsid w:val="00792E99"/>
    <w:rsid w:val="00793038"/>
    <w:rsid w:val="007930E7"/>
    <w:rsid w:val="00793171"/>
    <w:rsid w:val="007934FF"/>
    <w:rsid w:val="007935E2"/>
    <w:rsid w:val="00793705"/>
    <w:rsid w:val="00793975"/>
    <w:rsid w:val="00793BC6"/>
    <w:rsid w:val="00793CB8"/>
    <w:rsid w:val="00794083"/>
    <w:rsid w:val="007940EF"/>
    <w:rsid w:val="0079410E"/>
    <w:rsid w:val="00794481"/>
    <w:rsid w:val="007945B3"/>
    <w:rsid w:val="0079472B"/>
    <w:rsid w:val="00794800"/>
    <w:rsid w:val="00794871"/>
    <w:rsid w:val="00794A0D"/>
    <w:rsid w:val="00794AA3"/>
    <w:rsid w:val="007955E9"/>
    <w:rsid w:val="007957C7"/>
    <w:rsid w:val="007957FD"/>
    <w:rsid w:val="00795867"/>
    <w:rsid w:val="007959D3"/>
    <w:rsid w:val="00795B59"/>
    <w:rsid w:val="00795C05"/>
    <w:rsid w:val="007961C1"/>
    <w:rsid w:val="00796385"/>
    <w:rsid w:val="00796745"/>
    <w:rsid w:val="00796936"/>
    <w:rsid w:val="00796C06"/>
    <w:rsid w:val="00796CA3"/>
    <w:rsid w:val="007977EB"/>
    <w:rsid w:val="007979CD"/>
    <w:rsid w:val="00797A52"/>
    <w:rsid w:val="00797A9B"/>
    <w:rsid w:val="00797B7B"/>
    <w:rsid w:val="00797CA9"/>
    <w:rsid w:val="00797CE1"/>
    <w:rsid w:val="00797DF0"/>
    <w:rsid w:val="007A00F7"/>
    <w:rsid w:val="007A0157"/>
    <w:rsid w:val="007A02BB"/>
    <w:rsid w:val="007A0851"/>
    <w:rsid w:val="007A08D0"/>
    <w:rsid w:val="007A1128"/>
    <w:rsid w:val="007A174F"/>
    <w:rsid w:val="007A18B0"/>
    <w:rsid w:val="007A227C"/>
    <w:rsid w:val="007A253D"/>
    <w:rsid w:val="007A2567"/>
    <w:rsid w:val="007A2688"/>
    <w:rsid w:val="007A289C"/>
    <w:rsid w:val="007A2BEA"/>
    <w:rsid w:val="007A2D2A"/>
    <w:rsid w:val="007A326B"/>
    <w:rsid w:val="007A34A8"/>
    <w:rsid w:val="007A35D4"/>
    <w:rsid w:val="007A35E3"/>
    <w:rsid w:val="007A383F"/>
    <w:rsid w:val="007A3DBB"/>
    <w:rsid w:val="007A3DF8"/>
    <w:rsid w:val="007A40B2"/>
    <w:rsid w:val="007A420B"/>
    <w:rsid w:val="007A4341"/>
    <w:rsid w:val="007A43A1"/>
    <w:rsid w:val="007A4820"/>
    <w:rsid w:val="007A491F"/>
    <w:rsid w:val="007A4C9E"/>
    <w:rsid w:val="007A530F"/>
    <w:rsid w:val="007A5358"/>
    <w:rsid w:val="007A5384"/>
    <w:rsid w:val="007A5B84"/>
    <w:rsid w:val="007A5C3B"/>
    <w:rsid w:val="007A5E07"/>
    <w:rsid w:val="007A5EC1"/>
    <w:rsid w:val="007A6021"/>
    <w:rsid w:val="007A6170"/>
    <w:rsid w:val="007A62F9"/>
    <w:rsid w:val="007A6349"/>
    <w:rsid w:val="007A637E"/>
    <w:rsid w:val="007A63B2"/>
    <w:rsid w:val="007A6589"/>
    <w:rsid w:val="007A65BF"/>
    <w:rsid w:val="007A65E0"/>
    <w:rsid w:val="007A66F1"/>
    <w:rsid w:val="007A6738"/>
    <w:rsid w:val="007A68B9"/>
    <w:rsid w:val="007A68CD"/>
    <w:rsid w:val="007A6B2E"/>
    <w:rsid w:val="007A6D57"/>
    <w:rsid w:val="007A6ED9"/>
    <w:rsid w:val="007A7129"/>
    <w:rsid w:val="007A7279"/>
    <w:rsid w:val="007A7337"/>
    <w:rsid w:val="007A78A5"/>
    <w:rsid w:val="007B0232"/>
    <w:rsid w:val="007B0AA8"/>
    <w:rsid w:val="007B0C40"/>
    <w:rsid w:val="007B128A"/>
    <w:rsid w:val="007B12EC"/>
    <w:rsid w:val="007B135F"/>
    <w:rsid w:val="007B153B"/>
    <w:rsid w:val="007B17EF"/>
    <w:rsid w:val="007B1A0A"/>
    <w:rsid w:val="007B1C6B"/>
    <w:rsid w:val="007B2092"/>
    <w:rsid w:val="007B2331"/>
    <w:rsid w:val="007B2498"/>
    <w:rsid w:val="007B24EA"/>
    <w:rsid w:val="007B26FA"/>
    <w:rsid w:val="007B27AE"/>
    <w:rsid w:val="007B2953"/>
    <w:rsid w:val="007B2FEF"/>
    <w:rsid w:val="007B3326"/>
    <w:rsid w:val="007B3447"/>
    <w:rsid w:val="007B3615"/>
    <w:rsid w:val="007B3628"/>
    <w:rsid w:val="007B3696"/>
    <w:rsid w:val="007B3875"/>
    <w:rsid w:val="007B3944"/>
    <w:rsid w:val="007B3D23"/>
    <w:rsid w:val="007B3D24"/>
    <w:rsid w:val="007B3F2D"/>
    <w:rsid w:val="007B3FF9"/>
    <w:rsid w:val="007B42A1"/>
    <w:rsid w:val="007B45A2"/>
    <w:rsid w:val="007B485A"/>
    <w:rsid w:val="007B4890"/>
    <w:rsid w:val="007B493C"/>
    <w:rsid w:val="007B4A0D"/>
    <w:rsid w:val="007B50A6"/>
    <w:rsid w:val="007B528E"/>
    <w:rsid w:val="007B54F0"/>
    <w:rsid w:val="007B55F1"/>
    <w:rsid w:val="007B56E7"/>
    <w:rsid w:val="007B5D02"/>
    <w:rsid w:val="007B5E8C"/>
    <w:rsid w:val="007B6089"/>
    <w:rsid w:val="007B6358"/>
    <w:rsid w:val="007B66D1"/>
    <w:rsid w:val="007B6B72"/>
    <w:rsid w:val="007B6CD3"/>
    <w:rsid w:val="007B6D1E"/>
    <w:rsid w:val="007B6D9D"/>
    <w:rsid w:val="007B7248"/>
    <w:rsid w:val="007B75B8"/>
    <w:rsid w:val="007B770C"/>
    <w:rsid w:val="007B7777"/>
    <w:rsid w:val="007B7A20"/>
    <w:rsid w:val="007B7BDC"/>
    <w:rsid w:val="007B7CE6"/>
    <w:rsid w:val="007B7E67"/>
    <w:rsid w:val="007C0093"/>
    <w:rsid w:val="007C00B6"/>
    <w:rsid w:val="007C04BC"/>
    <w:rsid w:val="007C0615"/>
    <w:rsid w:val="007C0969"/>
    <w:rsid w:val="007C0A4C"/>
    <w:rsid w:val="007C0FDD"/>
    <w:rsid w:val="007C1023"/>
    <w:rsid w:val="007C1381"/>
    <w:rsid w:val="007C159B"/>
    <w:rsid w:val="007C16D5"/>
    <w:rsid w:val="007C18C1"/>
    <w:rsid w:val="007C1A69"/>
    <w:rsid w:val="007C1A79"/>
    <w:rsid w:val="007C1C74"/>
    <w:rsid w:val="007C1C76"/>
    <w:rsid w:val="007C1D56"/>
    <w:rsid w:val="007C1EC7"/>
    <w:rsid w:val="007C1FB6"/>
    <w:rsid w:val="007C202B"/>
    <w:rsid w:val="007C2330"/>
    <w:rsid w:val="007C23BB"/>
    <w:rsid w:val="007C2453"/>
    <w:rsid w:val="007C2485"/>
    <w:rsid w:val="007C2831"/>
    <w:rsid w:val="007C28DD"/>
    <w:rsid w:val="007C2944"/>
    <w:rsid w:val="007C2CC5"/>
    <w:rsid w:val="007C2D83"/>
    <w:rsid w:val="007C2F51"/>
    <w:rsid w:val="007C2F8F"/>
    <w:rsid w:val="007C2FAB"/>
    <w:rsid w:val="007C3016"/>
    <w:rsid w:val="007C325E"/>
    <w:rsid w:val="007C37CC"/>
    <w:rsid w:val="007C3859"/>
    <w:rsid w:val="007C3B37"/>
    <w:rsid w:val="007C3D95"/>
    <w:rsid w:val="007C3E78"/>
    <w:rsid w:val="007C430F"/>
    <w:rsid w:val="007C45B6"/>
    <w:rsid w:val="007C45DC"/>
    <w:rsid w:val="007C47E1"/>
    <w:rsid w:val="007C48D8"/>
    <w:rsid w:val="007C48F1"/>
    <w:rsid w:val="007C4933"/>
    <w:rsid w:val="007C4D3C"/>
    <w:rsid w:val="007C5350"/>
    <w:rsid w:val="007C5420"/>
    <w:rsid w:val="007C59B4"/>
    <w:rsid w:val="007C5A27"/>
    <w:rsid w:val="007C5D92"/>
    <w:rsid w:val="007C5F28"/>
    <w:rsid w:val="007C6064"/>
    <w:rsid w:val="007C6447"/>
    <w:rsid w:val="007C6782"/>
    <w:rsid w:val="007C6848"/>
    <w:rsid w:val="007C6C21"/>
    <w:rsid w:val="007C6C6E"/>
    <w:rsid w:val="007C6CA8"/>
    <w:rsid w:val="007C7110"/>
    <w:rsid w:val="007C7116"/>
    <w:rsid w:val="007C72B4"/>
    <w:rsid w:val="007C7988"/>
    <w:rsid w:val="007C7C3F"/>
    <w:rsid w:val="007C7EF9"/>
    <w:rsid w:val="007D0054"/>
    <w:rsid w:val="007D008F"/>
    <w:rsid w:val="007D0124"/>
    <w:rsid w:val="007D051C"/>
    <w:rsid w:val="007D06F7"/>
    <w:rsid w:val="007D0726"/>
    <w:rsid w:val="007D0A5D"/>
    <w:rsid w:val="007D0B83"/>
    <w:rsid w:val="007D0E71"/>
    <w:rsid w:val="007D1060"/>
    <w:rsid w:val="007D13C2"/>
    <w:rsid w:val="007D1613"/>
    <w:rsid w:val="007D165C"/>
    <w:rsid w:val="007D165E"/>
    <w:rsid w:val="007D1EE2"/>
    <w:rsid w:val="007D1F8C"/>
    <w:rsid w:val="007D252F"/>
    <w:rsid w:val="007D26B5"/>
    <w:rsid w:val="007D3147"/>
    <w:rsid w:val="007D325E"/>
    <w:rsid w:val="007D35B4"/>
    <w:rsid w:val="007D3728"/>
    <w:rsid w:val="007D375C"/>
    <w:rsid w:val="007D3965"/>
    <w:rsid w:val="007D39FA"/>
    <w:rsid w:val="007D3ACE"/>
    <w:rsid w:val="007D3C94"/>
    <w:rsid w:val="007D4247"/>
    <w:rsid w:val="007D46C7"/>
    <w:rsid w:val="007D4D5B"/>
    <w:rsid w:val="007D4D64"/>
    <w:rsid w:val="007D515B"/>
    <w:rsid w:val="007D516D"/>
    <w:rsid w:val="007D547C"/>
    <w:rsid w:val="007D5670"/>
    <w:rsid w:val="007D5836"/>
    <w:rsid w:val="007D603C"/>
    <w:rsid w:val="007D60D3"/>
    <w:rsid w:val="007D61F4"/>
    <w:rsid w:val="007D65B3"/>
    <w:rsid w:val="007D6613"/>
    <w:rsid w:val="007D6691"/>
    <w:rsid w:val="007D67BB"/>
    <w:rsid w:val="007D6981"/>
    <w:rsid w:val="007D6A04"/>
    <w:rsid w:val="007D71A2"/>
    <w:rsid w:val="007D741E"/>
    <w:rsid w:val="007D74BC"/>
    <w:rsid w:val="007D78DE"/>
    <w:rsid w:val="007E007B"/>
    <w:rsid w:val="007E02A0"/>
    <w:rsid w:val="007E042F"/>
    <w:rsid w:val="007E0482"/>
    <w:rsid w:val="007E0495"/>
    <w:rsid w:val="007E0814"/>
    <w:rsid w:val="007E08D5"/>
    <w:rsid w:val="007E097A"/>
    <w:rsid w:val="007E10A1"/>
    <w:rsid w:val="007E160B"/>
    <w:rsid w:val="007E16CF"/>
    <w:rsid w:val="007E1B08"/>
    <w:rsid w:val="007E1C57"/>
    <w:rsid w:val="007E1F9D"/>
    <w:rsid w:val="007E2131"/>
    <w:rsid w:val="007E2175"/>
    <w:rsid w:val="007E27D7"/>
    <w:rsid w:val="007E2870"/>
    <w:rsid w:val="007E29A8"/>
    <w:rsid w:val="007E2BEA"/>
    <w:rsid w:val="007E2FB3"/>
    <w:rsid w:val="007E2FE2"/>
    <w:rsid w:val="007E3086"/>
    <w:rsid w:val="007E32D4"/>
    <w:rsid w:val="007E3876"/>
    <w:rsid w:val="007E39BD"/>
    <w:rsid w:val="007E3E32"/>
    <w:rsid w:val="007E3EB3"/>
    <w:rsid w:val="007E40B0"/>
    <w:rsid w:val="007E422F"/>
    <w:rsid w:val="007E42A5"/>
    <w:rsid w:val="007E4365"/>
    <w:rsid w:val="007E44D0"/>
    <w:rsid w:val="007E4B98"/>
    <w:rsid w:val="007E4CD2"/>
    <w:rsid w:val="007E4E01"/>
    <w:rsid w:val="007E512E"/>
    <w:rsid w:val="007E524A"/>
    <w:rsid w:val="007E5791"/>
    <w:rsid w:val="007E5963"/>
    <w:rsid w:val="007E5BC1"/>
    <w:rsid w:val="007E5BD6"/>
    <w:rsid w:val="007E5CE7"/>
    <w:rsid w:val="007E5D14"/>
    <w:rsid w:val="007E5DC5"/>
    <w:rsid w:val="007E63FC"/>
    <w:rsid w:val="007E64AB"/>
    <w:rsid w:val="007E660A"/>
    <w:rsid w:val="007E67A3"/>
    <w:rsid w:val="007E6A20"/>
    <w:rsid w:val="007E6BBD"/>
    <w:rsid w:val="007E6ED0"/>
    <w:rsid w:val="007E70A3"/>
    <w:rsid w:val="007E742A"/>
    <w:rsid w:val="007E77B7"/>
    <w:rsid w:val="007E79E6"/>
    <w:rsid w:val="007E7E2F"/>
    <w:rsid w:val="007E7EF9"/>
    <w:rsid w:val="007F00B0"/>
    <w:rsid w:val="007F00F4"/>
    <w:rsid w:val="007F0511"/>
    <w:rsid w:val="007F07E3"/>
    <w:rsid w:val="007F08D8"/>
    <w:rsid w:val="007F0946"/>
    <w:rsid w:val="007F0B22"/>
    <w:rsid w:val="007F1617"/>
    <w:rsid w:val="007F17DC"/>
    <w:rsid w:val="007F1BD0"/>
    <w:rsid w:val="007F1D11"/>
    <w:rsid w:val="007F1EBB"/>
    <w:rsid w:val="007F2252"/>
    <w:rsid w:val="007F245E"/>
    <w:rsid w:val="007F24BE"/>
    <w:rsid w:val="007F256C"/>
    <w:rsid w:val="007F2612"/>
    <w:rsid w:val="007F265D"/>
    <w:rsid w:val="007F26DA"/>
    <w:rsid w:val="007F26E7"/>
    <w:rsid w:val="007F2821"/>
    <w:rsid w:val="007F2D0B"/>
    <w:rsid w:val="007F2F7C"/>
    <w:rsid w:val="007F33F2"/>
    <w:rsid w:val="007F37BC"/>
    <w:rsid w:val="007F387D"/>
    <w:rsid w:val="007F39DF"/>
    <w:rsid w:val="007F3AA7"/>
    <w:rsid w:val="007F3B93"/>
    <w:rsid w:val="007F3CF7"/>
    <w:rsid w:val="007F4002"/>
    <w:rsid w:val="007F4101"/>
    <w:rsid w:val="007F443F"/>
    <w:rsid w:val="007F44A1"/>
    <w:rsid w:val="007F47C7"/>
    <w:rsid w:val="007F4AA5"/>
    <w:rsid w:val="007F4D2B"/>
    <w:rsid w:val="007F4FB9"/>
    <w:rsid w:val="007F4FEF"/>
    <w:rsid w:val="007F507F"/>
    <w:rsid w:val="007F52D3"/>
    <w:rsid w:val="007F5710"/>
    <w:rsid w:val="007F5C2E"/>
    <w:rsid w:val="007F5E5F"/>
    <w:rsid w:val="007F6266"/>
    <w:rsid w:val="007F6464"/>
    <w:rsid w:val="007F64AC"/>
    <w:rsid w:val="007F67C4"/>
    <w:rsid w:val="007F68EB"/>
    <w:rsid w:val="007F68EC"/>
    <w:rsid w:val="007F69AE"/>
    <w:rsid w:val="007F6BDB"/>
    <w:rsid w:val="007F6E61"/>
    <w:rsid w:val="007F7095"/>
    <w:rsid w:val="007F70FD"/>
    <w:rsid w:val="007F7520"/>
    <w:rsid w:val="007F7540"/>
    <w:rsid w:val="007F773D"/>
    <w:rsid w:val="007F79EA"/>
    <w:rsid w:val="007F7A16"/>
    <w:rsid w:val="007F7B95"/>
    <w:rsid w:val="007F7C2F"/>
    <w:rsid w:val="007F7C87"/>
    <w:rsid w:val="007F7C92"/>
    <w:rsid w:val="007F7CEB"/>
    <w:rsid w:val="008001EE"/>
    <w:rsid w:val="0080029D"/>
    <w:rsid w:val="0080050B"/>
    <w:rsid w:val="00800A0C"/>
    <w:rsid w:val="00800F73"/>
    <w:rsid w:val="008012B2"/>
    <w:rsid w:val="008012CD"/>
    <w:rsid w:val="0080135B"/>
    <w:rsid w:val="00801391"/>
    <w:rsid w:val="00801720"/>
    <w:rsid w:val="00801C4F"/>
    <w:rsid w:val="00801ED1"/>
    <w:rsid w:val="00801FEB"/>
    <w:rsid w:val="00802354"/>
    <w:rsid w:val="008023F0"/>
    <w:rsid w:val="00802553"/>
    <w:rsid w:val="00802561"/>
    <w:rsid w:val="00802587"/>
    <w:rsid w:val="0080285C"/>
    <w:rsid w:val="00802BB0"/>
    <w:rsid w:val="00802C3F"/>
    <w:rsid w:val="00802EDE"/>
    <w:rsid w:val="00802FC7"/>
    <w:rsid w:val="00803100"/>
    <w:rsid w:val="008032E2"/>
    <w:rsid w:val="00803352"/>
    <w:rsid w:val="0080337F"/>
    <w:rsid w:val="0080349F"/>
    <w:rsid w:val="0080363E"/>
    <w:rsid w:val="008036DD"/>
    <w:rsid w:val="00803816"/>
    <w:rsid w:val="00803AF6"/>
    <w:rsid w:val="00803C0F"/>
    <w:rsid w:val="00804746"/>
    <w:rsid w:val="008047EB"/>
    <w:rsid w:val="00804A06"/>
    <w:rsid w:val="00804EF6"/>
    <w:rsid w:val="00805054"/>
    <w:rsid w:val="0080511D"/>
    <w:rsid w:val="008054DB"/>
    <w:rsid w:val="00805506"/>
    <w:rsid w:val="0080550E"/>
    <w:rsid w:val="0080591B"/>
    <w:rsid w:val="00805AB2"/>
    <w:rsid w:val="00805ADB"/>
    <w:rsid w:val="00806279"/>
    <w:rsid w:val="008063E6"/>
    <w:rsid w:val="00806665"/>
    <w:rsid w:val="00806715"/>
    <w:rsid w:val="00806923"/>
    <w:rsid w:val="00806E3E"/>
    <w:rsid w:val="00806F12"/>
    <w:rsid w:val="008071AD"/>
    <w:rsid w:val="0080730F"/>
    <w:rsid w:val="0080733D"/>
    <w:rsid w:val="0080765D"/>
    <w:rsid w:val="00807909"/>
    <w:rsid w:val="00807984"/>
    <w:rsid w:val="008079EE"/>
    <w:rsid w:val="00807A6B"/>
    <w:rsid w:val="00807C49"/>
    <w:rsid w:val="00807C6C"/>
    <w:rsid w:val="00807D18"/>
    <w:rsid w:val="00807DAC"/>
    <w:rsid w:val="008107FD"/>
    <w:rsid w:val="00810B2D"/>
    <w:rsid w:val="00810B8B"/>
    <w:rsid w:val="00810D5A"/>
    <w:rsid w:val="00811728"/>
    <w:rsid w:val="00811B2B"/>
    <w:rsid w:val="00811F9E"/>
    <w:rsid w:val="00811FC8"/>
    <w:rsid w:val="008121EB"/>
    <w:rsid w:val="00812AC1"/>
    <w:rsid w:val="00812ACC"/>
    <w:rsid w:val="00812B42"/>
    <w:rsid w:val="00812EF0"/>
    <w:rsid w:val="00813092"/>
    <w:rsid w:val="00813128"/>
    <w:rsid w:val="00813285"/>
    <w:rsid w:val="008132C2"/>
    <w:rsid w:val="00813342"/>
    <w:rsid w:val="008134C1"/>
    <w:rsid w:val="0081355D"/>
    <w:rsid w:val="008135A6"/>
    <w:rsid w:val="008137D5"/>
    <w:rsid w:val="00813A4E"/>
    <w:rsid w:val="0081423C"/>
    <w:rsid w:val="00814441"/>
    <w:rsid w:val="00814486"/>
    <w:rsid w:val="00814490"/>
    <w:rsid w:val="00814D86"/>
    <w:rsid w:val="00814E86"/>
    <w:rsid w:val="00815123"/>
    <w:rsid w:val="00815494"/>
    <w:rsid w:val="008157A4"/>
    <w:rsid w:val="008157B8"/>
    <w:rsid w:val="00815F22"/>
    <w:rsid w:val="0081632C"/>
    <w:rsid w:val="008167B4"/>
    <w:rsid w:val="00816A4D"/>
    <w:rsid w:val="00816A7D"/>
    <w:rsid w:val="00816EA3"/>
    <w:rsid w:val="00816EA5"/>
    <w:rsid w:val="00817383"/>
    <w:rsid w:val="00817590"/>
    <w:rsid w:val="00820159"/>
    <w:rsid w:val="008202C8"/>
    <w:rsid w:val="008206A5"/>
    <w:rsid w:val="0082088B"/>
    <w:rsid w:val="008208D3"/>
    <w:rsid w:val="00820B63"/>
    <w:rsid w:val="00820B71"/>
    <w:rsid w:val="00820CA4"/>
    <w:rsid w:val="00820CAF"/>
    <w:rsid w:val="00820CFF"/>
    <w:rsid w:val="00820DF2"/>
    <w:rsid w:val="00820E5C"/>
    <w:rsid w:val="008210F6"/>
    <w:rsid w:val="00821103"/>
    <w:rsid w:val="0082115E"/>
    <w:rsid w:val="0082116E"/>
    <w:rsid w:val="008212CA"/>
    <w:rsid w:val="0082137F"/>
    <w:rsid w:val="008213FE"/>
    <w:rsid w:val="0082145B"/>
    <w:rsid w:val="0082151E"/>
    <w:rsid w:val="0082168D"/>
    <w:rsid w:val="008216C7"/>
    <w:rsid w:val="00821813"/>
    <w:rsid w:val="00821895"/>
    <w:rsid w:val="008219D4"/>
    <w:rsid w:val="00821C43"/>
    <w:rsid w:val="00821E9B"/>
    <w:rsid w:val="008221F7"/>
    <w:rsid w:val="00822276"/>
    <w:rsid w:val="008226BD"/>
    <w:rsid w:val="00822799"/>
    <w:rsid w:val="00822E93"/>
    <w:rsid w:val="00822FFD"/>
    <w:rsid w:val="0082351F"/>
    <w:rsid w:val="008237C8"/>
    <w:rsid w:val="0082393A"/>
    <w:rsid w:val="00823E74"/>
    <w:rsid w:val="008247D6"/>
    <w:rsid w:val="00824964"/>
    <w:rsid w:val="00824A46"/>
    <w:rsid w:val="00824B38"/>
    <w:rsid w:val="00824B66"/>
    <w:rsid w:val="00824E27"/>
    <w:rsid w:val="008251BE"/>
    <w:rsid w:val="008252A2"/>
    <w:rsid w:val="008252E4"/>
    <w:rsid w:val="00825360"/>
    <w:rsid w:val="008254F9"/>
    <w:rsid w:val="0082566B"/>
    <w:rsid w:val="00825AEB"/>
    <w:rsid w:val="00825DFC"/>
    <w:rsid w:val="00825F6C"/>
    <w:rsid w:val="008261AA"/>
    <w:rsid w:val="0082625D"/>
    <w:rsid w:val="00826A01"/>
    <w:rsid w:val="00826C91"/>
    <w:rsid w:val="00826D34"/>
    <w:rsid w:val="00826D4E"/>
    <w:rsid w:val="00826E9D"/>
    <w:rsid w:val="00826EC9"/>
    <w:rsid w:val="00826FEB"/>
    <w:rsid w:val="00827096"/>
    <w:rsid w:val="0082731F"/>
    <w:rsid w:val="00827463"/>
    <w:rsid w:val="008277A4"/>
    <w:rsid w:val="008279C4"/>
    <w:rsid w:val="00827B94"/>
    <w:rsid w:val="00827DBA"/>
    <w:rsid w:val="00827E6C"/>
    <w:rsid w:val="00827F49"/>
    <w:rsid w:val="00830107"/>
    <w:rsid w:val="008301D8"/>
    <w:rsid w:val="008302D8"/>
    <w:rsid w:val="0083097E"/>
    <w:rsid w:val="00830ABB"/>
    <w:rsid w:val="00830AE6"/>
    <w:rsid w:val="00830C9C"/>
    <w:rsid w:val="00830F25"/>
    <w:rsid w:val="00830FD1"/>
    <w:rsid w:val="00830FD2"/>
    <w:rsid w:val="008313A0"/>
    <w:rsid w:val="008314EB"/>
    <w:rsid w:val="00831763"/>
    <w:rsid w:val="00831850"/>
    <w:rsid w:val="00831C16"/>
    <w:rsid w:val="00831D21"/>
    <w:rsid w:val="00831D2A"/>
    <w:rsid w:val="00831FD7"/>
    <w:rsid w:val="0083204C"/>
    <w:rsid w:val="00832366"/>
    <w:rsid w:val="008328DF"/>
    <w:rsid w:val="0083290E"/>
    <w:rsid w:val="00832CAE"/>
    <w:rsid w:val="00832CF4"/>
    <w:rsid w:val="00832F6E"/>
    <w:rsid w:val="00832FA4"/>
    <w:rsid w:val="008334FB"/>
    <w:rsid w:val="008335EE"/>
    <w:rsid w:val="00833652"/>
    <w:rsid w:val="008339AF"/>
    <w:rsid w:val="00833B2F"/>
    <w:rsid w:val="00833FEF"/>
    <w:rsid w:val="008342EB"/>
    <w:rsid w:val="008344C1"/>
    <w:rsid w:val="008346CE"/>
    <w:rsid w:val="008347CB"/>
    <w:rsid w:val="008348DC"/>
    <w:rsid w:val="008349B7"/>
    <w:rsid w:val="00834B10"/>
    <w:rsid w:val="00834BD0"/>
    <w:rsid w:val="00834CE6"/>
    <w:rsid w:val="00834E03"/>
    <w:rsid w:val="00834EF4"/>
    <w:rsid w:val="00834F2C"/>
    <w:rsid w:val="00834FE0"/>
    <w:rsid w:val="00835239"/>
    <w:rsid w:val="00835417"/>
    <w:rsid w:val="00835639"/>
    <w:rsid w:val="00835A10"/>
    <w:rsid w:val="00835B80"/>
    <w:rsid w:val="008360CB"/>
    <w:rsid w:val="00836134"/>
    <w:rsid w:val="0083619E"/>
    <w:rsid w:val="008361B6"/>
    <w:rsid w:val="008361C4"/>
    <w:rsid w:val="008362DB"/>
    <w:rsid w:val="00836310"/>
    <w:rsid w:val="00836311"/>
    <w:rsid w:val="0083645D"/>
    <w:rsid w:val="008365D8"/>
    <w:rsid w:val="008366A3"/>
    <w:rsid w:val="008367F1"/>
    <w:rsid w:val="00836810"/>
    <w:rsid w:val="00836925"/>
    <w:rsid w:val="00836F75"/>
    <w:rsid w:val="00837375"/>
    <w:rsid w:val="008373B0"/>
    <w:rsid w:val="008375A3"/>
    <w:rsid w:val="008378A9"/>
    <w:rsid w:val="0083793D"/>
    <w:rsid w:val="0083795C"/>
    <w:rsid w:val="0084055C"/>
    <w:rsid w:val="008408AE"/>
    <w:rsid w:val="00840F02"/>
    <w:rsid w:val="00840F70"/>
    <w:rsid w:val="00840F7D"/>
    <w:rsid w:val="00841205"/>
    <w:rsid w:val="0084178A"/>
    <w:rsid w:val="008418F7"/>
    <w:rsid w:val="008419AB"/>
    <w:rsid w:val="00841B2F"/>
    <w:rsid w:val="00841FBD"/>
    <w:rsid w:val="00842185"/>
    <w:rsid w:val="0084250E"/>
    <w:rsid w:val="0084263E"/>
    <w:rsid w:val="00842BE3"/>
    <w:rsid w:val="00842E71"/>
    <w:rsid w:val="00842E75"/>
    <w:rsid w:val="008432B2"/>
    <w:rsid w:val="00843A33"/>
    <w:rsid w:val="00843B78"/>
    <w:rsid w:val="00843BD1"/>
    <w:rsid w:val="00843D8A"/>
    <w:rsid w:val="00843F7D"/>
    <w:rsid w:val="008441A7"/>
    <w:rsid w:val="008443EF"/>
    <w:rsid w:val="008446D1"/>
    <w:rsid w:val="00844772"/>
    <w:rsid w:val="008448C1"/>
    <w:rsid w:val="00844D60"/>
    <w:rsid w:val="00844F9A"/>
    <w:rsid w:val="00845099"/>
    <w:rsid w:val="00845145"/>
    <w:rsid w:val="00845182"/>
    <w:rsid w:val="00845477"/>
    <w:rsid w:val="008457F6"/>
    <w:rsid w:val="00845B12"/>
    <w:rsid w:val="00845F38"/>
    <w:rsid w:val="00846511"/>
    <w:rsid w:val="00846738"/>
    <w:rsid w:val="00846803"/>
    <w:rsid w:val="008469F6"/>
    <w:rsid w:val="00846B80"/>
    <w:rsid w:val="00846CD0"/>
    <w:rsid w:val="00846CF0"/>
    <w:rsid w:val="00847036"/>
    <w:rsid w:val="00847378"/>
    <w:rsid w:val="00847544"/>
    <w:rsid w:val="00847593"/>
    <w:rsid w:val="0084761A"/>
    <w:rsid w:val="00847670"/>
    <w:rsid w:val="00847A5A"/>
    <w:rsid w:val="00847B7F"/>
    <w:rsid w:val="00847CEE"/>
    <w:rsid w:val="008501B4"/>
    <w:rsid w:val="0085047F"/>
    <w:rsid w:val="008506C6"/>
    <w:rsid w:val="00850D45"/>
    <w:rsid w:val="00850E86"/>
    <w:rsid w:val="00850F48"/>
    <w:rsid w:val="0085109C"/>
    <w:rsid w:val="008512B4"/>
    <w:rsid w:val="00851342"/>
    <w:rsid w:val="008515DE"/>
    <w:rsid w:val="00851988"/>
    <w:rsid w:val="00851B6C"/>
    <w:rsid w:val="00851B6D"/>
    <w:rsid w:val="0085234B"/>
    <w:rsid w:val="008527DA"/>
    <w:rsid w:val="00852AD0"/>
    <w:rsid w:val="00852CEA"/>
    <w:rsid w:val="00852DF9"/>
    <w:rsid w:val="00852F07"/>
    <w:rsid w:val="00853713"/>
    <w:rsid w:val="00853762"/>
    <w:rsid w:val="008538D9"/>
    <w:rsid w:val="008539EB"/>
    <w:rsid w:val="00853EF3"/>
    <w:rsid w:val="00853FE3"/>
    <w:rsid w:val="00854036"/>
    <w:rsid w:val="0085423D"/>
    <w:rsid w:val="00854260"/>
    <w:rsid w:val="008543D7"/>
    <w:rsid w:val="0085440B"/>
    <w:rsid w:val="00854A38"/>
    <w:rsid w:val="00854B18"/>
    <w:rsid w:val="00854E47"/>
    <w:rsid w:val="00855587"/>
    <w:rsid w:val="0085563A"/>
    <w:rsid w:val="00855A0F"/>
    <w:rsid w:val="00855A99"/>
    <w:rsid w:val="00855FD2"/>
    <w:rsid w:val="008561F3"/>
    <w:rsid w:val="00856413"/>
    <w:rsid w:val="00856473"/>
    <w:rsid w:val="008564B3"/>
    <w:rsid w:val="00856594"/>
    <w:rsid w:val="00856853"/>
    <w:rsid w:val="008568B9"/>
    <w:rsid w:val="0085694F"/>
    <w:rsid w:val="00856DCE"/>
    <w:rsid w:val="00856FA0"/>
    <w:rsid w:val="00856FD0"/>
    <w:rsid w:val="00856FFC"/>
    <w:rsid w:val="008571A8"/>
    <w:rsid w:val="00857397"/>
    <w:rsid w:val="00857578"/>
    <w:rsid w:val="0085762B"/>
    <w:rsid w:val="008576E6"/>
    <w:rsid w:val="008578BE"/>
    <w:rsid w:val="00857CB2"/>
    <w:rsid w:val="00857DE0"/>
    <w:rsid w:val="00857E8C"/>
    <w:rsid w:val="00857F21"/>
    <w:rsid w:val="00857FD5"/>
    <w:rsid w:val="00860071"/>
    <w:rsid w:val="008601E0"/>
    <w:rsid w:val="00860301"/>
    <w:rsid w:val="0086033B"/>
    <w:rsid w:val="008603FC"/>
    <w:rsid w:val="00860420"/>
    <w:rsid w:val="00860716"/>
    <w:rsid w:val="0086084E"/>
    <w:rsid w:val="008608F7"/>
    <w:rsid w:val="00860A29"/>
    <w:rsid w:val="00860AE5"/>
    <w:rsid w:val="00860D0B"/>
    <w:rsid w:val="00860EF1"/>
    <w:rsid w:val="00860F41"/>
    <w:rsid w:val="00860F7D"/>
    <w:rsid w:val="00860FA2"/>
    <w:rsid w:val="008617BF"/>
    <w:rsid w:val="008617CD"/>
    <w:rsid w:val="008619BE"/>
    <w:rsid w:val="008619D1"/>
    <w:rsid w:val="00861B06"/>
    <w:rsid w:val="00861CE2"/>
    <w:rsid w:val="00861F2F"/>
    <w:rsid w:val="00862533"/>
    <w:rsid w:val="008626A5"/>
    <w:rsid w:val="00862A2C"/>
    <w:rsid w:val="00863077"/>
    <w:rsid w:val="00863244"/>
    <w:rsid w:val="00863867"/>
    <w:rsid w:val="00863A10"/>
    <w:rsid w:val="00863B77"/>
    <w:rsid w:val="00863CD0"/>
    <w:rsid w:val="0086423A"/>
    <w:rsid w:val="00864724"/>
    <w:rsid w:val="00864D7F"/>
    <w:rsid w:val="008650ED"/>
    <w:rsid w:val="00865627"/>
    <w:rsid w:val="008658F5"/>
    <w:rsid w:val="008659DC"/>
    <w:rsid w:val="00865AF3"/>
    <w:rsid w:val="00865BF3"/>
    <w:rsid w:val="00865DAC"/>
    <w:rsid w:val="008661BB"/>
    <w:rsid w:val="008669F1"/>
    <w:rsid w:val="00866AA9"/>
    <w:rsid w:val="00866DEB"/>
    <w:rsid w:val="008676E3"/>
    <w:rsid w:val="00867A9B"/>
    <w:rsid w:val="00867B00"/>
    <w:rsid w:val="00867D54"/>
    <w:rsid w:val="00867E42"/>
    <w:rsid w:val="00870208"/>
    <w:rsid w:val="00870899"/>
    <w:rsid w:val="0087089C"/>
    <w:rsid w:val="00870979"/>
    <w:rsid w:val="00870B32"/>
    <w:rsid w:val="00870BB4"/>
    <w:rsid w:val="00871036"/>
    <w:rsid w:val="0087105F"/>
    <w:rsid w:val="00871142"/>
    <w:rsid w:val="008711EF"/>
    <w:rsid w:val="00871599"/>
    <w:rsid w:val="008718F9"/>
    <w:rsid w:val="00871D04"/>
    <w:rsid w:val="00871DA4"/>
    <w:rsid w:val="008722F3"/>
    <w:rsid w:val="00872A86"/>
    <w:rsid w:val="00872D77"/>
    <w:rsid w:val="00873111"/>
    <w:rsid w:val="008736E0"/>
    <w:rsid w:val="00873D07"/>
    <w:rsid w:val="008741C5"/>
    <w:rsid w:val="008745E3"/>
    <w:rsid w:val="0087481F"/>
    <w:rsid w:val="008748DA"/>
    <w:rsid w:val="0087498F"/>
    <w:rsid w:val="008749D7"/>
    <w:rsid w:val="00874AAA"/>
    <w:rsid w:val="00874BB9"/>
    <w:rsid w:val="00874D61"/>
    <w:rsid w:val="00874E68"/>
    <w:rsid w:val="00874F59"/>
    <w:rsid w:val="00874F5C"/>
    <w:rsid w:val="00874FBD"/>
    <w:rsid w:val="00874FC1"/>
    <w:rsid w:val="0087536C"/>
    <w:rsid w:val="00875A20"/>
    <w:rsid w:val="00875ABF"/>
    <w:rsid w:val="00876520"/>
    <w:rsid w:val="00876674"/>
    <w:rsid w:val="00876729"/>
    <w:rsid w:val="00876743"/>
    <w:rsid w:val="00876965"/>
    <w:rsid w:val="00876AAD"/>
    <w:rsid w:val="00876B7F"/>
    <w:rsid w:val="00876BCF"/>
    <w:rsid w:val="00876D6B"/>
    <w:rsid w:val="00877050"/>
    <w:rsid w:val="00877341"/>
    <w:rsid w:val="0087771E"/>
    <w:rsid w:val="008779B3"/>
    <w:rsid w:val="00877EBE"/>
    <w:rsid w:val="00877F69"/>
    <w:rsid w:val="00877FB1"/>
    <w:rsid w:val="00880779"/>
    <w:rsid w:val="00880834"/>
    <w:rsid w:val="008810E7"/>
    <w:rsid w:val="0088119F"/>
    <w:rsid w:val="0088122E"/>
    <w:rsid w:val="00881CCE"/>
    <w:rsid w:val="00881D31"/>
    <w:rsid w:val="00881DC9"/>
    <w:rsid w:val="00882079"/>
    <w:rsid w:val="00882314"/>
    <w:rsid w:val="00882474"/>
    <w:rsid w:val="008828AA"/>
    <w:rsid w:val="0088291A"/>
    <w:rsid w:val="008829E7"/>
    <w:rsid w:val="00882A3B"/>
    <w:rsid w:val="00882AB5"/>
    <w:rsid w:val="008830E5"/>
    <w:rsid w:val="0088319E"/>
    <w:rsid w:val="008833AA"/>
    <w:rsid w:val="00883914"/>
    <w:rsid w:val="00883A81"/>
    <w:rsid w:val="00884975"/>
    <w:rsid w:val="00884988"/>
    <w:rsid w:val="00884BD4"/>
    <w:rsid w:val="00884CF2"/>
    <w:rsid w:val="00885266"/>
    <w:rsid w:val="0088526B"/>
    <w:rsid w:val="008856E4"/>
    <w:rsid w:val="008857F6"/>
    <w:rsid w:val="00885859"/>
    <w:rsid w:val="00885B06"/>
    <w:rsid w:val="00885B27"/>
    <w:rsid w:val="00885BAF"/>
    <w:rsid w:val="008860BA"/>
    <w:rsid w:val="0088664B"/>
    <w:rsid w:val="00886747"/>
    <w:rsid w:val="00886BB4"/>
    <w:rsid w:val="00886C3C"/>
    <w:rsid w:val="00886E11"/>
    <w:rsid w:val="00886E27"/>
    <w:rsid w:val="008871E0"/>
    <w:rsid w:val="008872DF"/>
    <w:rsid w:val="0088749A"/>
    <w:rsid w:val="008875F8"/>
    <w:rsid w:val="0088767C"/>
    <w:rsid w:val="00887E7D"/>
    <w:rsid w:val="008903CA"/>
    <w:rsid w:val="008909F9"/>
    <w:rsid w:val="00890BFF"/>
    <w:rsid w:val="00890C4D"/>
    <w:rsid w:val="00890CB7"/>
    <w:rsid w:val="00890EFD"/>
    <w:rsid w:val="00891184"/>
    <w:rsid w:val="008912C7"/>
    <w:rsid w:val="00891351"/>
    <w:rsid w:val="008915C0"/>
    <w:rsid w:val="00891A72"/>
    <w:rsid w:val="00891D76"/>
    <w:rsid w:val="00892023"/>
    <w:rsid w:val="0089205E"/>
    <w:rsid w:val="00892121"/>
    <w:rsid w:val="00892584"/>
    <w:rsid w:val="008925D0"/>
    <w:rsid w:val="00892687"/>
    <w:rsid w:val="0089278E"/>
    <w:rsid w:val="00892CC1"/>
    <w:rsid w:val="008932AA"/>
    <w:rsid w:val="0089332B"/>
    <w:rsid w:val="008933C8"/>
    <w:rsid w:val="008935CB"/>
    <w:rsid w:val="008936BA"/>
    <w:rsid w:val="00893B54"/>
    <w:rsid w:val="00893BAC"/>
    <w:rsid w:val="00894327"/>
    <w:rsid w:val="00894468"/>
    <w:rsid w:val="008948AC"/>
    <w:rsid w:val="00894926"/>
    <w:rsid w:val="00894B24"/>
    <w:rsid w:val="00894BE4"/>
    <w:rsid w:val="00894CC5"/>
    <w:rsid w:val="008954DD"/>
    <w:rsid w:val="00895782"/>
    <w:rsid w:val="008959A3"/>
    <w:rsid w:val="008959B2"/>
    <w:rsid w:val="00895F08"/>
    <w:rsid w:val="00895F59"/>
    <w:rsid w:val="00896091"/>
    <w:rsid w:val="008961BE"/>
    <w:rsid w:val="00896539"/>
    <w:rsid w:val="00896983"/>
    <w:rsid w:val="00896A99"/>
    <w:rsid w:val="00896AE2"/>
    <w:rsid w:val="00896C18"/>
    <w:rsid w:val="00896E4F"/>
    <w:rsid w:val="0089741D"/>
    <w:rsid w:val="008978C5"/>
    <w:rsid w:val="00897A75"/>
    <w:rsid w:val="00897E35"/>
    <w:rsid w:val="00897EAD"/>
    <w:rsid w:val="008A01A0"/>
    <w:rsid w:val="008A02A6"/>
    <w:rsid w:val="008A046D"/>
    <w:rsid w:val="008A082D"/>
    <w:rsid w:val="008A0A91"/>
    <w:rsid w:val="008A1008"/>
    <w:rsid w:val="008A135D"/>
    <w:rsid w:val="008A15C5"/>
    <w:rsid w:val="008A16A3"/>
    <w:rsid w:val="008A17D1"/>
    <w:rsid w:val="008A1952"/>
    <w:rsid w:val="008A1B6F"/>
    <w:rsid w:val="008A1D84"/>
    <w:rsid w:val="008A1E11"/>
    <w:rsid w:val="008A1EB9"/>
    <w:rsid w:val="008A1EDC"/>
    <w:rsid w:val="008A1F07"/>
    <w:rsid w:val="008A2079"/>
    <w:rsid w:val="008A20E4"/>
    <w:rsid w:val="008A227E"/>
    <w:rsid w:val="008A2D6A"/>
    <w:rsid w:val="008A2ED6"/>
    <w:rsid w:val="008A2ED8"/>
    <w:rsid w:val="008A2EFE"/>
    <w:rsid w:val="008A305C"/>
    <w:rsid w:val="008A33BA"/>
    <w:rsid w:val="008A33D3"/>
    <w:rsid w:val="008A3800"/>
    <w:rsid w:val="008A3991"/>
    <w:rsid w:val="008A399F"/>
    <w:rsid w:val="008A3BB6"/>
    <w:rsid w:val="008A3C99"/>
    <w:rsid w:val="008A3CB1"/>
    <w:rsid w:val="008A3E25"/>
    <w:rsid w:val="008A3EBB"/>
    <w:rsid w:val="008A422F"/>
    <w:rsid w:val="008A44F4"/>
    <w:rsid w:val="008A4656"/>
    <w:rsid w:val="008A487F"/>
    <w:rsid w:val="008A4C70"/>
    <w:rsid w:val="008A4C73"/>
    <w:rsid w:val="008A51B7"/>
    <w:rsid w:val="008A527B"/>
    <w:rsid w:val="008A54B3"/>
    <w:rsid w:val="008A5511"/>
    <w:rsid w:val="008A5525"/>
    <w:rsid w:val="008A5569"/>
    <w:rsid w:val="008A560F"/>
    <w:rsid w:val="008A5616"/>
    <w:rsid w:val="008A5814"/>
    <w:rsid w:val="008A584F"/>
    <w:rsid w:val="008A5D78"/>
    <w:rsid w:val="008A5E96"/>
    <w:rsid w:val="008A60A9"/>
    <w:rsid w:val="008A6897"/>
    <w:rsid w:val="008A6ABD"/>
    <w:rsid w:val="008A6DB4"/>
    <w:rsid w:val="008A6E56"/>
    <w:rsid w:val="008A6FB4"/>
    <w:rsid w:val="008A7020"/>
    <w:rsid w:val="008A722F"/>
    <w:rsid w:val="008A733E"/>
    <w:rsid w:val="008A7AE8"/>
    <w:rsid w:val="008A7B5F"/>
    <w:rsid w:val="008A7C13"/>
    <w:rsid w:val="008A7CA0"/>
    <w:rsid w:val="008A7D46"/>
    <w:rsid w:val="008A7E68"/>
    <w:rsid w:val="008B031E"/>
    <w:rsid w:val="008B0376"/>
    <w:rsid w:val="008B0579"/>
    <w:rsid w:val="008B07FB"/>
    <w:rsid w:val="008B094F"/>
    <w:rsid w:val="008B0A1B"/>
    <w:rsid w:val="008B0C61"/>
    <w:rsid w:val="008B0E2B"/>
    <w:rsid w:val="008B1257"/>
    <w:rsid w:val="008B1374"/>
    <w:rsid w:val="008B166A"/>
    <w:rsid w:val="008B1883"/>
    <w:rsid w:val="008B1EEF"/>
    <w:rsid w:val="008B1F09"/>
    <w:rsid w:val="008B21E4"/>
    <w:rsid w:val="008B22B8"/>
    <w:rsid w:val="008B23CA"/>
    <w:rsid w:val="008B23F3"/>
    <w:rsid w:val="008B253F"/>
    <w:rsid w:val="008B2731"/>
    <w:rsid w:val="008B296A"/>
    <w:rsid w:val="008B2BE0"/>
    <w:rsid w:val="008B30F5"/>
    <w:rsid w:val="008B3147"/>
    <w:rsid w:val="008B321B"/>
    <w:rsid w:val="008B32DD"/>
    <w:rsid w:val="008B32EA"/>
    <w:rsid w:val="008B39F0"/>
    <w:rsid w:val="008B3C3D"/>
    <w:rsid w:val="008B3CA0"/>
    <w:rsid w:val="008B3FF8"/>
    <w:rsid w:val="008B42D2"/>
    <w:rsid w:val="008B4731"/>
    <w:rsid w:val="008B4BA2"/>
    <w:rsid w:val="008B4CE3"/>
    <w:rsid w:val="008B4D71"/>
    <w:rsid w:val="008B4DE1"/>
    <w:rsid w:val="008B4F8E"/>
    <w:rsid w:val="008B520D"/>
    <w:rsid w:val="008B540C"/>
    <w:rsid w:val="008B543D"/>
    <w:rsid w:val="008B5636"/>
    <w:rsid w:val="008B58EF"/>
    <w:rsid w:val="008B5A96"/>
    <w:rsid w:val="008B5D5D"/>
    <w:rsid w:val="008B5D6B"/>
    <w:rsid w:val="008B5EF6"/>
    <w:rsid w:val="008B604C"/>
    <w:rsid w:val="008B6188"/>
    <w:rsid w:val="008B61D9"/>
    <w:rsid w:val="008B623B"/>
    <w:rsid w:val="008B630E"/>
    <w:rsid w:val="008B6642"/>
    <w:rsid w:val="008B6769"/>
    <w:rsid w:val="008B6AB4"/>
    <w:rsid w:val="008B6AFD"/>
    <w:rsid w:val="008B6B55"/>
    <w:rsid w:val="008B6FE8"/>
    <w:rsid w:val="008B7116"/>
    <w:rsid w:val="008B71BB"/>
    <w:rsid w:val="008B7304"/>
    <w:rsid w:val="008B751B"/>
    <w:rsid w:val="008B753D"/>
    <w:rsid w:val="008B7A5A"/>
    <w:rsid w:val="008B7ADF"/>
    <w:rsid w:val="008B7E9B"/>
    <w:rsid w:val="008B7FE1"/>
    <w:rsid w:val="008C0019"/>
    <w:rsid w:val="008C0072"/>
    <w:rsid w:val="008C03C7"/>
    <w:rsid w:val="008C0560"/>
    <w:rsid w:val="008C0693"/>
    <w:rsid w:val="008C0AFE"/>
    <w:rsid w:val="008C0B88"/>
    <w:rsid w:val="008C0D7E"/>
    <w:rsid w:val="008C0E9E"/>
    <w:rsid w:val="008C0F7B"/>
    <w:rsid w:val="008C1166"/>
    <w:rsid w:val="008C15B1"/>
    <w:rsid w:val="008C1622"/>
    <w:rsid w:val="008C1A0E"/>
    <w:rsid w:val="008C1C2B"/>
    <w:rsid w:val="008C1CE3"/>
    <w:rsid w:val="008C1DE7"/>
    <w:rsid w:val="008C2314"/>
    <w:rsid w:val="008C235F"/>
    <w:rsid w:val="008C2377"/>
    <w:rsid w:val="008C24C0"/>
    <w:rsid w:val="008C24F8"/>
    <w:rsid w:val="008C2556"/>
    <w:rsid w:val="008C26A9"/>
    <w:rsid w:val="008C290D"/>
    <w:rsid w:val="008C2A11"/>
    <w:rsid w:val="008C2C89"/>
    <w:rsid w:val="008C2E06"/>
    <w:rsid w:val="008C3134"/>
    <w:rsid w:val="008C33A2"/>
    <w:rsid w:val="008C34C3"/>
    <w:rsid w:val="008C3AC2"/>
    <w:rsid w:val="008C3BDD"/>
    <w:rsid w:val="008C4067"/>
    <w:rsid w:val="008C42F2"/>
    <w:rsid w:val="008C43C6"/>
    <w:rsid w:val="008C465F"/>
    <w:rsid w:val="008C4994"/>
    <w:rsid w:val="008C4A5E"/>
    <w:rsid w:val="008C4AD5"/>
    <w:rsid w:val="008C4F68"/>
    <w:rsid w:val="008C51F1"/>
    <w:rsid w:val="008C5563"/>
    <w:rsid w:val="008C564A"/>
    <w:rsid w:val="008C57E4"/>
    <w:rsid w:val="008C58D9"/>
    <w:rsid w:val="008C5A77"/>
    <w:rsid w:val="008C5CDB"/>
    <w:rsid w:val="008C5E59"/>
    <w:rsid w:val="008C61DA"/>
    <w:rsid w:val="008C6660"/>
    <w:rsid w:val="008C6BC1"/>
    <w:rsid w:val="008C6C8D"/>
    <w:rsid w:val="008C7733"/>
    <w:rsid w:val="008C777B"/>
    <w:rsid w:val="008C79EB"/>
    <w:rsid w:val="008C7C58"/>
    <w:rsid w:val="008C7DFB"/>
    <w:rsid w:val="008C7EEB"/>
    <w:rsid w:val="008D0020"/>
    <w:rsid w:val="008D021E"/>
    <w:rsid w:val="008D0239"/>
    <w:rsid w:val="008D0AFC"/>
    <w:rsid w:val="008D0DA4"/>
    <w:rsid w:val="008D13D0"/>
    <w:rsid w:val="008D15F3"/>
    <w:rsid w:val="008D193C"/>
    <w:rsid w:val="008D1B5E"/>
    <w:rsid w:val="008D1D49"/>
    <w:rsid w:val="008D1F0A"/>
    <w:rsid w:val="008D21CC"/>
    <w:rsid w:val="008D2B61"/>
    <w:rsid w:val="008D2C5D"/>
    <w:rsid w:val="008D2D0E"/>
    <w:rsid w:val="008D2FDE"/>
    <w:rsid w:val="008D30FA"/>
    <w:rsid w:val="008D3262"/>
    <w:rsid w:val="008D350E"/>
    <w:rsid w:val="008D3652"/>
    <w:rsid w:val="008D37D2"/>
    <w:rsid w:val="008D3816"/>
    <w:rsid w:val="008D38A4"/>
    <w:rsid w:val="008D3AE4"/>
    <w:rsid w:val="008D43D1"/>
    <w:rsid w:val="008D46EF"/>
    <w:rsid w:val="008D4ACE"/>
    <w:rsid w:val="008D4AFB"/>
    <w:rsid w:val="008D4C8A"/>
    <w:rsid w:val="008D4DC2"/>
    <w:rsid w:val="008D4E91"/>
    <w:rsid w:val="008D4F4B"/>
    <w:rsid w:val="008D53E2"/>
    <w:rsid w:val="008D5634"/>
    <w:rsid w:val="008D5D45"/>
    <w:rsid w:val="008D5EDB"/>
    <w:rsid w:val="008D63AB"/>
    <w:rsid w:val="008D6743"/>
    <w:rsid w:val="008D6BBE"/>
    <w:rsid w:val="008D6F23"/>
    <w:rsid w:val="008D6FAB"/>
    <w:rsid w:val="008D7130"/>
    <w:rsid w:val="008D72EA"/>
    <w:rsid w:val="008D7563"/>
    <w:rsid w:val="008D7620"/>
    <w:rsid w:val="008D7C73"/>
    <w:rsid w:val="008E0188"/>
    <w:rsid w:val="008E027F"/>
    <w:rsid w:val="008E044B"/>
    <w:rsid w:val="008E08A9"/>
    <w:rsid w:val="008E0AFB"/>
    <w:rsid w:val="008E0B76"/>
    <w:rsid w:val="008E0BBB"/>
    <w:rsid w:val="008E0C67"/>
    <w:rsid w:val="008E0DB8"/>
    <w:rsid w:val="008E0EF2"/>
    <w:rsid w:val="008E0F4F"/>
    <w:rsid w:val="008E1528"/>
    <w:rsid w:val="008E17DA"/>
    <w:rsid w:val="008E19AF"/>
    <w:rsid w:val="008E1ABE"/>
    <w:rsid w:val="008E1C63"/>
    <w:rsid w:val="008E1EE5"/>
    <w:rsid w:val="008E1EFA"/>
    <w:rsid w:val="008E1F22"/>
    <w:rsid w:val="008E2323"/>
    <w:rsid w:val="008E241D"/>
    <w:rsid w:val="008E25C8"/>
    <w:rsid w:val="008E2695"/>
    <w:rsid w:val="008E269E"/>
    <w:rsid w:val="008E27AE"/>
    <w:rsid w:val="008E2A87"/>
    <w:rsid w:val="008E2CAF"/>
    <w:rsid w:val="008E2E5B"/>
    <w:rsid w:val="008E376E"/>
    <w:rsid w:val="008E37F8"/>
    <w:rsid w:val="008E39D6"/>
    <w:rsid w:val="008E39E7"/>
    <w:rsid w:val="008E3E36"/>
    <w:rsid w:val="008E3F00"/>
    <w:rsid w:val="008E3F99"/>
    <w:rsid w:val="008E41FD"/>
    <w:rsid w:val="008E4409"/>
    <w:rsid w:val="008E472C"/>
    <w:rsid w:val="008E4790"/>
    <w:rsid w:val="008E49A4"/>
    <w:rsid w:val="008E4B14"/>
    <w:rsid w:val="008E4E62"/>
    <w:rsid w:val="008E4FE1"/>
    <w:rsid w:val="008E5305"/>
    <w:rsid w:val="008E5554"/>
    <w:rsid w:val="008E56E5"/>
    <w:rsid w:val="008E5D5A"/>
    <w:rsid w:val="008E5D66"/>
    <w:rsid w:val="008E5FD5"/>
    <w:rsid w:val="008E6105"/>
    <w:rsid w:val="008E62C4"/>
    <w:rsid w:val="008E6303"/>
    <w:rsid w:val="008E6561"/>
    <w:rsid w:val="008E67DA"/>
    <w:rsid w:val="008E6840"/>
    <w:rsid w:val="008E6BB8"/>
    <w:rsid w:val="008E6C3F"/>
    <w:rsid w:val="008E729A"/>
    <w:rsid w:val="008E7356"/>
    <w:rsid w:val="008E751A"/>
    <w:rsid w:val="008E7745"/>
    <w:rsid w:val="008E77A0"/>
    <w:rsid w:val="008E78C2"/>
    <w:rsid w:val="008E7984"/>
    <w:rsid w:val="008E7C25"/>
    <w:rsid w:val="008F0972"/>
    <w:rsid w:val="008F0A44"/>
    <w:rsid w:val="008F0E27"/>
    <w:rsid w:val="008F0EEC"/>
    <w:rsid w:val="008F0F44"/>
    <w:rsid w:val="008F102F"/>
    <w:rsid w:val="008F10FF"/>
    <w:rsid w:val="008F1224"/>
    <w:rsid w:val="008F15A8"/>
    <w:rsid w:val="008F1645"/>
    <w:rsid w:val="008F1706"/>
    <w:rsid w:val="008F191A"/>
    <w:rsid w:val="008F1B06"/>
    <w:rsid w:val="008F1FBC"/>
    <w:rsid w:val="008F201A"/>
    <w:rsid w:val="008F23AF"/>
    <w:rsid w:val="008F24A6"/>
    <w:rsid w:val="008F2560"/>
    <w:rsid w:val="008F2569"/>
    <w:rsid w:val="008F2763"/>
    <w:rsid w:val="008F2A58"/>
    <w:rsid w:val="008F2BDD"/>
    <w:rsid w:val="008F2D35"/>
    <w:rsid w:val="008F2D7A"/>
    <w:rsid w:val="008F2DFB"/>
    <w:rsid w:val="008F349E"/>
    <w:rsid w:val="008F35D9"/>
    <w:rsid w:val="008F37AA"/>
    <w:rsid w:val="008F3B9E"/>
    <w:rsid w:val="008F3CFA"/>
    <w:rsid w:val="008F3D61"/>
    <w:rsid w:val="008F410F"/>
    <w:rsid w:val="008F411C"/>
    <w:rsid w:val="008F4141"/>
    <w:rsid w:val="008F417B"/>
    <w:rsid w:val="008F4214"/>
    <w:rsid w:val="008F4683"/>
    <w:rsid w:val="008F480B"/>
    <w:rsid w:val="008F483C"/>
    <w:rsid w:val="008F4989"/>
    <w:rsid w:val="008F4F5F"/>
    <w:rsid w:val="008F56AD"/>
    <w:rsid w:val="008F591C"/>
    <w:rsid w:val="008F5CCB"/>
    <w:rsid w:val="008F5E16"/>
    <w:rsid w:val="008F6264"/>
    <w:rsid w:val="008F686F"/>
    <w:rsid w:val="008F6CD0"/>
    <w:rsid w:val="008F6FCE"/>
    <w:rsid w:val="008F74E6"/>
    <w:rsid w:val="008F74EC"/>
    <w:rsid w:val="008F756B"/>
    <w:rsid w:val="008F75A2"/>
    <w:rsid w:val="008F7E91"/>
    <w:rsid w:val="009001C9"/>
    <w:rsid w:val="0090045B"/>
    <w:rsid w:val="00900902"/>
    <w:rsid w:val="0090091B"/>
    <w:rsid w:val="00900948"/>
    <w:rsid w:val="00900BE3"/>
    <w:rsid w:val="0090170D"/>
    <w:rsid w:val="00901957"/>
    <w:rsid w:val="00901C95"/>
    <w:rsid w:val="00901D54"/>
    <w:rsid w:val="00902415"/>
    <w:rsid w:val="00902605"/>
    <w:rsid w:val="00902743"/>
    <w:rsid w:val="009027B6"/>
    <w:rsid w:val="00902A07"/>
    <w:rsid w:val="00902D04"/>
    <w:rsid w:val="00902E60"/>
    <w:rsid w:val="00903021"/>
    <w:rsid w:val="00903046"/>
    <w:rsid w:val="0090309A"/>
    <w:rsid w:val="009036D5"/>
    <w:rsid w:val="00903869"/>
    <w:rsid w:val="00903AF6"/>
    <w:rsid w:val="00904245"/>
    <w:rsid w:val="0090434F"/>
    <w:rsid w:val="009046CB"/>
    <w:rsid w:val="00904714"/>
    <w:rsid w:val="00904B2E"/>
    <w:rsid w:val="00904CC0"/>
    <w:rsid w:val="00904DEB"/>
    <w:rsid w:val="00904EA7"/>
    <w:rsid w:val="009052E2"/>
    <w:rsid w:val="009055EB"/>
    <w:rsid w:val="00905757"/>
    <w:rsid w:val="00905929"/>
    <w:rsid w:val="00905958"/>
    <w:rsid w:val="00905A99"/>
    <w:rsid w:val="00905CCF"/>
    <w:rsid w:val="00905EBF"/>
    <w:rsid w:val="009061AC"/>
    <w:rsid w:val="009063F8"/>
    <w:rsid w:val="00906520"/>
    <w:rsid w:val="00906545"/>
    <w:rsid w:val="00906567"/>
    <w:rsid w:val="00906CF5"/>
    <w:rsid w:val="00906D34"/>
    <w:rsid w:val="00906DFA"/>
    <w:rsid w:val="00906E85"/>
    <w:rsid w:val="00906EC9"/>
    <w:rsid w:val="009070D7"/>
    <w:rsid w:val="009071BB"/>
    <w:rsid w:val="009072C8"/>
    <w:rsid w:val="00907309"/>
    <w:rsid w:val="0090749E"/>
    <w:rsid w:val="0090783C"/>
    <w:rsid w:val="00907BBD"/>
    <w:rsid w:val="00907C75"/>
    <w:rsid w:val="00907FAE"/>
    <w:rsid w:val="0091002F"/>
    <w:rsid w:val="0091023C"/>
    <w:rsid w:val="00910B00"/>
    <w:rsid w:val="00910EE9"/>
    <w:rsid w:val="0091144A"/>
    <w:rsid w:val="009114D6"/>
    <w:rsid w:val="00911809"/>
    <w:rsid w:val="00911A63"/>
    <w:rsid w:val="00911B6D"/>
    <w:rsid w:val="00911CA2"/>
    <w:rsid w:val="00912161"/>
    <w:rsid w:val="0091247F"/>
    <w:rsid w:val="0091255E"/>
    <w:rsid w:val="0091286E"/>
    <w:rsid w:val="00912BEF"/>
    <w:rsid w:val="00912C40"/>
    <w:rsid w:val="00912E0D"/>
    <w:rsid w:val="00912EC9"/>
    <w:rsid w:val="00913233"/>
    <w:rsid w:val="0091364D"/>
    <w:rsid w:val="009139BD"/>
    <w:rsid w:val="00913BB4"/>
    <w:rsid w:val="00913C44"/>
    <w:rsid w:val="00913D20"/>
    <w:rsid w:val="00913DF4"/>
    <w:rsid w:val="00913DF7"/>
    <w:rsid w:val="00913E0C"/>
    <w:rsid w:val="00913E0E"/>
    <w:rsid w:val="00913E30"/>
    <w:rsid w:val="009140D5"/>
    <w:rsid w:val="00914161"/>
    <w:rsid w:val="009144E3"/>
    <w:rsid w:val="0091486F"/>
    <w:rsid w:val="00914A9F"/>
    <w:rsid w:val="00914C1F"/>
    <w:rsid w:val="0091555B"/>
    <w:rsid w:val="00915A11"/>
    <w:rsid w:val="00915FBD"/>
    <w:rsid w:val="00916216"/>
    <w:rsid w:val="0091629A"/>
    <w:rsid w:val="009163AE"/>
    <w:rsid w:val="00916414"/>
    <w:rsid w:val="0091697F"/>
    <w:rsid w:val="00916D21"/>
    <w:rsid w:val="009173ED"/>
    <w:rsid w:val="00917873"/>
    <w:rsid w:val="00917C49"/>
    <w:rsid w:val="00917E7E"/>
    <w:rsid w:val="0092000E"/>
    <w:rsid w:val="00920083"/>
    <w:rsid w:val="0092011F"/>
    <w:rsid w:val="00920191"/>
    <w:rsid w:val="0092027F"/>
    <w:rsid w:val="0092077E"/>
    <w:rsid w:val="009208D8"/>
    <w:rsid w:val="00920FCD"/>
    <w:rsid w:val="009212CB"/>
    <w:rsid w:val="00921573"/>
    <w:rsid w:val="0092162F"/>
    <w:rsid w:val="009216EB"/>
    <w:rsid w:val="00921960"/>
    <w:rsid w:val="00921ACA"/>
    <w:rsid w:val="00921BFF"/>
    <w:rsid w:val="00921D0B"/>
    <w:rsid w:val="00921D24"/>
    <w:rsid w:val="00922598"/>
    <w:rsid w:val="00922703"/>
    <w:rsid w:val="00922733"/>
    <w:rsid w:val="00922C3B"/>
    <w:rsid w:val="00922F45"/>
    <w:rsid w:val="00923092"/>
    <w:rsid w:val="0092323D"/>
    <w:rsid w:val="0092393F"/>
    <w:rsid w:val="00923A9C"/>
    <w:rsid w:val="00923D65"/>
    <w:rsid w:val="00924139"/>
    <w:rsid w:val="0092471C"/>
    <w:rsid w:val="00924801"/>
    <w:rsid w:val="00924DDA"/>
    <w:rsid w:val="00924E56"/>
    <w:rsid w:val="00924EB2"/>
    <w:rsid w:val="00924FB6"/>
    <w:rsid w:val="009251D8"/>
    <w:rsid w:val="00925248"/>
    <w:rsid w:val="009254A5"/>
    <w:rsid w:val="00925521"/>
    <w:rsid w:val="00925CE9"/>
    <w:rsid w:val="00925E59"/>
    <w:rsid w:val="00925F58"/>
    <w:rsid w:val="00926107"/>
    <w:rsid w:val="009263E0"/>
    <w:rsid w:val="0092666B"/>
    <w:rsid w:val="00926946"/>
    <w:rsid w:val="00926A4A"/>
    <w:rsid w:val="00926A69"/>
    <w:rsid w:val="00926A79"/>
    <w:rsid w:val="00926DEE"/>
    <w:rsid w:val="00926F99"/>
    <w:rsid w:val="009270FE"/>
    <w:rsid w:val="00927160"/>
    <w:rsid w:val="00927270"/>
    <w:rsid w:val="009277B4"/>
    <w:rsid w:val="00927A8E"/>
    <w:rsid w:val="00927C17"/>
    <w:rsid w:val="00927CD5"/>
    <w:rsid w:val="00927E48"/>
    <w:rsid w:val="00927F37"/>
    <w:rsid w:val="00927F63"/>
    <w:rsid w:val="00927FA8"/>
    <w:rsid w:val="0093012D"/>
    <w:rsid w:val="0093094D"/>
    <w:rsid w:val="00930957"/>
    <w:rsid w:val="00930AE7"/>
    <w:rsid w:val="00930E8E"/>
    <w:rsid w:val="009310EF"/>
    <w:rsid w:val="0093165F"/>
    <w:rsid w:val="00931687"/>
    <w:rsid w:val="009317E4"/>
    <w:rsid w:val="00931A50"/>
    <w:rsid w:val="00931EB2"/>
    <w:rsid w:val="00931F7C"/>
    <w:rsid w:val="00931F81"/>
    <w:rsid w:val="009322F7"/>
    <w:rsid w:val="0093265B"/>
    <w:rsid w:val="0093276C"/>
    <w:rsid w:val="009327AB"/>
    <w:rsid w:val="00932A85"/>
    <w:rsid w:val="00932B2F"/>
    <w:rsid w:val="00932C5A"/>
    <w:rsid w:val="00932F6B"/>
    <w:rsid w:val="00932F96"/>
    <w:rsid w:val="009333A8"/>
    <w:rsid w:val="00933456"/>
    <w:rsid w:val="00933BB7"/>
    <w:rsid w:val="00933C4B"/>
    <w:rsid w:val="00933EDD"/>
    <w:rsid w:val="00933FD5"/>
    <w:rsid w:val="009345AB"/>
    <w:rsid w:val="00934746"/>
    <w:rsid w:val="00934962"/>
    <w:rsid w:val="00934AD7"/>
    <w:rsid w:val="00934BEF"/>
    <w:rsid w:val="00934CB3"/>
    <w:rsid w:val="00934E4E"/>
    <w:rsid w:val="00934EE5"/>
    <w:rsid w:val="0093503B"/>
    <w:rsid w:val="00935294"/>
    <w:rsid w:val="00935381"/>
    <w:rsid w:val="00935438"/>
    <w:rsid w:val="0093571D"/>
    <w:rsid w:val="0093581A"/>
    <w:rsid w:val="00935A5E"/>
    <w:rsid w:val="00935E1B"/>
    <w:rsid w:val="0093604F"/>
    <w:rsid w:val="00936106"/>
    <w:rsid w:val="00936582"/>
    <w:rsid w:val="0093662F"/>
    <w:rsid w:val="0093670B"/>
    <w:rsid w:val="00936B30"/>
    <w:rsid w:val="00936CE9"/>
    <w:rsid w:val="00937014"/>
    <w:rsid w:val="0093744A"/>
    <w:rsid w:val="009375EC"/>
    <w:rsid w:val="009378B7"/>
    <w:rsid w:val="009378B9"/>
    <w:rsid w:val="00937C03"/>
    <w:rsid w:val="00937E5D"/>
    <w:rsid w:val="00937EC2"/>
    <w:rsid w:val="0094031D"/>
    <w:rsid w:val="00940327"/>
    <w:rsid w:val="00940345"/>
    <w:rsid w:val="0094037C"/>
    <w:rsid w:val="009404D1"/>
    <w:rsid w:val="009405DA"/>
    <w:rsid w:val="00940B82"/>
    <w:rsid w:val="00940BDE"/>
    <w:rsid w:val="009413D8"/>
    <w:rsid w:val="0094156A"/>
    <w:rsid w:val="009415E2"/>
    <w:rsid w:val="0094184A"/>
    <w:rsid w:val="0094197B"/>
    <w:rsid w:val="0094199C"/>
    <w:rsid w:val="00941EF9"/>
    <w:rsid w:val="00942206"/>
    <w:rsid w:val="009428A5"/>
    <w:rsid w:val="00942D4C"/>
    <w:rsid w:val="0094308A"/>
    <w:rsid w:val="0094342D"/>
    <w:rsid w:val="00943B09"/>
    <w:rsid w:val="00943B90"/>
    <w:rsid w:val="00943BA0"/>
    <w:rsid w:val="00943BBB"/>
    <w:rsid w:val="00943C32"/>
    <w:rsid w:val="00943C5E"/>
    <w:rsid w:val="00944410"/>
    <w:rsid w:val="00944552"/>
    <w:rsid w:val="009445DF"/>
    <w:rsid w:val="00944608"/>
    <w:rsid w:val="00944800"/>
    <w:rsid w:val="00944A40"/>
    <w:rsid w:val="00944B8E"/>
    <w:rsid w:val="00945636"/>
    <w:rsid w:val="009456E5"/>
    <w:rsid w:val="0094575B"/>
    <w:rsid w:val="00945894"/>
    <w:rsid w:val="0094595D"/>
    <w:rsid w:val="00945E13"/>
    <w:rsid w:val="00946140"/>
    <w:rsid w:val="0094626E"/>
    <w:rsid w:val="0094645B"/>
    <w:rsid w:val="00946B63"/>
    <w:rsid w:val="00946DBF"/>
    <w:rsid w:val="00946F2A"/>
    <w:rsid w:val="00946F8C"/>
    <w:rsid w:val="00947568"/>
    <w:rsid w:val="00947632"/>
    <w:rsid w:val="00947B02"/>
    <w:rsid w:val="00947BEF"/>
    <w:rsid w:val="00947C4F"/>
    <w:rsid w:val="00947D63"/>
    <w:rsid w:val="00950065"/>
    <w:rsid w:val="0095020C"/>
    <w:rsid w:val="00950374"/>
    <w:rsid w:val="00950512"/>
    <w:rsid w:val="009505EF"/>
    <w:rsid w:val="009506E1"/>
    <w:rsid w:val="0095079C"/>
    <w:rsid w:val="009507DA"/>
    <w:rsid w:val="00950C28"/>
    <w:rsid w:val="00950C9A"/>
    <w:rsid w:val="00950FDB"/>
    <w:rsid w:val="00951423"/>
    <w:rsid w:val="00951472"/>
    <w:rsid w:val="009518A6"/>
    <w:rsid w:val="00951983"/>
    <w:rsid w:val="00951C1C"/>
    <w:rsid w:val="00951E8E"/>
    <w:rsid w:val="00951F10"/>
    <w:rsid w:val="00952005"/>
    <w:rsid w:val="009520B8"/>
    <w:rsid w:val="009521FA"/>
    <w:rsid w:val="00952327"/>
    <w:rsid w:val="00952358"/>
    <w:rsid w:val="009523DF"/>
    <w:rsid w:val="009523F9"/>
    <w:rsid w:val="00952546"/>
    <w:rsid w:val="0095268D"/>
    <w:rsid w:val="0095277C"/>
    <w:rsid w:val="0095281A"/>
    <w:rsid w:val="00952AC0"/>
    <w:rsid w:val="00952AD7"/>
    <w:rsid w:val="009532C5"/>
    <w:rsid w:val="009536C6"/>
    <w:rsid w:val="009539F8"/>
    <w:rsid w:val="00953C57"/>
    <w:rsid w:val="00953D2B"/>
    <w:rsid w:val="00953ED3"/>
    <w:rsid w:val="00953FAC"/>
    <w:rsid w:val="00954217"/>
    <w:rsid w:val="0095483F"/>
    <w:rsid w:val="00954DC1"/>
    <w:rsid w:val="00954DE2"/>
    <w:rsid w:val="00954E8F"/>
    <w:rsid w:val="00955028"/>
    <w:rsid w:val="0095538F"/>
    <w:rsid w:val="00955410"/>
    <w:rsid w:val="0095564C"/>
    <w:rsid w:val="00955A20"/>
    <w:rsid w:val="00955DB6"/>
    <w:rsid w:val="00955DBE"/>
    <w:rsid w:val="00955E81"/>
    <w:rsid w:val="00956037"/>
    <w:rsid w:val="00956611"/>
    <w:rsid w:val="00956A53"/>
    <w:rsid w:val="00956C14"/>
    <w:rsid w:val="00956DFF"/>
    <w:rsid w:val="00956ECD"/>
    <w:rsid w:val="00956F35"/>
    <w:rsid w:val="00956F54"/>
    <w:rsid w:val="0095753D"/>
    <w:rsid w:val="0095786A"/>
    <w:rsid w:val="0095787F"/>
    <w:rsid w:val="009579B8"/>
    <w:rsid w:val="009579C8"/>
    <w:rsid w:val="00957A00"/>
    <w:rsid w:val="00957E63"/>
    <w:rsid w:val="00960084"/>
    <w:rsid w:val="009605DE"/>
    <w:rsid w:val="00960735"/>
    <w:rsid w:val="00960791"/>
    <w:rsid w:val="009608B0"/>
    <w:rsid w:val="00960996"/>
    <w:rsid w:val="00960BFC"/>
    <w:rsid w:val="00960D08"/>
    <w:rsid w:val="00960D92"/>
    <w:rsid w:val="009610C3"/>
    <w:rsid w:val="00961131"/>
    <w:rsid w:val="0096126B"/>
    <w:rsid w:val="00961634"/>
    <w:rsid w:val="00961703"/>
    <w:rsid w:val="009617AE"/>
    <w:rsid w:val="009617FE"/>
    <w:rsid w:val="00961F1E"/>
    <w:rsid w:val="00962620"/>
    <w:rsid w:val="00962644"/>
    <w:rsid w:val="00962674"/>
    <w:rsid w:val="00962A1C"/>
    <w:rsid w:val="00962CD4"/>
    <w:rsid w:val="00962F1F"/>
    <w:rsid w:val="00962F5A"/>
    <w:rsid w:val="0096319C"/>
    <w:rsid w:val="009636DF"/>
    <w:rsid w:val="009637CD"/>
    <w:rsid w:val="009637F6"/>
    <w:rsid w:val="009639C6"/>
    <w:rsid w:val="00963B7A"/>
    <w:rsid w:val="00963DBF"/>
    <w:rsid w:val="009640E3"/>
    <w:rsid w:val="0096417E"/>
    <w:rsid w:val="009643F7"/>
    <w:rsid w:val="00964569"/>
    <w:rsid w:val="00964D3C"/>
    <w:rsid w:val="00964F99"/>
    <w:rsid w:val="00965654"/>
    <w:rsid w:val="00965A02"/>
    <w:rsid w:val="00965DD8"/>
    <w:rsid w:val="00965EB5"/>
    <w:rsid w:val="009660E1"/>
    <w:rsid w:val="00966232"/>
    <w:rsid w:val="009664AA"/>
    <w:rsid w:val="009664E7"/>
    <w:rsid w:val="0096656C"/>
    <w:rsid w:val="00966644"/>
    <w:rsid w:val="00966678"/>
    <w:rsid w:val="009667C6"/>
    <w:rsid w:val="009668B0"/>
    <w:rsid w:val="00966931"/>
    <w:rsid w:val="009669F3"/>
    <w:rsid w:val="00966A08"/>
    <w:rsid w:val="00966B2C"/>
    <w:rsid w:val="00966D4E"/>
    <w:rsid w:val="00966E38"/>
    <w:rsid w:val="0096731C"/>
    <w:rsid w:val="0096767A"/>
    <w:rsid w:val="00967743"/>
    <w:rsid w:val="009678C5"/>
    <w:rsid w:val="00967AA4"/>
    <w:rsid w:val="00967DD0"/>
    <w:rsid w:val="00967F8D"/>
    <w:rsid w:val="00967FCD"/>
    <w:rsid w:val="00970263"/>
    <w:rsid w:val="00970305"/>
    <w:rsid w:val="009704B4"/>
    <w:rsid w:val="00970540"/>
    <w:rsid w:val="009705A8"/>
    <w:rsid w:val="0097098B"/>
    <w:rsid w:val="00970B51"/>
    <w:rsid w:val="00970C12"/>
    <w:rsid w:val="00970CC7"/>
    <w:rsid w:val="00970E3A"/>
    <w:rsid w:val="00970E5A"/>
    <w:rsid w:val="00970F6F"/>
    <w:rsid w:val="00971513"/>
    <w:rsid w:val="009716AF"/>
    <w:rsid w:val="00971997"/>
    <w:rsid w:val="00971A0E"/>
    <w:rsid w:val="00971A90"/>
    <w:rsid w:val="00971DC9"/>
    <w:rsid w:val="00971EC7"/>
    <w:rsid w:val="009722FB"/>
    <w:rsid w:val="0097230C"/>
    <w:rsid w:val="0097261A"/>
    <w:rsid w:val="0097291F"/>
    <w:rsid w:val="00972A63"/>
    <w:rsid w:val="0097312D"/>
    <w:rsid w:val="00973352"/>
    <w:rsid w:val="00973460"/>
    <w:rsid w:val="009735BA"/>
    <w:rsid w:val="00973931"/>
    <w:rsid w:val="00973C5D"/>
    <w:rsid w:val="00973E01"/>
    <w:rsid w:val="00973E73"/>
    <w:rsid w:val="00973EEB"/>
    <w:rsid w:val="00974134"/>
    <w:rsid w:val="009743B1"/>
    <w:rsid w:val="00974661"/>
    <w:rsid w:val="00974BDD"/>
    <w:rsid w:val="00974FBC"/>
    <w:rsid w:val="009751CC"/>
    <w:rsid w:val="009755A9"/>
    <w:rsid w:val="0097581D"/>
    <w:rsid w:val="0097597B"/>
    <w:rsid w:val="00975A38"/>
    <w:rsid w:val="009763A7"/>
    <w:rsid w:val="0097645D"/>
    <w:rsid w:val="0097678B"/>
    <w:rsid w:val="00976A43"/>
    <w:rsid w:val="00976EED"/>
    <w:rsid w:val="00977049"/>
    <w:rsid w:val="009772B2"/>
    <w:rsid w:val="00977357"/>
    <w:rsid w:val="009775CF"/>
    <w:rsid w:val="00977A52"/>
    <w:rsid w:val="00977AE4"/>
    <w:rsid w:val="00977B88"/>
    <w:rsid w:val="00977BB2"/>
    <w:rsid w:val="00977C4B"/>
    <w:rsid w:val="00977DAF"/>
    <w:rsid w:val="009803D0"/>
    <w:rsid w:val="00980820"/>
    <w:rsid w:val="009808F9"/>
    <w:rsid w:val="00980AD7"/>
    <w:rsid w:val="00980BB7"/>
    <w:rsid w:val="00980D59"/>
    <w:rsid w:val="00981127"/>
    <w:rsid w:val="00981240"/>
    <w:rsid w:val="009812EC"/>
    <w:rsid w:val="00981A76"/>
    <w:rsid w:val="00981C2A"/>
    <w:rsid w:val="00981C9E"/>
    <w:rsid w:val="00981D02"/>
    <w:rsid w:val="00981D04"/>
    <w:rsid w:val="00981E58"/>
    <w:rsid w:val="00981F9B"/>
    <w:rsid w:val="00981FE4"/>
    <w:rsid w:val="00982451"/>
    <w:rsid w:val="00982737"/>
    <w:rsid w:val="0098293C"/>
    <w:rsid w:val="0098294A"/>
    <w:rsid w:val="00982CFA"/>
    <w:rsid w:val="00982E3B"/>
    <w:rsid w:val="00982E97"/>
    <w:rsid w:val="0098312C"/>
    <w:rsid w:val="00983636"/>
    <w:rsid w:val="009837D5"/>
    <w:rsid w:val="009837EE"/>
    <w:rsid w:val="00983C74"/>
    <w:rsid w:val="00983DD2"/>
    <w:rsid w:val="00983E11"/>
    <w:rsid w:val="009842A1"/>
    <w:rsid w:val="009842A8"/>
    <w:rsid w:val="00984329"/>
    <w:rsid w:val="0098434E"/>
    <w:rsid w:val="009845E7"/>
    <w:rsid w:val="00984602"/>
    <w:rsid w:val="009849A8"/>
    <w:rsid w:val="00984CAD"/>
    <w:rsid w:val="00984CDA"/>
    <w:rsid w:val="00984D20"/>
    <w:rsid w:val="00984E1B"/>
    <w:rsid w:val="00984EA3"/>
    <w:rsid w:val="00985244"/>
    <w:rsid w:val="009855FA"/>
    <w:rsid w:val="00985631"/>
    <w:rsid w:val="009857E2"/>
    <w:rsid w:val="0098594A"/>
    <w:rsid w:val="00985A3B"/>
    <w:rsid w:val="00985F66"/>
    <w:rsid w:val="00986333"/>
    <w:rsid w:val="00986483"/>
    <w:rsid w:val="009867C9"/>
    <w:rsid w:val="0098694F"/>
    <w:rsid w:val="00986964"/>
    <w:rsid w:val="00986F93"/>
    <w:rsid w:val="009878F8"/>
    <w:rsid w:val="00987A76"/>
    <w:rsid w:val="00987AA5"/>
    <w:rsid w:val="00987B8F"/>
    <w:rsid w:val="00987BA4"/>
    <w:rsid w:val="00987E8C"/>
    <w:rsid w:val="009903C3"/>
    <w:rsid w:val="009903D8"/>
    <w:rsid w:val="009905C0"/>
    <w:rsid w:val="00990A39"/>
    <w:rsid w:val="00990BF7"/>
    <w:rsid w:val="00990E62"/>
    <w:rsid w:val="009910E9"/>
    <w:rsid w:val="009913C2"/>
    <w:rsid w:val="0099144D"/>
    <w:rsid w:val="009916AB"/>
    <w:rsid w:val="009918DE"/>
    <w:rsid w:val="00991966"/>
    <w:rsid w:val="00991B0D"/>
    <w:rsid w:val="00991EED"/>
    <w:rsid w:val="00992824"/>
    <w:rsid w:val="00992B3E"/>
    <w:rsid w:val="00992FAC"/>
    <w:rsid w:val="0099363C"/>
    <w:rsid w:val="00993702"/>
    <w:rsid w:val="00993C94"/>
    <w:rsid w:val="0099411D"/>
    <w:rsid w:val="009942B7"/>
    <w:rsid w:val="009947DF"/>
    <w:rsid w:val="0099492A"/>
    <w:rsid w:val="00994B38"/>
    <w:rsid w:val="00994B8D"/>
    <w:rsid w:val="00994DDB"/>
    <w:rsid w:val="00994E16"/>
    <w:rsid w:val="00995053"/>
    <w:rsid w:val="0099529A"/>
    <w:rsid w:val="009953E2"/>
    <w:rsid w:val="0099561A"/>
    <w:rsid w:val="00995828"/>
    <w:rsid w:val="00995C31"/>
    <w:rsid w:val="00995F00"/>
    <w:rsid w:val="00995F94"/>
    <w:rsid w:val="0099601E"/>
    <w:rsid w:val="009961F7"/>
    <w:rsid w:val="009962E8"/>
    <w:rsid w:val="009965BD"/>
    <w:rsid w:val="009965DC"/>
    <w:rsid w:val="0099689C"/>
    <w:rsid w:val="009968C6"/>
    <w:rsid w:val="00996B2C"/>
    <w:rsid w:val="00996BE4"/>
    <w:rsid w:val="00996DCA"/>
    <w:rsid w:val="0099700E"/>
    <w:rsid w:val="00997126"/>
    <w:rsid w:val="0099725C"/>
    <w:rsid w:val="00997451"/>
    <w:rsid w:val="00997596"/>
    <w:rsid w:val="00997673"/>
    <w:rsid w:val="009978BA"/>
    <w:rsid w:val="00997A78"/>
    <w:rsid w:val="00997BD9"/>
    <w:rsid w:val="009A0611"/>
    <w:rsid w:val="009A0710"/>
    <w:rsid w:val="009A0792"/>
    <w:rsid w:val="009A0CD1"/>
    <w:rsid w:val="009A0F43"/>
    <w:rsid w:val="009A10C8"/>
    <w:rsid w:val="009A113E"/>
    <w:rsid w:val="009A1465"/>
    <w:rsid w:val="009A1606"/>
    <w:rsid w:val="009A186E"/>
    <w:rsid w:val="009A1DFB"/>
    <w:rsid w:val="009A22B4"/>
    <w:rsid w:val="009A22C8"/>
    <w:rsid w:val="009A2464"/>
    <w:rsid w:val="009A25C6"/>
    <w:rsid w:val="009A285D"/>
    <w:rsid w:val="009A2870"/>
    <w:rsid w:val="009A2A31"/>
    <w:rsid w:val="009A2B32"/>
    <w:rsid w:val="009A2CA4"/>
    <w:rsid w:val="009A2CC0"/>
    <w:rsid w:val="009A3041"/>
    <w:rsid w:val="009A30C7"/>
    <w:rsid w:val="009A31CA"/>
    <w:rsid w:val="009A3238"/>
    <w:rsid w:val="009A3511"/>
    <w:rsid w:val="009A3855"/>
    <w:rsid w:val="009A3CAB"/>
    <w:rsid w:val="009A3ECD"/>
    <w:rsid w:val="009A4A76"/>
    <w:rsid w:val="009A4D79"/>
    <w:rsid w:val="009A501A"/>
    <w:rsid w:val="009A555B"/>
    <w:rsid w:val="009A556A"/>
    <w:rsid w:val="009A57A9"/>
    <w:rsid w:val="009A5852"/>
    <w:rsid w:val="009A59C5"/>
    <w:rsid w:val="009A5CB2"/>
    <w:rsid w:val="009A5EEA"/>
    <w:rsid w:val="009A62AC"/>
    <w:rsid w:val="009A6A8B"/>
    <w:rsid w:val="009A70D6"/>
    <w:rsid w:val="009A74E5"/>
    <w:rsid w:val="009A755E"/>
    <w:rsid w:val="009A769D"/>
    <w:rsid w:val="009A76C1"/>
    <w:rsid w:val="009A7A4F"/>
    <w:rsid w:val="009A7AD9"/>
    <w:rsid w:val="009A7AF9"/>
    <w:rsid w:val="009A7D8C"/>
    <w:rsid w:val="009A7F5D"/>
    <w:rsid w:val="009B00E4"/>
    <w:rsid w:val="009B01C1"/>
    <w:rsid w:val="009B06F4"/>
    <w:rsid w:val="009B08DC"/>
    <w:rsid w:val="009B09FF"/>
    <w:rsid w:val="009B0A34"/>
    <w:rsid w:val="009B0BEA"/>
    <w:rsid w:val="009B0C82"/>
    <w:rsid w:val="009B0DAE"/>
    <w:rsid w:val="009B12B8"/>
    <w:rsid w:val="009B1366"/>
    <w:rsid w:val="009B13CF"/>
    <w:rsid w:val="009B1453"/>
    <w:rsid w:val="009B1A7C"/>
    <w:rsid w:val="009B1AF4"/>
    <w:rsid w:val="009B1E47"/>
    <w:rsid w:val="009B24E3"/>
    <w:rsid w:val="009B2B10"/>
    <w:rsid w:val="009B2CE1"/>
    <w:rsid w:val="009B2D2A"/>
    <w:rsid w:val="009B2DEA"/>
    <w:rsid w:val="009B30FF"/>
    <w:rsid w:val="009B3356"/>
    <w:rsid w:val="009B363E"/>
    <w:rsid w:val="009B3A02"/>
    <w:rsid w:val="009B3C1F"/>
    <w:rsid w:val="009B3EF3"/>
    <w:rsid w:val="009B3F01"/>
    <w:rsid w:val="009B3FD2"/>
    <w:rsid w:val="009B4266"/>
    <w:rsid w:val="009B437E"/>
    <w:rsid w:val="009B4480"/>
    <w:rsid w:val="009B4B44"/>
    <w:rsid w:val="009B4C23"/>
    <w:rsid w:val="009B53C2"/>
    <w:rsid w:val="009B55CA"/>
    <w:rsid w:val="009B575A"/>
    <w:rsid w:val="009B581C"/>
    <w:rsid w:val="009B5ED7"/>
    <w:rsid w:val="009B60BB"/>
    <w:rsid w:val="009B64E1"/>
    <w:rsid w:val="009B652C"/>
    <w:rsid w:val="009B661E"/>
    <w:rsid w:val="009B69E4"/>
    <w:rsid w:val="009B6A13"/>
    <w:rsid w:val="009B6DAA"/>
    <w:rsid w:val="009B6F30"/>
    <w:rsid w:val="009B6F89"/>
    <w:rsid w:val="009B7308"/>
    <w:rsid w:val="009B73E5"/>
    <w:rsid w:val="009B7B3A"/>
    <w:rsid w:val="009B7D5B"/>
    <w:rsid w:val="009C0007"/>
    <w:rsid w:val="009C0046"/>
    <w:rsid w:val="009C0065"/>
    <w:rsid w:val="009C09BA"/>
    <w:rsid w:val="009C0AB5"/>
    <w:rsid w:val="009C0D83"/>
    <w:rsid w:val="009C0EF0"/>
    <w:rsid w:val="009C11E0"/>
    <w:rsid w:val="009C1278"/>
    <w:rsid w:val="009C1364"/>
    <w:rsid w:val="009C181C"/>
    <w:rsid w:val="009C187D"/>
    <w:rsid w:val="009C18DF"/>
    <w:rsid w:val="009C1A46"/>
    <w:rsid w:val="009C1E94"/>
    <w:rsid w:val="009C2122"/>
    <w:rsid w:val="009C2187"/>
    <w:rsid w:val="009C22D0"/>
    <w:rsid w:val="009C2619"/>
    <w:rsid w:val="009C27EA"/>
    <w:rsid w:val="009C2B55"/>
    <w:rsid w:val="009C2C54"/>
    <w:rsid w:val="009C2CED"/>
    <w:rsid w:val="009C2EBE"/>
    <w:rsid w:val="009C2F1B"/>
    <w:rsid w:val="009C33A9"/>
    <w:rsid w:val="009C36F8"/>
    <w:rsid w:val="009C3823"/>
    <w:rsid w:val="009C3920"/>
    <w:rsid w:val="009C3AC1"/>
    <w:rsid w:val="009C3EE1"/>
    <w:rsid w:val="009C3EF8"/>
    <w:rsid w:val="009C3FC4"/>
    <w:rsid w:val="009C409C"/>
    <w:rsid w:val="009C4498"/>
    <w:rsid w:val="009C451B"/>
    <w:rsid w:val="009C496D"/>
    <w:rsid w:val="009C4C05"/>
    <w:rsid w:val="009C4C76"/>
    <w:rsid w:val="009C4EE9"/>
    <w:rsid w:val="009C4F56"/>
    <w:rsid w:val="009C5111"/>
    <w:rsid w:val="009C52A4"/>
    <w:rsid w:val="009C52C0"/>
    <w:rsid w:val="009C53F3"/>
    <w:rsid w:val="009C54D3"/>
    <w:rsid w:val="009C5561"/>
    <w:rsid w:val="009C5BBE"/>
    <w:rsid w:val="009C5F7B"/>
    <w:rsid w:val="009C6329"/>
    <w:rsid w:val="009C6498"/>
    <w:rsid w:val="009C6701"/>
    <w:rsid w:val="009C6A2D"/>
    <w:rsid w:val="009C6BDC"/>
    <w:rsid w:val="009C709A"/>
    <w:rsid w:val="009C7157"/>
    <w:rsid w:val="009C7174"/>
    <w:rsid w:val="009C72CE"/>
    <w:rsid w:val="009C7713"/>
    <w:rsid w:val="009C7AD3"/>
    <w:rsid w:val="009D00BF"/>
    <w:rsid w:val="009D02D4"/>
    <w:rsid w:val="009D07A3"/>
    <w:rsid w:val="009D0AA7"/>
    <w:rsid w:val="009D0B38"/>
    <w:rsid w:val="009D0E3C"/>
    <w:rsid w:val="009D0FEB"/>
    <w:rsid w:val="009D113A"/>
    <w:rsid w:val="009D16D7"/>
    <w:rsid w:val="009D1C64"/>
    <w:rsid w:val="009D2219"/>
    <w:rsid w:val="009D25AA"/>
    <w:rsid w:val="009D2641"/>
    <w:rsid w:val="009D2854"/>
    <w:rsid w:val="009D2915"/>
    <w:rsid w:val="009D2D19"/>
    <w:rsid w:val="009D31A9"/>
    <w:rsid w:val="009D3348"/>
    <w:rsid w:val="009D3468"/>
    <w:rsid w:val="009D35E1"/>
    <w:rsid w:val="009D3968"/>
    <w:rsid w:val="009D3A93"/>
    <w:rsid w:val="009D3FAE"/>
    <w:rsid w:val="009D40BD"/>
    <w:rsid w:val="009D4357"/>
    <w:rsid w:val="009D4470"/>
    <w:rsid w:val="009D44B8"/>
    <w:rsid w:val="009D4E25"/>
    <w:rsid w:val="009D4E67"/>
    <w:rsid w:val="009D4EF8"/>
    <w:rsid w:val="009D508B"/>
    <w:rsid w:val="009D5DD0"/>
    <w:rsid w:val="009D5E67"/>
    <w:rsid w:val="009D5F53"/>
    <w:rsid w:val="009D66E4"/>
    <w:rsid w:val="009D6E64"/>
    <w:rsid w:val="009D71DF"/>
    <w:rsid w:val="009D74C0"/>
    <w:rsid w:val="009D75FE"/>
    <w:rsid w:val="009D76DF"/>
    <w:rsid w:val="009D789A"/>
    <w:rsid w:val="009D7910"/>
    <w:rsid w:val="009E02CB"/>
    <w:rsid w:val="009E0420"/>
    <w:rsid w:val="009E0813"/>
    <w:rsid w:val="009E0D8A"/>
    <w:rsid w:val="009E0EE1"/>
    <w:rsid w:val="009E0F48"/>
    <w:rsid w:val="009E134F"/>
    <w:rsid w:val="009E1808"/>
    <w:rsid w:val="009E19EC"/>
    <w:rsid w:val="009E1BDE"/>
    <w:rsid w:val="009E1C5F"/>
    <w:rsid w:val="009E1F53"/>
    <w:rsid w:val="009E2064"/>
    <w:rsid w:val="009E214A"/>
    <w:rsid w:val="009E2748"/>
    <w:rsid w:val="009E2AC5"/>
    <w:rsid w:val="009E2B0E"/>
    <w:rsid w:val="009E2BAA"/>
    <w:rsid w:val="009E31AA"/>
    <w:rsid w:val="009E31ED"/>
    <w:rsid w:val="009E3479"/>
    <w:rsid w:val="009E34C8"/>
    <w:rsid w:val="009E38F4"/>
    <w:rsid w:val="009E4384"/>
    <w:rsid w:val="009E4523"/>
    <w:rsid w:val="009E4642"/>
    <w:rsid w:val="009E49ED"/>
    <w:rsid w:val="009E4B38"/>
    <w:rsid w:val="009E4D0C"/>
    <w:rsid w:val="009E4E9C"/>
    <w:rsid w:val="009E5209"/>
    <w:rsid w:val="009E52A7"/>
    <w:rsid w:val="009E52FE"/>
    <w:rsid w:val="009E5358"/>
    <w:rsid w:val="009E5532"/>
    <w:rsid w:val="009E582F"/>
    <w:rsid w:val="009E5C98"/>
    <w:rsid w:val="009E613C"/>
    <w:rsid w:val="009E6491"/>
    <w:rsid w:val="009E6682"/>
    <w:rsid w:val="009E66D8"/>
    <w:rsid w:val="009E6999"/>
    <w:rsid w:val="009E6E40"/>
    <w:rsid w:val="009E6E6A"/>
    <w:rsid w:val="009E78D0"/>
    <w:rsid w:val="009E7E69"/>
    <w:rsid w:val="009F09C8"/>
    <w:rsid w:val="009F0A01"/>
    <w:rsid w:val="009F0A3D"/>
    <w:rsid w:val="009F0F09"/>
    <w:rsid w:val="009F0F9A"/>
    <w:rsid w:val="009F0FFD"/>
    <w:rsid w:val="009F1063"/>
    <w:rsid w:val="009F1144"/>
    <w:rsid w:val="009F1594"/>
    <w:rsid w:val="009F15C5"/>
    <w:rsid w:val="009F19AA"/>
    <w:rsid w:val="009F1B16"/>
    <w:rsid w:val="009F233D"/>
    <w:rsid w:val="009F2529"/>
    <w:rsid w:val="009F25A0"/>
    <w:rsid w:val="009F25C1"/>
    <w:rsid w:val="009F2D75"/>
    <w:rsid w:val="009F35C4"/>
    <w:rsid w:val="009F36BA"/>
    <w:rsid w:val="009F36E0"/>
    <w:rsid w:val="009F371E"/>
    <w:rsid w:val="009F38E1"/>
    <w:rsid w:val="009F3E39"/>
    <w:rsid w:val="009F3FA9"/>
    <w:rsid w:val="009F3FDB"/>
    <w:rsid w:val="009F422A"/>
    <w:rsid w:val="009F441A"/>
    <w:rsid w:val="009F4492"/>
    <w:rsid w:val="009F44AB"/>
    <w:rsid w:val="009F4582"/>
    <w:rsid w:val="009F48D2"/>
    <w:rsid w:val="009F4AAA"/>
    <w:rsid w:val="009F4B73"/>
    <w:rsid w:val="009F4BEA"/>
    <w:rsid w:val="009F4D9E"/>
    <w:rsid w:val="009F541B"/>
    <w:rsid w:val="009F5586"/>
    <w:rsid w:val="009F57D8"/>
    <w:rsid w:val="009F585E"/>
    <w:rsid w:val="009F5A93"/>
    <w:rsid w:val="009F5AEA"/>
    <w:rsid w:val="009F5ECC"/>
    <w:rsid w:val="009F6150"/>
    <w:rsid w:val="009F62AF"/>
    <w:rsid w:val="009F6509"/>
    <w:rsid w:val="009F6573"/>
    <w:rsid w:val="009F65EF"/>
    <w:rsid w:val="009F6658"/>
    <w:rsid w:val="009F66EF"/>
    <w:rsid w:val="009F682E"/>
    <w:rsid w:val="009F6BC1"/>
    <w:rsid w:val="009F6F36"/>
    <w:rsid w:val="009F7372"/>
    <w:rsid w:val="009F74AD"/>
    <w:rsid w:val="009F7664"/>
    <w:rsid w:val="009F768B"/>
    <w:rsid w:val="009F7852"/>
    <w:rsid w:val="009F796B"/>
    <w:rsid w:val="009F7A94"/>
    <w:rsid w:val="009F7B41"/>
    <w:rsid w:val="009F7CBB"/>
    <w:rsid w:val="009F7D89"/>
    <w:rsid w:val="009F7E16"/>
    <w:rsid w:val="00A00029"/>
    <w:rsid w:val="00A000F8"/>
    <w:rsid w:val="00A001AD"/>
    <w:rsid w:val="00A00456"/>
    <w:rsid w:val="00A00947"/>
    <w:rsid w:val="00A00D05"/>
    <w:rsid w:val="00A00FF3"/>
    <w:rsid w:val="00A0110A"/>
    <w:rsid w:val="00A0150C"/>
    <w:rsid w:val="00A018AE"/>
    <w:rsid w:val="00A01F40"/>
    <w:rsid w:val="00A02029"/>
    <w:rsid w:val="00A02368"/>
    <w:rsid w:val="00A02457"/>
    <w:rsid w:val="00A02483"/>
    <w:rsid w:val="00A025C5"/>
    <w:rsid w:val="00A027D6"/>
    <w:rsid w:val="00A02A1F"/>
    <w:rsid w:val="00A02B6B"/>
    <w:rsid w:val="00A02BBD"/>
    <w:rsid w:val="00A02D67"/>
    <w:rsid w:val="00A02F0A"/>
    <w:rsid w:val="00A03069"/>
    <w:rsid w:val="00A0311A"/>
    <w:rsid w:val="00A03256"/>
    <w:rsid w:val="00A03276"/>
    <w:rsid w:val="00A032ED"/>
    <w:rsid w:val="00A0344A"/>
    <w:rsid w:val="00A03550"/>
    <w:rsid w:val="00A038FB"/>
    <w:rsid w:val="00A03904"/>
    <w:rsid w:val="00A03C25"/>
    <w:rsid w:val="00A041B3"/>
    <w:rsid w:val="00A04286"/>
    <w:rsid w:val="00A042E6"/>
    <w:rsid w:val="00A04400"/>
    <w:rsid w:val="00A04740"/>
    <w:rsid w:val="00A0481C"/>
    <w:rsid w:val="00A04856"/>
    <w:rsid w:val="00A048F8"/>
    <w:rsid w:val="00A04937"/>
    <w:rsid w:val="00A049A2"/>
    <w:rsid w:val="00A04C52"/>
    <w:rsid w:val="00A04FFF"/>
    <w:rsid w:val="00A050C2"/>
    <w:rsid w:val="00A0520C"/>
    <w:rsid w:val="00A05907"/>
    <w:rsid w:val="00A05D88"/>
    <w:rsid w:val="00A064B4"/>
    <w:rsid w:val="00A06630"/>
    <w:rsid w:val="00A0667C"/>
    <w:rsid w:val="00A06882"/>
    <w:rsid w:val="00A06BC5"/>
    <w:rsid w:val="00A06D13"/>
    <w:rsid w:val="00A06E66"/>
    <w:rsid w:val="00A06EE1"/>
    <w:rsid w:val="00A070CC"/>
    <w:rsid w:val="00A0717C"/>
    <w:rsid w:val="00A072E1"/>
    <w:rsid w:val="00A077A4"/>
    <w:rsid w:val="00A0786A"/>
    <w:rsid w:val="00A079A4"/>
    <w:rsid w:val="00A07BAA"/>
    <w:rsid w:val="00A07C68"/>
    <w:rsid w:val="00A07DD2"/>
    <w:rsid w:val="00A101CE"/>
    <w:rsid w:val="00A101E1"/>
    <w:rsid w:val="00A101E7"/>
    <w:rsid w:val="00A10232"/>
    <w:rsid w:val="00A1044A"/>
    <w:rsid w:val="00A105FD"/>
    <w:rsid w:val="00A106F8"/>
    <w:rsid w:val="00A1095D"/>
    <w:rsid w:val="00A10AD9"/>
    <w:rsid w:val="00A10FB7"/>
    <w:rsid w:val="00A1105A"/>
    <w:rsid w:val="00A110D5"/>
    <w:rsid w:val="00A11400"/>
    <w:rsid w:val="00A1172E"/>
    <w:rsid w:val="00A11CDB"/>
    <w:rsid w:val="00A11CE2"/>
    <w:rsid w:val="00A12011"/>
    <w:rsid w:val="00A12AD7"/>
    <w:rsid w:val="00A12B2F"/>
    <w:rsid w:val="00A12BB6"/>
    <w:rsid w:val="00A12C4B"/>
    <w:rsid w:val="00A12DE1"/>
    <w:rsid w:val="00A12ED0"/>
    <w:rsid w:val="00A12FBE"/>
    <w:rsid w:val="00A13072"/>
    <w:rsid w:val="00A13378"/>
    <w:rsid w:val="00A13599"/>
    <w:rsid w:val="00A13703"/>
    <w:rsid w:val="00A13813"/>
    <w:rsid w:val="00A1391F"/>
    <w:rsid w:val="00A142CD"/>
    <w:rsid w:val="00A14399"/>
    <w:rsid w:val="00A14435"/>
    <w:rsid w:val="00A14698"/>
    <w:rsid w:val="00A14763"/>
    <w:rsid w:val="00A147E3"/>
    <w:rsid w:val="00A14A31"/>
    <w:rsid w:val="00A14AAC"/>
    <w:rsid w:val="00A14DFA"/>
    <w:rsid w:val="00A1509C"/>
    <w:rsid w:val="00A15B8F"/>
    <w:rsid w:val="00A15BE5"/>
    <w:rsid w:val="00A15CBF"/>
    <w:rsid w:val="00A15E1B"/>
    <w:rsid w:val="00A16035"/>
    <w:rsid w:val="00A160CB"/>
    <w:rsid w:val="00A160D8"/>
    <w:rsid w:val="00A161BF"/>
    <w:rsid w:val="00A16542"/>
    <w:rsid w:val="00A16622"/>
    <w:rsid w:val="00A1681C"/>
    <w:rsid w:val="00A16854"/>
    <w:rsid w:val="00A16D1F"/>
    <w:rsid w:val="00A16E93"/>
    <w:rsid w:val="00A17726"/>
    <w:rsid w:val="00A1782A"/>
    <w:rsid w:val="00A17A3F"/>
    <w:rsid w:val="00A17CF7"/>
    <w:rsid w:val="00A17DE9"/>
    <w:rsid w:val="00A2054D"/>
    <w:rsid w:val="00A205B8"/>
    <w:rsid w:val="00A206B4"/>
    <w:rsid w:val="00A20A80"/>
    <w:rsid w:val="00A20B48"/>
    <w:rsid w:val="00A20DC3"/>
    <w:rsid w:val="00A20DD0"/>
    <w:rsid w:val="00A210AD"/>
    <w:rsid w:val="00A216D3"/>
    <w:rsid w:val="00A217A7"/>
    <w:rsid w:val="00A21BDE"/>
    <w:rsid w:val="00A21DAE"/>
    <w:rsid w:val="00A21E00"/>
    <w:rsid w:val="00A22005"/>
    <w:rsid w:val="00A220A8"/>
    <w:rsid w:val="00A22117"/>
    <w:rsid w:val="00A2260D"/>
    <w:rsid w:val="00A2298B"/>
    <w:rsid w:val="00A22C30"/>
    <w:rsid w:val="00A231D3"/>
    <w:rsid w:val="00A232A8"/>
    <w:rsid w:val="00A23756"/>
    <w:rsid w:val="00A2392C"/>
    <w:rsid w:val="00A23962"/>
    <w:rsid w:val="00A23998"/>
    <w:rsid w:val="00A23C0C"/>
    <w:rsid w:val="00A23D73"/>
    <w:rsid w:val="00A23F17"/>
    <w:rsid w:val="00A2410B"/>
    <w:rsid w:val="00A24137"/>
    <w:rsid w:val="00A241E9"/>
    <w:rsid w:val="00A24255"/>
    <w:rsid w:val="00A242E6"/>
    <w:rsid w:val="00A244C9"/>
    <w:rsid w:val="00A24534"/>
    <w:rsid w:val="00A24DE7"/>
    <w:rsid w:val="00A24F96"/>
    <w:rsid w:val="00A255A7"/>
    <w:rsid w:val="00A256C9"/>
    <w:rsid w:val="00A25799"/>
    <w:rsid w:val="00A25CDD"/>
    <w:rsid w:val="00A25CF4"/>
    <w:rsid w:val="00A262E7"/>
    <w:rsid w:val="00A26381"/>
    <w:rsid w:val="00A266C6"/>
    <w:rsid w:val="00A267D4"/>
    <w:rsid w:val="00A269DC"/>
    <w:rsid w:val="00A26D6A"/>
    <w:rsid w:val="00A26EB9"/>
    <w:rsid w:val="00A2746E"/>
    <w:rsid w:val="00A276E4"/>
    <w:rsid w:val="00A277E7"/>
    <w:rsid w:val="00A27A04"/>
    <w:rsid w:val="00A30526"/>
    <w:rsid w:val="00A306AE"/>
    <w:rsid w:val="00A30B55"/>
    <w:rsid w:val="00A30C3A"/>
    <w:rsid w:val="00A30CD7"/>
    <w:rsid w:val="00A30D81"/>
    <w:rsid w:val="00A310BA"/>
    <w:rsid w:val="00A312D4"/>
    <w:rsid w:val="00A3143A"/>
    <w:rsid w:val="00A31750"/>
    <w:rsid w:val="00A3176D"/>
    <w:rsid w:val="00A31CC3"/>
    <w:rsid w:val="00A31E0B"/>
    <w:rsid w:val="00A31FBC"/>
    <w:rsid w:val="00A32575"/>
    <w:rsid w:val="00A328BB"/>
    <w:rsid w:val="00A32AB1"/>
    <w:rsid w:val="00A32AF4"/>
    <w:rsid w:val="00A32C8F"/>
    <w:rsid w:val="00A32DD1"/>
    <w:rsid w:val="00A32E4B"/>
    <w:rsid w:val="00A32F76"/>
    <w:rsid w:val="00A33259"/>
    <w:rsid w:val="00A33369"/>
    <w:rsid w:val="00A33413"/>
    <w:rsid w:val="00A33436"/>
    <w:rsid w:val="00A33A07"/>
    <w:rsid w:val="00A340F2"/>
    <w:rsid w:val="00A34237"/>
    <w:rsid w:val="00A342B8"/>
    <w:rsid w:val="00A344D3"/>
    <w:rsid w:val="00A345B7"/>
    <w:rsid w:val="00A34792"/>
    <w:rsid w:val="00A350B7"/>
    <w:rsid w:val="00A3518D"/>
    <w:rsid w:val="00A35558"/>
    <w:rsid w:val="00A3564A"/>
    <w:rsid w:val="00A357F9"/>
    <w:rsid w:val="00A35AEB"/>
    <w:rsid w:val="00A35F39"/>
    <w:rsid w:val="00A35F6C"/>
    <w:rsid w:val="00A36001"/>
    <w:rsid w:val="00A36136"/>
    <w:rsid w:val="00A36425"/>
    <w:rsid w:val="00A36510"/>
    <w:rsid w:val="00A36763"/>
    <w:rsid w:val="00A36987"/>
    <w:rsid w:val="00A36A57"/>
    <w:rsid w:val="00A36D80"/>
    <w:rsid w:val="00A36FA0"/>
    <w:rsid w:val="00A370C9"/>
    <w:rsid w:val="00A3715F"/>
    <w:rsid w:val="00A3729C"/>
    <w:rsid w:val="00A375BC"/>
    <w:rsid w:val="00A37A8A"/>
    <w:rsid w:val="00A37B23"/>
    <w:rsid w:val="00A37BC7"/>
    <w:rsid w:val="00A37CF9"/>
    <w:rsid w:val="00A37F86"/>
    <w:rsid w:val="00A40177"/>
    <w:rsid w:val="00A40192"/>
    <w:rsid w:val="00A402C7"/>
    <w:rsid w:val="00A402FE"/>
    <w:rsid w:val="00A40541"/>
    <w:rsid w:val="00A40906"/>
    <w:rsid w:val="00A40AB4"/>
    <w:rsid w:val="00A40B97"/>
    <w:rsid w:val="00A40DFF"/>
    <w:rsid w:val="00A41064"/>
    <w:rsid w:val="00A41324"/>
    <w:rsid w:val="00A416F9"/>
    <w:rsid w:val="00A418AA"/>
    <w:rsid w:val="00A41ADF"/>
    <w:rsid w:val="00A41AE5"/>
    <w:rsid w:val="00A41B14"/>
    <w:rsid w:val="00A41C00"/>
    <w:rsid w:val="00A41C34"/>
    <w:rsid w:val="00A41E1C"/>
    <w:rsid w:val="00A421B8"/>
    <w:rsid w:val="00A425F4"/>
    <w:rsid w:val="00A42711"/>
    <w:rsid w:val="00A42792"/>
    <w:rsid w:val="00A42AA4"/>
    <w:rsid w:val="00A42C52"/>
    <w:rsid w:val="00A42E25"/>
    <w:rsid w:val="00A42F62"/>
    <w:rsid w:val="00A43AED"/>
    <w:rsid w:val="00A44508"/>
    <w:rsid w:val="00A44823"/>
    <w:rsid w:val="00A44F65"/>
    <w:rsid w:val="00A452E4"/>
    <w:rsid w:val="00A45684"/>
    <w:rsid w:val="00A456F0"/>
    <w:rsid w:val="00A45F8A"/>
    <w:rsid w:val="00A4602B"/>
    <w:rsid w:val="00A462F0"/>
    <w:rsid w:val="00A46380"/>
    <w:rsid w:val="00A4661C"/>
    <w:rsid w:val="00A46756"/>
    <w:rsid w:val="00A4678B"/>
    <w:rsid w:val="00A46AFD"/>
    <w:rsid w:val="00A46F2F"/>
    <w:rsid w:val="00A4718C"/>
    <w:rsid w:val="00A47344"/>
    <w:rsid w:val="00A4752A"/>
    <w:rsid w:val="00A4778B"/>
    <w:rsid w:val="00A478B5"/>
    <w:rsid w:val="00A47B08"/>
    <w:rsid w:val="00A50053"/>
    <w:rsid w:val="00A50936"/>
    <w:rsid w:val="00A50C77"/>
    <w:rsid w:val="00A50EA2"/>
    <w:rsid w:val="00A512C4"/>
    <w:rsid w:val="00A51315"/>
    <w:rsid w:val="00A514C0"/>
    <w:rsid w:val="00A5174F"/>
    <w:rsid w:val="00A51877"/>
    <w:rsid w:val="00A51B25"/>
    <w:rsid w:val="00A51CFF"/>
    <w:rsid w:val="00A51EDE"/>
    <w:rsid w:val="00A5203F"/>
    <w:rsid w:val="00A52148"/>
    <w:rsid w:val="00A52439"/>
    <w:rsid w:val="00A5254C"/>
    <w:rsid w:val="00A525C0"/>
    <w:rsid w:val="00A525DC"/>
    <w:rsid w:val="00A5292E"/>
    <w:rsid w:val="00A52958"/>
    <w:rsid w:val="00A52E2F"/>
    <w:rsid w:val="00A52FDD"/>
    <w:rsid w:val="00A5349B"/>
    <w:rsid w:val="00A534E3"/>
    <w:rsid w:val="00A53518"/>
    <w:rsid w:val="00A5352E"/>
    <w:rsid w:val="00A53619"/>
    <w:rsid w:val="00A53ED4"/>
    <w:rsid w:val="00A54242"/>
    <w:rsid w:val="00A5428D"/>
    <w:rsid w:val="00A542EE"/>
    <w:rsid w:val="00A54682"/>
    <w:rsid w:val="00A5473C"/>
    <w:rsid w:val="00A54B4C"/>
    <w:rsid w:val="00A54B9E"/>
    <w:rsid w:val="00A54C0E"/>
    <w:rsid w:val="00A54E51"/>
    <w:rsid w:val="00A5507D"/>
    <w:rsid w:val="00A55286"/>
    <w:rsid w:val="00A555E5"/>
    <w:rsid w:val="00A556A5"/>
    <w:rsid w:val="00A5572A"/>
    <w:rsid w:val="00A55827"/>
    <w:rsid w:val="00A55B4D"/>
    <w:rsid w:val="00A5609D"/>
    <w:rsid w:val="00A561B0"/>
    <w:rsid w:val="00A561E9"/>
    <w:rsid w:val="00A5652D"/>
    <w:rsid w:val="00A56B47"/>
    <w:rsid w:val="00A56B5A"/>
    <w:rsid w:val="00A56BD9"/>
    <w:rsid w:val="00A56E9A"/>
    <w:rsid w:val="00A56E9C"/>
    <w:rsid w:val="00A57059"/>
    <w:rsid w:val="00A57119"/>
    <w:rsid w:val="00A57488"/>
    <w:rsid w:val="00A574E0"/>
    <w:rsid w:val="00A57B60"/>
    <w:rsid w:val="00A57F17"/>
    <w:rsid w:val="00A60075"/>
    <w:rsid w:val="00A6010A"/>
    <w:rsid w:val="00A6036A"/>
    <w:rsid w:val="00A605C4"/>
    <w:rsid w:val="00A6068A"/>
    <w:rsid w:val="00A60971"/>
    <w:rsid w:val="00A60B5B"/>
    <w:rsid w:val="00A60C16"/>
    <w:rsid w:val="00A60F0F"/>
    <w:rsid w:val="00A61017"/>
    <w:rsid w:val="00A61254"/>
    <w:rsid w:val="00A612BB"/>
    <w:rsid w:val="00A6132E"/>
    <w:rsid w:val="00A61342"/>
    <w:rsid w:val="00A61347"/>
    <w:rsid w:val="00A615B8"/>
    <w:rsid w:val="00A615FE"/>
    <w:rsid w:val="00A618CF"/>
    <w:rsid w:val="00A61A8A"/>
    <w:rsid w:val="00A61F0D"/>
    <w:rsid w:val="00A61FC6"/>
    <w:rsid w:val="00A61FF2"/>
    <w:rsid w:val="00A620AE"/>
    <w:rsid w:val="00A620BA"/>
    <w:rsid w:val="00A62232"/>
    <w:rsid w:val="00A6224D"/>
    <w:rsid w:val="00A62328"/>
    <w:rsid w:val="00A623EE"/>
    <w:rsid w:val="00A6296D"/>
    <w:rsid w:val="00A62BDD"/>
    <w:rsid w:val="00A62E48"/>
    <w:rsid w:val="00A62EC0"/>
    <w:rsid w:val="00A62F83"/>
    <w:rsid w:val="00A63005"/>
    <w:rsid w:val="00A63088"/>
    <w:rsid w:val="00A63142"/>
    <w:rsid w:val="00A633DA"/>
    <w:rsid w:val="00A6360D"/>
    <w:rsid w:val="00A63B35"/>
    <w:rsid w:val="00A64003"/>
    <w:rsid w:val="00A640B4"/>
    <w:rsid w:val="00A640E2"/>
    <w:rsid w:val="00A64244"/>
    <w:rsid w:val="00A6430B"/>
    <w:rsid w:val="00A646EE"/>
    <w:rsid w:val="00A649E8"/>
    <w:rsid w:val="00A64CF2"/>
    <w:rsid w:val="00A64D0A"/>
    <w:rsid w:val="00A64E6A"/>
    <w:rsid w:val="00A6511D"/>
    <w:rsid w:val="00A6513E"/>
    <w:rsid w:val="00A65718"/>
    <w:rsid w:val="00A657C5"/>
    <w:rsid w:val="00A65870"/>
    <w:rsid w:val="00A65CFC"/>
    <w:rsid w:val="00A65D51"/>
    <w:rsid w:val="00A65D6E"/>
    <w:rsid w:val="00A65F11"/>
    <w:rsid w:val="00A65F16"/>
    <w:rsid w:val="00A663CA"/>
    <w:rsid w:val="00A666F4"/>
    <w:rsid w:val="00A66E75"/>
    <w:rsid w:val="00A66EF7"/>
    <w:rsid w:val="00A671A8"/>
    <w:rsid w:val="00A67468"/>
    <w:rsid w:val="00A67682"/>
    <w:rsid w:val="00A676F1"/>
    <w:rsid w:val="00A67787"/>
    <w:rsid w:val="00A6786A"/>
    <w:rsid w:val="00A67ACC"/>
    <w:rsid w:val="00A67D99"/>
    <w:rsid w:val="00A67E10"/>
    <w:rsid w:val="00A67F87"/>
    <w:rsid w:val="00A70017"/>
    <w:rsid w:val="00A704D2"/>
    <w:rsid w:val="00A70564"/>
    <w:rsid w:val="00A707E6"/>
    <w:rsid w:val="00A708B8"/>
    <w:rsid w:val="00A709DE"/>
    <w:rsid w:val="00A70D70"/>
    <w:rsid w:val="00A70F25"/>
    <w:rsid w:val="00A71298"/>
    <w:rsid w:val="00A712D0"/>
    <w:rsid w:val="00A713BB"/>
    <w:rsid w:val="00A71FAC"/>
    <w:rsid w:val="00A72050"/>
    <w:rsid w:val="00A72079"/>
    <w:rsid w:val="00A72125"/>
    <w:rsid w:val="00A7232D"/>
    <w:rsid w:val="00A724F0"/>
    <w:rsid w:val="00A724F5"/>
    <w:rsid w:val="00A72730"/>
    <w:rsid w:val="00A72816"/>
    <w:rsid w:val="00A72A24"/>
    <w:rsid w:val="00A72A28"/>
    <w:rsid w:val="00A72B81"/>
    <w:rsid w:val="00A72E5B"/>
    <w:rsid w:val="00A72EE0"/>
    <w:rsid w:val="00A7330A"/>
    <w:rsid w:val="00A733A2"/>
    <w:rsid w:val="00A737EA"/>
    <w:rsid w:val="00A7399A"/>
    <w:rsid w:val="00A739A0"/>
    <w:rsid w:val="00A73BF9"/>
    <w:rsid w:val="00A73C59"/>
    <w:rsid w:val="00A73D40"/>
    <w:rsid w:val="00A73E68"/>
    <w:rsid w:val="00A7459C"/>
    <w:rsid w:val="00A74AB4"/>
    <w:rsid w:val="00A74D03"/>
    <w:rsid w:val="00A7582C"/>
    <w:rsid w:val="00A7629A"/>
    <w:rsid w:val="00A76312"/>
    <w:rsid w:val="00A767B6"/>
    <w:rsid w:val="00A76C8E"/>
    <w:rsid w:val="00A76C97"/>
    <w:rsid w:val="00A76CF8"/>
    <w:rsid w:val="00A76E23"/>
    <w:rsid w:val="00A7747A"/>
    <w:rsid w:val="00A7748F"/>
    <w:rsid w:val="00A77587"/>
    <w:rsid w:val="00A77A78"/>
    <w:rsid w:val="00A77B4E"/>
    <w:rsid w:val="00A77C1B"/>
    <w:rsid w:val="00A77C3D"/>
    <w:rsid w:val="00A77E4C"/>
    <w:rsid w:val="00A80052"/>
    <w:rsid w:val="00A80138"/>
    <w:rsid w:val="00A80469"/>
    <w:rsid w:val="00A80470"/>
    <w:rsid w:val="00A808E2"/>
    <w:rsid w:val="00A80AA2"/>
    <w:rsid w:val="00A80E25"/>
    <w:rsid w:val="00A8118B"/>
    <w:rsid w:val="00A816FD"/>
    <w:rsid w:val="00A819B1"/>
    <w:rsid w:val="00A81CAC"/>
    <w:rsid w:val="00A81FFC"/>
    <w:rsid w:val="00A81FFD"/>
    <w:rsid w:val="00A82556"/>
    <w:rsid w:val="00A82811"/>
    <w:rsid w:val="00A82A4B"/>
    <w:rsid w:val="00A82AE7"/>
    <w:rsid w:val="00A82BFE"/>
    <w:rsid w:val="00A82E62"/>
    <w:rsid w:val="00A82EA2"/>
    <w:rsid w:val="00A82F1E"/>
    <w:rsid w:val="00A83088"/>
    <w:rsid w:val="00A83166"/>
    <w:rsid w:val="00A83E62"/>
    <w:rsid w:val="00A8498A"/>
    <w:rsid w:val="00A849FE"/>
    <w:rsid w:val="00A84EEA"/>
    <w:rsid w:val="00A8521B"/>
    <w:rsid w:val="00A85530"/>
    <w:rsid w:val="00A85585"/>
    <w:rsid w:val="00A8571B"/>
    <w:rsid w:val="00A857DF"/>
    <w:rsid w:val="00A859F0"/>
    <w:rsid w:val="00A865DC"/>
    <w:rsid w:val="00A86718"/>
    <w:rsid w:val="00A86766"/>
    <w:rsid w:val="00A86833"/>
    <w:rsid w:val="00A86C2A"/>
    <w:rsid w:val="00A86D95"/>
    <w:rsid w:val="00A86E0F"/>
    <w:rsid w:val="00A86FDE"/>
    <w:rsid w:val="00A874ED"/>
    <w:rsid w:val="00A87638"/>
    <w:rsid w:val="00A87843"/>
    <w:rsid w:val="00A87B78"/>
    <w:rsid w:val="00A87CBA"/>
    <w:rsid w:val="00A90063"/>
    <w:rsid w:val="00A9021C"/>
    <w:rsid w:val="00A904E0"/>
    <w:rsid w:val="00A90501"/>
    <w:rsid w:val="00A906FA"/>
    <w:rsid w:val="00A9090C"/>
    <w:rsid w:val="00A90A49"/>
    <w:rsid w:val="00A90AF3"/>
    <w:rsid w:val="00A90E90"/>
    <w:rsid w:val="00A910C0"/>
    <w:rsid w:val="00A91732"/>
    <w:rsid w:val="00A91837"/>
    <w:rsid w:val="00A91EE8"/>
    <w:rsid w:val="00A91F43"/>
    <w:rsid w:val="00A92015"/>
    <w:rsid w:val="00A92104"/>
    <w:rsid w:val="00A924BE"/>
    <w:rsid w:val="00A924DB"/>
    <w:rsid w:val="00A927D1"/>
    <w:rsid w:val="00A92905"/>
    <w:rsid w:val="00A92956"/>
    <w:rsid w:val="00A92B21"/>
    <w:rsid w:val="00A92D99"/>
    <w:rsid w:val="00A931C0"/>
    <w:rsid w:val="00A935A2"/>
    <w:rsid w:val="00A937A1"/>
    <w:rsid w:val="00A93804"/>
    <w:rsid w:val="00A93A09"/>
    <w:rsid w:val="00A93F9B"/>
    <w:rsid w:val="00A94123"/>
    <w:rsid w:val="00A941EF"/>
    <w:rsid w:val="00A942C0"/>
    <w:rsid w:val="00A942C7"/>
    <w:rsid w:val="00A94A09"/>
    <w:rsid w:val="00A94BCB"/>
    <w:rsid w:val="00A94C50"/>
    <w:rsid w:val="00A94EB0"/>
    <w:rsid w:val="00A95279"/>
    <w:rsid w:val="00A953F1"/>
    <w:rsid w:val="00A9553F"/>
    <w:rsid w:val="00A9556A"/>
    <w:rsid w:val="00A95A1D"/>
    <w:rsid w:val="00A95B2C"/>
    <w:rsid w:val="00A95DA0"/>
    <w:rsid w:val="00A95DD3"/>
    <w:rsid w:val="00A95FAD"/>
    <w:rsid w:val="00A961F0"/>
    <w:rsid w:val="00A9620F"/>
    <w:rsid w:val="00A9653A"/>
    <w:rsid w:val="00A969E6"/>
    <w:rsid w:val="00A96AAF"/>
    <w:rsid w:val="00A96BF2"/>
    <w:rsid w:val="00A97213"/>
    <w:rsid w:val="00A97687"/>
    <w:rsid w:val="00A9771F"/>
    <w:rsid w:val="00A97B9C"/>
    <w:rsid w:val="00A97DDC"/>
    <w:rsid w:val="00AA0577"/>
    <w:rsid w:val="00AA06E3"/>
    <w:rsid w:val="00AA080D"/>
    <w:rsid w:val="00AA0D61"/>
    <w:rsid w:val="00AA0F33"/>
    <w:rsid w:val="00AA0F73"/>
    <w:rsid w:val="00AA0F80"/>
    <w:rsid w:val="00AA12AB"/>
    <w:rsid w:val="00AA134F"/>
    <w:rsid w:val="00AA14C9"/>
    <w:rsid w:val="00AA16B5"/>
    <w:rsid w:val="00AA1B6C"/>
    <w:rsid w:val="00AA1D87"/>
    <w:rsid w:val="00AA20C4"/>
    <w:rsid w:val="00AA224D"/>
    <w:rsid w:val="00AA233F"/>
    <w:rsid w:val="00AA29FD"/>
    <w:rsid w:val="00AA2B01"/>
    <w:rsid w:val="00AA2D68"/>
    <w:rsid w:val="00AA3035"/>
    <w:rsid w:val="00AA332C"/>
    <w:rsid w:val="00AA3396"/>
    <w:rsid w:val="00AA35A5"/>
    <w:rsid w:val="00AA3934"/>
    <w:rsid w:val="00AA39A3"/>
    <w:rsid w:val="00AA3D14"/>
    <w:rsid w:val="00AA3D76"/>
    <w:rsid w:val="00AA3F66"/>
    <w:rsid w:val="00AA3FD9"/>
    <w:rsid w:val="00AA40FD"/>
    <w:rsid w:val="00AA410A"/>
    <w:rsid w:val="00AA4C07"/>
    <w:rsid w:val="00AA4CF8"/>
    <w:rsid w:val="00AA4E41"/>
    <w:rsid w:val="00AA50F9"/>
    <w:rsid w:val="00AA532C"/>
    <w:rsid w:val="00AA54D0"/>
    <w:rsid w:val="00AA5731"/>
    <w:rsid w:val="00AA5749"/>
    <w:rsid w:val="00AA58AD"/>
    <w:rsid w:val="00AA5EC6"/>
    <w:rsid w:val="00AA602D"/>
    <w:rsid w:val="00AA646C"/>
    <w:rsid w:val="00AA66AD"/>
    <w:rsid w:val="00AA674A"/>
    <w:rsid w:val="00AA6B1A"/>
    <w:rsid w:val="00AA6BEC"/>
    <w:rsid w:val="00AA6E36"/>
    <w:rsid w:val="00AA7B68"/>
    <w:rsid w:val="00AA7F0E"/>
    <w:rsid w:val="00AB0585"/>
    <w:rsid w:val="00AB07E1"/>
    <w:rsid w:val="00AB08B1"/>
    <w:rsid w:val="00AB09BD"/>
    <w:rsid w:val="00AB09FB"/>
    <w:rsid w:val="00AB0C1C"/>
    <w:rsid w:val="00AB0CAD"/>
    <w:rsid w:val="00AB0D6A"/>
    <w:rsid w:val="00AB0F4D"/>
    <w:rsid w:val="00AB146F"/>
    <w:rsid w:val="00AB1508"/>
    <w:rsid w:val="00AB1546"/>
    <w:rsid w:val="00AB157C"/>
    <w:rsid w:val="00AB160E"/>
    <w:rsid w:val="00AB16C4"/>
    <w:rsid w:val="00AB174C"/>
    <w:rsid w:val="00AB1837"/>
    <w:rsid w:val="00AB1983"/>
    <w:rsid w:val="00AB1998"/>
    <w:rsid w:val="00AB1D79"/>
    <w:rsid w:val="00AB2277"/>
    <w:rsid w:val="00AB22CE"/>
    <w:rsid w:val="00AB2552"/>
    <w:rsid w:val="00AB28A0"/>
    <w:rsid w:val="00AB2A3C"/>
    <w:rsid w:val="00AB2AC4"/>
    <w:rsid w:val="00AB2DC7"/>
    <w:rsid w:val="00AB2F29"/>
    <w:rsid w:val="00AB3036"/>
    <w:rsid w:val="00AB3543"/>
    <w:rsid w:val="00AB3682"/>
    <w:rsid w:val="00AB381D"/>
    <w:rsid w:val="00AB3992"/>
    <w:rsid w:val="00AB3D05"/>
    <w:rsid w:val="00AB3D92"/>
    <w:rsid w:val="00AB4666"/>
    <w:rsid w:val="00AB4701"/>
    <w:rsid w:val="00AB4839"/>
    <w:rsid w:val="00AB484B"/>
    <w:rsid w:val="00AB4D1E"/>
    <w:rsid w:val="00AB5686"/>
    <w:rsid w:val="00AB5BAD"/>
    <w:rsid w:val="00AB5DC5"/>
    <w:rsid w:val="00AB5EDD"/>
    <w:rsid w:val="00AB6121"/>
    <w:rsid w:val="00AB622E"/>
    <w:rsid w:val="00AB6418"/>
    <w:rsid w:val="00AB66C8"/>
    <w:rsid w:val="00AB6A10"/>
    <w:rsid w:val="00AB6A8D"/>
    <w:rsid w:val="00AB6B1E"/>
    <w:rsid w:val="00AB6C8A"/>
    <w:rsid w:val="00AB705C"/>
    <w:rsid w:val="00AB7066"/>
    <w:rsid w:val="00AB722E"/>
    <w:rsid w:val="00AB7240"/>
    <w:rsid w:val="00AB729C"/>
    <w:rsid w:val="00AB7460"/>
    <w:rsid w:val="00AB7798"/>
    <w:rsid w:val="00AB7A99"/>
    <w:rsid w:val="00AB7CDA"/>
    <w:rsid w:val="00AB7D0E"/>
    <w:rsid w:val="00AB7F80"/>
    <w:rsid w:val="00AC0449"/>
    <w:rsid w:val="00AC0686"/>
    <w:rsid w:val="00AC082D"/>
    <w:rsid w:val="00AC0897"/>
    <w:rsid w:val="00AC113F"/>
    <w:rsid w:val="00AC142C"/>
    <w:rsid w:val="00AC1499"/>
    <w:rsid w:val="00AC1707"/>
    <w:rsid w:val="00AC1ADE"/>
    <w:rsid w:val="00AC1CD0"/>
    <w:rsid w:val="00AC1E63"/>
    <w:rsid w:val="00AC23F9"/>
    <w:rsid w:val="00AC24EC"/>
    <w:rsid w:val="00AC25A4"/>
    <w:rsid w:val="00AC280F"/>
    <w:rsid w:val="00AC2D6F"/>
    <w:rsid w:val="00AC31B4"/>
    <w:rsid w:val="00AC320D"/>
    <w:rsid w:val="00AC3356"/>
    <w:rsid w:val="00AC371F"/>
    <w:rsid w:val="00AC37BF"/>
    <w:rsid w:val="00AC3B6C"/>
    <w:rsid w:val="00AC3FB0"/>
    <w:rsid w:val="00AC4246"/>
    <w:rsid w:val="00AC42DD"/>
    <w:rsid w:val="00AC4717"/>
    <w:rsid w:val="00AC47CD"/>
    <w:rsid w:val="00AC4950"/>
    <w:rsid w:val="00AC4951"/>
    <w:rsid w:val="00AC4DD6"/>
    <w:rsid w:val="00AC526A"/>
    <w:rsid w:val="00AC5334"/>
    <w:rsid w:val="00AC5A31"/>
    <w:rsid w:val="00AC5BBF"/>
    <w:rsid w:val="00AC5C4D"/>
    <w:rsid w:val="00AC5DAA"/>
    <w:rsid w:val="00AC5E94"/>
    <w:rsid w:val="00AC650E"/>
    <w:rsid w:val="00AC6687"/>
    <w:rsid w:val="00AC6B73"/>
    <w:rsid w:val="00AC6BD7"/>
    <w:rsid w:val="00AC705C"/>
    <w:rsid w:val="00AC71FE"/>
    <w:rsid w:val="00AC7532"/>
    <w:rsid w:val="00AC7542"/>
    <w:rsid w:val="00AC77E3"/>
    <w:rsid w:val="00AC783E"/>
    <w:rsid w:val="00AC7BAB"/>
    <w:rsid w:val="00AC7DBB"/>
    <w:rsid w:val="00AC7E01"/>
    <w:rsid w:val="00AC7E47"/>
    <w:rsid w:val="00AC7EFC"/>
    <w:rsid w:val="00AD009E"/>
    <w:rsid w:val="00AD0668"/>
    <w:rsid w:val="00AD0C86"/>
    <w:rsid w:val="00AD13E2"/>
    <w:rsid w:val="00AD1404"/>
    <w:rsid w:val="00AD1684"/>
    <w:rsid w:val="00AD1ADC"/>
    <w:rsid w:val="00AD1AF9"/>
    <w:rsid w:val="00AD1EF6"/>
    <w:rsid w:val="00AD1FA9"/>
    <w:rsid w:val="00AD230C"/>
    <w:rsid w:val="00AD2889"/>
    <w:rsid w:val="00AD2895"/>
    <w:rsid w:val="00AD29DD"/>
    <w:rsid w:val="00AD2BCF"/>
    <w:rsid w:val="00AD2E9D"/>
    <w:rsid w:val="00AD2FC1"/>
    <w:rsid w:val="00AD3008"/>
    <w:rsid w:val="00AD33A4"/>
    <w:rsid w:val="00AD3466"/>
    <w:rsid w:val="00AD349D"/>
    <w:rsid w:val="00AD38A3"/>
    <w:rsid w:val="00AD3933"/>
    <w:rsid w:val="00AD3AEF"/>
    <w:rsid w:val="00AD3C6A"/>
    <w:rsid w:val="00AD3CE8"/>
    <w:rsid w:val="00AD3F59"/>
    <w:rsid w:val="00AD427C"/>
    <w:rsid w:val="00AD4311"/>
    <w:rsid w:val="00AD4408"/>
    <w:rsid w:val="00AD48F9"/>
    <w:rsid w:val="00AD4A9D"/>
    <w:rsid w:val="00AD4D21"/>
    <w:rsid w:val="00AD4DFC"/>
    <w:rsid w:val="00AD4F4F"/>
    <w:rsid w:val="00AD5081"/>
    <w:rsid w:val="00AD51C0"/>
    <w:rsid w:val="00AD53CA"/>
    <w:rsid w:val="00AD55F6"/>
    <w:rsid w:val="00AD5666"/>
    <w:rsid w:val="00AD5963"/>
    <w:rsid w:val="00AD5E8A"/>
    <w:rsid w:val="00AD5ED6"/>
    <w:rsid w:val="00AD5FB7"/>
    <w:rsid w:val="00AD60C1"/>
    <w:rsid w:val="00AD64CC"/>
    <w:rsid w:val="00AD6676"/>
    <w:rsid w:val="00AD6753"/>
    <w:rsid w:val="00AD6764"/>
    <w:rsid w:val="00AD67D0"/>
    <w:rsid w:val="00AD6C60"/>
    <w:rsid w:val="00AD6D6B"/>
    <w:rsid w:val="00AD6ED3"/>
    <w:rsid w:val="00AD73A7"/>
    <w:rsid w:val="00AD743E"/>
    <w:rsid w:val="00AD7791"/>
    <w:rsid w:val="00AD77E6"/>
    <w:rsid w:val="00AD79E6"/>
    <w:rsid w:val="00AD7E0D"/>
    <w:rsid w:val="00AE0190"/>
    <w:rsid w:val="00AE02B2"/>
    <w:rsid w:val="00AE04D0"/>
    <w:rsid w:val="00AE04FA"/>
    <w:rsid w:val="00AE07C9"/>
    <w:rsid w:val="00AE1128"/>
    <w:rsid w:val="00AE13C4"/>
    <w:rsid w:val="00AE140A"/>
    <w:rsid w:val="00AE18DE"/>
    <w:rsid w:val="00AE1A93"/>
    <w:rsid w:val="00AE1C29"/>
    <w:rsid w:val="00AE23B8"/>
    <w:rsid w:val="00AE2443"/>
    <w:rsid w:val="00AE2688"/>
    <w:rsid w:val="00AE29AD"/>
    <w:rsid w:val="00AE2AA5"/>
    <w:rsid w:val="00AE2DEC"/>
    <w:rsid w:val="00AE303E"/>
    <w:rsid w:val="00AE3177"/>
    <w:rsid w:val="00AE3375"/>
    <w:rsid w:val="00AE3432"/>
    <w:rsid w:val="00AE359E"/>
    <w:rsid w:val="00AE36DE"/>
    <w:rsid w:val="00AE3908"/>
    <w:rsid w:val="00AE3978"/>
    <w:rsid w:val="00AE399C"/>
    <w:rsid w:val="00AE39BA"/>
    <w:rsid w:val="00AE3E93"/>
    <w:rsid w:val="00AE3F21"/>
    <w:rsid w:val="00AE4001"/>
    <w:rsid w:val="00AE4094"/>
    <w:rsid w:val="00AE44F8"/>
    <w:rsid w:val="00AE450F"/>
    <w:rsid w:val="00AE45F6"/>
    <w:rsid w:val="00AE46B6"/>
    <w:rsid w:val="00AE4D26"/>
    <w:rsid w:val="00AE4EF4"/>
    <w:rsid w:val="00AE4F91"/>
    <w:rsid w:val="00AE5311"/>
    <w:rsid w:val="00AE539A"/>
    <w:rsid w:val="00AE58C4"/>
    <w:rsid w:val="00AE6187"/>
    <w:rsid w:val="00AE621C"/>
    <w:rsid w:val="00AE660E"/>
    <w:rsid w:val="00AE668A"/>
    <w:rsid w:val="00AE68A2"/>
    <w:rsid w:val="00AE6951"/>
    <w:rsid w:val="00AE697A"/>
    <w:rsid w:val="00AE69DA"/>
    <w:rsid w:val="00AE6B62"/>
    <w:rsid w:val="00AE6C2F"/>
    <w:rsid w:val="00AE71C4"/>
    <w:rsid w:val="00AE71CA"/>
    <w:rsid w:val="00AE7EE5"/>
    <w:rsid w:val="00AF006E"/>
    <w:rsid w:val="00AF04F5"/>
    <w:rsid w:val="00AF0F31"/>
    <w:rsid w:val="00AF1160"/>
    <w:rsid w:val="00AF1254"/>
    <w:rsid w:val="00AF12A8"/>
    <w:rsid w:val="00AF12F5"/>
    <w:rsid w:val="00AF134A"/>
    <w:rsid w:val="00AF14B6"/>
    <w:rsid w:val="00AF14D4"/>
    <w:rsid w:val="00AF14E1"/>
    <w:rsid w:val="00AF16AB"/>
    <w:rsid w:val="00AF1BAD"/>
    <w:rsid w:val="00AF1EE7"/>
    <w:rsid w:val="00AF2273"/>
    <w:rsid w:val="00AF259D"/>
    <w:rsid w:val="00AF266B"/>
    <w:rsid w:val="00AF287A"/>
    <w:rsid w:val="00AF2AA7"/>
    <w:rsid w:val="00AF2FE9"/>
    <w:rsid w:val="00AF332F"/>
    <w:rsid w:val="00AF3D44"/>
    <w:rsid w:val="00AF3EF7"/>
    <w:rsid w:val="00AF4D6C"/>
    <w:rsid w:val="00AF4DB2"/>
    <w:rsid w:val="00AF4FFE"/>
    <w:rsid w:val="00AF51C3"/>
    <w:rsid w:val="00AF52FF"/>
    <w:rsid w:val="00AF547E"/>
    <w:rsid w:val="00AF584E"/>
    <w:rsid w:val="00AF5A35"/>
    <w:rsid w:val="00AF5E78"/>
    <w:rsid w:val="00AF60E8"/>
    <w:rsid w:val="00AF62CF"/>
    <w:rsid w:val="00AF6627"/>
    <w:rsid w:val="00AF6BA6"/>
    <w:rsid w:val="00AF6C5B"/>
    <w:rsid w:val="00AF6C96"/>
    <w:rsid w:val="00AF6D9C"/>
    <w:rsid w:val="00AF6E31"/>
    <w:rsid w:val="00AF7199"/>
    <w:rsid w:val="00AF7248"/>
    <w:rsid w:val="00AF73BB"/>
    <w:rsid w:val="00AF7500"/>
    <w:rsid w:val="00AF7572"/>
    <w:rsid w:val="00AF7761"/>
    <w:rsid w:val="00AF77C7"/>
    <w:rsid w:val="00AF79F1"/>
    <w:rsid w:val="00AF7C18"/>
    <w:rsid w:val="00AF7C7D"/>
    <w:rsid w:val="00AF7E91"/>
    <w:rsid w:val="00B00599"/>
    <w:rsid w:val="00B00773"/>
    <w:rsid w:val="00B00A68"/>
    <w:rsid w:val="00B00AEC"/>
    <w:rsid w:val="00B00CD3"/>
    <w:rsid w:val="00B00D52"/>
    <w:rsid w:val="00B00DEE"/>
    <w:rsid w:val="00B00F8C"/>
    <w:rsid w:val="00B010EF"/>
    <w:rsid w:val="00B011C8"/>
    <w:rsid w:val="00B0127F"/>
    <w:rsid w:val="00B0146F"/>
    <w:rsid w:val="00B01597"/>
    <w:rsid w:val="00B0159F"/>
    <w:rsid w:val="00B01D60"/>
    <w:rsid w:val="00B02238"/>
    <w:rsid w:val="00B02383"/>
    <w:rsid w:val="00B025FA"/>
    <w:rsid w:val="00B02634"/>
    <w:rsid w:val="00B0295D"/>
    <w:rsid w:val="00B029D9"/>
    <w:rsid w:val="00B02D57"/>
    <w:rsid w:val="00B02D91"/>
    <w:rsid w:val="00B02E17"/>
    <w:rsid w:val="00B02EEC"/>
    <w:rsid w:val="00B02F16"/>
    <w:rsid w:val="00B031B1"/>
    <w:rsid w:val="00B03344"/>
    <w:rsid w:val="00B036BC"/>
    <w:rsid w:val="00B03752"/>
    <w:rsid w:val="00B039D4"/>
    <w:rsid w:val="00B03A3E"/>
    <w:rsid w:val="00B03B34"/>
    <w:rsid w:val="00B03D4A"/>
    <w:rsid w:val="00B03D9D"/>
    <w:rsid w:val="00B03EC9"/>
    <w:rsid w:val="00B040B6"/>
    <w:rsid w:val="00B04230"/>
    <w:rsid w:val="00B044B0"/>
    <w:rsid w:val="00B04579"/>
    <w:rsid w:val="00B046D3"/>
    <w:rsid w:val="00B047CE"/>
    <w:rsid w:val="00B04979"/>
    <w:rsid w:val="00B04AD7"/>
    <w:rsid w:val="00B04B14"/>
    <w:rsid w:val="00B04B3C"/>
    <w:rsid w:val="00B04BBC"/>
    <w:rsid w:val="00B04CF8"/>
    <w:rsid w:val="00B04CFC"/>
    <w:rsid w:val="00B052D6"/>
    <w:rsid w:val="00B057DA"/>
    <w:rsid w:val="00B057E0"/>
    <w:rsid w:val="00B0591D"/>
    <w:rsid w:val="00B05AED"/>
    <w:rsid w:val="00B05E74"/>
    <w:rsid w:val="00B061C9"/>
    <w:rsid w:val="00B063BA"/>
    <w:rsid w:val="00B068E4"/>
    <w:rsid w:val="00B06A66"/>
    <w:rsid w:val="00B06C87"/>
    <w:rsid w:val="00B06DD9"/>
    <w:rsid w:val="00B06F33"/>
    <w:rsid w:val="00B073B2"/>
    <w:rsid w:val="00B073E3"/>
    <w:rsid w:val="00B07468"/>
    <w:rsid w:val="00B07744"/>
    <w:rsid w:val="00B100AF"/>
    <w:rsid w:val="00B1012D"/>
    <w:rsid w:val="00B1040C"/>
    <w:rsid w:val="00B10663"/>
    <w:rsid w:val="00B106FF"/>
    <w:rsid w:val="00B1099B"/>
    <w:rsid w:val="00B10A0C"/>
    <w:rsid w:val="00B10AE2"/>
    <w:rsid w:val="00B10D7B"/>
    <w:rsid w:val="00B10DAC"/>
    <w:rsid w:val="00B10EE2"/>
    <w:rsid w:val="00B10F44"/>
    <w:rsid w:val="00B10FB7"/>
    <w:rsid w:val="00B112F7"/>
    <w:rsid w:val="00B118F4"/>
    <w:rsid w:val="00B11B9F"/>
    <w:rsid w:val="00B12025"/>
    <w:rsid w:val="00B1206A"/>
    <w:rsid w:val="00B123F4"/>
    <w:rsid w:val="00B12562"/>
    <w:rsid w:val="00B125D7"/>
    <w:rsid w:val="00B12908"/>
    <w:rsid w:val="00B12923"/>
    <w:rsid w:val="00B12944"/>
    <w:rsid w:val="00B12A11"/>
    <w:rsid w:val="00B12BD4"/>
    <w:rsid w:val="00B12D67"/>
    <w:rsid w:val="00B12E11"/>
    <w:rsid w:val="00B13589"/>
    <w:rsid w:val="00B13803"/>
    <w:rsid w:val="00B13A4F"/>
    <w:rsid w:val="00B13B06"/>
    <w:rsid w:val="00B13E22"/>
    <w:rsid w:val="00B13E3C"/>
    <w:rsid w:val="00B142FF"/>
    <w:rsid w:val="00B143CE"/>
    <w:rsid w:val="00B1482E"/>
    <w:rsid w:val="00B14869"/>
    <w:rsid w:val="00B1521F"/>
    <w:rsid w:val="00B152A2"/>
    <w:rsid w:val="00B157F3"/>
    <w:rsid w:val="00B15A1B"/>
    <w:rsid w:val="00B15A29"/>
    <w:rsid w:val="00B15ACA"/>
    <w:rsid w:val="00B15C87"/>
    <w:rsid w:val="00B15E1F"/>
    <w:rsid w:val="00B160AE"/>
    <w:rsid w:val="00B16132"/>
    <w:rsid w:val="00B161D9"/>
    <w:rsid w:val="00B1639A"/>
    <w:rsid w:val="00B165CA"/>
    <w:rsid w:val="00B16EDE"/>
    <w:rsid w:val="00B1706B"/>
    <w:rsid w:val="00B171FF"/>
    <w:rsid w:val="00B178B0"/>
    <w:rsid w:val="00B17F6D"/>
    <w:rsid w:val="00B17FCF"/>
    <w:rsid w:val="00B200F3"/>
    <w:rsid w:val="00B202EB"/>
    <w:rsid w:val="00B20350"/>
    <w:rsid w:val="00B205A4"/>
    <w:rsid w:val="00B207CE"/>
    <w:rsid w:val="00B20CDD"/>
    <w:rsid w:val="00B20F71"/>
    <w:rsid w:val="00B2106E"/>
    <w:rsid w:val="00B21547"/>
    <w:rsid w:val="00B21960"/>
    <w:rsid w:val="00B21986"/>
    <w:rsid w:val="00B21B45"/>
    <w:rsid w:val="00B21D70"/>
    <w:rsid w:val="00B21ED3"/>
    <w:rsid w:val="00B221A3"/>
    <w:rsid w:val="00B2245C"/>
    <w:rsid w:val="00B22495"/>
    <w:rsid w:val="00B225AF"/>
    <w:rsid w:val="00B22D20"/>
    <w:rsid w:val="00B231B6"/>
    <w:rsid w:val="00B233D5"/>
    <w:rsid w:val="00B23770"/>
    <w:rsid w:val="00B23835"/>
    <w:rsid w:val="00B23CCB"/>
    <w:rsid w:val="00B23DB7"/>
    <w:rsid w:val="00B23FD8"/>
    <w:rsid w:val="00B241A8"/>
    <w:rsid w:val="00B24582"/>
    <w:rsid w:val="00B2490E"/>
    <w:rsid w:val="00B24CF3"/>
    <w:rsid w:val="00B2506C"/>
    <w:rsid w:val="00B25286"/>
    <w:rsid w:val="00B25843"/>
    <w:rsid w:val="00B25AF7"/>
    <w:rsid w:val="00B25BDB"/>
    <w:rsid w:val="00B25F4C"/>
    <w:rsid w:val="00B25FDD"/>
    <w:rsid w:val="00B26194"/>
    <w:rsid w:val="00B26730"/>
    <w:rsid w:val="00B267D9"/>
    <w:rsid w:val="00B26920"/>
    <w:rsid w:val="00B269C1"/>
    <w:rsid w:val="00B26DE0"/>
    <w:rsid w:val="00B26DE1"/>
    <w:rsid w:val="00B26ED0"/>
    <w:rsid w:val="00B2738E"/>
    <w:rsid w:val="00B27612"/>
    <w:rsid w:val="00B27653"/>
    <w:rsid w:val="00B27662"/>
    <w:rsid w:val="00B27835"/>
    <w:rsid w:val="00B27AB3"/>
    <w:rsid w:val="00B27AC3"/>
    <w:rsid w:val="00B27C7A"/>
    <w:rsid w:val="00B27CE1"/>
    <w:rsid w:val="00B27CE6"/>
    <w:rsid w:val="00B27DB1"/>
    <w:rsid w:val="00B30302"/>
    <w:rsid w:val="00B30310"/>
    <w:rsid w:val="00B30326"/>
    <w:rsid w:val="00B30401"/>
    <w:rsid w:val="00B30642"/>
    <w:rsid w:val="00B307E6"/>
    <w:rsid w:val="00B30A52"/>
    <w:rsid w:val="00B30DEC"/>
    <w:rsid w:val="00B30EAA"/>
    <w:rsid w:val="00B311E9"/>
    <w:rsid w:val="00B3149E"/>
    <w:rsid w:val="00B31B61"/>
    <w:rsid w:val="00B31D0B"/>
    <w:rsid w:val="00B31E1C"/>
    <w:rsid w:val="00B31FA6"/>
    <w:rsid w:val="00B32270"/>
    <w:rsid w:val="00B3235D"/>
    <w:rsid w:val="00B3259E"/>
    <w:rsid w:val="00B3286E"/>
    <w:rsid w:val="00B328AF"/>
    <w:rsid w:val="00B32EB5"/>
    <w:rsid w:val="00B33259"/>
    <w:rsid w:val="00B332FA"/>
    <w:rsid w:val="00B335A2"/>
    <w:rsid w:val="00B33792"/>
    <w:rsid w:val="00B33C70"/>
    <w:rsid w:val="00B33DC1"/>
    <w:rsid w:val="00B34288"/>
    <w:rsid w:val="00B3464B"/>
    <w:rsid w:val="00B34A4D"/>
    <w:rsid w:val="00B35571"/>
    <w:rsid w:val="00B35AA6"/>
    <w:rsid w:val="00B35B36"/>
    <w:rsid w:val="00B35CB5"/>
    <w:rsid w:val="00B35CB8"/>
    <w:rsid w:val="00B35DE2"/>
    <w:rsid w:val="00B35F36"/>
    <w:rsid w:val="00B360B9"/>
    <w:rsid w:val="00B363C4"/>
    <w:rsid w:val="00B3645B"/>
    <w:rsid w:val="00B364A6"/>
    <w:rsid w:val="00B366F8"/>
    <w:rsid w:val="00B3674A"/>
    <w:rsid w:val="00B36919"/>
    <w:rsid w:val="00B36957"/>
    <w:rsid w:val="00B36C04"/>
    <w:rsid w:val="00B36C62"/>
    <w:rsid w:val="00B36DE8"/>
    <w:rsid w:val="00B36E6A"/>
    <w:rsid w:val="00B36EFF"/>
    <w:rsid w:val="00B37349"/>
    <w:rsid w:val="00B374F1"/>
    <w:rsid w:val="00B3750A"/>
    <w:rsid w:val="00B3775E"/>
    <w:rsid w:val="00B37845"/>
    <w:rsid w:val="00B3797F"/>
    <w:rsid w:val="00B37A60"/>
    <w:rsid w:val="00B37FC3"/>
    <w:rsid w:val="00B40469"/>
    <w:rsid w:val="00B404F9"/>
    <w:rsid w:val="00B4096B"/>
    <w:rsid w:val="00B40CA2"/>
    <w:rsid w:val="00B40EA3"/>
    <w:rsid w:val="00B40F91"/>
    <w:rsid w:val="00B412AB"/>
    <w:rsid w:val="00B4137A"/>
    <w:rsid w:val="00B41461"/>
    <w:rsid w:val="00B417CF"/>
    <w:rsid w:val="00B41A09"/>
    <w:rsid w:val="00B41D96"/>
    <w:rsid w:val="00B42068"/>
    <w:rsid w:val="00B422C2"/>
    <w:rsid w:val="00B42360"/>
    <w:rsid w:val="00B4244E"/>
    <w:rsid w:val="00B42A82"/>
    <w:rsid w:val="00B42F94"/>
    <w:rsid w:val="00B4302C"/>
    <w:rsid w:val="00B4329E"/>
    <w:rsid w:val="00B43309"/>
    <w:rsid w:val="00B43360"/>
    <w:rsid w:val="00B43614"/>
    <w:rsid w:val="00B438FA"/>
    <w:rsid w:val="00B43D9C"/>
    <w:rsid w:val="00B441BE"/>
    <w:rsid w:val="00B44303"/>
    <w:rsid w:val="00B444BA"/>
    <w:rsid w:val="00B44698"/>
    <w:rsid w:val="00B44765"/>
    <w:rsid w:val="00B448E5"/>
    <w:rsid w:val="00B44A4B"/>
    <w:rsid w:val="00B44A69"/>
    <w:rsid w:val="00B44B3B"/>
    <w:rsid w:val="00B44C8B"/>
    <w:rsid w:val="00B44EEB"/>
    <w:rsid w:val="00B44F74"/>
    <w:rsid w:val="00B450E3"/>
    <w:rsid w:val="00B4529B"/>
    <w:rsid w:val="00B453C6"/>
    <w:rsid w:val="00B45829"/>
    <w:rsid w:val="00B4641C"/>
    <w:rsid w:val="00B46863"/>
    <w:rsid w:val="00B46A06"/>
    <w:rsid w:val="00B46BF8"/>
    <w:rsid w:val="00B46E28"/>
    <w:rsid w:val="00B46E30"/>
    <w:rsid w:val="00B46EC6"/>
    <w:rsid w:val="00B46F06"/>
    <w:rsid w:val="00B46FAD"/>
    <w:rsid w:val="00B47038"/>
    <w:rsid w:val="00B470B8"/>
    <w:rsid w:val="00B4752E"/>
    <w:rsid w:val="00B47ABC"/>
    <w:rsid w:val="00B47B41"/>
    <w:rsid w:val="00B47CCA"/>
    <w:rsid w:val="00B47CDE"/>
    <w:rsid w:val="00B47F0A"/>
    <w:rsid w:val="00B47F65"/>
    <w:rsid w:val="00B50207"/>
    <w:rsid w:val="00B502E4"/>
    <w:rsid w:val="00B50357"/>
    <w:rsid w:val="00B50366"/>
    <w:rsid w:val="00B50C40"/>
    <w:rsid w:val="00B50EB3"/>
    <w:rsid w:val="00B51117"/>
    <w:rsid w:val="00B51139"/>
    <w:rsid w:val="00B51308"/>
    <w:rsid w:val="00B5158B"/>
    <w:rsid w:val="00B51C67"/>
    <w:rsid w:val="00B52255"/>
    <w:rsid w:val="00B522E2"/>
    <w:rsid w:val="00B52506"/>
    <w:rsid w:val="00B52B89"/>
    <w:rsid w:val="00B52B8E"/>
    <w:rsid w:val="00B52C1C"/>
    <w:rsid w:val="00B52F64"/>
    <w:rsid w:val="00B5350E"/>
    <w:rsid w:val="00B5392E"/>
    <w:rsid w:val="00B53AEC"/>
    <w:rsid w:val="00B53CFE"/>
    <w:rsid w:val="00B53D7A"/>
    <w:rsid w:val="00B53ECB"/>
    <w:rsid w:val="00B53F97"/>
    <w:rsid w:val="00B54061"/>
    <w:rsid w:val="00B54161"/>
    <w:rsid w:val="00B541F9"/>
    <w:rsid w:val="00B5434B"/>
    <w:rsid w:val="00B544C0"/>
    <w:rsid w:val="00B54629"/>
    <w:rsid w:val="00B547A8"/>
    <w:rsid w:val="00B54AA0"/>
    <w:rsid w:val="00B54D31"/>
    <w:rsid w:val="00B54FAB"/>
    <w:rsid w:val="00B5528F"/>
    <w:rsid w:val="00B552F0"/>
    <w:rsid w:val="00B55378"/>
    <w:rsid w:val="00B5563E"/>
    <w:rsid w:val="00B55D05"/>
    <w:rsid w:val="00B55E10"/>
    <w:rsid w:val="00B55EA7"/>
    <w:rsid w:val="00B55FAA"/>
    <w:rsid w:val="00B56075"/>
    <w:rsid w:val="00B5623E"/>
    <w:rsid w:val="00B5630A"/>
    <w:rsid w:val="00B56662"/>
    <w:rsid w:val="00B56A61"/>
    <w:rsid w:val="00B57364"/>
    <w:rsid w:val="00B5759D"/>
    <w:rsid w:val="00B57960"/>
    <w:rsid w:val="00B60042"/>
    <w:rsid w:val="00B60182"/>
    <w:rsid w:val="00B606FC"/>
    <w:rsid w:val="00B608DE"/>
    <w:rsid w:val="00B609F0"/>
    <w:rsid w:val="00B60A21"/>
    <w:rsid w:val="00B60A7C"/>
    <w:rsid w:val="00B60C59"/>
    <w:rsid w:val="00B611D6"/>
    <w:rsid w:val="00B612F7"/>
    <w:rsid w:val="00B61607"/>
    <w:rsid w:val="00B6189F"/>
    <w:rsid w:val="00B61C58"/>
    <w:rsid w:val="00B626D2"/>
    <w:rsid w:val="00B62858"/>
    <w:rsid w:val="00B62B27"/>
    <w:rsid w:val="00B62E33"/>
    <w:rsid w:val="00B633E3"/>
    <w:rsid w:val="00B63466"/>
    <w:rsid w:val="00B636CB"/>
    <w:rsid w:val="00B63762"/>
    <w:rsid w:val="00B63ADA"/>
    <w:rsid w:val="00B63D85"/>
    <w:rsid w:val="00B63E72"/>
    <w:rsid w:val="00B63ED8"/>
    <w:rsid w:val="00B63F9A"/>
    <w:rsid w:val="00B64065"/>
    <w:rsid w:val="00B64571"/>
    <w:rsid w:val="00B648E3"/>
    <w:rsid w:val="00B6496E"/>
    <w:rsid w:val="00B64AD3"/>
    <w:rsid w:val="00B64BB4"/>
    <w:rsid w:val="00B64EB4"/>
    <w:rsid w:val="00B64F29"/>
    <w:rsid w:val="00B64FD6"/>
    <w:rsid w:val="00B650C5"/>
    <w:rsid w:val="00B6511F"/>
    <w:rsid w:val="00B655A2"/>
    <w:rsid w:val="00B655F2"/>
    <w:rsid w:val="00B6585D"/>
    <w:rsid w:val="00B65EF8"/>
    <w:rsid w:val="00B6616C"/>
    <w:rsid w:val="00B661BF"/>
    <w:rsid w:val="00B66446"/>
    <w:rsid w:val="00B6651F"/>
    <w:rsid w:val="00B668DE"/>
    <w:rsid w:val="00B66B93"/>
    <w:rsid w:val="00B66CEB"/>
    <w:rsid w:val="00B66CF7"/>
    <w:rsid w:val="00B66D90"/>
    <w:rsid w:val="00B66E5C"/>
    <w:rsid w:val="00B66E70"/>
    <w:rsid w:val="00B67573"/>
    <w:rsid w:val="00B675BA"/>
    <w:rsid w:val="00B677A7"/>
    <w:rsid w:val="00B67861"/>
    <w:rsid w:val="00B67C8B"/>
    <w:rsid w:val="00B70166"/>
    <w:rsid w:val="00B7041C"/>
    <w:rsid w:val="00B7057B"/>
    <w:rsid w:val="00B706C2"/>
    <w:rsid w:val="00B709B0"/>
    <w:rsid w:val="00B70D0F"/>
    <w:rsid w:val="00B70DBD"/>
    <w:rsid w:val="00B70F17"/>
    <w:rsid w:val="00B70F96"/>
    <w:rsid w:val="00B71018"/>
    <w:rsid w:val="00B713A5"/>
    <w:rsid w:val="00B71950"/>
    <w:rsid w:val="00B721C3"/>
    <w:rsid w:val="00B72696"/>
    <w:rsid w:val="00B72A2D"/>
    <w:rsid w:val="00B73042"/>
    <w:rsid w:val="00B73102"/>
    <w:rsid w:val="00B73214"/>
    <w:rsid w:val="00B73551"/>
    <w:rsid w:val="00B737AA"/>
    <w:rsid w:val="00B73824"/>
    <w:rsid w:val="00B738A5"/>
    <w:rsid w:val="00B73D36"/>
    <w:rsid w:val="00B73E0A"/>
    <w:rsid w:val="00B74041"/>
    <w:rsid w:val="00B74368"/>
    <w:rsid w:val="00B7448E"/>
    <w:rsid w:val="00B745B3"/>
    <w:rsid w:val="00B74664"/>
    <w:rsid w:val="00B746F2"/>
    <w:rsid w:val="00B748E1"/>
    <w:rsid w:val="00B7492D"/>
    <w:rsid w:val="00B74AB3"/>
    <w:rsid w:val="00B74BEF"/>
    <w:rsid w:val="00B74E07"/>
    <w:rsid w:val="00B750CC"/>
    <w:rsid w:val="00B750D0"/>
    <w:rsid w:val="00B750F4"/>
    <w:rsid w:val="00B754E2"/>
    <w:rsid w:val="00B75772"/>
    <w:rsid w:val="00B75C61"/>
    <w:rsid w:val="00B75CE8"/>
    <w:rsid w:val="00B75CFA"/>
    <w:rsid w:val="00B75F85"/>
    <w:rsid w:val="00B76060"/>
    <w:rsid w:val="00B7612F"/>
    <w:rsid w:val="00B76328"/>
    <w:rsid w:val="00B7677C"/>
    <w:rsid w:val="00B76B62"/>
    <w:rsid w:val="00B76C05"/>
    <w:rsid w:val="00B76C1A"/>
    <w:rsid w:val="00B77192"/>
    <w:rsid w:val="00B778F7"/>
    <w:rsid w:val="00B77BAE"/>
    <w:rsid w:val="00B77BD5"/>
    <w:rsid w:val="00B77CD8"/>
    <w:rsid w:val="00B77D99"/>
    <w:rsid w:val="00B77EB3"/>
    <w:rsid w:val="00B77F14"/>
    <w:rsid w:val="00B77F75"/>
    <w:rsid w:val="00B80B3E"/>
    <w:rsid w:val="00B80CFE"/>
    <w:rsid w:val="00B810E5"/>
    <w:rsid w:val="00B8113B"/>
    <w:rsid w:val="00B8126E"/>
    <w:rsid w:val="00B819C7"/>
    <w:rsid w:val="00B81BFB"/>
    <w:rsid w:val="00B82075"/>
    <w:rsid w:val="00B820EC"/>
    <w:rsid w:val="00B821A6"/>
    <w:rsid w:val="00B823CB"/>
    <w:rsid w:val="00B824BB"/>
    <w:rsid w:val="00B82802"/>
    <w:rsid w:val="00B828C5"/>
    <w:rsid w:val="00B8300B"/>
    <w:rsid w:val="00B83464"/>
    <w:rsid w:val="00B834DD"/>
    <w:rsid w:val="00B83B96"/>
    <w:rsid w:val="00B83D5C"/>
    <w:rsid w:val="00B83E26"/>
    <w:rsid w:val="00B84324"/>
    <w:rsid w:val="00B8444C"/>
    <w:rsid w:val="00B84495"/>
    <w:rsid w:val="00B84954"/>
    <w:rsid w:val="00B84BAF"/>
    <w:rsid w:val="00B84E1E"/>
    <w:rsid w:val="00B84EBD"/>
    <w:rsid w:val="00B84F97"/>
    <w:rsid w:val="00B8517D"/>
    <w:rsid w:val="00B85555"/>
    <w:rsid w:val="00B85755"/>
    <w:rsid w:val="00B85FBA"/>
    <w:rsid w:val="00B8607B"/>
    <w:rsid w:val="00B860B3"/>
    <w:rsid w:val="00B863EF"/>
    <w:rsid w:val="00B86426"/>
    <w:rsid w:val="00B86BB5"/>
    <w:rsid w:val="00B870AC"/>
    <w:rsid w:val="00B871B4"/>
    <w:rsid w:val="00B87414"/>
    <w:rsid w:val="00B87AD3"/>
    <w:rsid w:val="00B87C27"/>
    <w:rsid w:val="00B9038B"/>
    <w:rsid w:val="00B904CC"/>
    <w:rsid w:val="00B907E5"/>
    <w:rsid w:val="00B90911"/>
    <w:rsid w:val="00B90AA4"/>
    <w:rsid w:val="00B90ABA"/>
    <w:rsid w:val="00B917C9"/>
    <w:rsid w:val="00B91A73"/>
    <w:rsid w:val="00B91A91"/>
    <w:rsid w:val="00B91BFE"/>
    <w:rsid w:val="00B91F6B"/>
    <w:rsid w:val="00B91F86"/>
    <w:rsid w:val="00B92002"/>
    <w:rsid w:val="00B9230A"/>
    <w:rsid w:val="00B923D0"/>
    <w:rsid w:val="00B924CF"/>
    <w:rsid w:val="00B924DC"/>
    <w:rsid w:val="00B9259A"/>
    <w:rsid w:val="00B927FC"/>
    <w:rsid w:val="00B9292D"/>
    <w:rsid w:val="00B92A55"/>
    <w:rsid w:val="00B92C7E"/>
    <w:rsid w:val="00B92D00"/>
    <w:rsid w:val="00B92D4A"/>
    <w:rsid w:val="00B93022"/>
    <w:rsid w:val="00B9334E"/>
    <w:rsid w:val="00B93516"/>
    <w:rsid w:val="00B93717"/>
    <w:rsid w:val="00B93854"/>
    <w:rsid w:val="00B938E1"/>
    <w:rsid w:val="00B9395E"/>
    <w:rsid w:val="00B93BAB"/>
    <w:rsid w:val="00B9407C"/>
    <w:rsid w:val="00B941CB"/>
    <w:rsid w:val="00B94954"/>
    <w:rsid w:val="00B94BF0"/>
    <w:rsid w:val="00B94BF5"/>
    <w:rsid w:val="00B94C3F"/>
    <w:rsid w:val="00B94C80"/>
    <w:rsid w:val="00B94CA2"/>
    <w:rsid w:val="00B950B1"/>
    <w:rsid w:val="00B95119"/>
    <w:rsid w:val="00B9516B"/>
    <w:rsid w:val="00B95242"/>
    <w:rsid w:val="00B95270"/>
    <w:rsid w:val="00B95E13"/>
    <w:rsid w:val="00B96048"/>
    <w:rsid w:val="00B9619F"/>
    <w:rsid w:val="00B9639E"/>
    <w:rsid w:val="00B9642E"/>
    <w:rsid w:val="00B9647C"/>
    <w:rsid w:val="00B966E3"/>
    <w:rsid w:val="00B96BA2"/>
    <w:rsid w:val="00B96C4D"/>
    <w:rsid w:val="00B96ED6"/>
    <w:rsid w:val="00B96FD7"/>
    <w:rsid w:val="00B97214"/>
    <w:rsid w:val="00B972FD"/>
    <w:rsid w:val="00B974F4"/>
    <w:rsid w:val="00B975B3"/>
    <w:rsid w:val="00B9777C"/>
    <w:rsid w:val="00B977D4"/>
    <w:rsid w:val="00B97869"/>
    <w:rsid w:val="00B97AFF"/>
    <w:rsid w:val="00B97E5B"/>
    <w:rsid w:val="00B97F0A"/>
    <w:rsid w:val="00B97F57"/>
    <w:rsid w:val="00BA045E"/>
    <w:rsid w:val="00BA053C"/>
    <w:rsid w:val="00BA05A5"/>
    <w:rsid w:val="00BA05FB"/>
    <w:rsid w:val="00BA07C8"/>
    <w:rsid w:val="00BA08CF"/>
    <w:rsid w:val="00BA0B0E"/>
    <w:rsid w:val="00BA0B0F"/>
    <w:rsid w:val="00BA0BE3"/>
    <w:rsid w:val="00BA0C29"/>
    <w:rsid w:val="00BA0C65"/>
    <w:rsid w:val="00BA0D3B"/>
    <w:rsid w:val="00BA0E9E"/>
    <w:rsid w:val="00BA0FE4"/>
    <w:rsid w:val="00BA0FE5"/>
    <w:rsid w:val="00BA1279"/>
    <w:rsid w:val="00BA1443"/>
    <w:rsid w:val="00BA15F5"/>
    <w:rsid w:val="00BA1813"/>
    <w:rsid w:val="00BA18E4"/>
    <w:rsid w:val="00BA1932"/>
    <w:rsid w:val="00BA1B1C"/>
    <w:rsid w:val="00BA1DBF"/>
    <w:rsid w:val="00BA1E03"/>
    <w:rsid w:val="00BA2012"/>
    <w:rsid w:val="00BA2082"/>
    <w:rsid w:val="00BA22DE"/>
    <w:rsid w:val="00BA2498"/>
    <w:rsid w:val="00BA24D9"/>
    <w:rsid w:val="00BA27AD"/>
    <w:rsid w:val="00BA281A"/>
    <w:rsid w:val="00BA2976"/>
    <w:rsid w:val="00BA2DEE"/>
    <w:rsid w:val="00BA2E20"/>
    <w:rsid w:val="00BA304E"/>
    <w:rsid w:val="00BA31E2"/>
    <w:rsid w:val="00BA35BD"/>
    <w:rsid w:val="00BA35C6"/>
    <w:rsid w:val="00BA36E6"/>
    <w:rsid w:val="00BA370A"/>
    <w:rsid w:val="00BA381C"/>
    <w:rsid w:val="00BA3A8B"/>
    <w:rsid w:val="00BA3BF3"/>
    <w:rsid w:val="00BA3E5E"/>
    <w:rsid w:val="00BA3E65"/>
    <w:rsid w:val="00BA4388"/>
    <w:rsid w:val="00BA46A3"/>
    <w:rsid w:val="00BA4B8E"/>
    <w:rsid w:val="00BA511F"/>
    <w:rsid w:val="00BA52E3"/>
    <w:rsid w:val="00BA530D"/>
    <w:rsid w:val="00BA5452"/>
    <w:rsid w:val="00BA56EC"/>
    <w:rsid w:val="00BA57C8"/>
    <w:rsid w:val="00BA5A4A"/>
    <w:rsid w:val="00BA5B37"/>
    <w:rsid w:val="00BA5B3F"/>
    <w:rsid w:val="00BA5E2F"/>
    <w:rsid w:val="00BA60E0"/>
    <w:rsid w:val="00BA6863"/>
    <w:rsid w:val="00BA69F5"/>
    <w:rsid w:val="00BA6F25"/>
    <w:rsid w:val="00BA7209"/>
    <w:rsid w:val="00BA7275"/>
    <w:rsid w:val="00BA751D"/>
    <w:rsid w:val="00BA7682"/>
    <w:rsid w:val="00BA7B67"/>
    <w:rsid w:val="00BB021B"/>
    <w:rsid w:val="00BB03E4"/>
    <w:rsid w:val="00BB0832"/>
    <w:rsid w:val="00BB09BB"/>
    <w:rsid w:val="00BB0DDF"/>
    <w:rsid w:val="00BB0E3E"/>
    <w:rsid w:val="00BB0FA9"/>
    <w:rsid w:val="00BB107D"/>
    <w:rsid w:val="00BB13BB"/>
    <w:rsid w:val="00BB1594"/>
    <w:rsid w:val="00BB1AB7"/>
    <w:rsid w:val="00BB1AC3"/>
    <w:rsid w:val="00BB1D58"/>
    <w:rsid w:val="00BB1FD8"/>
    <w:rsid w:val="00BB2185"/>
    <w:rsid w:val="00BB228C"/>
    <w:rsid w:val="00BB2507"/>
    <w:rsid w:val="00BB2711"/>
    <w:rsid w:val="00BB2CD1"/>
    <w:rsid w:val="00BB2D38"/>
    <w:rsid w:val="00BB2DE2"/>
    <w:rsid w:val="00BB2DE6"/>
    <w:rsid w:val="00BB2E3F"/>
    <w:rsid w:val="00BB32B0"/>
    <w:rsid w:val="00BB32C3"/>
    <w:rsid w:val="00BB33EE"/>
    <w:rsid w:val="00BB3644"/>
    <w:rsid w:val="00BB37C1"/>
    <w:rsid w:val="00BB3811"/>
    <w:rsid w:val="00BB3CBA"/>
    <w:rsid w:val="00BB3DE1"/>
    <w:rsid w:val="00BB3E48"/>
    <w:rsid w:val="00BB3FC8"/>
    <w:rsid w:val="00BB4061"/>
    <w:rsid w:val="00BB4116"/>
    <w:rsid w:val="00BB4404"/>
    <w:rsid w:val="00BB45D2"/>
    <w:rsid w:val="00BB4EC4"/>
    <w:rsid w:val="00BB52D6"/>
    <w:rsid w:val="00BB543F"/>
    <w:rsid w:val="00BB59F8"/>
    <w:rsid w:val="00BB5B79"/>
    <w:rsid w:val="00BB61C7"/>
    <w:rsid w:val="00BB62E9"/>
    <w:rsid w:val="00BB6350"/>
    <w:rsid w:val="00BB64C2"/>
    <w:rsid w:val="00BB687B"/>
    <w:rsid w:val="00BB699C"/>
    <w:rsid w:val="00BB6A4E"/>
    <w:rsid w:val="00BB6DFE"/>
    <w:rsid w:val="00BB6FE1"/>
    <w:rsid w:val="00BB714F"/>
    <w:rsid w:val="00BB7206"/>
    <w:rsid w:val="00BB727C"/>
    <w:rsid w:val="00BB74A3"/>
    <w:rsid w:val="00BB76DE"/>
    <w:rsid w:val="00BB7838"/>
    <w:rsid w:val="00BB78F4"/>
    <w:rsid w:val="00BB7AAE"/>
    <w:rsid w:val="00BB7B03"/>
    <w:rsid w:val="00BB7B6B"/>
    <w:rsid w:val="00BB7BA0"/>
    <w:rsid w:val="00BB7CB3"/>
    <w:rsid w:val="00BC01D1"/>
    <w:rsid w:val="00BC0576"/>
    <w:rsid w:val="00BC099A"/>
    <w:rsid w:val="00BC0AC3"/>
    <w:rsid w:val="00BC0F2B"/>
    <w:rsid w:val="00BC117F"/>
    <w:rsid w:val="00BC120C"/>
    <w:rsid w:val="00BC122F"/>
    <w:rsid w:val="00BC162D"/>
    <w:rsid w:val="00BC1707"/>
    <w:rsid w:val="00BC185E"/>
    <w:rsid w:val="00BC1CED"/>
    <w:rsid w:val="00BC1F3A"/>
    <w:rsid w:val="00BC21C3"/>
    <w:rsid w:val="00BC223A"/>
    <w:rsid w:val="00BC2570"/>
    <w:rsid w:val="00BC27D1"/>
    <w:rsid w:val="00BC2A08"/>
    <w:rsid w:val="00BC2CED"/>
    <w:rsid w:val="00BC2EE1"/>
    <w:rsid w:val="00BC3096"/>
    <w:rsid w:val="00BC392F"/>
    <w:rsid w:val="00BC3A65"/>
    <w:rsid w:val="00BC3BF9"/>
    <w:rsid w:val="00BC3E33"/>
    <w:rsid w:val="00BC3FCA"/>
    <w:rsid w:val="00BC40BD"/>
    <w:rsid w:val="00BC449E"/>
    <w:rsid w:val="00BC48CC"/>
    <w:rsid w:val="00BC4CA6"/>
    <w:rsid w:val="00BC56A4"/>
    <w:rsid w:val="00BC5C22"/>
    <w:rsid w:val="00BC62D2"/>
    <w:rsid w:val="00BC6302"/>
    <w:rsid w:val="00BC645A"/>
    <w:rsid w:val="00BC6AC4"/>
    <w:rsid w:val="00BC6D75"/>
    <w:rsid w:val="00BC7305"/>
    <w:rsid w:val="00BC7442"/>
    <w:rsid w:val="00BC74F6"/>
    <w:rsid w:val="00BC76AA"/>
    <w:rsid w:val="00BC7843"/>
    <w:rsid w:val="00BC7ACC"/>
    <w:rsid w:val="00BC7B6D"/>
    <w:rsid w:val="00BC7C09"/>
    <w:rsid w:val="00BC7C96"/>
    <w:rsid w:val="00BC7CB0"/>
    <w:rsid w:val="00BC7F8E"/>
    <w:rsid w:val="00BC7FF9"/>
    <w:rsid w:val="00BD0E70"/>
    <w:rsid w:val="00BD1150"/>
    <w:rsid w:val="00BD13D4"/>
    <w:rsid w:val="00BD16DF"/>
    <w:rsid w:val="00BD18FA"/>
    <w:rsid w:val="00BD1C6F"/>
    <w:rsid w:val="00BD1FAE"/>
    <w:rsid w:val="00BD235B"/>
    <w:rsid w:val="00BD2441"/>
    <w:rsid w:val="00BD245F"/>
    <w:rsid w:val="00BD27CF"/>
    <w:rsid w:val="00BD28EB"/>
    <w:rsid w:val="00BD29D6"/>
    <w:rsid w:val="00BD306C"/>
    <w:rsid w:val="00BD3206"/>
    <w:rsid w:val="00BD3777"/>
    <w:rsid w:val="00BD37B2"/>
    <w:rsid w:val="00BD386A"/>
    <w:rsid w:val="00BD38CC"/>
    <w:rsid w:val="00BD3906"/>
    <w:rsid w:val="00BD3C3C"/>
    <w:rsid w:val="00BD3D40"/>
    <w:rsid w:val="00BD3D4E"/>
    <w:rsid w:val="00BD3E85"/>
    <w:rsid w:val="00BD3FF0"/>
    <w:rsid w:val="00BD4033"/>
    <w:rsid w:val="00BD439A"/>
    <w:rsid w:val="00BD4848"/>
    <w:rsid w:val="00BD499F"/>
    <w:rsid w:val="00BD4A2C"/>
    <w:rsid w:val="00BD4F87"/>
    <w:rsid w:val="00BD4F99"/>
    <w:rsid w:val="00BD507B"/>
    <w:rsid w:val="00BD514E"/>
    <w:rsid w:val="00BD5436"/>
    <w:rsid w:val="00BD54DF"/>
    <w:rsid w:val="00BD5554"/>
    <w:rsid w:val="00BD5DB1"/>
    <w:rsid w:val="00BD6042"/>
    <w:rsid w:val="00BD605E"/>
    <w:rsid w:val="00BD6353"/>
    <w:rsid w:val="00BD6536"/>
    <w:rsid w:val="00BD6613"/>
    <w:rsid w:val="00BD6BA6"/>
    <w:rsid w:val="00BD6D47"/>
    <w:rsid w:val="00BD6EB5"/>
    <w:rsid w:val="00BD7537"/>
    <w:rsid w:val="00BD753D"/>
    <w:rsid w:val="00BD79CA"/>
    <w:rsid w:val="00BE01E8"/>
    <w:rsid w:val="00BE01EA"/>
    <w:rsid w:val="00BE02B5"/>
    <w:rsid w:val="00BE051B"/>
    <w:rsid w:val="00BE0869"/>
    <w:rsid w:val="00BE0B6A"/>
    <w:rsid w:val="00BE102B"/>
    <w:rsid w:val="00BE11D6"/>
    <w:rsid w:val="00BE1711"/>
    <w:rsid w:val="00BE17B1"/>
    <w:rsid w:val="00BE185E"/>
    <w:rsid w:val="00BE1909"/>
    <w:rsid w:val="00BE1B37"/>
    <w:rsid w:val="00BE1CDE"/>
    <w:rsid w:val="00BE1D7D"/>
    <w:rsid w:val="00BE1FE3"/>
    <w:rsid w:val="00BE218F"/>
    <w:rsid w:val="00BE2318"/>
    <w:rsid w:val="00BE24F7"/>
    <w:rsid w:val="00BE26E5"/>
    <w:rsid w:val="00BE29A7"/>
    <w:rsid w:val="00BE29CF"/>
    <w:rsid w:val="00BE2A8A"/>
    <w:rsid w:val="00BE2BF8"/>
    <w:rsid w:val="00BE2D00"/>
    <w:rsid w:val="00BE2D9E"/>
    <w:rsid w:val="00BE2F69"/>
    <w:rsid w:val="00BE3663"/>
    <w:rsid w:val="00BE38FA"/>
    <w:rsid w:val="00BE39AE"/>
    <w:rsid w:val="00BE3A11"/>
    <w:rsid w:val="00BE4275"/>
    <w:rsid w:val="00BE452F"/>
    <w:rsid w:val="00BE4618"/>
    <w:rsid w:val="00BE48CA"/>
    <w:rsid w:val="00BE4A70"/>
    <w:rsid w:val="00BE4EE4"/>
    <w:rsid w:val="00BE4FDD"/>
    <w:rsid w:val="00BE5207"/>
    <w:rsid w:val="00BE5539"/>
    <w:rsid w:val="00BE5550"/>
    <w:rsid w:val="00BE5707"/>
    <w:rsid w:val="00BE587D"/>
    <w:rsid w:val="00BE5928"/>
    <w:rsid w:val="00BE62A9"/>
    <w:rsid w:val="00BE6606"/>
    <w:rsid w:val="00BE6943"/>
    <w:rsid w:val="00BE6C7F"/>
    <w:rsid w:val="00BE6D70"/>
    <w:rsid w:val="00BE6F28"/>
    <w:rsid w:val="00BE6FCE"/>
    <w:rsid w:val="00BE7100"/>
    <w:rsid w:val="00BE7221"/>
    <w:rsid w:val="00BE747E"/>
    <w:rsid w:val="00BE7B0F"/>
    <w:rsid w:val="00BE7B8E"/>
    <w:rsid w:val="00BE7E5B"/>
    <w:rsid w:val="00BF01B9"/>
    <w:rsid w:val="00BF09CC"/>
    <w:rsid w:val="00BF0A78"/>
    <w:rsid w:val="00BF0D5F"/>
    <w:rsid w:val="00BF0E1A"/>
    <w:rsid w:val="00BF12F2"/>
    <w:rsid w:val="00BF141A"/>
    <w:rsid w:val="00BF142E"/>
    <w:rsid w:val="00BF1ADB"/>
    <w:rsid w:val="00BF1DE7"/>
    <w:rsid w:val="00BF1FD6"/>
    <w:rsid w:val="00BF21FB"/>
    <w:rsid w:val="00BF25CA"/>
    <w:rsid w:val="00BF29D4"/>
    <w:rsid w:val="00BF2B2D"/>
    <w:rsid w:val="00BF2D95"/>
    <w:rsid w:val="00BF306E"/>
    <w:rsid w:val="00BF311B"/>
    <w:rsid w:val="00BF3128"/>
    <w:rsid w:val="00BF31E7"/>
    <w:rsid w:val="00BF33AC"/>
    <w:rsid w:val="00BF366D"/>
    <w:rsid w:val="00BF37A9"/>
    <w:rsid w:val="00BF383B"/>
    <w:rsid w:val="00BF3A94"/>
    <w:rsid w:val="00BF445E"/>
    <w:rsid w:val="00BF48E5"/>
    <w:rsid w:val="00BF4987"/>
    <w:rsid w:val="00BF4AC9"/>
    <w:rsid w:val="00BF4B26"/>
    <w:rsid w:val="00BF5194"/>
    <w:rsid w:val="00BF53F6"/>
    <w:rsid w:val="00BF5438"/>
    <w:rsid w:val="00BF58AB"/>
    <w:rsid w:val="00BF58C4"/>
    <w:rsid w:val="00BF59D4"/>
    <w:rsid w:val="00BF5BFC"/>
    <w:rsid w:val="00BF5C7B"/>
    <w:rsid w:val="00BF5DE7"/>
    <w:rsid w:val="00BF5E3D"/>
    <w:rsid w:val="00BF5E7A"/>
    <w:rsid w:val="00BF5E98"/>
    <w:rsid w:val="00BF5EA6"/>
    <w:rsid w:val="00BF5F86"/>
    <w:rsid w:val="00BF6006"/>
    <w:rsid w:val="00BF62BB"/>
    <w:rsid w:val="00BF6632"/>
    <w:rsid w:val="00BF6865"/>
    <w:rsid w:val="00BF6914"/>
    <w:rsid w:val="00BF698C"/>
    <w:rsid w:val="00BF6E98"/>
    <w:rsid w:val="00BF707A"/>
    <w:rsid w:val="00BF7690"/>
    <w:rsid w:val="00BF770A"/>
    <w:rsid w:val="00BF7BA1"/>
    <w:rsid w:val="00C00B38"/>
    <w:rsid w:val="00C00C25"/>
    <w:rsid w:val="00C00C47"/>
    <w:rsid w:val="00C00C7C"/>
    <w:rsid w:val="00C01451"/>
    <w:rsid w:val="00C014C0"/>
    <w:rsid w:val="00C01686"/>
    <w:rsid w:val="00C017DE"/>
    <w:rsid w:val="00C018A8"/>
    <w:rsid w:val="00C018FA"/>
    <w:rsid w:val="00C01CDD"/>
    <w:rsid w:val="00C01FCE"/>
    <w:rsid w:val="00C024EC"/>
    <w:rsid w:val="00C0261D"/>
    <w:rsid w:val="00C02DDB"/>
    <w:rsid w:val="00C03355"/>
    <w:rsid w:val="00C037C4"/>
    <w:rsid w:val="00C03B33"/>
    <w:rsid w:val="00C03CC1"/>
    <w:rsid w:val="00C03E21"/>
    <w:rsid w:val="00C03EE0"/>
    <w:rsid w:val="00C03F5E"/>
    <w:rsid w:val="00C0400F"/>
    <w:rsid w:val="00C0499C"/>
    <w:rsid w:val="00C04A01"/>
    <w:rsid w:val="00C04C94"/>
    <w:rsid w:val="00C055A9"/>
    <w:rsid w:val="00C056E6"/>
    <w:rsid w:val="00C05B92"/>
    <w:rsid w:val="00C05E54"/>
    <w:rsid w:val="00C0631F"/>
    <w:rsid w:val="00C0686B"/>
    <w:rsid w:val="00C06918"/>
    <w:rsid w:val="00C06FA2"/>
    <w:rsid w:val="00C07053"/>
    <w:rsid w:val="00C0715F"/>
    <w:rsid w:val="00C0742F"/>
    <w:rsid w:val="00C0763F"/>
    <w:rsid w:val="00C078E5"/>
    <w:rsid w:val="00C07940"/>
    <w:rsid w:val="00C07C82"/>
    <w:rsid w:val="00C07D76"/>
    <w:rsid w:val="00C101EE"/>
    <w:rsid w:val="00C1025A"/>
    <w:rsid w:val="00C10429"/>
    <w:rsid w:val="00C107AB"/>
    <w:rsid w:val="00C109F5"/>
    <w:rsid w:val="00C10A32"/>
    <w:rsid w:val="00C10B35"/>
    <w:rsid w:val="00C10C23"/>
    <w:rsid w:val="00C10CC4"/>
    <w:rsid w:val="00C11319"/>
    <w:rsid w:val="00C11458"/>
    <w:rsid w:val="00C114CC"/>
    <w:rsid w:val="00C117C9"/>
    <w:rsid w:val="00C118F0"/>
    <w:rsid w:val="00C12124"/>
    <w:rsid w:val="00C1253E"/>
    <w:rsid w:val="00C128D8"/>
    <w:rsid w:val="00C12944"/>
    <w:rsid w:val="00C12DD5"/>
    <w:rsid w:val="00C12F0E"/>
    <w:rsid w:val="00C13389"/>
    <w:rsid w:val="00C133A8"/>
    <w:rsid w:val="00C13639"/>
    <w:rsid w:val="00C13DB9"/>
    <w:rsid w:val="00C14371"/>
    <w:rsid w:val="00C14669"/>
    <w:rsid w:val="00C14892"/>
    <w:rsid w:val="00C14A4D"/>
    <w:rsid w:val="00C14D9E"/>
    <w:rsid w:val="00C14DA4"/>
    <w:rsid w:val="00C14ECC"/>
    <w:rsid w:val="00C15595"/>
    <w:rsid w:val="00C15B41"/>
    <w:rsid w:val="00C15C7B"/>
    <w:rsid w:val="00C15FEC"/>
    <w:rsid w:val="00C1605E"/>
    <w:rsid w:val="00C16072"/>
    <w:rsid w:val="00C162C8"/>
    <w:rsid w:val="00C164A3"/>
    <w:rsid w:val="00C1650C"/>
    <w:rsid w:val="00C165CD"/>
    <w:rsid w:val="00C16C89"/>
    <w:rsid w:val="00C16DE7"/>
    <w:rsid w:val="00C16E71"/>
    <w:rsid w:val="00C173C4"/>
    <w:rsid w:val="00C17479"/>
    <w:rsid w:val="00C17631"/>
    <w:rsid w:val="00C1779E"/>
    <w:rsid w:val="00C17950"/>
    <w:rsid w:val="00C17C49"/>
    <w:rsid w:val="00C203C1"/>
    <w:rsid w:val="00C20A30"/>
    <w:rsid w:val="00C20BF1"/>
    <w:rsid w:val="00C20F3B"/>
    <w:rsid w:val="00C212F8"/>
    <w:rsid w:val="00C21353"/>
    <w:rsid w:val="00C21AF3"/>
    <w:rsid w:val="00C21E36"/>
    <w:rsid w:val="00C22539"/>
    <w:rsid w:val="00C228F7"/>
    <w:rsid w:val="00C22987"/>
    <w:rsid w:val="00C22BE1"/>
    <w:rsid w:val="00C22F8C"/>
    <w:rsid w:val="00C2319E"/>
    <w:rsid w:val="00C231DD"/>
    <w:rsid w:val="00C23450"/>
    <w:rsid w:val="00C23743"/>
    <w:rsid w:val="00C237CD"/>
    <w:rsid w:val="00C23C3F"/>
    <w:rsid w:val="00C23E21"/>
    <w:rsid w:val="00C24767"/>
    <w:rsid w:val="00C24BA7"/>
    <w:rsid w:val="00C2514C"/>
    <w:rsid w:val="00C251AB"/>
    <w:rsid w:val="00C255D6"/>
    <w:rsid w:val="00C25832"/>
    <w:rsid w:val="00C2601C"/>
    <w:rsid w:val="00C26088"/>
    <w:rsid w:val="00C262DE"/>
    <w:rsid w:val="00C26618"/>
    <w:rsid w:val="00C26682"/>
    <w:rsid w:val="00C26C72"/>
    <w:rsid w:val="00C2713E"/>
    <w:rsid w:val="00C27281"/>
    <w:rsid w:val="00C27366"/>
    <w:rsid w:val="00C274E5"/>
    <w:rsid w:val="00C27536"/>
    <w:rsid w:val="00C27B3B"/>
    <w:rsid w:val="00C27F7C"/>
    <w:rsid w:val="00C27F7F"/>
    <w:rsid w:val="00C303C1"/>
    <w:rsid w:val="00C3078B"/>
    <w:rsid w:val="00C30B73"/>
    <w:rsid w:val="00C30E3A"/>
    <w:rsid w:val="00C30FBB"/>
    <w:rsid w:val="00C3137F"/>
    <w:rsid w:val="00C3182E"/>
    <w:rsid w:val="00C31E1B"/>
    <w:rsid w:val="00C32082"/>
    <w:rsid w:val="00C32374"/>
    <w:rsid w:val="00C32536"/>
    <w:rsid w:val="00C32585"/>
    <w:rsid w:val="00C32902"/>
    <w:rsid w:val="00C32935"/>
    <w:rsid w:val="00C3299B"/>
    <w:rsid w:val="00C32A62"/>
    <w:rsid w:val="00C32ADB"/>
    <w:rsid w:val="00C32B44"/>
    <w:rsid w:val="00C32B8F"/>
    <w:rsid w:val="00C32C43"/>
    <w:rsid w:val="00C32CF7"/>
    <w:rsid w:val="00C32D85"/>
    <w:rsid w:val="00C33482"/>
    <w:rsid w:val="00C335AD"/>
    <w:rsid w:val="00C3370B"/>
    <w:rsid w:val="00C3380E"/>
    <w:rsid w:val="00C33C75"/>
    <w:rsid w:val="00C33CBF"/>
    <w:rsid w:val="00C33ECB"/>
    <w:rsid w:val="00C33F48"/>
    <w:rsid w:val="00C33F75"/>
    <w:rsid w:val="00C33F97"/>
    <w:rsid w:val="00C3458F"/>
    <w:rsid w:val="00C34594"/>
    <w:rsid w:val="00C345C4"/>
    <w:rsid w:val="00C34669"/>
    <w:rsid w:val="00C348FA"/>
    <w:rsid w:val="00C349E5"/>
    <w:rsid w:val="00C34AED"/>
    <w:rsid w:val="00C34F4C"/>
    <w:rsid w:val="00C3516B"/>
    <w:rsid w:val="00C352B2"/>
    <w:rsid w:val="00C35320"/>
    <w:rsid w:val="00C3589F"/>
    <w:rsid w:val="00C35982"/>
    <w:rsid w:val="00C359A8"/>
    <w:rsid w:val="00C35BCF"/>
    <w:rsid w:val="00C35E0B"/>
    <w:rsid w:val="00C35E9E"/>
    <w:rsid w:val="00C35ED4"/>
    <w:rsid w:val="00C3622D"/>
    <w:rsid w:val="00C362BE"/>
    <w:rsid w:val="00C366D9"/>
    <w:rsid w:val="00C36863"/>
    <w:rsid w:val="00C36BCB"/>
    <w:rsid w:val="00C36E82"/>
    <w:rsid w:val="00C36EEF"/>
    <w:rsid w:val="00C37306"/>
    <w:rsid w:val="00C373E6"/>
    <w:rsid w:val="00C3762D"/>
    <w:rsid w:val="00C37952"/>
    <w:rsid w:val="00C37B57"/>
    <w:rsid w:val="00C40111"/>
    <w:rsid w:val="00C402B4"/>
    <w:rsid w:val="00C4088B"/>
    <w:rsid w:val="00C40B06"/>
    <w:rsid w:val="00C40D1E"/>
    <w:rsid w:val="00C40D40"/>
    <w:rsid w:val="00C40DC4"/>
    <w:rsid w:val="00C412BE"/>
    <w:rsid w:val="00C41313"/>
    <w:rsid w:val="00C414BD"/>
    <w:rsid w:val="00C415CA"/>
    <w:rsid w:val="00C41B24"/>
    <w:rsid w:val="00C41B47"/>
    <w:rsid w:val="00C41E89"/>
    <w:rsid w:val="00C41EBF"/>
    <w:rsid w:val="00C41F6E"/>
    <w:rsid w:val="00C4207A"/>
    <w:rsid w:val="00C42469"/>
    <w:rsid w:val="00C428A4"/>
    <w:rsid w:val="00C429D8"/>
    <w:rsid w:val="00C42E38"/>
    <w:rsid w:val="00C42EC5"/>
    <w:rsid w:val="00C42F0E"/>
    <w:rsid w:val="00C42F4B"/>
    <w:rsid w:val="00C42F54"/>
    <w:rsid w:val="00C42F61"/>
    <w:rsid w:val="00C4363E"/>
    <w:rsid w:val="00C436A2"/>
    <w:rsid w:val="00C43746"/>
    <w:rsid w:val="00C437E5"/>
    <w:rsid w:val="00C43BE9"/>
    <w:rsid w:val="00C43D62"/>
    <w:rsid w:val="00C44148"/>
    <w:rsid w:val="00C441B9"/>
    <w:rsid w:val="00C44263"/>
    <w:rsid w:val="00C443C3"/>
    <w:rsid w:val="00C443F2"/>
    <w:rsid w:val="00C446C0"/>
    <w:rsid w:val="00C449B1"/>
    <w:rsid w:val="00C44A96"/>
    <w:rsid w:val="00C45023"/>
    <w:rsid w:val="00C457ED"/>
    <w:rsid w:val="00C459B2"/>
    <w:rsid w:val="00C45BB5"/>
    <w:rsid w:val="00C45BEA"/>
    <w:rsid w:val="00C45C7D"/>
    <w:rsid w:val="00C45DFB"/>
    <w:rsid w:val="00C45FCF"/>
    <w:rsid w:val="00C46201"/>
    <w:rsid w:val="00C46A14"/>
    <w:rsid w:val="00C46E84"/>
    <w:rsid w:val="00C46ED5"/>
    <w:rsid w:val="00C46F96"/>
    <w:rsid w:val="00C4708D"/>
    <w:rsid w:val="00C4727E"/>
    <w:rsid w:val="00C473C4"/>
    <w:rsid w:val="00C47407"/>
    <w:rsid w:val="00C47453"/>
    <w:rsid w:val="00C47651"/>
    <w:rsid w:val="00C4768D"/>
    <w:rsid w:val="00C4770C"/>
    <w:rsid w:val="00C478B5"/>
    <w:rsid w:val="00C47A7A"/>
    <w:rsid w:val="00C47C74"/>
    <w:rsid w:val="00C47CC7"/>
    <w:rsid w:val="00C5002B"/>
    <w:rsid w:val="00C50331"/>
    <w:rsid w:val="00C503F8"/>
    <w:rsid w:val="00C50AEE"/>
    <w:rsid w:val="00C50B52"/>
    <w:rsid w:val="00C50D7F"/>
    <w:rsid w:val="00C50DCE"/>
    <w:rsid w:val="00C510F6"/>
    <w:rsid w:val="00C51114"/>
    <w:rsid w:val="00C518A0"/>
    <w:rsid w:val="00C51901"/>
    <w:rsid w:val="00C51AD9"/>
    <w:rsid w:val="00C51C11"/>
    <w:rsid w:val="00C51E73"/>
    <w:rsid w:val="00C51F02"/>
    <w:rsid w:val="00C5217E"/>
    <w:rsid w:val="00C52266"/>
    <w:rsid w:val="00C5233A"/>
    <w:rsid w:val="00C5242C"/>
    <w:rsid w:val="00C527CF"/>
    <w:rsid w:val="00C530CF"/>
    <w:rsid w:val="00C535DC"/>
    <w:rsid w:val="00C5372F"/>
    <w:rsid w:val="00C5394B"/>
    <w:rsid w:val="00C53AD1"/>
    <w:rsid w:val="00C53D09"/>
    <w:rsid w:val="00C53F80"/>
    <w:rsid w:val="00C5403A"/>
    <w:rsid w:val="00C54080"/>
    <w:rsid w:val="00C541E9"/>
    <w:rsid w:val="00C542A6"/>
    <w:rsid w:val="00C54309"/>
    <w:rsid w:val="00C54501"/>
    <w:rsid w:val="00C545DE"/>
    <w:rsid w:val="00C54678"/>
    <w:rsid w:val="00C54685"/>
    <w:rsid w:val="00C546D3"/>
    <w:rsid w:val="00C549C6"/>
    <w:rsid w:val="00C549D8"/>
    <w:rsid w:val="00C5524D"/>
    <w:rsid w:val="00C5551D"/>
    <w:rsid w:val="00C5572C"/>
    <w:rsid w:val="00C558D3"/>
    <w:rsid w:val="00C55CDC"/>
    <w:rsid w:val="00C56501"/>
    <w:rsid w:val="00C5651E"/>
    <w:rsid w:val="00C56C6A"/>
    <w:rsid w:val="00C56F0A"/>
    <w:rsid w:val="00C5709A"/>
    <w:rsid w:val="00C574E9"/>
    <w:rsid w:val="00C575AF"/>
    <w:rsid w:val="00C575C4"/>
    <w:rsid w:val="00C577F9"/>
    <w:rsid w:val="00C57B47"/>
    <w:rsid w:val="00C6018C"/>
    <w:rsid w:val="00C601A9"/>
    <w:rsid w:val="00C60B07"/>
    <w:rsid w:val="00C60E7D"/>
    <w:rsid w:val="00C6110C"/>
    <w:rsid w:val="00C61123"/>
    <w:rsid w:val="00C61197"/>
    <w:rsid w:val="00C6119F"/>
    <w:rsid w:val="00C6149A"/>
    <w:rsid w:val="00C614F8"/>
    <w:rsid w:val="00C61669"/>
    <w:rsid w:val="00C61739"/>
    <w:rsid w:val="00C61A89"/>
    <w:rsid w:val="00C61B2C"/>
    <w:rsid w:val="00C61B91"/>
    <w:rsid w:val="00C62149"/>
    <w:rsid w:val="00C621F9"/>
    <w:rsid w:val="00C622F4"/>
    <w:rsid w:val="00C62356"/>
    <w:rsid w:val="00C62543"/>
    <w:rsid w:val="00C62779"/>
    <w:rsid w:val="00C628A4"/>
    <w:rsid w:val="00C629DE"/>
    <w:rsid w:val="00C62D3D"/>
    <w:rsid w:val="00C63347"/>
    <w:rsid w:val="00C636BD"/>
    <w:rsid w:val="00C636C4"/>
    <w:rsid w:val="00C63722"/>
    <w:rsid w:val="00C638D7"/>
    <w:rsid w:val="00C63A5D"/>
    <w:rsid w:val="00C63AC2"/>
    <w:rsid w:val="00C63ADB"/>
    <w:rsid w:val="00C63C86"/>
    <w:rsid w:val="00C63EFA"/>
    <w:rsid w:val="00C63FC0"/>
    <w:rsid w:val="00C6459D"/>
    <w:rsid w:val="00C646D4"/>
    <w:rsid w:val="00C64B8E"/>
    <w:rsid w:val="00C64C09"/>
    <w:rsid w:val="00C64C1D"/>
    <w:rsid w:val="00C64FAB"/>
    <w:rsid w:val="00C65183"/>
    <w:rsid w:val="00C658C9"/>
    <w:rsid w:val="00C65A34"/>
    <w:rsid w:val="00C65A90"/>
    <w:rsid w:val="00C65B2E"/>
    <w:rsid w:val="00C65C11"/>
    <w:rsid w:val="00C65C88"/>
    <w:rsid w:val="00C6614F"/>
    <w:rsid w:val="00C661FC"/>
    <w:rsid w:val="00C66272"/>
    <w:rsid w:val="00C664A2"/>
    <w:rsid w:val="00C665C0"/>
    <w:rsid w:val="00C6660D"/>
    <w:rsid w:val="00C6665B"/>
    <w:rsid w:val="00C66783"/>
    <w:rsid w:val="00C66B3B"/>
    <w:rsid w:val="00C66D66"/>
    <w:rsid w:val="00C67073"/>
    <w:rsid w:val="00C674C4"/>
    <w:rsid w:val="00C678FD"/>
    <w:rsid w:val="00C67CE9"/>
    <w:rsid w:val="00C67F8B"/>
    <w:rsid w:val="00C70006"/>
    <w:rsid w:val="00C700C7"/>
    <w:rsid w:val="00C70181"/>
    <w:rsid w:val="00C7032A"/>
    <w:rsid w:val="00C705FD"/>
    <w:rsid w:val="00C70820"/>
    <w:rsid w:val="00C70AE0"/>
    <w:rsid w:val="00C70C0E"/>
    <w:rsid w:val="00C70DDA"/>
    <w:rsid w:val="00C70E13"/>
    <w:rsid w:val="00C70EFD"/>
    <w:rsid w:val="00C71063"/>
    <w:rsid w:val="00C71220"/>
    <w:rsid w:val="00C7140E"/>
    <w:rsid w:val="00C71697"/>
    <w:rsid w:val="00C71872"/>
    <w:rsid w:val="00C718E7"/>
    <w:rsid w:val="00C71EBD"/>
    <w:rsid w:val="00C724F5"/>
    <w:rsid w:val="00C728CF"/>
    <w:rsid w:val="00C73046"/>
    <w:rsid w:val="00C7389B"/>
    <w:rsid w:val="00C738F1"/>
    <w:rsid w:val="00C73F06"/>
    <w:rsid w:val="00C74747"/>
    <w:rsid w:val="00C747EB"/>
    <w:rsid w:val="00C74A2D"/>
    <w:rsid w:val="00C74AF0"/>
    <w:rsid w:val="00C74E24"/>
    <w:rsid w:val="00C74F5E"/>
    <w:rsid w:val="00C755D9"/>
    <w:rsid w:val="00C7562A"/>
    <w:rsid w:val="00C759A9"/>
    <w:rsid w:val="00C75D37"/>
    <w:rsid w:val="00C7611D"/>
    <w:rsid w:val="00C7641E"/>
    <w:rsid w:val="00C76525"/>
    <w:rsid w:val="00C76857"/>
    <w:rsid w:val="00C76B1F"/>
    <w:rsid w:val="00C76CB9"/>
    <w:rsid w:val="00C76EF8"/>
    <w:rsid w:val="00C76F05"/>
    <w:rsid w:val="00C76FAC"/>
    <w:rsid w:val="00C7711A"/>
    <w:rsid w:val="00C772BE"/>
    <w:rsid w:val="00C777C8"/>
    <w:rsid w:val="00C779AE"/>
    <w:rsid w:val="00C77C25"/>
    <w:rsid w:val="00C77E64"/>
    <w:rsid w:val="00C77F5C"/>
    <w:rsid w:val="00C80200"/>
    <w:rsid w:val="00C80322"/>
    <w:rsid w:val="00C803DB"/>
    <w:rsid w:val="00C80526"/>
    <w:rsid w:val="00C8059A"/>
    <w:rsid w:val="00C806B9"/>
    <w:rsid w:val="00C80720"/>
    <w:rsid w:val="00C809E3"/>
    <w:rsid w:val="00C80D4C"/>
    <w:rsid w:val="00C8144A"/>
    <w:rsid w:val="00C8160F"/>
    <w:rsid w:val="00C8165D"/>
    <w:rsid w:val="00C81715"/>
    <w:rsid w:val="00C81A66"/>
    <w:rsid w:val="00C81BD1"/>
    <w:rsid w:val="00C81C99"/>
    <w:rsid w:val="00C81F09"/>
    <w:rsid w:val="00C82080"/>
    <w:rsid w:val="00C820A6"/>
    <w:rsid w:val="00C820C3"/>
    <w:rsid w:val="00C825A4"/>
    <w:rsid w:val="00C828DC"/>
    <w:rsid w:val="00C82964"/>
    <w:rsid w:val="00C82CDB"/>
    <w:rsid w:val="00C8325B"/>
    <w:rsid w:val="00C8362B"/>
    <w:rsid w:val="00C83864"/>
    <w:rsid w:val="00C83B1D"/>
    <w:rsid w:val="00C83CF1"/>
    <w:rsid w:val="00C83FE8"/>
    <w:rsid w:val="00C840CD"/>
    <w:rsid w:val="00C8439E"/>
    <w:rsid w:val="00C8470B"/>
    <w:rsid w:val="00C848D4"/>
    <w:rsid w:val="00C84A81"/>
    <w:rsid w:val="00C85030"/>
    <w:rsid w:val="00C853B1"/>
    <w:rsid w:val="00C853E5"/>
    <w:rsid w:val="00C854F5"/>
    <w:rsid w:val="00C85697"/>
    <w:rsid w:val="00C856D5"/>
    <w:rsid w:val="00C858AE"/>
    <w:rsid w:val="00C85985"/>
    <w:rsid w:val="00C85A42"/>
    <w:rsid w:val="00C85CBB"/>
    <w:rsid w:val="00C85DEC"/>
    <w:rsid w:val="00C85F21"/>
    <w:rsid w:val="00C85FD6"/>
    <w:rsid w:val="00C86078"/>
    <w:rsid w:val="00C861CF"/>
    <w:rsid w:val="00C8666E"/>
    <w:rsid w:val="00C867F5"/>
    <w:rsid w:val="00C86C73"/>
    <w:rsid w:val="00C86F1A"/>
    <w:rsid w:val="00C86F31"/>
    <w:rsid w:val="00C87107"/>
    <w:rsid w:val="00C8715B"/>
    <w:rsid w:val="00C87264"/>
    <w:rsid w:val="00C87335"/>
    <w:rsid w:val="00C87694"/>
    <w:rsid w:val="00C876E5"/>
    <w:rsid w:val="00C878FF"/>
    <w:rsid w:val="00C87A3D"/>
    <w:rsid w:val="00C87B47"/>
    <w:rsid w:val="00C87DE2"/>
    <w:rsid w:val="00C9016B"/>
    <w:rsid w:val="00C901F8"/>
    <w:rsid w:val="00C9078C"/>
    <w:rsid w:val="00C90BD4"/>
    <w:rsid w:val="00C90D71"/>
    <w:rsid w:val="00C91239"/>
    <w:rsid w:val="00C912ED"/>
    <w:rsid w:val="00C91405"/>
    <w:rsid w:val="00C91806"/>
    <w:rsid w:val="00C9196F"/>
    <w:rsid w:val="00C91D9F"/>
    <w:rsid w:val="00C9206F"/>
    <w:rsid w:val="00C9227D"/>
    <w:rsid w:val="00C92587"/>
    <w:rsid w:val="00C92D20"/>
    <w:rsid w:val="00C92E12"/>
    <w:rsid w:val="00C93215"/>
    <w:rsid w:val="00C93270"/>
    <w:rsid w:val="00C93510"/>
    <w:rsid w:val="00C938D1"/>
    <w:rsid w:val="00C93996"/>
    <w:rsid w:val="00C93A6E"/>
    <w:rsid w:val="00C94226"/>
    <w:rsid w:val="00C9446C"/>
    <w:rsid w:val="00C9487C"/>
    <w:rsid w:val="00C94B00"/>
    <w:rsid w:val="00C94B49"/>
    <w:rsid w:val="00C94DBB"/>
    <w:rsid w:val="00C94DF1"/>
    <w:rsid w:val="00C94EB6"/>
    <w:rsid w:val="00C94F06"/>
    <w:rsid w:val="00C95467"/>
    <w:rsid w:val="00C9549C"/>
    <w:rsid w:val="00C95771"/>
    <w:rsid w:val="00C95AFC"/>
    <w:rsid w:val="00C95EAD"/>
    <w:rsid w:val="00C95FBA"/>
    <w:rsid w:val="00C96370"/>
    <w:rsid w:val="00C965A2"/>
    <w:rsid w:val="00C96720"/>
    <w:rsid w:val="00C97002"/>
    <w:rsid w:val="00C97077"/>
    <w:rsid w:val="00C97237"/>
    <w:rsid w:val="00C97290"/>
    <w:rsid w:val="00C975F5"/>
    <w:rsid w:val="00C9787D"/>
    <w:rsid w:val="00C97910"/>
    <w:rsid w:val="00C97925"/>
    <w:rsid w:val="00C97B30"/>
    <w:rsid w:val="00C97D97"/>
    <w:rsid w:val="00C97EF2"/>
    <w:rsid w:val="00CA0296"/>
    <w:rsid w:val="00CA0377"/>
    <w:rsid w:val="00CA03B3"/>
    <w:rsid w:val="00CA06EC"/>
    <w:rsid w:val="00CA08A0"/>
    <w:rsid w:val="00CA091B"/>
    <w:rsid w:val="00CA0989"/>
    <w:rsid w:val="00CA0E2C"/>
    <w:rsid w:val="00CA0E4C"/>
    <w:rsid w:val="00CA1373"/>
    <w:rsid w:val="00CA142A"/>
    <w:rsid w:val="00CA16C6"/>
    <w:rsid w:val="00CA1B20"/>
    <w:rsid w:val="00CA1DB0"/>
    <w:rsid w:val="00CA1DDD"/>
    <w:rsid w:val="00CA20EE"/>
    <w:rsid w:val="00CA2101"/>
    <w:rsid w:val="00CA2226"/>
    <w:rsid w:val="00CA22AC"/>
    <w:rsid w:val="00CA27ED"/>
    <w:rsid w:val="00CA2901"/>
    <w:rsid w:val="00CA29EE"/>
    <w:rsid w:val="00CA2E90"/>
    <w:rsid w:val="00CA3238"/>
    <w:rsid w:val="00CA331A"/>
    <w:rsid w:val="00CA3388"/>
    <w:rsid w:val="00CA33C1"/>
    <w:rsid w:val="00CA38B1"/>
    <w:rsid w:val="00CA39C7"/>
    <w:rsid w:val="00CA3A2B"/>
    <w:rsid w:val="00CA3A66"/>
    <w:rsid w:val="00CA3BE0"/>
    <w:rsid w:val="00CA3C05"/>
    <w:rsid w:val="00CA3D98"/>
    <w:rsid w:val="00CA4264"/>
    <w:rsid w:val="00CA49D3"/>
    <w:rsid w:val="00CA4A90"/>
    <w:rsid w:val="00CA4DBE"/>
    <w:rsid w:val="00CA4EAB"/>
    <w:rsid w:val="00CA4EB6"/>
    <w:rsid w:val="00CA5037"/>
    <w:rsid w:val="00CA5043"/>
    <w:rsid w:val="00CA505F"/>
    <w:rsid w:val="00CA512C"/>
    <w:rsid w:val="00CA514D"/>
    <w:rsid w:val="00CA51AB"/>
    <w:rsid w:val="00CA524C"/>
    <w:rsid w:val="00CA528E"/>
    <w:rsid w:val="00CA54D0"/>
    <w:rsid w:val="00CA54F7"/>
    <w:rsid w:val="00CA5543"/>
    <w:rsid w:val="00CA59AD"/>
    <w:rsid w:val="00CA5C24"/>
    <w:rsid w:val="00CA6114"/>
    <w:rsid w:val="00CA6497"/>
    <w:rsid w:val="00CA66AB"/>
    <w:rsid w:val="00CA670F"/>
    <w:rsid w:val="00CA6A83"/>
    <w:rsid w:val="00CA70EA"/>
    <w:rsid w:val="00CA7269"/>
    <w:rsid w:val="00CA738B"/>
    <w:rsid w:val="00CA7419"/>
    <w:rsid w:val="00CA7B0C"/>
    <w:rsid w:val="00CA7CA3"/>
    <w:rsid w:val="00CB00A2"/>
    <w:rsid w:val="00CB03CA"/>
    <w:rsid w:val="00CB0464"/>
    <w:rsid w:val="00CB0962"/>
    <w:rsid w:val="00CB0C5A"/>
    <w:rsid w:val="00CB0D6B"/>
    <w:rsid w:val="00CB0EF4"/>
    <w:rsid w:val="00CB10AD"/>
    <w:rsid w:val="00CB14E0"/>
    <w:rsid w:val="00CB155D"/>
    <w:rsid w:val="00CB24D3"/>
    <w:rsid w:val="00CB27B1"/>
    <w:rsid w:val="00CB2E61"/>
    <w:rsid w:val="00CB2F1C"/>
    <w:rsid w:val="00CB306B"/>
    <w:rsid w:val="00CB3259"/>
    <w:rsid w:val="00CB3583"/>
    <w:rsid w:val="00CB38AB"/>
    <w:rsid w:val="00CB38FB"/>
    <w:rsid w:val="00CB3A36"/>
    <w:rsid w:val="00CB3C67"/>
    <w:rsid w:val="00CB3E2E"/>
    <w:rsid w:val="00CB3EF7"/>
    <w:rsid w:val="00CB409F"/>
    <w:rsid w:val="00CB42DA"/>
    <w:rsid w:val="00CB4519"/>
    <w:rsid w:val="00CB4544"/>
    <w:rsid w:val="00CB47DA"/>
    <w:rsid w:val="00CB494C"/>
    <w:rsid w:val="00CB4B4C"/>
    <w:rsid w:val="00CB4BBD"/>
    <w:rsid w:val="00CB5094"/>
    <w:rsid w:val="00CB519E"/>
    <w:rsid w:val="00CB524D"/>
    <w:rsid w:val="00CB5542"/>
    <w:rsid w:val="00CB577D"/>
    <w:rsid w:val="00CB5834"/>
    <w:rsid w:val="00CB5C2E"/>
    <w:rsid w:val="00CB6796"/>
    <w:rsid w:val="00CB68BB"/>
    <w:rsid w:val="00CB69A6"/>
    <w:rsid w:val="00CB6F4F"/>
    <w:rsid w:val="00CB713C"/>
    <w:rsid w:val="00CB7604"/>
    <w:rsid w:val="00CB7828"/>
    <w:rsid w:val="00CB7B23"/>
    <w:rsid w:val="00CB7C19"/>
    <w:rsid w:val="00CB7FB6"/>
    <w:rsid w:val="00CC0043"/>
    <w:rsid w:val="00CC0099"/>
    <w:rsid w:val="00CC015E"/>
    <w:rsid w:val="00CC01ED"/>
    <w:rsid w:val="00CC03B8"/>
    <w:rsid w:val="00CC071B"/>
    <w:rsid w:val="00CC0F31"/>
    <w:rsid w:val="00CC125F"/>
    <w:rsid w:val="00CC14AC"/>
    <w:rsid w:val="00CC15AE"/>
    <w:rsid w:val="00CC1852"/>
    <w:rsid w:val="00CC1976"/>
    <w:rsid w:val="00CC1A97"/>
    <w:rsid w:val="00CC1CE6"/>
    <w:rsid w:val="00CC1D3E"/>
    <w:rsid w:val="00CC1E32"/>
    <w:rsid w:val="00CC1F9C"/>
    <w:rsid w:val="00CC26DD"/>
    <w:rsid w:val="00CC282D"/>
    <w:rsid w:val="00CC2B6B"/>
    <w:rsid w:val="00CC2BFA"/>
    <w:rsid w:val="00CC2C59"/>
    <w:rsid w:val="00CC2E5D"/>
    <w:rsid w:val="00CC3053"/>
    <w:rsid w:val="00CC3206"/>
    <w:rsid w:val="00CC32A7"/>
    <w:rsid w:val="00CC3AA5"/>
    <w:rsid w:val="00CC3AD1"/>
    <w:rsid w:val="00CC3B26"/>
    <w:rsid w:val="00CC3B71"/>
    <w:rsid w:val="00CC3D58"/>
    <w:rsid w:val="00CC3D80"/>
    <w:rsid w:val="00CC3FF8"/>
    <w:rsid w:val="00CC40CC"/>
    <w:rsid w:val="00CC41C2"/>
    <w:rsid w:val="00CC424F"/>
    <w:rsid w:val="00CC42B3"/>
    <w:rsid w:val="00CC432D"/>
    <w:rsid w:val="00CC444F"/>
    <w:rsid w:val="00CC44ED"/>
    <w:rsid w:val="00CC4899"/>
    <w:rsid w:val="00CC4908"/>
    <w:rsid w:val="00CC4AA1"/>
    <w:rsid w:val="00CC4AC2"/>
    <w:rsid w:val="00CC4AE4"/>
    <w:rsid w:val="00CC516E"/>
    <w:rsid w:val="00CC5429"/>
    <w:rsid w:val="00CC568E"/>
    <w:rsid w:val="00CC5768"/>
    <w:rsid w:val="00CC5FC4"/>
    <w:rsid w:val="00CC60E0"/>
    <w:rsid w:val="00CC63C5"/>
    <w:rsid w:val="00CC641F"/>
    <w:rsid w:val="00CC6484"/>
    <w:rsid w:val="00CC6510"/>
    <w:rsid w:val="00CC6532"/>
    <w:rsid w:val="00CC6B26"/>
    <w:rsid w:val="00CC6EB1"/>
    <w:rsid w:val="00CC6F30"/>
    <w:rsid w:val="00CC6F4F"/>
    <w:rsid w:val="00CC72E0"/>
    <w:rsid w:val="00CC76E5"/>
    <w:rsid w:val="00CC78E0"/>
    <w:rsid w:val="00CC7ABB"/>
    <w:rsid w:val="00CC7AE5"/>
    <w:rsid w:val="00CC7AEA"/>
    <w:rsid w:val="00CC7CF9"/>
    <w:rsid w:val="00CD05A0"/>
    <w:rsid w:val="00CD0724"/>
    <w:rsid w:val="00CD0DC3"/>
    <w:rsid w:val="00CD0ED6"/>
    <w:rsid w:val="00CD0FC3"/>
    <w:rsid w:val="00CD121C"/>
    <w:rsid w:val="00CD125A"/>
    <w:rsid w:val="00CD1454"/>
    <w:rsid w:val="00CD1552"/>
    <w:rsid w:val="00CD15B4"/>
    <w:rsid w:val="00CD1E3F"/>
    <w:rsid w:val="00CD21A9"/>
    <w:rsid w:val="00CD21FF"/>
    <w:rsid w:val="00CD222D"/>
    <w:rsid w:val="00CD224F"/>
    <w:rsid w:val="00CD2488"/>
    <w:rsid w:val="00CD2598"/>
    <w:rsid w:val="00CD25FE"/>
    <w:rsid w:val="00CD261B"/>
    <w:rsid w:val="00CD277D"/>
    <w:rsid w:val="00CD29D0"/>
    <w:rsid w:val="00CD2E04"/>
    <w:rsid w:val="00CD2F18"/>
    <w:rsid w:val="00CD2F20"/>
    <w:rsid w:val="00CD2FF6"/>
    <w:rsid w:val="00CD3283"/>
    <w:rsid w:val="00CD32C3"/>
    <w:rsid w:val="00CD32DE"/>
    <w:rsid w:val="00CD339F"/>
    <w:rsid w:val="00CD33B2"/>
    <w:rsid w:val="00CD3CD7"/>
    <w:rsid w:val="00CD3FD7"/>
    <w:rsid w:val="00CD407C"/>
    <w:rsid w:val="00CD40C6"/>
    <w:rsid w:val="00CD40E9"/>
    <w:rsid w:val="00CD45CD"/>
    <w:rsid w:val="00CD46AA"/>
    <w:rsid w:val="00CD46E2"/>
    <w:rsid w:val="00CD49E4"/>
    <w:rsid w:val="00CD4D2B"/>
    <w:rsid w:val="00CD56DA"/>
    <w:rsid w:val="00CD5727"/>
    <w:rsid w:val="00CD5D67"/>
    <w:rsid w:val="00CD5E16"/>
    <w:rsid w:val="00CD5F8E"/>
    <w:rsid w:val="00CD6093"/>
    <w:rsid w:val="00CD61EA"/>
    <w:rsid w:val="00CD6251"/>
    <w:rsid w:val="00CD6337"/>
    <w:rsid w:val="00CD647C"/>
    <w:rsid w:val="00CD6674"/>
    <w:rsid w:val="00CD67D3"/>
    <w:rsid w:val="00CD6869"/>
    <w:rsid w:val="00CD6C76"/>
    <w:rsid w:val="00CD6CBD"/>
    <w:rsid w:val="00CD6F22"/>
    <w:rsid w:val="00CD7564"/>
    <w:rsid w:val="00CD769C"/>
    <w:rsid w:val="00CD77B7"/>
    <w:rsid w:val="00CD7DAB"/>
    <w:rsid w:val="00CD7E75"/>
    <w:rsid w:val="00CD7FB0"/>
    <w:rsid w:val="00CE00E5"/>
    <w:rsid w:val="00CE0211"/>
    <w:rsid w:val="00CE04BD"/>
    <w:rsid w:val="00CE0990"/>
    <w:rsid w:val="00CE149D"/>
    <w:rsid w:val="00CE1DB7"/>
    <w:rsid w:val="00CE1EF8"/>
    <w:rsid w:val="00CE1F7B"/>
    <w:rsid w:val="00CE2021"/>
    <w:rsid w:val="00CE2378"/>
    <w:rsid w:val="00CE2859"/>
    <w:rsid w:val="00CE294B"/>
    <w:rsid w:val="00CE2AD3"/>
    <w:rsid w:val="00CE2C55"/>
    <w:rsid w:val="00CE2C84"/>
    <w:rsid w:val="00CE2D55"/>
    <w:rsid w:val="00CE30D7"/>
    <w:rsid w:val="00CE34E2"/>
    <w:rsid w:val="00CE3590"/>
    <w:rsid w:val="00CE35BC"/>
    <w:rsid w:val="00CE35E5"/>
    <w:rsid w:val="00CE36A8"/>
    <w:rsid w:val="00CE3A5B"/>
    <w:rsid w:val="00CE3ACD"/>
    <w:rsid w:val="00CE3ADA"/>
    <w:rsid w:val="00CE3BCC"/>
    <w:rsid w:val="00CE3BE3"/>
    <w:rsid w:val="00CE4003"/>
    <w:rsid w:val="00CE4101"/>
    <w:rsid w:val="00CE4401"/>
    <w:rsid w:val="00CE450E"/>
    <w:rsid w:val="00CE4728"/>
    <w:rsid w:val="00CE4781"/>
    <w:rsid w:val="00CE4AAB"/>
    <w:rsid w:val="00CE4BB0"/>
    <w:rsid w:val="00CE4BD1"/>
    <w:rsid w:val="00CE4BD4"/>
    <w:rsid w:val="00CE52FD"/>
    <w:rsid w:val="00CE5441"/>
    <w:rsid w:val="00CE5497"/>
    <w:rsid w:val="00CE5625"/>
    <w:rsid w:val="00CE5778"/>
    <w:rsid w:val="00CE577E"/>
    <w:rsid w:val="00CE5958"/>
    <w:rsid w:val="00CE5AFE"/>
    <w:rsid w:val="00CE5D19"/>
    <w:rsid w:val="00CE5E14"/>
    <w:rsid w:val="00CE61E2"/>
    <w:rsid w:val="00CE6232"/>
    <w:rsid w:val="00CE6645"/>
    <w:rsid w:val="00CE6F2D"/>
    <w:rsid w:val="00CE7146"/>
    <w:rsid w:val="00CE73AE"/>
    <w:rsid w:val="00CE75C0"/>
    <w:rsid w:val="00CE7747"/>
    <w:rsid w:val="00CE7F8B"/>
    <w:rsid w:val="00CF0685"/>
    <w:rsid w:val="00CF14ED"/>
    <w:rsid w:val="00CF1ADF"/>
    <w:rsid w:val="00CF1B02"/>
    <w:rsid w:val="00CF1DD9"/>
    <w:rsid w:val="00CF1EC1"/>
    <w:rsid w:val="00CF2156"/>
    <w:rsid w:val="00CF21C6"/>
    <w:rsid w:val="00CF21EB"/>
    <w:rsid w:val="00CF2922"/>
    <w:rsid w:val="00CF2A3D"/>
    <w:rsid w:val="00CF2C4D"/>
    <w:rsid w:val="00CF30A5"/>
    <w:rsid w:val="00CF3265"/>
    <w:rsid w:val="00CF3413"/>
    <w:rsid w:val="00CF365C"/>
    <w:rsid w:val="00CF3798"/>
    <w:rsid w:val="00CF3B99"/>
    <w:rsid w:val="00CF3C01"/>
    <w:rsid w:val="00CF3ECA"/>
    <w:rsid w:val="00CF3EFF"/>
    <w:rsid w:val="00CF4350"/>
    <w:rsid w:val="00CF45DC"/>
    <w:rsid w:val="00CF48F9"/>
    <w:rsid w:val="00CF4D4B"/>
    <w:rsid w:val="00CF4DE7"/>
    <w:rsid w:val="00CF507F"/>
    <w:rsid w:val="00CF521B"/>
    <w:rsid w:val="00CF564E"/>
    <w:rsid w:val="00CF56D6"/>
    <w:rsid w:val="00CF589F"/>
    <w:rsid w:val="00CF59AA"/>
    <w:rsid w:val="00CF5A6F"/>
    <w:rsid w:val="00CF5B42"/>
    <w:rsid w:val="00CF5C3C"/>
    <w:rsid w:val="00CF60CD"/>
    <w:rsid w:val="00CF6105"/>
    <w:rsid w:val="00CF6179"/>
    <w:rsid w:val="00CF628A"/>
    <w:rsid w:val="00CF628D"/>
    <w:rsid w:val="00CF640F"/>
    <w:rsid w:val="00CF653E"/>
    <w:rsid w:val="00CF6A99"/>
    <w:rsid w:val="00CF6AF6"/>
    <w:rsid w:val="00CF7028"/>
    <w:rsid w:val="00CF706E"/>
    <w:rsid w:val="00CF7119"/>
    <w:rsid w:val="00CF782E"/>
    <w:rsid w:val="00CF7859"/>
    <w:rsid w:val="00CF7A1E"/>
    <w:rsid w:val="00CF7DC7"/>
    <w:rsid w:val="00CF7E10"/>
    <w:rsid w:val="00CF7E57"/>
    <w:rsid w:val="00CF7EC1"/>
    <w:rsid w:val="00CF7ECA"/>
    <w:rsid w:val="00CF7F53"/>
    <w:rsid w:val="00CF7F64"/>
    <w:rsid w:val="00CF7F94"/>
    <w:rsid w:val="00CF7FAF"/>
    <w:rsid w:val="00D005CF"/>
    <w:rsid w:val="00D00780"/>
    <w:rsid w:val="00D008E9"/>
    <w:rsid w:val="00D009F1"/>
    <w:rsid w:val="00D00EDB"/>
    <w:rsid w:val="00D00EFF"/>
    <w:rsid w:val="00D0117E"/>
    <w:rsid w:val="00D01190"/>
    <w:rsid w:val="00D0123F"/>
    <w:rsid w:val="00D01288"/>
    <w:rsid w:val="00D012FC"/>
    <w:rsid w:val="00D013D5"/>
    <w:rsid w:val="00D0162B"/>
    <w:rsid w:val="00D01ABC"/>
    <w:rsid w:val="00D01CD0"/>
    <w:rsid w:val="00D020F2"/>
    <w:rsid w:val="00D02465"/>
    <w:rsid w:val="00D0247A"/>
    <w:rsid w:val="00D0256C"/>
    <w:rsid w:val="00D02CD0"/>
    <w:rsid w:val="00D02DBA"/>
    <w:rsid w:val="00D0315C"/>
    <w:rsid w:val="00D032E4"/>
    <w:rsid w:val="00D034AC"/>
    <w:rsid w:val="00D03508"/>
    <w:rsid w:val="00D037A8"/>
    <w:rsid w:val="00D037D0"/>
    <w:rsid w:val="00D03B51"/>
    <w:rsid w:val="00D03DAB"/>
    <w:rsid w:val="00D04279"/>
    <w:rsid w:val="00D0433D"/>
    <w:rsid w:val="00D0441D"/>
    <w:rsid w:val="00D0446E"/>
    <w:rsid w:val="00D045F4"/>
    <w:rsid w:val="00D04AFC"/>
    <w:rsid w:val="00D0504F"/>
    <w:rsid w:val="00D050E6"/>
    <w:rsid w:val="00D05168"/>
    <w:rsid w:val="00D05729"/>
    <w:rsid w:val="00D0573C"/>
    <w:rsid w:val="00D05C3A"/>
    <w:rsid w:val="00D05C6E"/>
    <w:rsid w:val="00D05F34"/>
    <w:rsid w:val="00D06126"/>
    <w:rsid w:val="00D067F8"/>
    <w:rsid w:val="00D06A98"/>
    <w:rsid w:val="00D0709A"/>
    <w:rsid w:val="00D073BA"/>
    <w:rsid w:val="00D07451"/>
    <w:rsid w:val="00D07723"/>
    <w:rsid w:val="00D07747"/>
    <w:rsid w:val="00D07B93"/>
    <w:rsid w:val="00D07BC4"/>
    <w:rsid w:val="00D07C49"/>
    <w:rsid w:val="00D07CD7"/>
    <w:rsid w:val="00D07F57"/>
    <w:rsid w:val="00D10242"/>
    <w:rsid w:val="00D1033D"/>
    <w:rsid w:val="00D10708"/>
    <w:rsid w:val="00D10A59"/>
    <w:rsid w:val="00D10EB1"/>
    <w:rsid w:val="00D11011"/>
    <w:rsid w:val="00D11042"/>
    <w:rsid w:val="00D11053"/>
    <w:rsid w:val="00D11269"/>
    <w:rsid w:val="00D113F3"/>
    <w:rsid w:val="00D11439"/>
    <w:rsid w:val="00D116C8"/>
    <w:rsid w:val="00D1176D"/>
    <w:rsid w:val="00D1181E"/>
    <w:rsid w:val="00D11937"/>
    <w:rsid w:val="00D11E1E"/>
    <w:rsid w:val="00D11F17"/>
    <w:rsid w:val="00D1230E"/>
    <w:rsid w:val="00D12534"/>
    <w:rsid w:val="00D12726"/>
    <w:rsid w:val="00D12759"/>
    <w:rsid w:val="00D12999"/>
    <w:rsid w:val="00D129AB"/>
    <w:rsid w:val="00D12A0F"/>
    <w:rsid w:val="00D12AB0"/>
    <w:rsid w:val="00D1358F"/>
    <w:rsid w:val="00D135F6"/>
    <w:rsid w:val="00D13673"/>
    <w:rsid w:val="00D13784"/>
    <w:rsid w:val="00D137C8"/>
    <w:rsid w:val="00D13906"/>
    <w:rsid w:val="00D139B1"/>
    <w:rsid w:val="00D13D1B"/>
    <w:rsid w:val="00D13E37"/>
    <w:rsid w:val="00D13FA9"/>
    <w:rsid w:val="00D14104"/>
    <w:rsid w:val="00D142D3"/>
    <w:rsid w:val="00D144D7"/>
    <w:rsid w:val="00D145C8"/>
    <w:rsid w:val="00D14606"/>
    <w:rsid w:val="00D14802"/>
    <w:rsid w:val="00D14A3B"/>
    <w:rsid w:val="00D14E8A"/>
    <w:rsid w:val="00D14EF2"/>
    <w:rsid w:val="00D15122"/>
    <w:rsid w:val="00D1515B"/>
    <w:rsid w:val="00D152DF"/>
    <w:rsid w:val="00D1549C"/>
    <w:rsid w:val="00D15615"/>
    <w:rsid w:val="00D15874"/>
    <w:rsid w:val="00D15D9A"/>
    <w:rsid w:val="00D160B9"/>
    <w:rsid w:val="00D16620"/>
    <w:rsid w:val="00D16C7B"/>
    <w:rsid w:val="00D16E56"/>
    <w:rsid w:val="00D16EF5"/>
    <w:rsid w:val="00D17014"/>
    <w:rsid w:val="00D1709F"/>
    <w:rsid w:val="00D170D3"/>
    <w:rsid w:val="00D17108"/>
    <w:rsid w:val="00D17373"/>
    <w:rsid w:val="00D175A1"/>
    <w:rsid w:val="00D175F1"/>
    <w:rsid w:val="00D17AB3"/>
    <w:rsid w:val="00D17B2A"/>
    <w:rsid w:val="00D17B4D"/>
    <w:rsid w:val="00D17F3D"/>
    <w:rsid w:val="00D17FD2"/>
    <w:rsid w:val="00D20010"/>
    <w:rsid w:val="00D202A8"/>
    <w:rsid w:val="00D204BC"/>
    <w:rsid w:val="00D20767"/>
    <w:rsid w:val="00D209DD"/>
    <w:rsid w:val="00D20C36"/>
    <w:rsid w:val="00D20D39"/>
    <w:rsid w:val="00D20DC3"/>
    <w:rsid w:val="00D20E2A"/>
    <w:rsid w:val="00D20E44"/>
    <w:rsid w:val="00D20ECF"/>
    <w:rsid w:val="00D2101B"/>
    <w:rsid w:val="00D21077"/>
    <w:rsid w:val="00D21237"/>
    <w:rsid w:val="00D212CC"/>
    <w:rsid w:val="00D21556"/>
    <w:rsid w:val="00D22130"/>
    <w:rsid w:val="00D2239F"/>
    <w:rsid w:val="00D2250B"/>
    <w:rsid w:val="00D22556"/>
    <w:rsid w:val="00D2267B"/>
    <w:rsid w:val="00D2267F"/>
    <w:rsid w:val="00D22A61"/>
    <w:rsid w:val="00D22B05"/>
    <w:rsid w:val="00D22F61"/>
    <w:rsid w:val="00D2303D"/>
    <w:rsid w:val="00D2308D"/>
    <w:rsid w:val="00D230C3"/>
    <w:rsid w:val="00D2311D"/>
    <w:rsid w:val="00D231BF"/>
    <w:rsid w:val="00D23343"/>
    <w:rsid w:val="00D234AE"/>
    <w:rsid w:val="00D235BF"/>
    <w:rsid w:val="00D23781"/>
    <w:rsid w:val="00D2398C"/>
    <w:rsid w:val="00D23A55"/>
    <w:rsid w:val="00D23D93"/>
    <w:rsid w:val="00D23EE8"/>
    <w:rsid w:val="00D2426A"/>
    <w:rsid w:val="00D247F4"/>
    <w:rsid w:val="00D24AE4"/>
    <w:rsid w:val="00D24C82"/>
    <w:rsid w:val="00D24C87"/>
    <w:rsid w:val="00D24CB2"/>
    <w:rsid w:val="00D24FE2"/>
    <w:rsid w:val="00D2502B"/>
    <w:rsid w:val="00D250DE"/>
    <w:rsid w:val="00D25724"/>
    <w:rsid w:val="00D25A7D"/>
    <w:rsid w:val="00D262C5"/>
    <w:rsid w:val="00D266D2"/>
    <w:rsid w:val="00D2679E"/>
    <w:rsid w:val="00D26879"/>
    <w:rsid w:val="00D268EC"/>
    <w:rsid w:val="00D268FE"/>
    <w:rsid w:val="00D26FDE"/>
    <w:rsid w:val="00D27683"/>
    <w:rsid w:val="00D277B2"/>
    <w:rsid w:val="00D27865"/>
    <w:rsid w:val="00D2787E"/>
    <w:rsid w:val="00D27B5D"/>
    <w:rsid w:val="00D27BA2"/>
    <w:rsid w:val="00D27C2D"/>
    <w:rsid w:val="00D27F13"/>
    <w:rsid w:val="00D27F2A"/>
    <w:rsid w:val="00D30029"/>
    <w:rsid w:val="00D30534"/>
    <w:rsid w:val="00D30920"/>
    <w:rsid w:val="00D30C40"/>
    <w:rsid w:val="00D30E55"/>
    <w:rsid w:val="00D30F7E"/>
    <w:rsid w:val="00D310B7"/>
    <w:rsid w:val="00D3135A"/>
    <w:rsid w:val="00D313DF"/>
    <w:rsid w:val="00D3147E"/>
    <w:rsid w:val="00D3163F"/>
    <w:rsid w:val="00D31B4C"/>
    <w:rsid w:val="00D31C6D"/>
    <w:rsid w:val="00D31D2E"/>
    <w:rsid w:val="00D32D6C"/>
    <w:rsid w:val="00D330CE"/>
    <w:rsid w:val="00D3322F"/>
    <w:rsid w:val="00D332DD"/>
    <w:rsid w:val="00D33308"/>
    <w:rsid w:val="00D33403"/>
    <w:rsid w:val="00D33511"/>
    <w:rsid w:val="00D3373E"/>
    <w:rsid w:val="00D338FD"/>
    <w:rsid w:val="00D33C68"/>
    <w:rsid w:val="00D33CCA"/>
    <w:rsid w:val="00D34662"/>
    <w:rsid w:val="00D3485C"/>
    <w:rsid w:val="00D34A56"/>
    <w:rsid w:val="00D34BA2"/>
    <w:rsid w:val="00D355E8"/>
    <w:rsid w:val="00D35968"/>
    <w:rsid w:val="00D35A56"/>
    <w:rsid w:val="00D35A68"/>
    <w:rsid w:val="00D35D5B"/>
    <w:rsid w:val="00D35E6C"/>
    <w:rsid w:val="00D36140"/>
    <w:rsid w:val="00D361FF"/>
    <w:rsid w:val="00D36225"/>
    <w:rsid w:val="00D363F0"/>
    <w:rsid w:val="00D364FC"/>
    <w:rsid w:val="00D3654C"/>
    <w:rsid w:val="00D36592"/>
    <w:rsid w:val="00D36843"/>
    <w:rsid w:val="00D36AD7"/>
    <w:rsid w:val="00D36B10"/>
    <w:rsid w:val="00D36C48"/>
    <w:rsid w:val="00D36F8D"/>
    <w:rsid w:val="00D37080"/>
    <w:rsid w:val="00D373BC"/>
    <w:rsid w:val="00D37591"/>
    <w:rsid w:val="00D3763F"/>
    <w:rsid w:val="00D377DC"/>
    <w:rsid w:val="00D37DE3"/>
    <w:rsid w:val="00D37EA3"/>
    <w:rsid w:val="00D37FD3"/>
    <w:rsid w:val="00D4002F"/>
    <w:rsid w:val="00D40095"/>
    <w:rsid w:val="00D4039F"/>
    <w:rsid w:val="00D40509"/>
    <w:rsid w:val="00D406D0"/>
    <w:rsid w:val="00D406FE"/>
    <w:rsid w:val="00D413C6"/>
    <w:rsid w:val="00D4143A"/>
    <w:rsid w:val="00D41639"/>
    <w:rsid w:val="00D419E6"/>
    <w:rsid w:val="00D41D1D"/>
    <w:rsid w:val="00D41E74"/>
    <w:rsid w:val="00D41EF2"/>
    <w:rsid w:val="00D42375"/>
    <w:rsid w:val="00D42659"/>
    <w:rsid w:val="00D427A3"/>
    <w:rsid w:val="00D42874"/>
    <w:rsid w:val="00D42A61"/>
    <w:rsid w:val="00D42BE6"/>
    <w:rsid w:val="00D42D04"/>
    <w:rsid w:val="00D42D67"/>
    <w:rsid w:val="00D42E48"/>
    <w:rsid w:val="00D42FF8"/>
    <w:rsid w:val="00D43054"/>
    <w:rsid w:val="00D4311E"/>
    <w:rsid w:val="00D432D8"/>
    <w:rsid w:val="00D43A10"/>
    <w:rsid w:val="00D43AB4"/>
    <w:rsid w:val="00D43AD0"/>
    <w:rsid w:val="00D43B14"/>
    <w:rsid w:val="00D43D71"/>
    <w:rsid w:val="00D43E48"/>
    <w:rsid w:val="00D4434A"/>
    <w:rsid w:val="00D448EB"/>
    <w:rsid w:val="00D44FB6"/>
    <w:rsid w:val="00D452C9"/>
    <w:rsid w:val="00D4571D"/>
    <w:rsid w:val="00D4577F"/>
    <w:rsid w:val="00D457F9"/>
    <w:rsid w:val="00D45C9F"/>
    <w:rsid w:val="00D45E5B"/>
    <w:rsid w:val="00D46079"/>
    <w:rsid w:val="00D4656C"/>
    <w:rsid w:val="00D4681E"/>
    <w:rsid w:val="00D4685E"/>
    <w:rsid w:val="00D46CA1"/>
    <w:rsid w:val="00D46DBB"/>
    <w:rsid w:val="00D46F20"/>
    <w:rsid w:val="00D4711E"/>
    <w:rsid w:val="00D471EE"/>
    <w:rsid w:val="00D4720C"/>
    <w:rsid w:val="00D474D2"/>
    <w:rsid w:val="00D47593"/>
    <w:rsid w:val="00D47765"/>
    <w:rsid w:val="00D47B4F"/>
    <w:rsid w:val="00D47E17"/>
    <w:rsid w:val="00D50152"/>
    <w:rsid w:val="00D50160"/>
    <w:rsid w:val="00D503CD"/>
    <w:rsid w:val="00D504BE"/>
    <w:rsid w:val="00D506F3"/>
    <w:rsid w:val="00D508AF"/>
    <w:rsid w:val="00D50BBF"/>
    <w:rsid w:val="00D50CD6"/>
    <w:rsid w:val="00D51393"/>
    <w:rsid w:val="00D513EF"/>
    <w:rsid w:val="00D5145E"/>
    <w:rsid w:val="00D514B9"/>
    <w:rsid w:val="00D515F6"/>
    <w:rsid w:val="00D5190C"/>
    <w:rsid w:val="00D51936"/>
    <w:rsid w:val="00D51F3E"/>
    <w:rsid w:val="00D52044"/>
    <w:rsid w:val="00D52406"/>
    <w:rsid w:val="00D5252D"/>
    <w:rsid w:val="00D525B6"/>
    <w:rsid w:val="00D5287F"/>
    <w:rsid w:val="00D52A36"/>
    <w:rsid w:val="00D52CCE"/>
    <w:rsid w:val="00D52CD0"/>
    <w:rsid w:val="00D52D59"/>
    <w:rsid w:val="00D52E09"/>
    <w:rsid w:val="00D5314C"/>
    <w:rsid w:val="00D534B8"/>
    <w:rsid w:val="00D5389B"/>
    <w:rsid w:val="00D53CCB"/>
    <w:rsid w:val="00D53F54"/>
    <w:rsid w:val="00D54046"/>
    <w:rsid w:val="00D54844"/>
    <w:rsid w:val="00D548AA"/>
    <w:rsid w:val="00D549F4"/>
    <w:rsid w:val="00D54BB9"/>
    <w:rsid w:val="00D54C66"/>
    <w:rsid w:val="00D54FAE"/>
    <w:rsid w:val="00D5513C"/>
    <w:rsid w:val="00D55614"/>
    <w:rsid w:val="00D557E8"/>
    <w:rsid w:val="00D559E3"/>
    <w:rsid w:val="00D55B7F"/>
    <w:rsid w:val="00D55CA2"/>
    <w:rsid w:val="00D55D3B"/>
    <w:rsid w:val="00D55DF2"/>
    <w:rsid w:val="00D560AB"/>
    <w:rsid w:val="00D56170"/>
    <w:rsid w:val="00D561D6"/>
    <w:rsid w:val="00D56727"/>
    <w:rsid w:val="00D56923"/>
    <w:rsid w:val="00D56A3D"/>
    <w:rsid w:val="00D56AC9"/>
    <w:rsid w:val="00D56DB0"/>
    <w:rsid w:val="00D56E69"/>
    <w:rsid w:val="00D57303"/>
    <w:rsid w:val="00D5737F"/>
    <w:rsid w:val="00D573D4"/>
    <w:rsid w:val="00D57454"/>
    <w:rsid w:val="00D57465"/>
    <w:rsid w:val="00D57546"/>
    <w:rsid w:val="00D576A0"/>
    <w:rsid w:val="00D57763"/>
    <w:rsid w:val="00D57A0F"/>
    <w:rsid w:val="00D57E10"/>
    <w:rsid w:val="00D57FA4"/>
    <w:rsid w:val="00D600FF"/>
    <w:rsid w:val="00D60427"/>
    <w:rsid w:val="00D609B7"/>
    <w:rsid w:val="00D60A3F"/>
    <w:rsid w:val="00D60AD5"/>
    <w:rsid w:val="00D60BEA"/>
    <w:rsid w:val="00D60C8E"/>
    <w:rsid w:val="00D61045"/>
    <w:rsid w:val="00D61111"/>
    <w:rsid w:val="00D6184C"/>
    <w:rsid w:val="00D61875"/>
    <w:rsid w:val="00D61FED"/>
    <w:rsid w:val="00D626D2"/>
    <w:rsid w:val="00D626E8"/>
    <w:rsid w:val="00D62752"/>
    <w:rsid w:val="00D629C7"/>
    <w:rsid w:val="00D62F97"/>
    <w:rsid w:val="00D63188"/>
    <w:rsid w:val="00D6328B"/>
    <w:rsid w:val="00D63378"/>
    <w:rsid w:val="00D636C7"/>
    <w:rsid w:val="00D63742"/>
    <w:rsid w:val="00D637A2"/>
    <w:rsid w:val="00D639C9"/>
    <w:rsid w:val="00D63CBE"/>
    <w:rsid w:val="00D6404D"/>
    <w:rsid w:val="00D64135"/>
    <w:rsid w:val="00D64224"/>
    <w:rsid w:val="00D64330"/>
    <w:rsid w:val="00D64337"/>
    <w:rsid w:val="00D64446"/>
    <w:rsid w:val="00D64527"/>
    <w:rsid w:val="00D648C7"/>
    <w:rsid w:val="00D6497C"/>
    <w:rsid w:val="00D64C28"/>
    <w:rsid w:val="00D64DBB"/>
    <w:rsid w:val="00D65188"/>
    <w:rsid w:val="00D65293"/>
    <w:rsid w:val="00D655E9"/>
    <w:rsid w:val="00D658DE"/>
    <w:rsid w:val="00D659A3"/>
    <w:rsid w:val="00D65AE9"/>
    <w:rsid w:val="00D65B5B"/>
    <w:rsid w:val="00D66222"/>
    <w:rsid w:val="00D665E3"/>
    <w:rsid w:val="00D67004"/>
    <w:rsid w:val="00D671EF"/>
    <w:rsid w:val="00D674F2"/>
    <w:rsid w:val="00D67CEA"/>
    <w:rsid w:val="00D70235"/>
    <w:rsid w:val="00D703F9"/>
    <w:rsid w:val="00D70B07"/>
    <w:rsid w:val="00D70E0A"/>
    <w:rsid w:val="00D70FE6"/>
    <w:rsid w:val="00D71125"/>
    <w:rsid w:val="00D715E1"/>
    <w:rsid w:val="00D71923"/>
    <w:rsid w:val="00D71C0D"/>
    <w:rsid w:val="00D71C50"/>
    <w:rsid w:val="00D71E9B"/>
    <w:rsid w:val="00D72115"/>
    <w:rsid w:val="00D7233A"/>
    <w:rsid w:val="00D72434"/>
    <w:rsid w:val="00D7257B"/>
    <w:rsid w:val="00D725FF"/>
    <w:rsid w:val="00D72973"/>
    <w:rsid w:val="00D72C33"/>
    <w:rsid w:val="00D72E84"/>
    <w:rsid w:val="00D73538"/>
    <w:rsid w:val="00D738A6"/>
    <w:rsid w:val="00D73ADE"/>
    <w:rsid w:val="00D73D25"/>
    <w:rsid w:val="00D749AB"/>
    <w:rsid w:val="00D74A0E"/>
    <w:rsid w:val="00D74D76"/>
    <w:rsid w:val="00D74D8D"/>
    <w:rsid w:val="00D75061"/>
    <w:rsid w:val="00D7509B"/>
    <w:rsid w:val="00D75394"/>
    <w:rsid w:val="00D75629"/>
    <w:rsid w:val="00D75EE8"/>
    <w:rsid w:val="00D761AB"/>
    <w:rsid w:val="00D762A0"/>
    <w:rsid w:val="00D7646F"/>
    <w:rsid w:val="00D764F1"/>
    <w:rsid w:val="00D76B43"/>
    <w:rsid w:val="00D76FB7"/>
    <w:rsid w:val="00D7735B"/>
    <w:rsid w:val="00D774BF"/>
    <w:rsid w:val="00D77724"/>
    <w:rsid w:val="00D7787D"/>
    <w:rsid w:val="00D77CE8"/>
    <w:rsid w:val="00D77F45"/>
    <w:rsid w:val="00D800E8"/>
    <w:rsid w:val="00D8015E"/>
    <w:rsid w:val="00D8063F"/>
    <w:rsid w:val="00D806E9"/>
    <w:rsid w:val="00D80729"/>
    <w:rsid w:val="00D80BE8"/>
    <w:rsid w:val="00D80CFD"/>
    <w:rsid w:val="00D80D83"/>
    <w:rsid w:val="00D80F1B"/>
    <w:rsid w:val="00D81089"/>
    <w:rsid w:val="00D810B3"/>
    <w:rsid w:val="00D8154D"/>
    <w:rsid w:val="00D81605"/>
    <w:rsid w:val="00D8163A"/>
    <w:rsid w:val="00D81992"/>
    <w:rsid w:val="00D81AFA"/>
    <w:rsid w:val="00D81D89"/>
    <w:rsid w:val="00D81E21"/>
    <w:rsid w:val="00D81FA5"/>
    <w:rsid w:val="00D82111"/>
    <w:rsid w:val="00D82343"/>
    <w:rsid w:val="00D82841"/>
    <w:rsid w:val="00D830CF"/>
    <w:rsid w:val="00D833FE"/>
    <w:rsid w:val="00D83787"/>
    <w:rsid w:val="00D83982"/>
    <w:rsid w:val="00D83DDE"/>
    <w:rsid w:val="00D83F43"/>
    <w:rsid w:val="00D83FC4"/>
    <w:rsid w:val="00D840F3"/>
    <w:rsid w:val="00D843C0"/>
    <w:rsid w:val="00D846E2"/>
    <w:rsid w:val="00D84814"/>
    <w:rsid w:val="00D84921"/>
    <w:rsid w:val="00D8495B"/>
    <w:rsid w:val="00D84C31"/>
    <w:rsid w:val="00D84EBE"/>
    <w:rsid w:val="00D85035"/>
    <w:rsid w:val="00D850E2"/>
    <w:rsid w:val="00D853DB"/>
    <w:rsid w:val="00D85462"/>
    <w:rsid w:val="00D8585A"/>
    <w:rsid w:val="00D85ADC"/>
    <w:rsid w:val="00D861D3"/>
    <w:rsid w:val="00D8634F"/>
    <w:rsid w:val="00D864D4"/>
    <w:rsid w:val="00D86663"/>
    <w:rsid w:val="00D867ED"/>
    <w:rsid w:val="00D86C8F"/>
    <w:rsid w:val="00D86E5A"/>
    <w:rsid w:val="00D86EE3"/>
    <w:rsid w:val="00D87041"/>
    <w:rsid w:val="00D8768E"/>
    <w:rsid w:val="00D876C4"/>
    <w:rsid w:val="00D87A2E"/>
    <w:rsid w:val="00D87A9A"/>
    <w:rsid w:val="00D87C75"/>
    <w:rsid w:val="00D87CB6"/>
    <w:rsid w:val="00D87CD2"/>
    <w:rsid w:val="00D90066"/>
    <w:rsid w:val="00D9041E"/>
    <w:rsid w:val="00D90AA6"/>
    <w:rsid w:val="00D90B27"/>
    <w:rsid w:val="00D90BA6"/>
    <w:rsid w:val="00D90D1C"/>
    <w:rsid w:val="00D90DC7"/>
    <w:rsid w:val="00D91045"/>
    <w:rsid w:val="00D910A1"/>
    <w:rsid w:val="00D910EF"/>
    <w:rsid w:val="00D91366"/>
    <w:rsid w:val="00D914EF"/>
    <w:rsid w:val="00D9188C"/>
    <w:rsid w:val="00D91A80"/>
    <w:rsid w:val="00D91EFA"/>
    <w:rsid w:val="00D91F86"/>
    <w:rsid w:val="00D9247A"/>
    <w:rsid w:val="00D92665"/>
    <w:rsid w:val="00D92A45"/>
    <w:rsid w:val="00D92AD1"/>
    <w:rsid w:val="00D92C6B"/>
    <w:rsid w:val="00D92DD5"/>
    <w:rsid w:val="00D93192"/>
    <w:rsid w:val="00D932D0"/>
    <w:rsid w:val="00D9335E"/>
    <w:rsid w:val="00D93501"/>
    <w:rsid w:val="00D936D2"/>
    <w:rsid w:val="00D937C8"/>
    <w:rsid w:val="00D938A2"/>
    <w:rsid w:val="00D9399A"/>
    <w:rsid w:val="00D93C35"/>
    <w:rsid w:val="00D93C37"/>
    <w:rsid w:val="00D93D39"/>
    <w:rsid w:val="00D943A3"/>
    <w:rsid w:val="00D94458"/>
    <w:rsid w:val="00D94C46"/>
    <w:rsid w:val="00D94F19"/>
    <w:rsid w:val="00D94F2E"/>
    <w:rsid w:val="00D94F4B"/>
    <w:rsid w:val="00D95014"/>
    <w:rsid w:val="00D95704"/>
    <w:rsid w:val="00D95BFB"/>
    <w:rsid w:val="00D95EE3"/>
    <w:rsid w:val="00D96049"/>
    <w:rsid w:val="00D961B7"/>
    <w:rsid w:val="00D96466"/>
    <w:rsid w:val="00D966C1"/>
    <w:rsid w:val="00D966C3"/>
    <w:rsid w:val="00D967C0"/>
    <w:rsid w:val="00D97314"/>
    <w:rsid w:val="00D97492"/>
    <w:rsid w:val="00D97743"/>
    <w:rsid w:val="00D97BBE"/>
    <w:rsid w:val="00D97C6A"/>
    <w:rsid w:val="00D97E80"/>
    <w:rsid w:val="00DA020B"/>
    <w:rsid w:val="00DA06E3"/>
    <w:rsid w:val="00DA0ABE"/>
    <w:rsid w:val="00DA0CA4"/>
    <w:rsid w:val="00DA154C"/>
    <w:rsid w:val="00DA1A33"/>
    <w:rsid w:val="00DA1C9D"/>
    <w:rsid w:val="00DA1E57"/>
    <w:rsid w:val="00DA1EC1"/>
    <w:rsid w:val="00DA24F2"/>
    <w:rsid w:val="00DA2808"/>
    <w:rsid w:val="00DA28DC"/>
    <w:rsid w:val="00DA28FF"/>
    <w:rsid w:val="00DA2DB5"/>
    <w:rsid w:val="00DA2EE7"/>
    <w:rsid w:val="00DA2FA9"/>
    <w:rsid w:val="00DA3767"/>
    <w:rsid w:val="00DA37CC"/>
    <w:rsid w:val="00DA3ACD"/>
    <w:rsid w:val="00DA3CF2"/>
    <w:rsid w:val="00DA3D61"/>
    <w:rsid w:val="00DA3E79"/>
    <w:rsid w:val="00DA41C9"/>
    <w:rsid w:val="00DA42C9"/>
    <w:rsid w:val="00DA46DD"/>
    <w:rsid w:val="00DA47DF"/>
    <w:rsid w:val="00DA4907"/>
    <w:rsid w:val="00DA4EF2"/>
    <w:rsid w:val="00DA4FF4"/>
    <w:rsid w:val="00DA5112"/>
    <w:rsid w:val="00DA56A4"/>
    <w:rsid w:val="00DA5902"/>
    <w:rsid w:val="00DA5B23"/>
    <w:rsid w:val="00DA5C07"/>
    <w:rsid w:val="00DA5CA3"/>
    <w:rsid w:val="00DA5D41"/>
    <w:rsid w:val="00DA5FB6"/>
    <w:rsid w:val="00DA62DF"/>
    <w:rsid w:val="00DA6BC1"/>
    <w:rsid w:val="00DA6F91"/>
    <w:rsid w:val="00DA70A4"/>
    <w:rsid w:val="00DA73EE"/>
    <w:rsid w:val="00DA74C0"/>
    <w:rsid w:val="00DA7676"/>
    <w:rsid w:val="00DA76A8"/>
    <w:rsid w:val="00DA7758"/>
    <w:rsid w:val="00DA785D"/>
    <w:rsid w:val="00DA7CD4"/>
    <w:rsid w:val="00DA7D0D"/>
    <w:rsid w:val="00DB0153"/>
    <w:rsid w:val="00DB0901"/>
    <w:rsid w:val="00DB0E9E"/>
    <w:rsid w:val="00DB12EB"/>
    <w:rsid w:val="00DB1321"/>
    <w:rsid w:val="00DB1354"/>
    <w:rsid w:val="00DB13BB"/>
    <w:rsid w:val="00DB1648"/>
    <w:rsid w:val="00DB1725"/>
    <w:rsid w:val="00DB1A51"/>
    <w:rsid w:val="00DB1A86"/>
    <w:rsid w:val="00DB1BE0"/>
    <w:rsid w:val="00DB1E75"/>
    <w:rsid w:val="00DB20BC"/>
    <w:rsid w:val="00DB2435"/>
    <w:rsid w:val="00DB269D"/>
    <w:rsid w:val="00DB2A9A"/>
    <w:rsid w:val="00DB2B97"/>
    <w:rsid w:val="00DB2DCC"/>
    <w:rsid w:val="00DB315A"/>
    <w:rsid w:val="00DB3666"/>
    <w:rsid w:val="00DB370B"/>
    <w:rsid w:val="00DB3934"/>
    <w:rsid w:val="00DB3C1D"/>
    <w:rsid w:val="00DB3DAC"/>
    <w:rsid w:val="00DB3E46"/>
    <w:rsid w:val="00DB41D7"/>
    <w:rsid w:val="00DB422B"/>
    <w:rsid w:val="00DB44E1"/>
    <w:rsid w:val="00DB47CE"/>
    <w:rsid w:val="00DB486E"/>
    <w:rsid w:val="00DB4A77"/>
    <w:rsid w:val="00DB4ABC"/>
    <w:rsid w:val="00DB4C2E"/>
    <w:rsid w:val="00DB4DC0"/>
    <w:rsid w:val="00DB4DE4"/>
    <w:rsid w:val="00DB4F84"/>
    <w:rsid w:val="00DB5287"/>
    <w:rsid w:val="00DB552E"/>
    <w:rsid w:val="00DB5577"/>
    <w:rsid w:val="00DB56A6"/>
    <w:rsid w:val="00DB5A17"/>
    <w:rsid w:val="00DB5A1F"/>
    <w:rsid w:val="00DB5A93"/>
    <w:rsid w:val="00DB5B8F"/>
    <w:rsid w:val="00DB5BC9"/>
    <w:rsid w:val="00DB5C0D"/>
    <w:rsid w:val="00DB5D0E"/>
    <w:rsid w:val="00DB5F33"/>
    <w:rsid w:val="00DB603B"/>
    <w:rsid w:val="00DB6137"/>
    <w:rsid w:val="00DB6277"/>
    <w:rsid w:val="00DB64AE"/>
    <w:rsid w:val="00DB6575"/>
    <w:rsid w:val="00DB6951"/>
    <w:rsid w:val="00DB6C04"/>
    <w:rsid w:val="00DB6DC7"/>
    <w:rsid w:val="00DB7108"/>
    <w:rsid w:val="00DB714E"/>
    <w:rsid w:val="00DB74F8"/>
    <w:rsid w:val="00DB754F"/>
    <w:rsid w:val="00DB7635"/>
    <w:rsid w:val="00DB763D"/>
    <w:rsid w:val="00DB78FE"/>
    <w:rsid w:val="00DB793B"/>
    <w:rsid w:val="00DB7DC4"/>
    <w:rsid w:val="00DB7FB8"/>
    <w:rsid w:val="00DC0673"/>
    <w:rsid w:val="00DC0760"/>
    <w:rsid w:val="00DC0A14"/>
    <w:rsid w:val="00DC1111"/>
    <w:rsid w:val="00DC12C3"/>
    <w:rsid w:val="00DC13C7"/>
    <w:rsid w:val="00DC140E"/>
    <w:rsid w:val="00DC1CBE"/>
    <w:rsid w:val="00DC1E2B"/>
    <w:rsid w:val="00DC1E75"/>
    <w:rsid w:val="00DC2410"/>
    <w:rsid w:val="00DC24E4"/>
    <w:rsid w:val="00DC2512"/>
    <w:rsid w:val="00DC2864"/>
    <w:rsid w:val="00DC2C2D"/>
    <w:rsid w:val="00DC3017"/>
    <w:rsid w:val="00DC3B68"/>
    <w:rsid w:val="00DC4479"/>
    <w:rsid w:val="00DC462A"/>
    <w:rsid w:val="00DC4A58"/>
    <w:rsid w:val="00DC4C17"/>
    <w:rsid w:val="00DC4D5A"/>
    <w:rsid w:val="00DC50EA"/>
    <w:rsid w:val="00DC553D"/>
    <w:rsid w:val="00DC5783"/>
    <w:rsid w:val="00DC57F0"/>
    <w:rsid w:val="00DC5B36"/>
    <w:rsid w:val="00DC5BE7"/>
    <w:rsid w:val="00DC5BF0"/>
    <w:rsid w:val="00DC5DBC"/>
    <w:rsid w:val="00DC60C3"/>
    <w:rsid w:val="00DC60C7"/>
    <w:rsid w:val="00DC6239"/>
    <w:rsid w:val="00DC669C"/>
    <w:rsid w:val="00DC6798"/>
    <w:rsid w:val="00DC68C0"/>
    <w:rsid w:val="00DC6914"/>
    <w:rsid w:val="00DC6984"/>
    <w:rsid w:val="00DC6B2B"/>
    <w:rsid w:val="00DC6E2B"/>
    <w:rsid w:val="00DC6E7F"/>
    <w:rsid w:val="00DC703A"/>
    <w:rsid w:val="00DC70C5"/>
    <w:rsid w:val="00DC7193"/>
    <w:rsid w:val="00DC73D1"/>
    <w:rsid w:val="00DC78DE"/>
    <w:rsid w:val="00DC7C68"/>
    <w:rsid w:val="00DC7C8B"/>
    <w:rsid w:val="00DC7E23"/>
    <w:rsid w:val="00DC7E7A"/>
    <w:rsid w:val="00DC7F68"/>
    <w:rsid w:val="00DC7F9F"/>
    <w:rsid w:val="00DD0103"/>
    <w:rsid w:val="00DD0195"/>
    <w:rsid w:val="00DD019E"/>
    <w:rsid w:val="00DD01B8"/>
    <w:rsid w:val="00DD04FB"/>
    <w:rsid w:val="00DD051F"/>
    <w:rsid w:val="00DD0681"/>
    <w:rsid w:val="00DD088C"/>
    <w:rsid w:val="00DD098C"/>
    <w:rsid w:val="00DD0D26"/>
    <w:rsid w:val="00DD0DC1"/>
    <w:rsid w:val="00DD0E83"/>
    <w:rsid w:val="00DD1183"/>
    <w:rsid w:val="00DD18B9"/>
    <w:rsid w:val="00DD18D4"/>
    <w:rsid w:val="00DD1978"/>
    <w:rsid w:val="00DD1986"/>
    <w:rsid w:val="00DD1E64"/>
    <w:rsid w:val="00DD1FC4"/>
    <w:rsid w:val="00DD205E"/>
    <w:rsid w:val="00DD2131"/>
    <w:rsid w:val="00DD23FF"/>
    <w:rsid w:val="00DD27D6"/>
    <w:rsid w:val="00DD27DC"/>
    <w:rsid w:val="00DD2AA1"/>
    <w:rsid w:val="00DD2CAA"/>
    <w:rsid w:val="00DD3506"/>
    <w:rsid w:val="00DD36E4"/>
    <w:rsid w:val="00DD3838"/>
    <w:rsid w:val="00DD3970"/>
    <w:rsid w:val="00DD3A2C"/>
    <w:rsid w:val="00DD3ADC"/>
    <w:rsid w:val="00DD3BDD"/>
    <w:rsid w:val="00DD3E69"/>
    <w:rsid w:val="00DD3E6D"/>
    <w:rsid w:val="00DD403C"/>
    <w:rsid w:val="00DD41CD"/>
    <w:rsid w:val="00DD4BBB"/>
    <w:rsid w:val="00DD4DAC"/>
    <w:rsid w:val="00DD511C"/>
    <w:rsid w:val="00DD5335"/>
    <w:rsid w:val="00DD5348"/>
    <w:rsid w:val="00DD5672"/>
    <w:rsid w:val="00DD5D70"/>
    <w:rsid w:val="00DD5F00"/>
    <w:rsid w:val="00DD63DC"/>
    <w:rsid w:val="00DD6955"/>
    <w:rsid w:val="00DD6B71"/>
    <w:rsid w:val="00DD6FBC"/>
    <w:rsid w:val="00DD7057"/>
    <w:rsid w:val="00DD7134"/>
    <w:rsid w:val="00DD7690"/>
    <w:rsid w:val="00DD7798"/>
    <w:rsid w:val="00DD77A2"/>
    <w:rsid w:val="00DD781B"/>
    <w:rsid w:val="00DD793B"/>
    <w:rsid w:val="00DD7B67"/>
    <w:rsid w:val="00DE00A7"/>
    <w:rsid w:val="00DE017F"/>
    <w:rsid w:val="00DE02C9"/>
    <w:rsid w:val="00DE0675"/>
    <w:rsid w:val="00DE09F1"/>
    <w:rsid w:val="00DE0B40"/>
    <w:rsid w:val="00DE0BB3"/>
    <w:rsid w:val="00DE0CAB"/>
    <w:rsid w:val="00DE1025"/>
    <w:rsid w:val="00DE117B"/>
    <w:rsid w:val="00DE1304"/>
    <w:rsid w:val="00DE1612"/>
    <w:rsid w:val="00DE1762"/>
    <w:rsid w:val="00DE1B47"/>
    <w:rsid w:val="00DE1D2F"/>
    <w:rsid w:val="00DE1DEF"/>
    <w:rsid w:val="00DE1F60"/>
    <w:rsid w:val="00DE1FE1"/>
    <w:rsid w:val="00DE2012"/>
    <w:rsid w:val="00DE2123"/>
    <w:rsid w:val="00DE2143"/>
    <w:rsid w:val="00DE2148"/>
    <w:rsid w:val="00DE21C1"/>
    <w:rsid w:val="00DE2299"/>
    <w:rsid w:val="00DE28AE"/>
    <w:rsid w:val="00DE2B64"/>
    <w:rsid w:val="00DE2B6A"/>
    <w:rsid w:val="00DE2BDB"/>
    <w:rsid w:val="00DE2C3A"/>
    <w:rsid w:val="00DE2CE6"/>
    <w:rsid w:val="00DE2D7B"/>
    <w:rsid w:val="00DE2DBF"/>
    <w:rsid w:val="00DE2F16"/>
    <w:rsid w:val="00DE323D"/>
    <w:rsid w:val="00DE35DE"/>
    <w:rsid w:val="00DE3B72"/>
    <w:rsid w:val="00DE3C55"/>
    <w:rsid w:val="00DE3CAE"/>
    <w:rsid w:val="00DE3D3C"/>
    <w:rsid w:val="00DE3EFD"/>
    <w:rsid w:val="00DE4061"/>
    <w:rsid w:val="00DE40D8"/>
    <w:rsid w:val="00DE438C"/>
    <w:rsid w:val="00DE43EE"/>
    <w:rsid w:val="00DE444B"/>
    <w:rsid w:val="00DE4592"/>
    <w:rsid w:val="00DE4D25"/>
    <w:rsid w:val="00DE4F94"/>
    <w:rsid w:val="00DE510D"/>
    <w:rsid w:val="00DE526A"/>
    <w:rsid w:val="00DE52A7"/>
    <w:rsid w:val="00DE5776"/>
    <w:rsid w:val="00DE5880"/>
    <w:rsid w:val="00DE58D0"/>
    <w:rsid w:val="00DE59C2"/>
    <w:rsid w:val="00DE5ACF"/>
    <w:rsid w:val="00DE5E0F"/>
    <w:rsid w:val="00DE5F88"/>
    <w:rsid w:val="00DE5FA0"/>
    <w:rsid w:val="00DE60DE"/>
    <w:rsid w:val="00DE6349"/>
    <w:rsid w:val="00DE65BA"/>
    <w:rsid w:val="00DE6938"/>
    <w:rsid w:val="00DE697C"/>
    <w:rsid w:val="00DE6C96"/>
    <w:rsid w:val="00DE6EC4"/>
    <w:rsid w:val="00DE719A"/>
    <w:rsid w:val="00DE76A1"/>
    <w:rsid w:val="00DE76AA"/>
    <w:rsid w:val="00DE7816"/>
    <w:rsid w:val="00DF00C5"/>
    <w:rsid w:val="00DF027B"/>
    <w:rsid w:val="00DF0632"/>
    <w:rsid w:val="00DF065A"/>
    <w:rsid w:val="00DF08E6"/>
    <w:rsid w:val="00DF09AC"/>
    <w:rsid w:val="00DF0A76"/>
    <w:rsid w:val="00DF0AC5"/>
    <w:rsid w:val="00DF0C2A"/>
    <w:rsid w:val="00DF0F0C"/>
    <w:rsid w:val="00DF0FBA"/>
    <w:rsid w:val="00DF1348"/>
    <w:rsid w:val="00DF144B"/>
    <w:rsid w:val="00DF16DE"/>
    <w:rsid w:val="00DF1BF6"/>
    <w:rsid w:val="00DF1DB9"/>
    <w:rsid w:val="00DF1E47"/>
    <w:rsid w:val="00DF203B"/>
    <w:rsid w:val="00DF2157"/>
    <w:rsid w:val="00DF21CC"/>
    <w:rsid w:val="00DF223A"/>
    <w:rsid w:val="00DF22D3"/>
    <w:rsid w:val="00DF2315"/>
    <w:rsid w:val="00DF25F6"/>
    <w:rsid w:val="00DF2B35"/>
    <w:rsid w:val="00DF2BD3"/>
    <w:rsid w:val="00DF2CB1"/>
    <w:rsid w:val="00DF31E5"/>
    <w:rsid w:val="00DF34A8"/>
    <w:rsid w:val="00DF38AB"/>
    <w:rsid w:val="00DF399F"/>
    <w:rsid w:val="00DF3ABD"/>
    <w:rsid w:val="00DF3BE5"/>
    <w:rsid w:val="00DF3E11"/>
    <w:rsid w:val="00DF3E34"/>
    <w:rsid w:val="00DF438C"/>
    <w:rsid w:val="00DF440D"/>
    <w:rsid w:val="00DF476F"/>
    <w:rsid w:val="00DF477A"/>
    <w:rsid w:val="00DF4998"/>
    <w:rsid w:val="00DF49CD"/>
    <w:rsid w:val="00DF4F47"/>
    <w:rsid w:val="00DF512B"/>
    <w:rsid w:val="00DF55BF"/>
    <w:rsid w:val="00DF6078"/>
    <w:rsid w:val="00DF625A"/>
    <w:rsid w:val="00DF638C"/>
    <w:rsid w:val="00DF657E"/>
    <w:rsid w:val="00DF6599"/>
    <w:rsid w:val="00DF65CA"/>
    <w:rsid w:val="00DF6605"/>
    <w:rsid w:val="00DF6657"/>
    <w:rsid w:val="00DF66CA"/>
    <w:rsid w:val="00DF678B"/>
    <w:rsid w:val="00DF6E56"/>
    <w:rsid w:val="00DF6EF7"/>
    <w:rsid w:val="00DF7085"/>
    <w:rsid w:val="00DF74FA"/>
    <w:rsid w:val="00DF7579"/>
    <w:rsid w:val="00DF7590"/>
    <w:rsid w:val="00DF796E"/>
    <w:rsid w:val="00DF7A71"/>
    <w:rsid w:val="00DF7D0C"/>
    <w:rsid w:val="00DF7D20"/>
    <w:rsid w:val="00DF7F9B"/>
    <w:rsid w:val="00E00092"/>
    <w:rsid w:val="00E001AB"/>
    <w:rsid w:val="00E00925"/>
    <w:rsid w:val="00E00F93"/>
    <w:rsid w:val="00E0103C"/>
    <w:rsid w:val="00E010E6"/>
    <w:rsid w:val="00E01489"/>
    <w:rsid w:val="00E0152D"/>
    <w:rsid w:val="00E01A28"/>
    <w:rsid w:val="00E01DE7"/>
    <w:rsid w:val="00E01E0F"/>
    <w:rsid w:val="00E01FF1"/>
    <w:rsid w:val="00E0206E"/>
    <w:rsid w:val="00E02603"/>
    <w:rsid w:val="00E026C5"/>
    <w:rsid w:val="00E02746"/>
    <w:rsid w:val="00E027B2"/>
    <w:rsid w:val="00E02E0B"/>
    <w:rsid w:val="00E02E21"/>
    <w:rsid w:val="00E02EF8"/>
    <w:rsid w:val="00E02F6C"/>
    <w:rsid w:val="00E02FAB"/>
    <w:rsid w:val="00E031A7"/>
    <w:rsid w:val="00E0344E"/>
    <w:rsid w:val="00E03499"/>
    <w:rsid w:val="00E0358A"/>
    <w:rsid w:val="00E0379B"/>
    <w:rsid w:val="00E03CFC"/>
    <w:rsid w:val="00E03FC9"/>
    <w:rsid w:val="00E0408F"/>
    <w:rsid w:val="00E04108"/>
    <w:rsid w:val="00E0424F"/>
    <w:rsid w:val="00E042F1"/>
    <w:rsid w:val="00E044CF"/>
    <w:rsid w:val="00E04690"/>
    <w:rsid w:val="00E04A48"/>
    <w:rsid w:val="00E04B76"/>
    <w:rsid w:val="00E04D85"/>
    <w:rsid w:val="00E04E4A"/>
    <w:rsid w:val="00E050C5"/>
    <w:rsid w:val="00E053C5"/>
    <w:rsid w:val="00E055F5"/>
    <w:rsid w:val="00E05627"/>
    <w:rsid w:val="00E05A9E"/>
    <w:rsid w:val="00E05BC6"/>
    <w:rsid w:val="00E05C2F"/>
    <w:rsid w:val="00E06332"/>
    <w:rsid w:val="00E06337"/>
    <w:rsid w:val="00E063EE"/>
    <w:rsid w:val="00E0682F"/>
    <w:rsid w:val="00E069E4"/>
    <w:rsid w:val="00E06A2E"/>
    <w:rsid w:val="00E07257"/>
    <w:rsid w:val="00E077D4"/>
    <w:rsid w:val="00E0790C"/>
    <w:rsid w:val="00E079EE"/>
    <w:rsid w:val="00E07A04"/>
    <w:rsid w:val="00E07AFB"/>
    <w:rsid w:val="00E07C54"/>
    <w:rsid w:val="00E07F52"/>
    <w:rsid w:val="00E1001A"/>
    <w:rsid w:val="00E10136"/>
    <w:rsid w:val="00E103EB"/>
    <w:rsid w:val="00E1068A"/>
    <w:rsid w:val="00E106A5"/>
    <w:rsid w:val="00E1107B"/>
    <w:rsid w:val="00E11391"/>
    <w:rsid w:val="00E114EB"/>
    <w:rsid w:val="00E11B41"/>
    <w:rsid w:val="00E11D2A"/>
    <w:rsid w:val="00E12283"/>
    <w:rsid w:val="00E12BB9"/>
    <w:rsid w:val="00E12C65"/>
    <w:rsid w:val="00E130E7"/>
    <w:rsid w:val="00E13139"/>
    <w:rsid w:val="00E13220"/>
    <w:rsid w:val="00E13AA5"/>
    <w:rsid w:val="00E13AE6"/>
    <w:rsid w:val="00E13B08"/>
    <w:rsid w:val="00E14144"/>
    <w:rsid w:val="00E141F1"/>
    <w:rsid w:val="00E147BA"/>
    <w:rsid w:val="00E1482C"/>
    <w:rsid w:val="00E149A6"/>
    <w:rsid w:val="00E14A15"/>
    <w:rsid w:val="00E14A2B"/>
    <w:rsid w:val="00E14CBB"/>
    <w:rsid w:val="00E156C9"/>
    <w:rsid w:val="00E157DC"/>
    <w:rsid w:val="00E15BB8"/>
    <w:rsid w:val="00E15C21"/>
    <w:rsid w:val="00E15E03"/>
    <w:rsid w:val="00E15E5B"/>
    <w:rsid w:val="00E15ED8"/>
    <w:rsid w:val="00E16355"/>
    <w:rsid w:val="00E164DC"/>
    <w:rsid w:val="00E1659B"/>
    <w:rsid w:val="00E16614"/>
    <w:rsid w:val="00E16DC9"/>
    <w:rsid w:val="00E17228"/>
    <w:rsid w:val="00E1730E"/>
    <w:rsid w:val="00E17312"/>
    <w:rsid w:val="00E173EA"/>
    <w:rsid w:val="00E17E42"/>
    <w:rsid w:val="00E20117"/>
    <w:rsid w:val="00E202A7"/>
    <w:rsid w:val="00E202F3"/>
    <w:rsid w:val="00E20337"/>
    <w:rsid w:val="00E20575"/>
    <w:rsid w:val="00E2067E"/>
    <w:rsid w:val="00E2069E"/>
    <w:rsid w:val="00E20952"/>
    <w:rsid w:val="00E20A37"/>
    <w:rsid w:val="00E20B74"/>
    <w:rsid w:val="00E20B92"/>
    <w:rsid w:val="00E20C6E"/>
    <w:rsid w:val="00E21331"/>
    <w:rsid w:val="00E213C3"/>
    <w:rsid w:val="00E213D6"/>
    <w:rsid w:val="00E213EC"/>
    <w:rsid w:val="00E2143E"/>
    <w:rsid w:val="00E2168A"/>
    <w:rsid w:val="00E217D4"/>
    <w:rsid w:val="00E21C54"/>
    <w:rsid w:val="00E21C61"/>
    <w:rsid w:val="00E21DC8"/>
    <w:rsid w:val="00E220B5"/>
    <w:rsid w:val="00E2259D"/>
    <w:rsid w:val="00E22670"/>
    <w:rsid w:val="00E229A1"/>
    <w:rsid w:val="00E229C6"/>
    <w:rsid w:val="00E22A31"/>
    <w:rsid w:val="00E22A97"/>
    <w:rsid w:val="00E22F06"/>
    <w:rsid w:val="00E22F1E"/>
    <w:rsid w:val="00E230B3"/>
    <w:rsid w:val="00E23192"/>
    <w:rsid w:val="00E232FA"/>
    <w:rsid w:val="00E23475"/>
    <w:rsid w:val="00E2352B"/>
    <w:rsid w:val="00E235A6"/>
    <w:rsid w:val="00E23707"/>
    <w:rsid w:val="00E23A60"/>
    <w:rsid w:val="00E23BB4"/>
    <w:rsid w:val="00E23BBE"/>
    <w:rsid w:val="00E23CDF"/>
    <w:rsid w:val="00E23E24"/>
    <w:rsid w:val="00E24302"/>
    <w:rsid w:val="00E24323"/>
    <w:rsid w:val="00E2492F"/>
    <w:rsid w:val="00E2495B"/>
    <w:rsid w:val="00E24982"/>
    <w:rsid w:val="00E24986"/>
    <w:rsid w:val="00E249D0"/>
    <w:rsid w:val="00E24A3F"/>
    <w:rsid w:val="00E24C5B"/>
    <w:rsid w:val="00E24DF8"/>
    <w:rsid w:val="00E250B4"/>
    <w:rsid w:val="00E250D5"/>
    <w:rsid w:val="00E25373"/>
    <w:rsid w:val="00E25574"/>
    <w:rsid w:val="00E25A58"/>
    <w:rsid w:val="00E25A7A"/>
    <w:rsid w:val="00E25DAF"/>
    <w:rsid w:val="00E25E77"/>
    <w:rsid w:val="00E260E6"/>
    <w:rsid w:val="00E26147"/>
    <w:rsid w:val="00E261BB"/>
    <w:rsid w:val="00E26381"/>
    <w:rsid w:val="00E2640D"/>
    <w:rsid w:val="00E267AB"/>
    <w:rsid w:val="00E268F5"/>
    <w:rsid w:val="00E268F8"/>
    <w:rsid w:val="00E26986"/>
    <w:rsid w:val="00E269CB"/>
    <w:rsid w:val="00E26A8D"/>
    <w:rsid w:val="00E26B9D"/>
    <w:rsid w:val="00E26C2B"/>
    <w:rsid w:val="00E270E5"/>
    <w:rsid w:val="00E271CB"/>
    <w:rsid w:val="00E27337"/>
    <w:rsid w:val="00E27769"/>
    <w:rsid w:val="00E278B5"/>
    <w:rsid w:val="00E27997"/>
    <w:rsid w:val="00E27AD5"/>
    <w:rsid w:val="00E27B8D"/>
    <w:rsid w:val="00E27D5C"/>
    <w:rsid w:val="00E27D6D"/>
    <w:rsid w:val="00E27DCA"/>
    <w:rsid w:val="00E300E7"/>
    <w:rsid w:val="00E301DE"/>
    <w:rsid w:val="00E30601"/>
    <w:rsid w:val="00E30621"/>
    <w:rsid w:val="00E30731"/>
    <w:rsid w:val="00E309E7"/>
    <w:rsid w:val="00E30C3A"/>
    <w:rsid w:val="00E30D24"/>
    <w:rsid w:val="00E30D62"/>
    <w:rsid w:val="00E30E69"/>
    <w:rsid w:val="00E30F87"/>
    <w:rsid w:val="00E31117"/>
    <w:rsid w:val="00E311A1"/>
    <w:rsid w:val="00E3162F"/>
    <w:rsid w:val="00E318A5"/>
    <w:rsid w:val="00E319CC"/>
    <w:rsid w:val="00E31B28"/>
    <w:rsid w:val="00E32018"/>
    <w:rsid w:val="00E32244"/>
    <w:rsid w:val="00E325BA"/>
    <w:rsid w:val="00E326AF"/>
    <w:rsid w:val="00E32AEF"/>
    <w:rsid w:val="00E32BCD"/>
    <w:rsid w:val="00E32E0E"/>
    <w:rsid w:val="00E33002"/>
    <w:rsid w:val="00E330AD"/>
    <w:rsid w:val="00E3316B"/>
    <w:rsid w:val="00E33189"/>
    <w:rsid w:val="00E3334C"/>
    <w:rsid w:val="00E333CB"/>
    <w:rsid w:val="00E33D85"/>
    <w:rsid w:val="00E346FC"/>
    <w:rsid w:val="00E34767"/>
    <w:rsid w:val="00E3482D"/>
    <w:rsid w:val="00E34A39"/>
    <w:rsid w:val="00E34ACB"/>
    <w:rsid w:val="00E34BB0"/>
    <w:rsid w:val="00E34C65"/>
    <w:rsid w:val="00E34D20"/>
    <w:rsid w:val="00E34F4D"/>
    <w:rsid w:val="00E34FDD"/>
    <w:rsid w:val="00E352C3"/>
    <w:rsid w:val="00E3532F"/>
    <w:rsid w:val="00E353E6"/>
    <w:rsid w:val="00E354FD"/>
    <w:rsid w:val="00E359AA"/>
    <w:rsid w:val="00E35CA6"/>
    <w:rsid w:val="00E36533"/>
    <w:rsid w:val="00E368C8"/>
    <w:rsid w:val="00E36980"/>
    <w:rsid w:val="00E369D7"/>
    <w:rsid w:val="00E36C26"/>
    <w:rsid w:val="00E36F12"/>
    <w:rsid w:val="00E3725A"/>
    <w:rsid w:val="00E3732E"/>
    <w:rsid w:val="00E373CD"/>
    <w:rsid w:val="00E37699"/>
    <w:rsid w:val="00E376DC"/>
    <w:rsid w:val="00E3792A"/>
    <w:rsid w:val="00E37CC0"/>
    <w:rsid w:val="00E40001"/>
    <w:rsid w:val="00E401B0"/>
    <w:rsid w:val="00E40249"/>
    <w:rsid w:val="00E403A7"/>
    <w:rsid w:val="00E4086A"/>
    <w:rsid w:val="00E40B09"/>
    <w:rsid w:val="00E40BEA"/>
    <w:rsid w:val="00E410CC"/>
    <w:rsid w:val="00E41181"/>
    <w:rsid w:val="00E4156C"/>
    <w:rsid w:val="00E4168F"/>
    <w:rsid w:val="00E419B2"/>
    <w:rsid w:val="00E419CD"/>
    <w:rsid w:val="00E41ECE"/>
    <w:rsid w:val="00E420F8"/>
    <w:rsid w:val="00E42364"/>
    <w:rsid w:val="00E424D8"/>
    <w:rsid w:val="00E42591"/>
    <w:rsid w:val="00E42814"/>
    <w:rsid w:val="00E42934"/>
    <w:rsid w:val="00E42A40"/>
    <w:rsid w:val="00E42A68"/>
    <w:rsid w:val="00E42A77"/>
    <w:rsid w:val="00E42C85"/>
    <w:rsid w:val="00E42DD7"/>
    <w:rsid w:val="00E4306C"/>
    <w:rsid w:val="00E432F6"/>
    <w:rsid w:val="00E434B6"/>
    <w:rsid w:val="00E435E1"/>
    <w:rsid w:val="00E43B17"/>
    <w:rsid w:val="00E43C0E"/>
    <w:rsid w:val="00E43FF5"/>
    <w:rsid w:val="00E44154"/>
    <w:rsid w:val="00E442F6"/>
    <w:rsid w:val="00E4469D"/>
    <w:rsid w:val="00E44783"/>
    <w:rsid w:val="00E44EDF"/>
    <w:rsid w:val="00E44F33"/>
    <w:rsid w:val="00E44F8F"/>
    <w:rsid w:val="00E4534C"/>
    <w:rsid w:val="00E45452"/>
    <w:rsid w:val="00E45689"/>
    <w:rsid w:val="00E456CE"/>
    <w:rsid w:val="00E456D4"/>
    <w:rsid w:val="00E456D7"/>
    <w:rsid w:val="00E45721"/>
    <w:rsid w:val="00E45973"/>
    <w:rsid w:val="00E45AE9"/>
    <w:rsid w:val="00E45B4A"/>
    <w:rsid w:val="00E45CAC"/>
    <w:rsid w:val="00E45CD4"/>
    <w:rsid w:val="00E45DD0"/>
    <w:rsid w:val="00E45EC5"/>
    <w:rsid w:val="00E46052"/>
    <w:rsid w:val="00E4611B"/>
    <w:rsid w:val="00E46157"/>
    <w:rsid w:val="00E4655E"/>
    <w:rsid w:val="00E4686B"/>
    <w:rsid w:val="00E46B2B"/>
    <w:rsid w:val="00E46FD6"/>
    <w:rsid w:val="00E47606"/>
    <w:rsid w:val="00E47B02"/>
    <w:rsid w:val="00E47D42"/>
    <w:rsid w:val="00E5012D"/>
    <w:rsid w:val="00E5034A"/>
    <w:rsid w:val="00E50408"/>
    <w:rsid w:val="00E5091D"/>
    <w:rsid w:val="00E50BC8"/>
    <w:rsid w:val="00E50C26"/>
    <w:rsid w:val="00E50F7F"/>
    <w:rsid w:val="00E5139B"/>
    <w:rsid w:val="00E5160C"/>
    <w:rsid w:val="00E51B5B"/>
    <w:rsid w:val="00E51EC7"/>
    <w:rsid w:val="00E51EDD"/>
    <w:rsid w:val="00E52712"/>
    <w:rsid w:val="00E52B54"/>
    <w:rsid w:val="00E52B8C"/>
    <w:rsid w:val="00E52DF1"/>
    <w:rsid w:val="00E5379D"/>
    <w:rsid w:val="00E53B04"/>
    <w:rsid w:val="00E53E87"/>
    <w:rsid w:val="00E5451C"/>
    <w:rsid w:val="00E54572"/>
    <w:rsid w:val="00E54622"/>
    <w:rsid w:val="00E54684"/>
    <w:rsid w:val="00E54928"/>
    <w:rsid w:val="00E54D32"/>
    <w:rsid w:val="00E54F4E"/>
    <w:rsid w:val="00E54FC8"/>
    <w:rsid w:val="00E55270"/>
    <w:rsid w:val="00E55406"/>
    <w:rsid w:val="00E554E8"/>
    <w:rsid w:val="00E55685"/>
    <w:rsid w:val="00E55837"/>
    <w:rsid w:val="00E55BB0"/>
    <w:rsid w:val="00E55E83"/>
    <w:rsid w:val="00E56066"/>
    <w:rsid w:val="00E5617D"/>
    <w:rsid w:val="00E562E0"/>
    <w:rsid w:val="00E56409"/>
    <w:rsid w:val="00E56A02"/>
    <w:rsid w:val="00E56AA6"/>
    <w:rsid w:val="00E56E05"/>
    <w:rsid w:val="00E56F9D"/>
    <w:rsid w:val="00E57610"/>
    <w:rsid w:val="00E5767A"/>
    <w:rsid w:val="00E5785E"/>
    <w:rsid w:val="00E57868"/>
    <w:rsid w:val="00E5792C"/>
    <w:rsid w:val="00E579F1"/>
    <w:rsid w:val="00E57D94"/>
    <w:rsid w:val="00E57FD1"/>
    <w:rsid w:val="00E60328"/>
    <w:rsid w:val="00E60353"/>
    <w:rsid w:val="00E603C0"/>
    <w:rsid w:val="00E605DD"/>
    <w:rsid w:val="00E60644"/>
    <w:rsid w:val="00E60EBD"/>
    <w:rsid w:val="00E60FCE"/>
    <w:rsid w:val="00E61013"/>
    <w:rsid w:val="00E61139"/>
    <w:rsid w:val="00E61176"/>
    <w:rsid w:val="00E61182"/>
    <w:rsid w:val="00E613D7"/>
    <w:rsid w:val="00E613FC"/>
    <w:rsid w:val="00E614E5"/>
    <w:rsid w:val="00E61508"/>
    <w:rsid w:val="00E615B2"/>
    <w:rsid w:val="00E615D5"/>
    <w:rsid w:val="00E61F13"/>
    <w:rsid w:val="00E61F60"/>
    <w:rsid w:val="00E61FA8"/>
    <w:rsid w:val="00E62131"/>
    <w:rsid w:val="00E62459"/>
    <w:rsid w:val="00E6274A"/>
    <w:rsid w:val="00E62985"/>
    <w:rsid w:val="00E629B2"/>
    <w:rsid w:val="00E62AB2"/>
    <w:rsid w:val="00E62DA2"/>
    <w:rsid w:val="00E62DA4"/>
    <w:rsid w:val="00E62DAD"/>
    <w:rsid w:val="00E62DDC"/>
    <w:rsid w:val="00E62F0C"/>
    <w:rsid w:val="00E632FB"/>
    <w:rsid w:val="00E633AE"/>
    <w:rsid w:val="00E635D2"/>
    <w:rsid w:val="00E63634"/>
    <w:rsid w:val="00E63743"/>
    <w:rsid w:val="00E6394D"/>
    <w:rsid w:val="00E6397B"/>
    <w:rsid w:val="00E63B3E"/>
    <w:rsid w:val="00E64535"/>
    <w:rsid w:val="00E64558"/>
    <w:rsid w:val="00E647C1"/>
    <w:rsid w:val="00E6483B"/>
    <w:rsid w:val="00E64AA3"/>
    <w:rsid w:val="00E64B6D"/>
    <w:rsid w:val="00E64BBC"/>
    <w:rsid w:val="00E64CE8"/>
    <w:rsid w:val="00E64D9B"/>
    <w:rsid w:val="00E65168"/>
    <w:rsid w:val="00E652B9"/>
    <w:rsid w:val="00E65619"/>
    <w:rsid w:val="00E6562F"/>
    <w:rsid w:val="00E65D5B"/>
    <w:rsid w:val="00E66152"/>
    <w:rsid w:val="00E6641F"/>
    <w:rsid w:val="00E6642C"/>
    <w:rsid w:val="00E6662A"/>
    <w:rsid w:val="00E66767"/>
    <w:rsid w:val="00E66798"/>
    <w:rsid w:val="00E667A0"/>
    <w:rsid w:val="00E669DF"/>
    <w:rsid w:val="00E670AF"/>
    <w:rsid w:val="00E6721F"/>
    <w:rsid w:val="00E67632"/>
    <w:rsid w:val="00E676C8"/>
    <w:rsid w:val="00E6774B"/>
    <w:rsid w:val="00E6775C"/>
    <w:rsid w:val="00E6783C"/>
    <w:rsid w:val="00E6786A"/>
    <w:rsid w:val="00E67BB3"/>
    <w:rsid w:val="00E67D86"/>
    <w:rsid w:val="00E70294"/>
    <w:rsid w:val="00E7040F"/>
    <w:rsid w:val="00E70439"/>
    <w:rsid w:val="00E70508"/>
    <w:rsid w:val="00E70621"/>
    <w:rsid w:val="00E7062A"/>
    <w:rsid w:val="00E70901"/>
    <w:rsid w:val="00E70A0A"/>
    <w:rsid w:val="00E70C35"/>
    <w:rsid w:val="00E70C9B"/>
    <w:rsid w:val="00E70F51"/>
    <w:rsid w:val="00E71107"/>
    <w:rsid w:val="00E7115F"/>
    <w:rsid w:val="00E711CD"/>
    <w:rsid w:val="00E71237"/>
    <w:rsid w:val="00E7154D"/>
    <w:rsid w:val="00E71601"/>
    <w:rsid w:val="00E716D1"/>
    <w:rsid w:val="00E7195B"/>
    <w:rsid w:val="00E71D1C"/>
    <w:rsid w:val="00E71EA2"/>
    <w:rsid w:val="00E71F99"/>
    <w:rsid w:val="00E722C2"/>
    <w:rsid w:val="00E7240F"/>
    <w:rsid w:val="00E7259F"/>
    <w:rsid w:val="00E7269B"/>
    <w:rsid w:val="00E728CE"/>
    <w:rsid w:val="00E72A6B"/>
    <w:rsid w:val="00E735B9"/>
    <w:rsid w:val="00E73891"/>
    <w:rsid w:val="00E7398A"/>
    <w:rsid w:val="00E74270"/>
    <w:rsid w:val="00E74490"/>
    <w:rsid w:val="00E744F6"/>
    <w:rsid w:val="00E74C5C"/>
    <w:rsid w:val="00E74D13"/>
    <w:rsid w:val="00E74FCD"/>
    <w:rsid w:val="00E75070"/>
    <w:rsid w:val="00E750AB"/>
    <w:rsid w:val="00E75269"/>
    <w:rsid w:val="00E755E0"/>
    <w:rsid w:val="00E75713"/>
    <w:rsid w:val="00E759EE"/>
    <w:rsid w:val="00E75CF2"/>
    <w:rsid w:val="00E7639F"/>
    <w:rsid w:val="00E7663E"/>
    <w:rsid w:val="00E76B0D"/>
    <w:rsid w:val="00E76BBE"/>
    <w:rsid w:val="00E772A4"/>
    <w:rsid w:val="00E77C87"/>
    <w:rsid w:val="00E80599"/>
    <w:rsid w:val="00E8064F"/>
    <w:rsid w:val="00E80A57"/>
    <w:rsid w:val="00E80A80"/>
    <w:rsid w:val="00E810D8"/>
    <w:rsid w:val="00E81223"/>
    <w:rsid w:val="00E81256"/>
    <w:rsid w:val="00E81328"/>
    <w:rsid w:val="00E81406"/>
    <w:rsid w:val="00E81707"/>
    <w:rsid w:val="00E8184F"/>
    <w:rsid w:val="00E819F0"/>
    <w:rsid w:val="00E81CA6"/>
    <w:rsid w:val="00E81F94"/>
    <w:rsid w:val="00E82094"/>
    <w:rsid w:val="00E82A8D"/>
    <w:rsid w:val="00E82BFE"/>
    <w:rsid w:val="00E82D5F"/>
    <w:rsid w:val="00E82E0D"/>
    <w:rsid w:val="00E83402"/>
    <w:rsid w:val="00E836CC"/>
    <w:rsid w:val="00E83814"/>
    <w:rsid w:val="00E84423"/>
    <w:rsid w:val="00E84496"/>
    <w:rsid w:val="00E845A7"/>
    <w:rsid w:val="00E8473D"/>
    <w:rsid w:val="00E84BB6"/>
    <w:rsid w:val="00E84CD0"/>
    <w:rsid w:val="00E84F42"/>
    <w:rsid w:val="00E8504C"/>
    <w:rsid w:val="00E85071"/>
    <w:rsid w:val="00E8533B"/>
    <w:rsid w:val="00E85745"/>
    <w:rsid w:val="00E85783"/>
    <w:rsid w:val="00E85B7E"/>
    <w:rsid w:val="00E85F16"/>
    <w:rsid w:val="00E867DB"/>
    <w:rsid w:val="00E8688C"/>
    <w:rsid w:val="00E86914"/>
    <w:rsid w:val="00E8699D"/>
    <w:rsid w:val="00E86A78"/>
    <w:rsid w:val="00E86B3D"/>
    <w:rsid w:val="00E86E51"/>
    <w:rsid w:val="00E873F7"/>
    <w:rsid w:val="00E8749B"/>
    <w:rsid w:val="00E876BB"/>
    <w:rsid w:val="00E87855"/>
    <w:rsid w:val="00E878C7"/>
    <w:rsid w:val="00E87B20"/>
    <w:rsid w:val="00E87B39"/>
    <w:rsid w:val="00E9007E"/>
    <w:rsid w:val="00E90226"/>
    <w:rsid w:val="00E90264"/>
    <w:rsid w:val="00E9058E"/>
    <w:rsid w:val="00E9065E"/>
    <w:rsid w:val="00E90A11"/>
    <w:rsid w:val="00E90A6D"/>
    <w:rsid w:val="00E90C26"/>
    <w:rsid w:val="00E90F33"/>
    <w:rsid w:val="00E91035"/>
    <w:rsid w:val="00E91194"/>
    <w:rsid w:val="00E9119F"/>
    <w:rsid w:val="00E911A7"/>
    <w:rsid w:val="00E914DC"/>
    <w:rsid w:val="00E915A2"/>
    <w:rsid w:val="00E91942"/>
    <w:rsid w:val="00E91E4E"/>
    <w:rsid w:val="00E92231"/>
    <w:rsid w:val="00E923BD"/>
    <w:rsid w:val="00E923C6"/>
    <w:rsid w:val="00E92482"/>
    <w:rsid w:val="00E9249E"/>
    <w:rsid w:val="00E927FC"/>
    <w:rsid w:val="00E92875"/>
    <w:rsid w:val="00E928C7"/>
    <w:rsid w:val="00E931D9"/>
    <w:rsid w:val="00E934B4"/>
    <w:rsid w:val="00E93757"/>
    <w:rsid w:val="00E93829"/>
    <w:rsid w:val="00E93AF0"/>
    <w:rsid w:val="00E93B57"/>
    <w:rsid w:val="00E93C12"/>
    <w:rsid w:val="00E93DCB"/>
    <w:rsid w:val="00E93E3F"/>
    <w:rsid w:val="00E940C5"/>
    <w:rsid w:val="00E944DD"/>
    <w:rsid w:val="00E948BA"/>
    <w:rsid w:val="00E94A88"/>
    <w:rsid w:val="00E94E96"/>
    <w:rsid w:val="00E94F1C"/>
    <w:rsid w:val="00E94FC5"/>
    <w:rsid w:val="00E95155"/>
    <w:rsid w:val="00E95358"/>
    <w:rsid w:val="00E95452"/>
    <w:rsid w:val="00E95457"/>
    <w:rsid w:val="00E954A7"/>
    <w:rsid w:val="00E95867"/>
    <w:rsid w:val="00E9587D"/>
    <w:rsid w:val="00E96205"/>
    <w:rsid w:val="00E96255"/>
    <w:rsid w:val="00E962D5"/>
    <w:rsid w:val="00E9642C"/>
    <w:rsid w:val="00E96676"/>
    <w:rsid w:val="00E96872"/>
    <w:rsid w:val="00E969FF"/>
    <w:rsid w:val="00E96C80"/>
    <w:rsid w:val="00E971A8"/>
    <w:rsid w:val="00E97273"/>
    <w:rsid w:val="00E97284"/>
    <w:rsid w:val="00E97396"/>
    <w:rsid w:val="00E97817"/>
    <w:rsid w:val="00E97834"/>
    <w:rsid w:val="00E9794D"/>
    <w:rsid w:val="00E979B7"/>
    <w:rsid w:val="00E97B93"/>
    <w:rsid w:val="00E97D0E"/>
    <w:rsid w:val="00E97E9E"/>
    <w:rsid w:val="00EA0176"/>
    <w:rsid w:val="00EA05A4"/>
    <w:rsid w:val="00EA0B0D"/>
    <w:rsid w:val="00EA0E04"/>
    <w:rsid w:val="00EA0E29"/>
    <w:rsid w:val="00EA1422"/>
    <w:rsid w:val="00EA1ACE"/>
    <w:rsid w:val="00EA2053"/>
    <w:rsid w:val="00EA2389"/>
    <w:rsid w:val="00EA2748"/>
    <w:rsid w:val="00EA2DAA"/>
    <w:rsid w:val="00EA3021"/>
    <w:rsid w:val="00EA30E0"/>
    <w:rsid w:val="00EA32C9"/>
    <w:rsid w:val="00EA353C"/>
    <w:rsid w:val="00EA3A42"/>
    <w:rsid w:val="00EA3B89"/>
    <w:rsid w:val="00EA3E61"/>
    <w:rsid w:val="00EA4161"/>
    <w:rsid w:val="00EA41DE"/>
    <w:rsid w:val="00EA4605"/>
    <w:rsid w:val="00EA4619"/>
    <w:rsid w:val="00EA4A1C"/>
    <w:rsid w:val="00EA4C64"/>
    <w:rsid w:val="00EA581B"/>
    <w:rsid w:val="00EA5BC0"/>
    <w:rsid w:val="00EA5C9D"/>
    <w:rsid w:val="00EA5F09"/>
    <w:rsid w:val="00EA5FCB"/>
    <w:rsid w:val="00EA6568"/>
    <w:rsid w:val="00EA6646"/>
    <w:rsid w:val="00EA67E7"/>
    <w:rsid w:val="00EA6851"/>
    <w:rsid w:val="00EA6D6B"/>
    <w:rsid w:val="00EA6DDE"/>
    <w:rsid w:val="00EA73D7"/>
    <w:rsid w:val="00EA7452"/>
    <w:rsid w:val="00EA7705"/>
    <w:rsid w:val="00EA7757"/>
    <w:rsid w:val="00EA7960"/>
    <w:rsid w:val="00EB058D"/>
    <w:rsid w:val="00EB072A"/>
    <w:rsid w:val="00EB0DCE"/>
    <w:rsid w:val="00EB0F66"/>
    <w:rsid w:val="00EB123D"/>
    <w:rsid w:val="00EB148E"/>
    <w:rsid w:val="00EB1620"/>
    <w:rsid w:val="00EB1F1A"/>
    <w:rsid w:val="00EB211F"/>
    <w:rsid w:val="00EB2411"/>
    <w:rsid w:val="00EB2770"/>
    <w:rsid w:val="00EB28A6"/>
    <w:rsid w:val="00EB2C64"/>
    <w:rsid w:val="00EB31FF"/>
    <w:rsid w:val="00EB330E"/>
    <w:rsid w:val="00EB33A9"/>
    <w:rsid w:val="00EB33F9"/>
    <w:rsid w:val="00EB33FD"/>
    <w:rsid w:val="00EB344E"/>
    <w:rsid w:val="00EB34E2"/>
    <w:rsid w:val="00EB36B7"/>
    <w:rsid w:val="00EB3C28"/>
    <w:rsid w:val="00EB3C29"/>
    <w:rsid w:val="00EB3DF8"/>
    <w:rsid w:val="00EB3F69"/>
    <w:rsid w:val="00EB40A2"/>
    <w:rsid w:val="00EB4283"/>
    <w:rsid w:val="00EB4780"/>
    <w:rsid w:val="00EB47DE"/>
    <w:rsid w:val="00EB4AED"/>
    <w:rsid w:val="00EB4B96"/>
    <w:rsid w:val="00EB4D3B"/>
    <w:rsid w:val="00EB4E60"/>
    <w:rsid w:val="00EB52A6"/>
    <w:rsid w:val="00EB559A"/>
    <w:rsid w:val="00EB5D6E"/>
    <w:rsid w:val="00EB5F71"/>
    <w:rsid w:val="00EB601B"/>
    <w:rsid w:val="00EB626B"/>
    <w:rsid w:val="00EB6722"/>
    <w:rsid w:val="00EB672D"/>
    <w:rsid w:val="00EB6A1B"/>
    <w:rsid w:val="00EB6FDC"/>
    <w:rsid w:val="00EB6FFB"/>
    <w:rsid w:val="00EB7204"/>
    <w:rsid w:val="00EB75E7"/>
    <w:rsid w:val="00EB7A15"/>
    <w:rsid w:val="00EB7B42"/>
    <w:rsid w:val="00EB7D12"/>
    <w:rsid w:val="00EB7DBA"/>
    <w:rsid w:val="00EB7DD7"/>
    <w:rsid w:val="00EC02BC"/>
    <w:rsid w:val="00EC0499"/>
    <w:rsid w:val="00EC04AA"/>
    <w:rsid w:val="00EC0606"/>
    <w:rsid w:val="00EC09D2"/>
    <w:rsid w:val="00EC0C15"/>
    <w:rsid w:val="00EC0D5E"/>
    <w:rsid w:val="00EC0D9D"/>
    <w:rsid w:val="00EC0DC4"/>
    <w:rsid w:val="00EC0EF6"/>
    <w:rsid w:val="00EC0F62"/>
    <w:rsid w:val="00EC1228"/>
    <w:rsid w:val="00EC12F5"/>
    <w:rsid w:val="00EC1526"/>
    <w:rsid w:val="00EC1639"/>
    <w:rsid w:val="00EC1DB8"/>
    <w:rsid w:val="00EC238B"/>
    <w:rsid w:val="00EC2836"/>
    <w:rsid w:val="00EC28F3"/>
    <w:rsid w:val="00EC2996"/>
    <w:rsid w:val="00EC2ACA"/>
    <w:rsid w:val="00EC2D52"/>
    <w:rsid w:val="00EC327D"/>
    <w:rsid w:val="00EC38C7"/>
    <w:rsid w:val="00EC3956"/>
    <w:rsid w:val="00EC3A9E"/>
    <w:rsid w:val="00EC3BC2"/>
    <w:rsid w:val="00EC3EE5"/>
    <w:rsid w:val="00EC3F39"/>
    <w:rsid w:val="00EC3F4A"/>
    <w:rsid w:val="00EC40E6"/>
    <w:rsid w:val="00EC4352"/>
    <w:rsid w:val="00EC4605"/>
    <w:rsid w:val="00EC4779"/>
    <w:rsid w:val="00EC4806"/>
    <w:rsid w:val="00EC4B05"/>
    <w:rsid w:val="00EC4EE4"/>
    <w:rsid w:val="00EC50BB"/>
    <w:rsid w:val="00EC54F9"/>
    <w:rsid w:val="00EC55D3"/>
    <w:rsid w:val="00EC59BA"/>
    <w:rsid w:val="00EC5A32"/>
    <w:rsid w:val="00EC5C86"/>
    <w:rsid w:val="00EC5E71"/>
    <w:rsid w:val="00EC5EE1"/>
    <w:rsid w:val="00EC64CD"/>
    <w:rsid w:val="00EC6534"/>
    <w:rsid w:val="00EC666C"/>
    <w:rsid w:val="00EC670B"/>
    <w:rsid w:val="00EC7079"/>
    <w:rsid w:val="00EC72C0"/>
    <w:rsid w:val="00EC74D6"/>
    <w:rsid w:val="00EC76A6"/>
    <w:rsid w:val="00EC76AB"/>
    <w:rsid w:val="00EC7B00"/>
    <w:rsid w:val="00EC7D12"/>
    <w:rsid w:val="00EC7E29"/>
    <w:rsid w:val="00EC7FB5"/>
    <w:rsid w:val="00ED03D2"/>
    <w:rsid w:val="00ED03DF"/>
    <w:rsid w:val="00ED04F4"/>
    <w:rsid w:val="00ED05D1"/>
    <w:rsid w:val="00ED064F"/>
    <w:rsid w:val="00ED0B09"/>
    <w:rsid w:val="00ED0B81"/>
    <w:rsid w:val="00ED0C1E"/>
    <w:rsid w:val="00ED0D3B"/>
    <w:rsid w:val="00ED1201"/>
    <w:rsid w:val="00ED148A"/>
    <w:rsid w:val="00ED15EB"/>
    <w:rsid w:val="00ED1664"/>
    <w:rsid w:val="00ED17E1"/>
    <w:rsid w:val="00ED185A"/>
    <w:rsid w:val="00ED18AF"/>
    <w:rsid w:val="00ED18FD"/>
    <w:rsid w:val="00ED19A6"/>
    <w:rsid w:val="00ED19E7"/>
    <w:rsid w:val="00ED1D68"/>
    <w:rsid w:val="00ED1F32"/>
    <w:rsid w:val="00ED2030"/>
    <w:rsid w:val="00ED2195"/>
    <w:rsid w:val="00ED21ED"/>
    <w:rsid w:val="00ED2282"/>
    <w:rsid w:val="00ED2692"/>
    <w:rsid w:val="00ED26C0"/>
    <w:rsid w:val="00ED27DD"/>
    <w:rsid w:val="00ED2890"/>
    <w:rsid w:val="00ED2924"/>
    <w:rsid w:val="00ED2AD2"/>
    <w:rsid w:val="00ED2B37"/>
    <w:rsid w:val="00ED348B"/>
    <w:rsid w:val="00ED386C"/>
    <w:rsid w:val="00ED386E"/>
    <w:rsid w:val="00ED3C38"/>
    <w:rsid w:val="00ED3CD9"/>
    <w:rsid w:val="00ED3E44"/>
    <w:rsid w:val="00ED466A"/>
    <w:rsid w:val="00ED4F70"/>
    <w:rsid w:val="00ED53FE"/>
    <w:rsid w:val="00ED5950"/>
    <w:rsid w:val="00ED59C3"/>
    <w:rsid w:val="00ED5C07"/>
    <w:rsid w:val="00ED5F69"/>
    <w:rsid w:val="00ED5FAD"/>
    <w:rsid w:val="00ED672C"/>
    <w:rsid w:val="00ED67C0"/>
    <w:rsid w:val="00ED681A"/>
    <w:rsid w:val="00ED68B8"/>
    <w:rsid w:val="00ED6960"/>
    <w:rsid w:val="00ED6B2D"/>
    <w:rsid w:val="00ED775C"/>
    <w:rsid w:val="00EE0010"/>
    <w:rsid w:val="00EE00F2"/>
    <w:rsid w:val="00EE0481"/>
    <w:rsid w:val="00EE0611"/>
    <w:rsid w:val="00EE09BF"/>
    <w:rsid w:val="00EE0FCC"/>
    <w:rsid w:val="00EE10FC"/>
    <w:rsid w:val="00EE1138"/>
    <w:rsid w:val="00EE1173"/>
    <w:rsid w:val="00EE12A5"/>
    <w:rsid w:val="00EE1307"/>
    <w:rsid w:val="00EE1383"/>
    <w:rsid w:val="00EE1478"/>
    <w:rsid w:val="00EE1AA2"/>
    <w:rsid w:val="00EE1AB7"/>
    <w:rsid w:val="00EE1BBB"/>
    <w:rsid w:val="00EE1D8D"/>
    <w:rsid w:val="00EE2020"/>
    <w:rsid w:val="00EE20F3"/>
    <w:rsid w:val="00EE22AD"/>
    <w:rsid w:val="00EE24E9"/>
    <w:rsid w:val="00EE2B20"/>
    <w:rsid w:val="00EE2CBA"/>
    <w:rsid w:val="00EE2CF6"/>
    <w:rsid w:val="00EE2DF0"/>
    <w:rsid w:val="00EE2FAE"/>
    <w:rsid w:val="00EE30D6"/>
    <w:rsid w:val="00EE3216"/>
    <w:rsid w:val="00EE3335"/>
    <w:rsid w:val="00EE339D"/>
    <w:rsid w:val="00EE33C9"/>
    <w:rsid w:val="00EE3882"/>
    <w:rsid w:val="00EE3C12"/>
    <w:rsid w:val="00EE3C76"/>
    <w:rsid w:val="00EE3D00"/>
    <w:rsid w:val="00EE3E34"/>
    <w:rsid w:val="00EE41E5"/>
    <w:rsid w:val="00EE4206"/>
    <w:rsid w:val="00EE44AA"/>
    <w:rsid w:val="00EE468B"/>
    <w:rsid w:val="00EE4879"/>
    <w:rsid w:val="00EE49F0"/>
    <w:rsid w:val="00EE4E02"/>
    <w:rsid w:val="00EE51D3"/>
    <w:rsid w:val="00EE5236"/>
    <w:rsid w:val="00EE53DC"/>
    <w:rsid w:val="00EE5638"/>
    <w:rsid w:val="00EE5857"/>
    <w:rsid w:val="00EE5BC0"/>
    <w:rsid w:val="00EE5E5C"/>
    <w:rsid w:val="00EE5FFF"/>
    <w:rsid w:val="00EE6015"/>
    <w:rsid w:val="00EE6468"/>
    <w:rsid w:val="00EE67B8"/>
    <w:rsid w:val="00EE6954"/>
    <w:rsid w:val="00EE69BD"/>
    <w:rsid w:val="00EE6B71"/>
    <w:rsid w:val="00EE700A"/>
    <w:rsid w:val="00EE7034"/>
    <w:rsid w:val="00EE72E1"/>
    <w:rsid w:val="00EE7307"/>
    <w:rsid w:val="00EE74B5"/>
    <w:rsid w:val="00EE74D1"/>
    <w:rsid w:val="00EE75AF"/>
    <w:rsid w:val="00EE7664"/>
    <w:rsid w:val="00EE7722"/>
    <w:rsid w:val="00EE7B1B"/>
    <w:rsid w:val="00EE7C4D"/>
    <w:rsid w:val="00EE7DF5"/>
    <w:rsid w:val="00EE7E1F"/>
    <w:rsid w:val="00EE7E74"/>
    <w:rsid w:val="00EF0547"/>
    <w:rsid w:val="00EF0740"/>
    <w:rsid w:val="00EF07B9"/>
    <w:rsid w:val="00EF0C83"/>
    <w:rsid w:val="00EF0D6E"/>
    <w:rsid w:val="00EF0E0D"/>
    <w:rsid w:val="00EF0EE7"/>
    <w:rsid w:val="00EF117E"/>
    <w:rsid w:val="00EF1422"/>
    <w:rsid w:val="00EF1718"/>
    <w:rsid w:val="00EF1748"/>
    <w:rsid w:val="00EF17E3"/>
    <w:rsid w:val="00EF1B09"/>
    <w:rsid w:val="00EF1B27"/>
    <w:rsid w:val="00EF1E89"/>
    <w:rsid w:val="00EF1FA2"/>
    <w:rsid w:val="00EF2313"/>
    <w:rsid w:val="00EF238C"/>
    <w:rsid w:val="00EF2B40"/>
    <w:rsid w:val="00EF2CE0"/>
    <w:rsid w:val="00EF2F5C"/>
    <w:rsid w:val="00EF351B"/>
    <w:rsid w:val="00EF39D2"/>
    <w:rsid w:val="00EF39EA"/>
    <w:rsid w:val="00EF4352"/>
    <w:rsid w:val="00EF43E2"/>
    <w:rsid w:val="00EF45A4"/>
    <w:rsid w:val="00EF46C3"/>
    <w:rsid w:val="00EF46E6"/>
    <w:rsid w:val="00EF4A8F"/>
    <w:rsid w:val="00EF4FBF"/>
    <w:rsid w:val="00EF51F8"/>
    <w:rsid w:val="00EF591E"/>
    <w:rsid w:val="00EF5E5B"/>
    <w:rsid w:val="00EF5E80"/>
    <w:rsid w:val="00EF61AF"/>
    <w:rsid w:val="00EF61E5"/>
    <w:rsid w:val="00EF637F"/>
    <w:rsid w:val="00EF63DA"/>
    <w:rsid w:val="00EF6AD5"/>
    <w:rsid w:val="00EF6DA1"/>
    <w:rsid w:val="00EF6E3A"/>
    <w:rsid w:val="00EF6F68"/>
    <w:rsid w:val="00EF70F7"/>
    <w:rsid w:val="00EF7401"/>
    <w:rsid w:val="00EF78AA"/>
    <w:rsid w:val="00EF7C03"/>
    <w:rsid w:val="00EF7E36"/>
    <w:rsid w:val="00EF7F24"/>
    <w:rsid w:val="00F001B8"/>
    <w:rsid w:val="00F0051E"/>
    <w:rsid w:val="00F00587"/>
    <w:rsid w:val="00F005FF"/>
    <w:rsid w:val="00F0068B"/>
    <w:rsid w:val="00F007EE"/>
    <w:rsid w:val="00F00D63"/>
    <w:rsid w:val="00F00DE2"/>
    <w:rsid w:val="00F010FB"/>
    <w:rsid w:val="00F012CC"/>
    <w:rsid w:val="00F01950"/>
    <w:rsid w:val="00F01ABA"/>
    <w:rsid w:val="00F01DCE"/>
    <w:rsid w:val="00F030A6"/>
    <w:rsid w:val="00F03664"/>
    <w:rsid w:val="00F040C8"/>
    <w:rsid w:val="00F04130"/>
    <w:rsid w:val="00F04694"/>
    <w:rsid w:val="00F047D6"/>
    <w:rsid w:val="00F04951"/>
    <w:rsid w:val="00F04CD0"/>
    <w:rsid w:val="00F04E9D"/>
    <w:rsid w:val="00F0560E"/>
    <w:rsid w:val="00F057E6"/>
    <w:rsid w:val="00F058C8"/>
    <w:rsid w:val="00F05A3F"/>
    <w:rsid w:val="00F05CF9"/>
    <w:rsid w:val="00F05D1F"/>
    <w:rsid w:val="00F05D6C"/>
    <w:rsid w:val="00F05D9A"/>
    <w:rsid w:val="00F05ECA"/>
    <w:rsid w:val="00F063A1"/>
    <w:rsid w:val="00F064D2"/>
    <w:rsid w:val="00F06642"/>
    <w:rsid w:val="00F067C2"/>
    <w:rsid w:val="00F06924"/>
    <w:rsid w:val="00F06B2F"/>
    <w:rsid w:val="00F06C5F"/>
    <w:rsid w:val="00F06E9F"/>
    <w:rsid w:val="00F06F35"/>
    <w:rsid w:val="00F070CD"/>
    <w:rsid w:val="00F071B3"/>
    <w:rsid w:val="00F07712"/>
    <w:rsid w:val="00F0774C"/>
    <w:rsid w:val="00F07F65"/>
    <w:rsid w:val="00F07FE9"/>
    <w:rsid w:val="00F101DD"/>
    <w:rsid w:val="00F1088F"/>
    <w:rsid w:val="00F10B86"/>
    <w:rsid w:val="00F10D2B"/>
    <w:rsid w:val="00F10E07"/>
    <w:rsid w:val="00F110C6"/>
    <w:rsid w:val="00F110E8"/>
    <w:rsid w:val="00F112A4"/>
    <w:rsid w:val="00F117D2"/>
    <w:rsid w:val="00F1198E"/>
    <w:rsid w:val="00F11BBA"/>
    <w:rsid w:val="00F11C73"/>
    <w:rsid w:val="00F11CBC"/>
    <w:rsid w:val="00F11CE1"/>
    <w:rsid w:val="00F11F17"/>
    <w:rsid w:val="00F11F34"/>
    <w:rsid w:val="00F120AF"/>
    <w:rsid w:val="00F12543"/>
    <w:rsid w:val="00F1270B"/>
    <w:rsid w:val="00F1282C"/>
    <w:rsid w:val="00F12AD2"/>
    <w:rsid w:val="00F12B6C"/>
    <w:rsid w:val="00F12BAD"/>
    <w:rsid w:val="00F12DD6"/>
    <w:rsid w:val="00F131FC"/>
    <w:rsid w:val="00F13460"/>
    <w:rsid w:val="00F140E4"/>
    <w:rsid w:val="00F142BF"/>
    <w:rsid w:val="00F142FC"/>
    <w:rsid w:val="00F14344"/>
    <w:rsid w:val="00F144C7"/>
    <w:rsid w:val="00F14676"/>
    <w:rsid w:val="00F1479A"/>
    <w:rsid w:val="00F14A93"/>
    <w:rsid w:val="00F14C59"/>
    <w:rsid w:val="00F14CB2"/>
    <w:rsid w:val="00F14F31"/>
    <w:rsid w:val="00F15035"/>
    <w:rsid w:val="00F15169"/>
    <w:rsid w:val="00F1591E"/>
    <w:rsid w:val="00F15C89"/>
    <w:rsid w:val="00F15E4B"/>
    <w:rsid w:val="00F15FB8"/>
    <w:rsid w:val="00F15FED"/>
    <w:rsid w:val="00F161B3"/>
    <w:rsid w:val="00F16396"/>
    <w:rsid w:val="00F16553"/>
    <w:rsid w:val="00F16740"/>
    <w:rsid w:val="00F168A5"/>
    <w:rsid w:val="00F169BE"/>
    <w:rsid w:val="00F16A64"/>
    <w:rsid w:val="00F17001"/>
    <w:rsid w:val="00F173FB"/>
    <w:rsid w:val="00F17B7C"/>
    <w:rsid w:val="00F2018A"/>
    <w:rsid w:val="00F202A1"/>
    <w:rsid w:val="00F206BD"/>
    <w:rsid w:val="00F20751"/>
    <w:rsid w:val="00F20958"/>
    <w:rsid w:val="00F20ADA"/>
    <w:rsid w:val="00F20CB6"/>
    <w:rsid w:val="00F210A3"/>
    <w:rsid w:val="00F2134B"/>
    <w:rsid w:val="00F21378"/>
    <w:rsid w:val="00F213F1"/>
    <w:rsid w:val="00F21D99"/>
    <w:rsid w:val="00F22189"/>
    <w:rsid w:val="00F2236D"/>
    <w:rsid w:val="00F22371"/>
    <w:rsid w:val="00F22788"/>
    <w:rsid w:val="00F22E13"/>
    <w:rsid w:val="00F22FA5"/>
    <w:rsid w:val="00F232AF"/>
    <w:rsid w:val="00F23402"/>
    <w:rsid w:val="00F23580"/>
    <w:rsid w:val="00F239B8"/>
    <w:rsid w:val="00F23AE9"/>
    <w:rsid w:val="00F23B26"/>
    <w:rsid w:val="00F23C6F"/>
    <w:rsid w:val="00F23C7A"/>
    <w:rsid w:val="00F2428D"/>
    <w:rsid w:val="00F24404"/>
    <w:rsid w:val="00F2457C"/>
    <w:rsid w:val="00F24955"/>
    <w:rsid w:val="00F249BD"/>
    <w:rsid w:val="00F24C93"/>
    <w:rsid w:val="00F2533B"/>
    <w:rsid w:val="00F253FD"/>
    <w:rsid w:val="00F2544E"/>
    <w:rsid w:val="00F25491"/>
    <w:rsid w:val="00F259B5"/>
    <w:rsid w:val="00F25BB0"/>
    <w:rsid w:val="00F25C35"/>
    <w:rsid w:val="00F260AD"/>
    <w:rsid w:val="00F2635E"/>
    <w:rsid w:val="00F2695C"/>
    <w:rsid w:val="00F26CD9"/>
    <w:rsid w:val="00F2718E"/>
    <w:rsid w:val="00F271BD"/>
    <w:rsid w:val="00F272E1"/>
    <w:rsid w:val="00F27608"/>
    <w:rsid w:val="00F2765D"/>
    <w:rsid w:val="00F276E4"/>
    <w:rsid w:val="00F27968"/>
    <w:rsid w:val="00F27DA9"/>
    <w:rsid w:val="00F27E75"/>
    <w:rsid w:val="00F30595"/>
    <w:rsid w:val="00F30898"/>
    <w:rsid w:val="00F308B8"/>
    <w:rsid w:val="00F30C0A"/>
    <w:rsid w:val="00F310F9"/>
    <w:rsid w:val="00F315BD"/>
    <w:rsid w:val="00F31704"/>
    <w:rsid w:val="00F318B5"/>
    <w:rsid w:val="00F31B64"/>
    <w:rsid w:val="00F31CA0"/>
    <w:rsid w:val="00F31DB5"/>
    <w:rsid w:val="00F322C4"/>
    <w:rsid w:val="00F32538"/>
    <w:rsid w:val="00F32828"/>
    <w:rsid w:val="00F32A66"/>
    <w:rsid w:val="00F32B45"/>
    <w:rsid w:val="00F32F18"/>
    <w:rsid w:val="00F32FD8"/>
    <w:rsid w:val="00F3308C"/>
    <w:rsid w:val="00F33110"/>
    <w:rsid w:val="00F331A7"/>
    <w:rsid w:val="00F333E4"/>
    <w:rsid w:val="00F33AA1"/>
    <w:rsid w:val="00F33AEB"/>
    <w:rsid w:val="00F33AEF"/>
    <w:rsid w:val="00F33D31"/>
    <w:rsid w:val="00F33EBB"/>
    <w:rsid w:val="00F33F22"/>
    <w:rsid w:val="00F34263"/>
    <w:rsid w:val="00F349AD"/>
    <w:rsid w:val="00F34CBB"/>
    <w:rsid w:val="00F34E47"/>
    <w:rsid w:val="00F34F51"/>
    <w:rsid w:val="00F350A9"/>
    <w:rsid w:val="00F358EF"/>
    <w:rsid w:val="00F359E6"/>
    <w:rsid w:val="00F35B36"/>
    <w:rsid w:val="00F35D8C"/>
    <w:rsid w:val="00F3609E"/>
    <w:rsid w:val="00F362E8"/>
    <w:rsid w:val="00F363F8"/>
    <w:rsid w:val="00F364B1"/>
    <w:rsid w:val="00F368D0"/>
    <w:rsid w:val="00F36BF9"/>
    <w:rsid w:val="00F36FCB"/>
    <w:rsid w:val="00F37505"/>
    <w:rsid w:val="00F37604"/>
    <w:rsid w:val="00F3792F"/>
    <w:rsid w:val="00F379FC"/>
    <w:rsid w:val="00F37AE0"/>
    <w:rsid w:val="00F37C07"/>
    <w:rsid w:val="00F37D59"/>
    <w:rsid w:val="00F37E00"/>
    <w:rsid w:val="00F4001A"/>
    <w:rsid w:val="00F40056"/>
    <w:rsid w:val="00F40247"/>
    <w:rsid w:val="00F40395"/>
    <w:rsid w:val="00F4053A"/>
    <w:rsid w:val="00F407AD"/>
    <w:rsid w:val="00F40810"/>
    <w:rsid w:val="00F40830"/>
    <w:rsid w:val="00F4084C"/>
    <w:rsid w:val="00F40A2B"/>
    <w:rsid w:val="00F40AB0"/>
    <w:rsid w:val="00F40C2E"/>
    <w:rsid w:val="00F40DE5"/>
    <w:rsid w:val="00F411B9"/>
    <w:rsid w:val="00F4154E"/>
    <w:rsid w:val="00F4157D"/>
    <w:rsid w:val="00F4180B"/>
    <w:rsid w:val="00F41C83"/>
    <w:rsid w:val="00F42192"/>
    <w:rsid w:val="00F4222F"/>
    <w:rsid w:val="00F4257D"/>
    <w:rsid w:val="00F4258D"/>
    <w:rsid w:val="00F42938"/>
    <w:rsid w:val="00F42B98"/>
    <w:rsid w:val="00F42BDA"/>
    <w:rsid w:val="00F43119"/>
    <w:rsid w:val="00F431CB"/>
    <w:rsid w:val="00F4331A"/>
    <w:rsid w:val="00F43401"/>
    <w:rsid w:val="00F43675"/>
    <w:rsid w:val="00F438B1"/>
    <w:rsid w:val="00F43D56"/>
    <w:rsid w:val="00F44417"/>
    <w:rsid w:val="00F448B4"/>
    <w:rsid w:val="00F4492F"/>
    <w:rsid w:val="00F44FE5"/>
    <w:rsid w:val="00F450CB"/>
    <w:rsid w:val="00F4519D"/>
    <w:rsid w:val="00F451D8"/>
    <w:rsid w:val="00F45239"/>
    <w:rsid w:val="00F45436"/>
    <w:rsid w:val="00F4573E"/>
    <w:rsid w:val="00F4583D"/>
    <w:rsid w:val="00F458B1"/>
    <w:rsid w:val="00F458C0"/>
    <w:rsid w:val="00F45AB1"/>
    <w:rsid w:val="00F45D54"/>
    <w:rsid w:val="00F45F4E"/>
    <w:rsid w:val="00F46356"/>
    <w:rsid w:val="00F463C9"/>
    <w:rsid w:val="00F46413"/>
    <w:rsid w:val="00F46484"/>
    <w:rsid w:val="00F46506"/>
    <w:rsid w:val="00F46673"/>
    <w:rsid w:val="00F466A4"/>
    <w:rsid w:val="00F46858"/>
    <w:rsid w:val="00F46BA6"/>
    <w:rsid w:val="00F46F8B"/>
    <w:rsid w:val="00F47486"/>
    <w:rsid w:val="00F478D5"/>
    <w:rsid w:val="00F47EC4"/>
    <w:rsid w:val="00F5008D"/>
    <w:rsid w:val="00F50937"/>
    <w:rsid w:val="00F50DA4"/>
    <w:rsid w:val="00F51206"/>
    <w:rsid w:val="00F51BB9"/>
    <w:rsid w:val="00F51F95"/>
    <w:rsid w:val="00F5203D"/>
    <w:rsid w:val="00F52066"/>
    <w:rsid w:val="00F52172"/>
    <w:rsid w:val="00F5218E"/>
    <w:rsid w:val="00F523C2"/>
    <w:rsid w:val="00F525CA"/>
    <w:rsid w:val="00F52E8B"/>
    <w:rsid w:val="00F53071"/>
    <w:rsid w:val="00F530B7"/>
    <w:rsid w:val="00F53570"/>
    <w:rsid w:val="00F53714"/>
    <w:rsid w:val="00F537C9"/>
    <w:rsid w:val="00F53F5C"/>
    <w:rsid w:val="00F53FD7"/>
    <w:rsid w:val="00F54014"/>
    <w:rsid w:val="00F54060"/>
    <w:rsid w:val="00F543FA"/>
    <w:rsid w:val="00F54958"/>
    <w:rsid w:val="00F54999"/>
    <w:rsid w:val="00F549CD"/>
    <w:rsid w:val="00F54B7E"/>
    <w:rsid w:val="00F54C66"/>
    <w:rsid w:val="00F54CCD"/>
    <w:rsid w:val="00F54D91"/>
    <w:rsid w:val="00F54E33"/>
    <w:rsid w:val="00F54E50"/>
    <w:rsid w:val="00F54E99"/>
    <w:rsid w:val="00F55145"/>
    <w:rsid w:val="00F5516F"/>
    <w:rsid w:val="00F55174"/>
    <w:rsid w:val="00F551D6"/>
    <w:rsid w:val="00F553D1"/>
    <w:rsid w:val="00F554CE"/>
    <w:rsid w:val="00F554F7"/>
    <w:rsid w:val="00F5598E"/>
    <w:rsid w:val="00F55D71"/>
    <w:rsid w:val="00F55DDC"/>
    <w:rsid w:val="00F55E33"/>
    <w:rsid w:val="00F55E78"/>
    <w:rsid w:val="00F561A7"/>
    <w:rsid w:val="00F561AE"/>
    <w:rsid w:val="00F564E2"/>
    <w:rsid w:val="00F56556"/>
    <w:rsid w:val="00F57081"/>
    <w:rsid w:val="00F57683"/>
    <w:rsid w:val="00F576DF"/>
    <w:rsid w:val="00F57987"/>
    <w:rsid w:val="00F57A60"/>
    <w:rsid w:val="00F57EEF"/>
    <w:rsid w:val="00F6006D"/>
    <w:rsid w:val="00F601BE"/>
    <w:rsid w:val="00F60275"/>
    <w:rsid w:val="00F608B4"/>
    <w:rsid w:val="00F60994"/>
    <w:rsid w:val="00F60E52"/>
    <w:rsid w:val="00F60E69"/>
    <w:rsid w:val="00F610B5"/>
    <w:rsid w:val="00F61385"/>
    <w:rsid w:val="00F61BD5"/>
    <w:rsid w:val="00F61E0A"/>
    <w:rsid w:val="00F61F88"/>
    <w:rsid w:val="00F62022"/>
    <w:rsid w:val="00F62035"/>
    <w:rsid w:val="00F6238F"/>
    <w:rsid w:val="00F624A3"/>
    <w:rsid w:val="00F6265A"/>
    <w:rsid w:val="00F6286F"/>
    <w:rsid w:val="00F62999"/>
    <w:rsid w:val="00F62D29"/>
    <w:rsid w:val="00F630DA"/>
    <w:rsid w:val="00F6335A"/>
    <w:rsid w:val="00F6361C"/>
    <w:rsid w:val="00F63835"/>
    <w:rsid w:val="00F638FA"/>
    <w:rsid w:val="00F63A0E"/>
    <w:rsid w:val="00F63C15"/>
    <w:rsid w:val="00F63DFB"/>
    <w:rsid w:val="00F6423D"/>
    <w:rsid w:val="00F64440"/>
    <w:rsid w:val="00F64847"/>
    <w:rsid w:val="00F648FC"/>
    <w:rsid w:val="00F64931"/>
    <w:rsid w:val="00F6494A"/>
    <w:rsid w:val="00F64A43"/>
    <w:rsid w:val="00F64EB7"/>
    <w:rsid w:val="00F64F51"/>
    <w:rsid w:val="00F650A0"/>
    <w:rsid w:val="00F654EF"/>
    <w:rsid w:val="00F6582A"/>
    <w:rsid w:val="00F65A74"/>
    <w:rsid w:val="00F65B86"/>
    <w:rsid w:val="00F65C1D"/>
    <w:rsid w:val="00F65EEE"/>
    <w:rsid w:val="00F65F27"/>
    <w:rsid w:val="00F65F36"/>
    <w:rsid w:val="00F66373"/>
    <w:rsid w:val="00F66408"/>
    <w:rsid w:val="00F66673"/>
    <w:rsid w:val="00F66A48"/>
    <w:rsid w:val="00F66A8A"/>
    <w:rsid w:val="00F66C4D"/>
    <w:rsid w:val="00F67103"/>
    <w:rsid w:val="00F67114"/>
    <w:rsid w:val="00F673F4"/>
    <w:rsid w:val="00F677EE"/>
    <w:rsid w:val="00F70094"/>
    <w:rsid w:val="00F7023A"/>
    <w:rsid w:val="00F702CB"/>
    <w:rsid w:val="00F703E1"/>
    <w:rsid w:val="00F70505"/>
    <w:rsid w:val="00F705F1"/>
    <w:rsid w:val="00F70832"/>
    <w:rsid w:val="00F70892"/>
    <w:rsid w:val="00F70AA9"/>
    <w:rsid w:val="00F70D7E"/>
    <w:rsid w:val="00F70E29"/>
    <w:rsid w:val="00F70E77"/>
    <w:rsid w:val="00F710D1"/>
    <w:rsid w:val="00F71641"/>
    <w:rsid w:val="00F71908"/>
    <w:rsid w:val="00F71911"/>
    <w:rsid w:val="00F719F3"/>
    <w:rsid w:val="00F71BE2"/>
    <w:rsid w:val="00F71F91"/>
    <w:rsid w:val="00F73313"/>
    <w:rsid w:val="00F7338C"/>
    <w:rsid w:val="00F734FE"/>
    <w:rsid w:val="00F735CA"/>
    <w:rsid w:val="00F74013"/>
    <w:rsid w:val="00F742D9"/>
    <w:rsid w:val="00F74335"/>
    <w:rsid w:val="00F746B4"/>
    <w:rsid w:val="00F74A3C"/>
    <w:rsid w:val="00F74CD7"/>
    <w:rsid w:val="00F74E44"/>
    <w:rsid w:val="00F750A0"/>
    <w:rsid w:val="00F75108"/>
    <w:rsid w:val="00F75B24"/>
    <w:rsid w:val="00F75C51"/>
    <w:rsid w:val="00F75E6B"/>
    <w:rsid w:val="00F760CC"/>
    <w:rsid w:val="00F76176"/>
    <w:rsid w:val="00F762FB"/>
    <w:rsid w:val="00F7642C"/>
    <w:rsid w:val="00F764EC"/>
    <w:rsid w:val="00F76791"/>
    <w:rsid w:val="00F768ED"/>
    <w:rsid w:val="00F7698E"/>
    <w:rsid w:val="00F769F3"/>
    <w:rsid w:val="00F76B9F"/>
    <w:rsid w:val="00F76C50"/>
    <w:rsid w:val="00F76DC8"/>
    <w:rsid w:val="00F76EF7"/>
    <w:rsid w:val="00F7707A"/>
    <w:rsid w:val="00F775E8"/>
    <w:rsid w:val="00F7763C"/>
    <w:rsid w:val="00F77AA7"/>
    <w:rsid w:val="00F77E1D"/>
    <w:rsid w:val="00F77FB7"/>
    <w:rsid w:val="00F804E2"/>
    <w:rsid w:val="00F80504"/>
    <w:rsid w:val="00F805A2"/>
    <w:rsid w:val="00F8090A"/>
    <w:rsid w:val="00F810A6"/>
    <w:rsid w:val="00F810D6"/>
    <w:rsid w:val="00F810DE"/>
    <w:rsid w:val="00F817AB"/>
    <w:rsid w:val="00F81928"/>
    <w:rsid w:val="00F82111"/>
    <w:rsid w:val="00F8237B"/>
    <w:rsid w:val="00F826A9"/>
    <w:rsid w:val="00F82B01"/>
    <w:rsid w:val="00F82B77"/>
    <w:rsid w:val="00F82C16"/>
    <w:rsid w:val="00F82C33"/>
    <w:rsid w:val="00F831F7"/>
    <w:rsid w:val="00F835CA"/>
    <w:rsid w:val="00F837DF"/>
    <w:rsid w:val="00F83A36"/>
    <w:rsid w:val="00F8401C"/>
    <w:rsid w:val="00F84043"/>
    <w:rsid w:val="00F8406E"/>
    <w:rsid w:val="00F84172"/>
    <w:rsid w:val="00F842AD"/>
    <w:rsid w:val="00F845A4"/>
    <w:rsid w:val="00F8470C"/>
    <w:rsid w:val="00F84742"/>
    <w:rsid w:val="00F84808"/>
    <w:rsid w:val="00F84A11"/>
    <w:rsid w:val="00F84F51"/>
    <w:rsid w:val="00F84FBD"/>
    <w:rsid w:val="00F852E5"/>
    <w:rsid w:val="00F854E5"/>
    <w:rsid w:val="00F85BE5"/>
    <w:rsid w:val="00F85C40"/>
    <w:rsid w:val="00F85E6D"/>
    <w:rsid w:val="00F85FD8"/>
    <w:rsid w:val="00F866D5"/>
    <w:rsid w:val="00F869E2"/>
    <w:rsid w:val="00F86B3B"/>
    <w:rsid w:val="00F86D80"/>
    <w:rsid w:val="00F86DAC"/>
    <w:rsid w:val="00F8742D"/>
    <w:rsid w:val="00F87493"/>
    <w:rsid w:val="00F87B7F"/>
    <w:rsid w:val="00F87BB9"/>
    <w:rsid w:val="00F87BBE"/>
    <w:rsid w:val="00F87DC3"/>
    <w:rsid w:val="00F87E36"/>
    <w:rsid w:val="00F87FB5"/>
    <w:rsid w:val="00F90546"/>
    <w:rsid w:val="00F905D3"/>
    <w:rsid w:val="00F90684"/>
    <w:rsid w:val="00F906D5"/>
    <w:rsid w:val="00F90810"/>
    <w:rsid w:val="00F90F82"/>
    <w:rsid w:val="00F91060"/>
    <w:rsid w:val="00F9111B"/>
    <w:rsid w:val="00F9167E"/>
    <w:rsid w:val="00F91788"/>
    <w:rsid w:val="00F91BDB"/>
    <w:rsid w:val="00F91CC9"/>
    <w:rsid w:val="00F91CFC"/>
    <w:rsid w:val="00F92012"/>
    <w:rsid w:val="00F921F9"/>
    <w:rsid w:val="00F9220B"/>
    <w:rsid w:val="00F92235"/>
    <w:rsid w:val="00F92449"/>
    <w:rsid w:val="00F9276F"/>
    <w:rsid w:val="00F92CCA"/>
    <w:rsid w:val="00F92DCE"/>
    <w:rsid w:val="00F92E95"/>
    <w:rsid w:val="00F92EF9"/>
    <w:rsid w:val="00F934E2"/>
    <w:rsid w:val="00F9365D"/>
    <w:rsid w:val="00F93739"/>
    <w:rsid w:val="00F9379B"/>
    <w:rsid w:val="00F93925"/>
    <w:rsid w:val="00F93C51"/>
    <w:rsid w:val="00F945C4"/>
    <w:rsid w:val="00F9468C"/>
    <w:rsid w:val="00F94882"/>
    <w:rsid w:val="00F949BC"/>
    <w:rsid w:val="00F94B0B"/>
    <w:rsid w:val="00F94BAD"/>
    <w:rsid w:val="00F94D09"/>
    <w:rsid w:val="00F95364"/>
    <w:rsid w:val="00F953B1"/>
    <w:rsid w:val="00F953E1"/>
    <w:rsid w:val="00F954B5"/>
    <w:rsid w:val="00F9562C"/>
    <w:rsid w:val="00F9583D"/>
    <w:rsid w:val="00F95A22"/>
    <w:rsid w:val="00F95ECF"/>
    <w:rsid w:val="00F96052"/>
    <w:rsid w:val="00F9639B"/>
    <w:rsid w:val="00F965FA"/>
    <w:rsid w:val="00F969E4"/>
    <w:rsid w:val="00F96AF6"/>
    <w:rsid w:val="00F96F77"/>
    <w:rsid w:val="00F97072"/>
    <w:rsid w:val="00F97284"/>
    <w:rsid w:val="00F9750F"/>
    <w:rsid w:val="00F9765B"/>
    <w:rsid w:val="00F979F9"/>
    <w:rsid w:val="00F97D5B"/>
    <w:rsid w:val="00FA03AC"/>
    <w:rsid w:val="00FA05F7"/>
    <w:rsid w:val="00FA06AF"/>
    <w:rsid w:val="00FA07CC"/>
    <w:rsid w:val="00FA095D"/>
    <w:rsid w:val="00FA0D8D"/>
    <w:rsid w:val="00FA0FC8"/>
    <w:rsid w:val="00FA13D9"/>
    <w:rsid w:val="00FA1624"/>
    <w:rsid w:val="00FA164C"/>
    <w:rsid w:val="00FA172C"/>
    <w:rsid w:val="00FA1998"/>
    <w:rsid w:val="00FA1A9D"/>
    <w:rsid w:val="00FA24C8"/>
    <w:rsid w:val="00FA26E0"/>
    <w:rsid w:val="00FA29CB"/>
    <w:rsid w:val="00FA2E91"/>
    <w:rsid w:val="00FA36F1"/>
    <w:rsid w:val="00FA378F"/>
    <w:rsid w:val="00FA38D4"/>
    <w:rsid w:val="00FA39BE"/>
    <w:rsid w:val="00FA3C77"/>
    <w:rsid w:val="00FA3E50"/>
    <w:rsid w:val="00FA424E"/>
    <w:rsid w:val="00FA43DB"/>
    <w:rsid w:val="00FA456F"/>
    <w:rsid w:val="00FA4617"/>
    <w:rsid w:val="00FA488B"/>
    <w:rsid w:val="00FA4A09"/>
    <w:rsid w:val="00FA52AB"/>
    <w:rsid w:val="00FA52BF"/>
    <w:rsid w:val="00FA54C4"/>
    <w:rsid w:val="00FA54D0"/>
    <w:rsid w:val="00FA5595"/>
    <w:rsid w:val="00FA5743"/>
    <w:rsid w:val="00FA58CD"/>
    <w:rsid w:val="00FA5A1D"/>
    <w:rsid w:val="00FA5C2D"/>
    <w:rsid w:val="00FA5E51"/>
    <w:rsid w:val="00FA60AA"/>
    <w:rsid w:val="00FA63A5"/>
    <w:rsid w:val="00FA65AB"/>
    <w:rsid w:val="00FA65BB"/>
    <w:rsid w:val="00FA66A0"/>
    <w:rsid w:val="00FA6848"/>
    <w:rsid w:val="00FA6D4B"/>
    <w:rsid w:val="00FA6DCC"/>
    <w:rsid w:val="00FA6EBF"/>
    <w:rsid w:val="00FA70FB"/>
    <w:rsid w:val="00FA7325"/>
    <w:rsid w:val="00FA73B1"/>
    <w:rsid w:val="00FA741E"/>
    <w:rsid w:val="00FA7F7C"/>
    <w:rsid w:val="00FB0048"/>
    <w:rsid w:val="00FB015E"/>
    <w:rsid w:val="00FB024D"/>
    <w:rsid w:val="00FB04BE"/>
    <w:rsid w:val="00FB054C"/>
    <w:rsid w:val="00FB0627"/>
    <w:rsid w:val="00FB07B4"/>
    <w:rsid w:val="00FB0A6E"/>
    <w:rsid w:val="00FB0D27"/>
    <w:rsid w:val="00FB0D4B"/>
    <w:rsid w:val="00FB1171"/>
    <w:rsid w:val="00FB13FE"/>
    <w:rsid w:val="00FB1D6C"/>
    <w:rsid w:val="00FB247F"/>
    <w:rsid w:val="00FB24A0"/>
    <w:rsid w:val="00FB27C7"/>
    <w:rsid w:val="00FB28B1"/>
    <w:rsid w:val="00FB2912"/>
    <w:rsid w:val="00FB2C13"/>
    <w:rsid w:val="00FB2D71"/>
    <w:rsid w:val="00FB2F63"/>
    <w:rsid w:val="00FB33D1"/>
    <w:rsid w:val="00FB39D7"/>
    <w:rsid w:val="00FB3A75"/>
    <w:rsid w:val="00FB3AB8"/>
    <w:rsid w:val="00FB3B40"/>
    <w:rsid w:val="00FB41A6"/>
    <w:rsid w:val="00FB4268"/>
    <w:rsid w:val="00FB452F"/>
    <w:rsid w:val="00FB4896"/>
    <w:rsid w:val="00FB4D87"/>
    <w:rsid w:val="00FB4DA4"/>
    <w:rsid w:val="00FB5346"/>
    <w:rsid w:val="00FB587A"/>
    <w:rsid w:val="00FB58D2"/>
    <w:rsid w:val="00FB5B25"/>
    <w:rsid w:val="00FB5BB9"/>
    <w:rsid w:val="00FB5E2E"/>
    <w:rsid w:val="00FB5EA0"/>
    <w:rsid w:val="00FB6297"/>
    <w:rsid w:val="00FB6862"/>
    <w:rsid w:val="00FB689A"/>
    <w:rsid w:val="00FB69EE"/>
    <w:rsid w:val="00FB6BF7"/>
    <w:rsid w:val="00FB6D73"/>
    <w:rsid w:val="00FB6DFB"/>
    <w:rsid w:val="00FB730D"/>
    <w:rsid w:val="00FB760C"/>
    <w:rsid w:val="00FB76A5"/>
    <w:rsid w:val="00FB78DB"/>
    <w:rsid w:val="00FB7B94"/>
    <w:rsid w:val="00FB7CF5"/>
    <w:rsid w:val="00FB7D04"/>
    <w:rsid w:val="00FB7F50"/>
    <w:rsid w:val="00FC0165"/>
    <w:rsid w:val="00FC04C3"/>
    <w:rsid w:val="00FC079F"/>
    <w:rsid w:val="00FC0816"/>
    <w:rsid w:val="00FC1576"/>
    <w:rsid w:val="00FC19CD"/>
    <w:rsid w:val="00FC202D"/>
    <w:rsid w:val="00FC205F"/>
    <w:rsid w:val="00FC21CD"/>
    <w:rsid w:val="00FC2850"/>
    <w:rsid w:val="00FC28FD"/>
    <w:rsid w:val="00FC29A6"/>
    <w:rsid w:val="00FC2A91"/>
    <w:rsid w:val="00FC2F83"/>
    <w:rsid w:val="00FC2F96"/>
    <w:rsid w:val="00FC2FE4"/>
    <w:rsid w:val="00FC33F0"/>
    <w:rsid w:val="00FC36AE"/>
    <w:rsid w:val="00FC37CB"/>
    <w:rsid w:val="00FC3D19"/>
    <w:rsid w:val="00FC3D64"/>
    <w:rsid w:val="00FC4462"/>
    <w:rsid w:val="00FC4684"/>
    <w:rsid w:val="00FC4CE0"/>
    <w:rsid w:val="00FC4E23"/>
    <w:rsid w:val="00FC52C4"/>
    <w:rsid w:val="00FC55C5"/>
    <w:rsid w:val="00FC55FC"/>
    <w:rsid w:val="00FC568F"/>
    <w:rsid w:val="00FC5979"/>
    <w:rsid w:val="00FC59F5"/>
    <w:rsid w:val="00FC6498"/>
    <w:rsid w:val="00FC669D"/>
    <w:rsid w:val="00FC6970"/>
    <w:rsid w:val="00FC6A95"/>
    <w:rsid w:val="00FC7461"/>
    <w:rsid w:val="00FC747B"/>
    <w:rsid w:val="00FC78BB"/>
    <w:rsid w:val="00FC7954"/>
    <w:rsid w:val="00FC798C"/>
    <w:rsid w:val="00FD0001"/>
    <w:rsid w:val="00FD018A"/>
    <w:rsid w:val="00FD01D3"/>
    <w:rsid w:val="00FD0923"/>
    <w:rsid w:val="00FD0CCD"/>
    <w:rsid w:val="00FD0F81"/>
    <w:rsid w:val="00FD0F94"/>
    <w:rsid w:val="00FD107B"/>
    <w:rsid w:val="00FD10BF"/>
    <w:rsid w:val="00FD1363"/>
    <w:rsid w:val="00FD1424"/>
    <w:rsid w:val="00FD1639"/>
    <w:rsid w:val="00FD18DA"/>
    <w:rsid w:val="00FD2039"/>
    <w:rsid w:val="00FD2296"/>
    <w:rsid w:val="00FD23A9"/>
    <w:rsid w:val="00FD2423"/>
    <w:rsid w:val="00FD2E10"/>
    <w:rsid w:val="00FD2FBB"/>
    <w:rsid w:val="00FD302C"/>
    <w:rsid w:val="00FD3187"/>
    <w:rsid w:val="00FD3356"/>
    <w:rsid w:val="00FD3758"/>
    <w:rsid w:val="00FD386E"/>
    <w:rsid w:val="00FD39E5"/>
    <w:rsid w:val="00FD3BCC"/>
    <w:rsid w:val="00FD4137"/>
    <w:rsid w:val="00FD4234"/>
    <w:rsid w:val="00FD442C"/>
    <w:rsid w:val="00FD4B9E"/>
    <w:rsid w:val="00FD4CA1"/>
    <w:rsid w:val="00FD4F2C"/>
    <w:rsid w:val="00FD57AB"/>
    <w:rsid w:val="00FD596F"/>
    <w:rsid w:val="00FD5A1A"/>
    <w:rsid w:val="00FD5B51"/>
    <w:rsid w:val="00FD5F82"/>
    <w:rsid w:val="00FD5FC7"/>
    <w:rsid w:val="00FD6044"/>
    <w:rsid w:val="00FD6526"/>
    <w:rsid w:val="00FD6E26"/>
    <w:rsid w:val="00FD6E38"/>
    <w:rsid w:val="00FD707F"/>
    <w:rsid w:val="00FD709B"/>
    <w:rsid w:val="00FD7257"/>
    <w:rsid w:val="00FD7436"/>
    <w:rsid w:val="00FD7497"/>
    <w:rsid w:val="00FD78EB"/>
    <w:rsid w:val="00FD794E"/>
    <w:rsid w:val="00FD7BAA"/>
    <w:rsid w:val="00FD7C89"/>
    <w:rsid w:val="00FD7D7B"/>
    <w:rsid w:val="00FD7DC2"/>
    <w:rsid w:val="00FD7DDB"/>
    <w:rsid w:val="00FE01F1"/>
    <w:rsid w:val="00FE01FE"/>
    <w:rsid w:val="00FE02D8"/>
    <w:rsid w:val="00FE02F6"/>
    <w:rsid w:val="00FE030E"/>
    <w:rsid w:val="00FE064C"/>
    <w:rsid w:val="00FE0BC1"/>
    <w:rsid w:val="00FE0E61"/>
    <w:rsid w:val="00FE1080"/>
    <w:rsid w:val="00FE1591"/>
    <w:rsid w:val="00FE15A3"/>
    <w:rsid w:val="00FE1B94"/>
    <w:rsid w:val="00FE1C67"/>
    <w:rsid w:val="00FE219E"/>
    <w:rsid w:val="00FE2335"/>
    <w:rsid w:val="00FE2386"/>
    <w:rsid w:val="00FE2435"/>
    <w:rsid w:val="00FE25AA"/>
    <w:rsid w:val="00FE2767"/>
    <w:rsid w:val="00FE283F"/>
    <w:rsid w:val="00FE286D"/>
    <w:rsid w:val="00FE2912"/>
    <w:rsid w:val="00FE2A57"/>
    <w:rsid w:val="00FE2A81"/>
    <w:rsid w:val="00FE2B9B"/>
    <w:rsid w:val="00FE3191"/>
    <w:rsid w:val="00FE31DA"/>
    <w:rsid w:val="00FE349A"/>
    <w:rsid w:val="00FE34A1"/>
    <w:rsid w:val="00FE359E"/>
    <w:rsid w:val="00FE36A0"/>
    <w:rsid w:val="00FE3853"/>
    <w:rsid w:val="00FE3D43"/>
    <w:rsid w:val="00FE3E28"/>
    <w:rsid w:val="00FE454C"/>
    <w:rsid w:val="00FE4720"/>
    <w:rsid w:val="00FE4CAB"/>
    <w:rsid w:val="00FE4CD5"/>
    <w:rsid w:val="00FE5102"/>
    <w:rsid w:val="00FE526D"/>
    <w:rsid w:val="00FE53AD"/>
    <w:rsid w:val="00FE586F"/>
    <w:rsid w:val="00FE5955"/>
    <w:rsid w:val="00FE5989"/>
    <w:rsid w:val="00FE5BFC"/>
    <w:rsid w:val="00FE5D04"/>
    <w:rsid w:val="00FE5D47"/>
    <w:rsid w:val="00FE5E48"/>
    <w:rsid w:val="00FE5F37"/>
    <w:rsid w:val="00FE60FE"/>
    <w:rsid w:val="00FE626F"/>
    <w:rsid w:val="00FE6550"/>
    <w:rsid w:val="00FE67FE"/>
    <w:rsid w:val="00FE6808"/>
    <w:rsid w:val="00FE68EF"/>
    <w:rsid w:val="00FE6AF1"/>
    <w:rsid w:val="00FE71FC"/>
    <w:rsid w:val="00FE7412"/>
    <w:rsid w:val="00FE75DF"/>
    <w:rsid w:val="00FE7792"/>
    <w:rsid w:val="00FE78F6"/>
    <w:rsid w:val="00FE791F"/>
    <w:rsid w:val="00FE7CEA"/>
    <w:rsid w:val="00FE7D39"/>
    <w:rsid w:val="00FE7F78"/>
    <w:rsid w:val="00FF0005"/>
    <w:rsid w:val="00FF02C0"/>
    <w:rsid w:val="00FF0400"/>
    <w:rsid w:val="00FF05F6"/>
    <w:rsid w:val="00FF08DF"/>
    <w:rsid w:val="00FF0E38"/>
    <w:rsid w:val="00FF0EA9"/>
    <w:rsid w:val="00FF0F48"/>
    <w:rsid w:val="00FF119C"/>
    <w:rsid w:val="00FF1289"/>
    <w:rsid w:val="00FF1481"/>
    <w:rsid w:val="00FF16A0"/>
    <w:rsid w:val="00FF19D8"/>
    <w:rsid w:val="00FF1E3B"/>
    <w:rsid w:val="00FF1EFC"/>
    <w:rsid w:val="00FF20AE"/>
    <w:rsid w:val="00FF2208"/>
    <w:rsid w:val="00FF2534"/>
    <w:rsid w:val="00FF25F2"/>
    <w:rsid w:val="00FF2606"/>
    <w:rsid w:val="00FF2709"/>
    <w:rsid w:val="00FF2CD0"/>
    <w:rsid w:val="00FF3097"/>
    <w:rsid w:val="00FF37FD"/>
    <w:rsid w:val="00FF3936"/>
    <w:rsid w:val="00FF3981"/>
    <w:rsid w:val="00FF3D92"/>
    <w:rsid w:val="00FF41B8"/>
    <w:rsid w:val="00FF43FE"/>
    <w:rsid w:val="00FF4589"/>
    <w:rsid w:val="00FF4AA0"/>
    <w:rsid w:val="00FF4DC5"/>
    <w:rsid w:val="00FF53AB"/>
    <w:rsid w:val="00FF55AB"/>
    <w:rsid w:val="00FF598B"/>
    <w:rsid w:val="00FF5BF9"/>
    <w:rsid w:val="00FF5D26"/>
    <w:rsid w:val="00FF5D53"/>
    <w:rsid w:val="00FF5DAF"/>
    <w:rsid w:val="00FF624E"/>
    <w:rsid w:val="00FF635A"/>
    <w:rsid w:val="00FF65FB"/>
    <w:rsid w:val="00FF6725"/>
    <w:rsid w:val="00FF6CEA"/>
    <w:rsid w:val="00FF7186"/>
    <w:rsid w:val="00FF7497"/>
    <w:rsid w:val="00FF7737"/>
    <w:rsid w:val="00FF786F"/>
    <w:rsid w:val="00FF79FE"/>
    <w:rsid w:val="00FF7C57"/>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dfd0ab,#f8cfc8"/>
    </o:shapedefaults>
    <o:shapelayout v:ext="edit">
      <o:idmap v:ext="edit" data="1"/>
    </o:shapelayout>
  </w:shapeDefaults>
  <w:decimalSymbol w:val=","/>
  <w:listSeparator w:val=";"/>
  <w15:docId w15:val="{5FCB87B9-0826-4663-A792-92F1E51BB1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uiPriority="39"/>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qFormat="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qFormat="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iPriority="0" w:unhideWhenUsed="1"/>
    <w:lsdException w:name="endnote text" w:locked="1" w:semiHidden="1" w:uiPriority="0"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22"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20B63"/>
    <w:pPr>
      <w:spacing w:line="240" w:lineRule="auto"/>
      <w:jc w:val="both"/>
    </w:pPr>
    <w:rPr>
      <w:rFonts w:ascii="Times New Roman" w:hAnsi="Times New Roman"/>
      <w:sz w:val="24"/>
    </w:rPr>
  </w:style>
  <w:style w:type="paragraph" w:styleId="Heading1">
    <w:name w:val="heading 1"/>
    <w:basedOn w:val="Normal"/>
    <w:next w:val="Normal"/>
    <w:link w:val="Heading1Char"/>
    <w:uiPriority w:val="9"/>
    <w:qFormat/>
    <w:rsid w:val="00512FF1"/>
    <w:pPr>
      <w:keepNext/>
      <w:keepLines/>
      <w:numPr>
        <w:numId w:val="3"/>
      </w:numPr>
      <w:spacing w:before="120" w:after="1080"/>
      <w:jc w:val="left"/>
      <w:outlineLvl w:val="0"/>
    </w:pPr>
    <w:rPr>
      <w:rFonts w:asciiTheme="majorHAnsi" w:eastAsiaTheme="majorEastAsia" w:hAnsiTheme="majorHAnsi" w:cstheme="majorBidi"/>
      <w:bCs/>
      <w:color w:val="852010"/>
      <w:spacing w:val="10"/>
      <w:sz w:val="52"/>
      <w:szCs w:val="28"/>
    </w:rPr>
  </w:style>
  <w:style w:type="paragraph" w:styleId="Heading2">
    <w:name w:val="heading 2"/>
    <w:basedOn w:val="Normal"/>
    <w:next w:val="Normal"/>
    <w:link w:val="Heading2Char"/>
    <w:uiPriority w:val="9"/>
    <w:unhideWhenUsed/>
    <w:qFormat/>
    <w:rsid w:val="00DE2BDB"/>
    <w:pPr>
      <w:keepNext/>
      <w:keepLines/>
      <w:numPr>
        <w:ilvl w:val="1"/>
        <w:numId w:val="3"/>
      </w:numPr>
      <w:tabs>
        <w:tab w:val="left" w:pos="426"/>
      </w:tabs>
      <w:spacing w:before="480" w:after="360"/>
      <w:jc w:val="left"/>
      <w:outlineLvl w:val="1"/>
    </w:pPr>
    <w:rPr>
      <w:rFonts w:asciiTheme="majorHAnsi" w:eastAsiaTheme="majorEastAsia" w:hAnsiTheme="majorHAnsi" w:cstheme="majorBidi"/>
      <w:b/>
      <w:bCs/>
      <w:caps/>
      <w:color w:val="852010"/>
      <w:spacing w:val="10"/>
      <w:w w:val="90"/>
      <w:sz w:val="28"/>
      <w:szCs w:val="26"/>
    </w:rPr>
  </w:style>
  <w:style w:type="paragraph" w:styleId="Heading3">
    <w:name w:val="heading 3"/>
    <w:basedOn w:val="Normal"/>
    <w:next w:val="Normal"/>
    <w:link w:val="Heading3Char"/>
    <w:uiPriority w:val="9"/>
    <w:unhideWhenUsed/>
    <w:qFormat/>
    <w:rsid w:val="00422233"/>
    <w:pPr>
      <w:keepNext/>
      <w:keepLines/>
      <w:numPr>
        <w:ilvl w:val="2"/>
        <w:numId w:val="3"/>
      </w:numPr>
      <w:spacing w:before="480" w:after="240"/>
      <w:jc w:val="left"/>
      <w:outlineLvl w:val="2"/>
    </w:pPr>
    <w:rPr>
      <w:rFonts w:asciiTheme="majorHAnsi" w:eastAsiaTheme="majorEastAsia" w:hAnsiTheme="majorHAnsi" w:cstheme="majorBidi"/>
      <w:b/>
      <w:bCs/>
      <w:caps/>
      <w:color w:val="852010"/>
    </w:rPr>
  </w:style>
  <w:style w:type="paragraph" w:styleId="Heading4">
    <w:name w:val="heading 4"/>
    <w:basedOn w:val="Normal"/>
    <w:next w:val="Normal"/>
    <w:link w:val="Heading4Char"/>
    <w:uiPriority w:val="9"/>
    <w:unhideWhenUsed/>
    <w:qFormat/>
    <w:rsid w:val="006912DC"/>
    <w:pPr>
      <w:keepNext/>
      <w:keepLines/>
      <w:numPr>
        <w:ilvl w:val="3"/>
        <w:numId w:val="3"/>
      </w:numPr>
      <w:spacing w:before="240" w:after="240"/>
      <w:jc w:val="left"/>
      <w:outlineLvl w:val="3"/>
    </w:pPr>
    <w:rPr>
      <w:rFonts w:asciiTheme="majorHAnsi" w:eastAsiaTheme="majorEastAsia" w:hAnsiTheme="majorHAnsi" w:cstheme="majorBidi"/>
      <w:b/>
      <w:bCs/>
      <w:iCs/>
      <w:color w:val="852010"/>
    </w:rPr>
  </w:style>
  <w:style w:type="paragraph" w:styleId="Heading5">
    <w:name w:val="heading 5"/>
    <w:basedOn w:val="Normal"/>
    <w:next w:val="Normal"/>
    <w:link w:val="Heading5Char"/>
    <w:uiPriority w:val="9"/>
    <w:unhideWhenUsed/>
    <w:qFormat/>
    <w:rsid w:val="00B661BF"/>
    <w:pPr>
      <w:keepNext/>
      <w:keepLines/>
      <w:numPr>
        <w:numId w:val="5"/>
      </w:numPr>
      <w:spacing w:before="240" w:after="120"/>
      <w:outlineLvl w:val="4"/>
    </w:pPr>
    <w:rPr>
      <w:rFonts w:asciiTheme="majorHAnsi" w:eastAsiaTheme="majorEastAsia" w:hAnsiTheme="majorHAnsi" w:cstheme="majorBidi"/>
      <w:b/>
      <w:i/>
    </w:rPr>
  </w:style>
  <w:style w:type="paragraph" w:styleId="Heading6">
    <w:name w:val="heading 6"/>
    <w:basedOn w:val="ListParagraph"/>
    <w:next w:val="Normal"/>
    <w:link w:val="Heading6Char"/>
    <w:uiPriority w:val="9"/>
    <w:unhideWhenUsed/>
    <w:qFormat/>
    <w:rsid w:val="00FC2F83"/>
    <w:pPr>
      <w:numPr>
        <w:numId w:val="6"/>
      </w:numPr>
      <w:tabs>
        <w:tab w:val="left" w:pos="1134"/>
      </w:tabs>
      <w:outlineLvl w:val="5"/>
    </w:pPr>
    <w:rPr>
      <w:rFonts w:eastAsia="Times New Roman"/>
      <w:b/>
      <w:color w:val="852010" w:themeColor="accent3" w:themeShade="BF"/>
    </w:rPr>
  </w:style>
  <w:style w:type="paragraph" w:styleId="Heading7">
    <w:name w:val="heading 7"/>
    <w:basedOn w:val="Normal"/>
    <w:next w:val="Normal"/>
    <w:link w:val="Heading7Char"/>
    <w:uiPriority w:val="9"/>
    <w:unhideWhenUsed/>
    <w:qFormat/>
    <w:rsid w:val="00A52E2F"/>
    <w:pPr>
      <w:keepNext/>
      <w:keepLines/>
      <w:numPr>
        <w:ilvl w:val="6"/>
        <w:numId w:val="3"/>
      </w:numPr>
      <w:spacing w:before="200" w:after="0"/>
      <w:outlineLvl w:val="6"/>
    </w:pPr>
    <w:rPr>
      <w:rFonts w:asciiTheme="majorHAnsi" w:eastAsiaTheme="majorEastAsia" w:hAnsiTheme="majorHAnsi" w:cstheme="majorBidi"/>
      <w:i/>
      <w:iCs/>
    </w:rPr>
  </w:style>
  <w:style w:type="paragraph" w:styleId="Heading8">
    <w:name w:val="heading 8"/>
    <w:basedOn w:val="Normal"/>
    <w:next w:val="Normal"/>
    <w:link w:val="Heading8Char"/>
    <w:uiPriority w:val="9"/>
    <w:unhideWhenUsed/>
    <w:qFormat/>
    <w:rsid w:val="00A52E2F"/>
    <w:pPr>
      <w:keepNext/>
      <w:keepLines/>
      <w:numPr>
        <w:ilvl w:val="7"/>
        <w:numId w:val="3"/>
      </w:numPr>
      <w:spacing w:before="200" w:after="0"/>
      <w:outlineLvl w:val="7"/>
    </w:pPr>
    <w:rPr>
      <w:rFonts w:asciiTheme="majorHAnsi" w:eastAsiaTheme="majorEastAsia" w:hAnsiTheme="majorHAnsi" w:cstheme="majorBidi"/>
      <w:color w:val="FE8637" w:themeColor="accent1"/>
      <w:sz w:val="20"/>
      <w:szCs w:val="20"/>
    </w:rPr>
  </w:style>
  <w:style w:type="paragraph" w:styleId="Heading9">
    <w:name w:val="heading 9"/>
    <w:basedOn w:val="Normal"/>
    <w:next w:val="Normal"/>
    <w:link w:val="Heading9Char"/>
    <w:uiPriority w:val="9"/>
    <w:semiHidden/>
    <w:unhideWhenUsed/>
    <w:qFormat/>
    <w:rsid w:val="00A52E2F"/>
    <w:pPr>
      <w:keepNext/>
      <w:keepLines/>
      <w:numPr>
        <w:ilvl w:val="8"/>
        <w:numId w:val="1"/>
      </w:numPr>
      <w:spacing w:before="200" w:after="0"/>
      <w:ind w:left="1584" w:hanging="1584"/>
      <w:outlineLvl w:val="8"/>
    </w:pPr>
    <w:rPr>
      <w:rFonts w:asciiTheme="majorHAnsi" w:eastAsiaTheme="majorEastAsia" w:hAnsiTheme="majorHAnsi" w:cstheme="majorBidi"/>
      <w:i/>
      <w:i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512FF1"/>
    <w:rPr>
      <w:rFonts w:asciiTheme="majorHAnsi" w:eastAsiaTheme="majorEastAsia" w:hAnsiTheme="majorHAnsi" w:cstheme="majorBidi"/>
      <w:bCs/>
      <w:color w:val="852010"/>
      <w:spacing w:val="10"/>
      <w:sz w:val="52"/>
      <w:szCs w:val="28"/>
    </w:rPr>
  </w:style>
  <w:style w:type="character" w:customStyle="1" w:styleId="Heading2Char">
    <w:name w:val="Heading 2 Char"/>
    <w:basedOn w:val="DefaultParagraphFont"/>
    <w:link w:val="Heading2"/>
    <w:uiPriority w:val="9"/>
    <w:locked/>
    <w:rsid w:val="00DE2BDB"/>
    <w:rPr>
      <w:rFonts w:asciiTheme="majorHAnsi" w:eastAsiaTheme="majorEastAsia" w:hAnsiTheme="majorHAnsi" w:cstheme="majorBidi"/>
      <w:b/>
      <w:bCs/>
      <w:caps/>
      <w:color w:val="852010"/>
      <w:spacing w:val="10"/>
      <w:w w:val="90"/>
      <w:sz w:val="28"/>
      <w:szCs w:val="26"/>
    </w:rPr>
  </w:style>
  <w:style w:type="character" w:customStyle="1" w:styleId="Heading3Char">
    <w:name w:val="Heading 3 Char"/>
    <w:basedOn w:val="DefaultParagraphFont"/>
    <w:link w:val="Heading3"/>
    <w:uiPriority w:val="9"/>
    <w:locked/>
    <w:rsid w:val="00422233"/>
    <w:rPr>
      <w:rFonts w:asciiTheme="majorHAnsi" w:eastAsiaTheme="majorEastAsia" w:hAnsiTheme="majorHAnsi" w:cstheme="majorBidi"/>
      <w:b/>
      <w:bCs/>
      <w:caps/>
      <w:color w:val="852010"/>
      <w:sz w:val="24"/>
    </w:rPr>
  </w:style>
  <w:style w:type="character" w:customStyle="1" w:styleId="Heading4Char">
    <w:name w:val="Heading 4 Char"/>
    <w:basedOn w:val="DefaultParagraphFont"/>
    <w:link w:val="Heading4"/>
    <w:uiPriority w:val="9"/>
    <w:locked/>
    <w:rsid w:val="006912DC"/>
    <w:rPr>
      <w:rFonts w:asciiTheme="majorHAnsi" w:eastAsiaTheme="majorEastAsia" w:hAnsiTheme="majorHAnsi" w:cstheme="majorBidi"/>
      <w:b/>
      <w:bCs/>
      <w:iCs/>
      <w:color w:val="852010"/>
      <w:sz w:val="24"/>
    </w:rPr>
  </w:style>
  <w:style w:type="paragraph" w:customStyle="1" w:styleId="Default">
    <w:name w:val="Default"/>
    <w:uiPriority w:val="99"/>
    <w:rsid w:val="00B76060"/>
    <w:pPr>
      <w:autoSpaceDE w:val="0"/>
      <w:autoSpaceDN w:val="0"/>
      <w:adjustRightInd w:val="0"/>
    </w:pPr>
    <w:rPr>
      <w:rFonts w:eastAsia="Batang" w:cs="Calibri"/>
      <w:color w:val="000000"/>
      <w:sz w:val="24"/>
      <w:szCs w:val="24"/>
      <w:lang w:eastAsia="en-US"/>
    </w:rPr>
  </w:style>
  <w:style w:type="paragraph" w:styleId="BalloonText">
    <w:name w:val="Balloon Text"/>
    <w:basedOn w:val="Normal"/>
    <w:link w:val="BalloonTextChar"/>
    <w:uiPriority w:val="99"/>
    <w:semiHidden/>
    <w:rsid w:val="0072684A"/>
    <w:pPr>
      <w:spacing w:after="0"/>
    </w:pPr>
    <w:rPr>
      <w:rFonts w:ascii="Tahoma" w:hAnsi="Tahoma" w:cs="Tahoma"/>
      <w:sz w:val="16"/>
      <w:szCs w:val="16"/>
    </w:rPr>
  </w:style>
  <w:style w:type="character" w:customStyle="1" w:styleId="BalloonTextChar">
    <w:name w:val="Balloon Text Char"/>
    <w:link w:val="BalloonText"/>
    <w:uiPriority w:val="99"/>
    <w:semiHidden/>
    <w:locked/>
    <w:rsid w:val="0072684A"/>
    <w:rPr>
      <w:rFonts w:ascii="Tahoma" w:hAnsi="Tahoma" w:cs="Tahoma"/>
      <w:sz w:val="16"/>
      <w:szCs w:val="16"/>
    </w:rPr>
  </w:style>
  <w:style w:type="paragraph" w:styleId="FootnoteText">
    <w:name w:val="footnote text"/>
    <w:aliases w:val="Fußnotentext arial,Footnote1,Footnote2,Footnote3,stile 1,Footnote4,Footnote5,Footnote6,Footnote7,Footnote8,Footnote9,Footnote10,Footnote11,Footnote21,Footnote31,Footnote41,Footnote51,Footnote61,Footnote71,Footnote81,Footnote91,single spa"/>
    <w:basedOn w:val="Normal"/>
    <w:link w:val="FootnoteTextChar1"/>
    <w:uiPriority w:val="99"/>
    <w:qFormat/>
    <w:rsid w:val="008E1EE5"/>
    <w:pPr>
      <w:spacing w:after="40"/>
      <w:ind w:left="284" w:hanging="284"/>
    </w:pPr>
    <w:rPr>
      <w:sz w:val="20"/>
      <w:szCs w:val="20"/>
    </w:rPr>
  </w:style>
  <w:style w:type="character" w:customStyle="1" w:styleId="FootnoteTextChar">
    <w:name w:val="Footnote Text Char"/>
    <w:aliases w:val="Fußnotentext arial Char,Footnote1 Char,Footnote2 Char,Footnote3 Char,stile 1 Char,Footnote4 Char,Footnote5 Char,Footnote6 Char,Footnote7 Char,Footnote8 Char,Footnote9 Char,Footnote10 Char,Footnote11 Char,Footnote21 Char"/>
    <w:uiPriority w:val="99"/>
    <w:locked/>
    <w:rsid w:val="0072684A"/>
    <w:rPr>
      <w:rFonts w:cs="Times New Roman"/>
      <w:sz w:val="20"/>
      <w:szCs w:val="20"/>
    </w:rPr>
  </w:style>
  <w:style w:type="character" w:customStyle="1" w:styleId="FootnoteTextChar1">
    <w:name w:val="Footnote Text Char1"/>
    <w:aliases w:val="Fußnotentext arial Char1,Footnote1 Char1,Footnote2 Char1,Footnote3 Char1,stile 1 Char1,Footnote4 Char1,Footnote5 Char1,Footnote6 Char1,Footnote7 Char1,Footnote8 Char1,Footnote9 Char1,Footnote10 Char1,Footnote11 Char1,Footnote21 Char1"/>
    <w:link w:val="FootnoteText"/>
    <w:uiPriority w:val="99"/>
    <w:locked/>
    <w:rsid w:val="008E1EE5"/>
    <w:rPr>
      <w:rFonts w:ascii="Times New Roman" w:hAnsi="Times New Roman"/>
      <w:sz w:val="20"/>
      <w:szCs w:val="20"/>
    </w:rPr>
  </w:style>
  <w:style w:type="character" w:styleId="FootnoteReference">
    <w:name w:val="footnote reference"/>
    <w:aliases w:val="Footnote,Footnote symbol,SUPERS,BVI fnr,Footnote reference number,Times 10 Point,Exposant 3 Point,Ref,de nota al pie,note TESI,EN Footnote text,EN Footnote Reference,Footnote Reference Number,E FNZ,Appel note de bas de p,Nota,BVI fnr1"/>
    <w:uiPriority w:val="99"/>
    <w:qFormat/>
    <w:rsid w:val="0072684A"/>
    <w:rPr>
      <w:rFonts w:ascii="Times New Roman" w:hAnsi="Times New Roman" w:cs="Times New Roman"/>
      <w:color w:val="auto"/>
      <w:spacing w:val="0"/>
      <w:w w:val="100"/>
      <w:kern w:val="0"/>
      <w:position w:val="2"/>
      <w:sz w:val="18"/>
      <w:u w:val="none"/>
      <w:effect w:val="none"/>
      <w:vertAlign w:val="superscript"/>
      <w:lang w:val="bg-BG" w:eastAsia="en-US"/>
    </w:rPr>
  </w:style>
  <w:style w:type="table" w:styleId="TableGrid">
    <w:name w:val="Table Grid"/>
    <w:basedOn w:val="TableNormal"/>
    <w:uiPriority w:val="39"/>
    <w:rsid w:val="0072684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link w:val="CaptionChar"/>
    <w:unhideWhenUsed/>
    <w:qFormat/>
    <w:rsid w:val="00A52E2F"/>
    <w:pPr>
      <w:spacing w:after="120"/>
      <w:ind w:left="1418" w:hanging="1418"/>
      <w:jc w:val="left"/>
    </w:pPr>
    <w:rPr>
      <w:b/>
      <w:bCs/>
      <w:szCs w:val="18"/>
    </w:rPr>
  </w:style>
  <w:style w:type="character" w:customStyle="1" w:styleId="CaptionChar">
    <w:name w:val="Caption Char"/>
    <w:link w:val="Caption"/>
    <w:locked/>
    <w:rsid w:val="00A52E2F"/>
    <w:rPr>
      <w:b/>
      <w:bCs/>
      <w:sz w:val="24"/>
      <w:szCs w:val="18"/>
    </w:rPr>
  </w:style>
  <w:style w:type="paragraph" w:styleId="BodyTextIndent">
    <w:name w:val="Body Text Indent"/>
    <w:basedOn w:val="Normal"/>
    <w:link w:val="BodyTextIndentChar"/>
    <w:uiPriority w:val="99"/>
    <w:rsid w:val="00EA6568"/>
    <w:pPr>
      <w:spacing w:after="120"/>
      <w:ind w:left="283"/>
    </w:pPr>
    <w:rPr>
      <w:rFonts w:eastAsia="Batang"/>
    </w:rPr>
  </w:style>
  <w:style w:type="character" w:customStyle="1" w:styleId="BodyTextIndentChar">
    <w:name w:val="Body Text Indent Char"/>
    <w:link w:val="BodyTextIndent"/>
    <w:uiPriority w:val="99"/>
    <w:locked/>
    <w:rsid w:val="00EA6568"/>
    <w:rPr>
      <w:rFonts w:ascii="Calibri" w:eastAsia="Batang" w:hAnsi="Calibri" w:cs="Times New Roman"/>
    </w:rPr>
  </w:style>
  <w:style w:type="paragraph" w:styleId="ListParagraph">
    <w:name w:val="List Paragraph"/>
    <w:aliases w:val="Recommendatio,Párrafo de lista,Recommendation,OBC Bullet,Dot pt,F5 List Paragraph,No Spacing1,List Paragraph Char Char Char,Indicator Text,Numbered Para 1,Bullet 1,Bullet Points,List Paragraph2,L,3,References,Colorful List - Accent 11"/>
    <w:basedOn w:val="Normal"/>
    <w:link w:val="ListParagraphChar"/>
    <w:uiPriority w:val="34"/>
    <w:qFormat/>
    <w:rsid w:val="00A52E2F"/>
    <w:pPr>
      <w:spacing w:after="120"/>
    </w:pPr>
  </w:style>
  <w:style w:type="paragraph" w:styleId="Header">
    <w:name w:val="header"/>
    <w:aliases w:val="Header Char2 Char,Header Char1 Char1 Char,Header Char Char Char1 Char,Header Char1 Char Char Char Char,Header Char Char Char Char Char Char,Header Char Char1 Char,Header Char1 Char Char1 Char,Header Char Char Char Char1 Char"/>
    <w:basedOn w:val="Normal"/>
    <w:link w:val="HeaderChar1"/>
    <w:uiPriority w:val="99"/>
    <w:rsid w:val="00E42591"/>
    <w:pPr>
      <w:tabs>
        <w:tab w:val="center" w:pos="4153"/>
        <w:tab w:val="right" w:pos="8306"/>
      </w:tabs>
      <w:spacing w:after="0"/>
      <w:jc w:val="left"/>
    </w:pPr>
    <w:rPr>
      <w:rFonts w:ascii="Arial" w:hAnsi="Arial"/>
      <w:smallCaps/>
      <w:noProof/>
      <w:color w:val="404040" w:themeColor="text1" w:themeTint="BF"/>
      <w:spacing w:val="10"/>
      <w:sz w:val="18"/>
      <w:szCs w:val="20"/>
      <w:lang w:val="en-US" w:eastAsia="en-US"/>
    </w:rPr>
  </w:style>
  <w:style w:type="character" w:customStyle="1" w:styleId="HeaderChar">
    <w:name w:val="Header Char"/>
    <w:aliases w:val="Header Char2 Char Char,Header Char1 Char1 Char Char,Header Char Char Char1 Char Char,Header Char1 Char Char Char Char Char,Header Char Char Char Char Char Char Char,Header Char Char1 Char Char,Header Char1 Char Char1 Char Char"/>
    <w:uiPriority w:val="99"/>
    <w:locked/>
    <w:rsid w:val="002824B8"/>
    <w:rPr>
      <w:rFonts w:cs="Times New Roman"/>
    </w:rPr>
  </w:style>
  <w:style w:type="character" w:customStyle="1" w:styleId="HeaderChar1">
    <w:name w:val="Header Char1"/>
    <w:aliases w:val="Header Char2 Char Char2,Header Char1 Char1 Char Char2,Header Char Char Char1 Char Char2,Header Char1 Char Char Char Char Char2,Header Char Char Char Char Char Char Char2,Header Char Char1 Char Char2,Header Char1 Char Char1 Char Char1"/>
    <w:link w:val="Header"/>
    <w:uiPriority w:val="99"/>
    <w:locked/>
    <w:rsid w:val="00E42591"/>
    <w:rPr>
      <w:rFonts w:ascii="Arial" w:hAnsi="Arial"/>
      <w:smallCaps/>
      <w:noProof/>
      <w:color w:val="404040" w:themeColor="text1" w:themeTint="BF"/>
      <w:spacing w:val="10"/>
      <w:sz w:val="18"/>
      <w:szCs w:val="20"/>
      <w:lang w:val="en-US" w:eastAsia="en-US"/>
    </w:rPr>
  </w:style>
  <w:style w:type="paragraph" w:styleId="BodyText">
    <w:name w:val="Body Text"/>
    <w:basedOn w:val="Normal"/>
    <w:link w:val="BodyTextChar"/>
    <w:uiPriority w:val="99"/>
    <w:rsid w:val="002824B8"/>
    <w:pPr>
      <w:spacing w:after="120"/>
    </w:pPr>
    <w:rPr>
      <w:rFonts w:eastAsia="Times New Roman"/>
    </w:rPr>
  </w:style>
  <w:style w:type="character" w:customStyle="1" w:styleId="BodyTextChar">
    <w:name w:val="Body Text Char"/>
    <w:link w:val="BodyText"/>
    <w:uiPriority w:val="99"/>
    <w:locked/>
    <w:rsid w:val="002824B8"/>
    <w:rPr>
      <w:rFonts w:ascii="Calibri" w:hAnsi="Calibri" w:cs="Times New Roman"/>
    </w:rPr>
  </w:style>
  <w:style w:type="paragraph" w:styleId="BodyTextIndent3">
    <w:name w:val="Body Text Indent 3"/>
    <w:basedOn w:val="Normal"/>
    <w:link w:val="BodyTextIndent3Char"/>
    <w:uiPriority w:val="99"/>
    <w:rsid w:val="00AB2F29"/>
    <w:pPr>
      <w:spacing w:after="120"/>
      <w:ind w:left="283"/>
    </w:pPr>
    <w:rPr>
      <w:sz w:val="16"/>
      <w:szCs w:val="16"/>
    </w:rPr>
  </w:style>
  <w:style w:type="character" w:customStyle="1" w:styleId="BodyTextIndent3Char">
    <w:name w:val="Body Text Indent 3 Char"/>
    <w:link w:val="BodyTextIndent3"/>
    <w:uiPriority w:val="99"/>
    <w:locked/>
    <w:rsid w:val="00AB2F29"/>
    <w:rPr>
      <w:rFonts w:cs="Times New Roman"/>
      <w:sz w:val="16"/>
      <w:szCs w:val="16"/>
    </w:rPr>
  </w:style>
  <w:style w:type="paragraph" w:styleId="CommentText">
    <w:name w:val="annotation text"/>
    <w:basedOn w:val="Normal"/>
    <w:link w:val="CommentTextChar"/>
    <w:uiPriority w:val="99"/>
    <w:rsid w:val="00AB2F29"/>
    <w:pPr>
      <w:spacing w:after="0"/>
      <w:jc w:val="left"/>
    </w:pPr>
    <w:rPr>
      <w:rFonts w:eastAsia="Times New Roman"/>
      <w:sz w:val="20"/>
      <w:szCs w:val="20"/>
    </w:rPr>
  </w:style>
  <w:style w:type="character" w:customStyle="1" w:styleId="CommentTextChar">
    <w:name w:val="Comment Text Char"/>
    <w:link w:val="CommentText"/>
    <w:uiPriority w:val="99"/>
    <w:semiHidden/>
    <w:locked/>
    <w:rsid w:val="00AB2F29"/>
    <w:rPr>
      <w:rFonts w:ascii="Times New Roman" w:hAnsi="Times New Roman" w:cs="Times New Roman"/>
      <w:sz w:val="20"/>
      <w:szCs w:val="20"/>
    </w:rPr>
  </w:style>
  <w:style w:type="character" w:styleId="CommentReference">
    <w:name w:val="annotation reference"/>
    <w:uiPriority w:val="99"/>
    <w:rsid w:val="00AB2F29"/>
    <w:rPr>
      <w:rFonts w:cs="Times New Roman"/>
      <w:sz w:val="16"/>
    </w:rPr>
  </w:style>
  <w:style w:type="paragraph" w:customStyle="1" w:styleId="Style">
    <w:name w:val="Style"/>
    <w:link w:val="StyleChar"/>
    <w:uiPriority w:val="99"/>
    <w:rsid w:val="00AB2F29"/>
    <w:pPr>
      <w:widowControl w:val="0"/>
      <w:autoSpaceDE w:val="0"/>
      <w:autoSpaceDN w:val="0"/>
      <w:adjustRightInd w:val="0"/>
      <w:ind w:left="140" w:right="140" w:firstLine="840"/>
      <w:jc w:val="both"/>
    </w:pPr>
    <w:rPr>
      <w:rFonts w:ascii="Arial Narrow" w:hAnsi="Arial Narrow"/>
    </w:rPr>
  </w:style>
  <w:style w:type="character" w:customStyle="1" w:styleId="StyleChar">
    <w:name w:val="Style Char"/>
    <w:link w:val="Style"/>
    <w:uiPriority w:val="99"/>
    <w:locked/>
    <w:rsid w:val="00AB2F29"/>
    <w:rPr>
      <w:rFonts w:ascii="Arial Narrow" w:hAnsi="Arial Narrow"/>
      <w:sz w:val="22"/>
      <w:lang w:eastAsia="bg-BG"/>
    </w:rPr>
  </w:style>
  <w:style w:type="character" w:styleId="Emphasis">
    <w:name w:val="Emphasis"/>
    <w:basedOn w:val="DefaultParagraphFont"/>
    <w:uiPriority w:val="20"/>
    <w:qFormat/>
    <w:rsid w:val="00A52E2F"/>
    <w:rPr>
      <w:i/>
      <w:iCs/>
    </w:rPr>
  </w:style>
  <w:style w:type="paragraph" w:styleId="TOCHeading">
    <w:name w:val="TOC Heading"/>
    <w:basedOn w:val="Heading1"/>
    <w:next w:val="Normal"/>
    <w:uiPriority w:val="39"/>
    <w:qFormat/>
    <w:rsid w:val="00736E30"/>
    <w:pPr>
      <w:numPr>
        <w:numId w:val="0"/>
      </w:numPr>
      <w:spacing w:before="480" w:after="0"/>
      <w:jc w:val="both"/>
      <w:outlineLvl w:val="9"/>
    </w:pPr>
    <w:rPr>
      <w:b/>
      <w:color w:val="E65B01" w:themeColor="accent1" w:themeShade="BF"/>
      <w:spacing w:val="0"/>
      <w:sz w:val="28"/>
    </w:rPr>
  </w:style>
  <w:style w:type="paragraph" w:styleId="TOC2">
    <w:name w:val="toc 2"/>
    <w:basedOn w:val="Normal"/>
    <w:next w:val="Normal"/>
    <w:autoRedefine/>
    <w:uiPriority w:val="39"/>
    <w:rsid w:val="00BD2441"/>
    <w:pPr>
      <w:tabs>
        <w:tab w:val="left" w:pos="284"/>
        <w:tab w:val="left" w:pos="400"/>
        <w:tab w:val="right" w:leader="dot" w:pos="9060"/>
      </w:tabs>
      <w:spacing w:before="120" w:after="60"/>
      <w:ind w:left="687" w:hanging="403"/>
      <w:jc w:val="left"/>
    </w:pPr>
    <w:rPr>
      <w:bCs/>
      <w:caps/>
      <w:noProof/>
      <w:sz w:val="18"/>
      <w:lang w:val="en-US"/>
    </w:rPr>
  </w:style>
  <w:style w:type="paragraph" w:styleId="TOC3">
    <w:name w:val="toc 3"/>
    <w:basedOn w:val="Normal"/>
    <w:next w:val="Normal"/>
    <w:autoRedefine/>
    <w:uiPriority w:val="39"/>
    <w:rsid w:val="004C3CD4"/>
    <w:pPr>
      <w:tabs>
        <w:tab w:val="left" w:pos="543"/>
        <w:tab w:val="right" w:leader="dot" w:pos="9060"/>
      </w:tabs>
      <w:spacing w:after="0"/>
      <w:ind w:left="1224" w:hanging="544"/>
      <w:jc w:val="left"/>
    </w:pPr>
    <w:rPr>
      <w:caps/>
      <w:noProof/>
      <w:w w:val="90"/>
      <w:sz w:val="20"/>
      <w:lang w:val="ru-RU" w:eastAsia="zh-CN"/>
    </w:rPr>
  </w:style>
  <w:style w:type="character" w:styleId="Hyperlink">
    <w:name w:val="Hyperlink"/>
    <w:uiPriority w:val="99"/>
    <w:rsid w:val="00736E30"/>
    <w:rPr>
      <w:rFonts w:cs="Times New Roman"/>
      <w:color w:val="0000FF"/>
      <w:u w:val="single"/>
    </w:rPr>
  </w:style>
  <w:style w:type="paragraph" w:styleId="CommentSubject">
    <w:name w:val="annotation subject"/>
    <w:basedOn w:val="CommentText"/>
    <w:next w:val="CommentText"/>
    <w:link w:val="CommentSubjectChar"/>
    <w:uiPriority w:val="99"/>
    <w:rsid w:val="0067451D"/>
    <w:pPr>
      <w:spacing w:before="100" w:beforeAutospacing="1" w:after="100" w:afterAutospacing="1"/>
      <w:ind w:left="1349" w:hanging="357"/>
      <w:jc w:val="both"/>
    </w:pPr>
    <w:rPr>
      <w:rFonts w:ascii="Calibri" w:eastAsia="Calibri" w:hAnsi="Calibri"/>
      <w:b/>
      <w:bCs/>
    </w:rPr>
  </w:style>
  <w:style w:type="character" w:customStyle="1" w:styleId="CommentSubjectChar">
    <w:name w:val="Comment Subject Char"/>
    <w:link w:val="CommentSubject"/>
    <w:uiPriority w:val="99"/>
    <w:locked/>
    <w:rsid w:val="0067451D"/>
    <w:rPr>
      <w:rFonts w:ascii="Times New Roman" w:hAnsi="Times New Roman" w:cs="Times New Roman"/>
      <w:b/>
      <w:bCs/>
      <w:sz w:val="20"/>
      <w:szCs w:val="20"/>
    </w:rPr>
  </w:style>
  <w:style w:type="paragraph" w:styleId="TOC1">
    <w:name w:val="toc 1"/>
    <w:basedOn w:val="Normal"/>
    <w:next w:val="Normal"/>
    <w:uiPriority w:val="39"/>
    <w:unhideWhenUsed/>
    <w:locked/>
    <w:rsid w:val="00850F48"/>
    <w:pPr>
      <w:tabs>
        <w:tab w:val="right" w:leader="dot" w:pos="9060"/>
      </w:tabs>
      <w:spacing w:before="240"/>
      <w:jc w:val="left"/>
      <w:outlineLvl w:val="0"/>
    </w:pPr>
    <w:rPr>
      <w:b/>
      <w:noProof/>
      <w:color w:val="852010" w:themeColor="accent3" w:themeShade="BF"/>
      <w:sz w:val="22"/>
      <w14:scene3d>
        <w14:camera w14:prst="orthographicFront"/>
        <w14:lightRig w14:rig="threePt" w14:dir="t">
          <w14:rot w14:lat="0" w14:lon="0" w14:rev="0"/>
        </w14:lightRig>
      </w14:scene3d>
    </w:rPr>
  </w:style>
  <w:style w:type="paragraph" w:styleId="NormalWeb">
    <w:name w:val="Normal (Web)"/>
    <w:basedOn w:val="Normal"/>
    <w:uiPriority w:val="99"/>
    <w:rsid w:val="00D14104"/>
    <w:pPr>
      <w:jc w:val="left"/>
    </w:pPr>
    <w:rPr>
      <w:rFonts w:eastAsia="Times New Roman"/>
      <w:szCs w:val="24"/>
      <w:lang w:val="en-US"/>
    </w:rPr>
  </w:style>
  <w:style w:type="character" w:customStyle="1" w:styleId="HeaderChar2">
    <w:name w:val="Header Char2"/>
    <w:aliases w:val="Header Char Char1,Header Char2 Char Char1,Header Char1 Char1 Char Char1,Header Char Char Char1 Char Char1,Header Char1 Char Char Char Char Char1,Header Char Char Char Char Char Char Char1,Header Char Char1 Char Char1"/>
    <w:uiPriority w:val="99"/>
    <w:locked/>
    <w:rsid w:val="00F276E4"/>
    <w:rPr>
      <w:sz w:val="24"/>
      <w:lang w:val="bg-BG" w:eastAsia="en-US"/>
    </w:rPr>
  </w:style>
  <w:style w:type="paragraph" w:styleId="Footer">
    <w:name w:val="footer"/>
    <w:basedOn w:val="Normal"/>
    <w:link w:val="FooterChar"/>
    <w:uiPriority w:val="99"/>
    <w:rsid w:val="00F276E4"/>
    <w:pPr>
      <w:tabs>
        <w:tab w:val="center" w:pos="4536"/>
        <w:tab w:val="right" w:pos="9072"/>
      </w:tabs>
    </w:pPr>
    <w:rPr>
      <w:rFonts w:eastAsia="Times New Roman"/>
    </w:rPr>
  </w:style>
  <w:style w:type="character" w:customStyle="1" w:styleId="FooterChar">
    <w:name w:val="Footer Char"/>
    <w:link w:val="Footer"/>
    <w:uiPriority w:val="99"/>
    <w:locked/>
    <w:rsid w:val="00F276E4"/>
    <w:rPr>
      <w:rFonts w:ascii="Calibri" w:hAnsi="Calibri" w:cs="Times New Roman"/>
    </w:rPr>
  </w:style>
  <w:style w:type="character" w:styleId="PageNumber">
    <w:name w:val="page number"/>
    <w:uiPriority w:val="99"/>
    <w:rsid w:val="00F276E4"/>
    <w:rPr>
      <w:rFonts w:cs="Times New Roman"/>
    </w:rPr>
  </w:style>
  <w:style w:type="character" w:customStyle="1" w:styleId="scnt">
    <w:name w:val="scnt"/>
    <w:uiPriority w:val="99"/>
    <w:rsid w:val="00F276E4"/>
    <w:rPr>
      <w:rFonts w:cs="Times New Roman"/>
    </w:rPr>
  </w:style>
  <w:style w:type="paragraph" w:customStyle="1" w:styleId="source">
    <w:name w:val="source"/>
    <w:basedOn w:val="Normal"/>
    <w:uiPriority w:val="99"/>
    <w:rsid w:val="00F276E4"/>
    <w:pPr>
      <w:keepLines/>
      <w:spacing w:before="60" w:after="240"/>
      <w:ind w:right="1134"/>
      <w:contextualSpacing/>
      <w:jc w:val="right"/>
    </w:pPr>
    <w:rPr>
      <w:rFonts w:ascii="Verdana" w:eastAsia="Times New Roman" w:hAnsi="Verdana" w:cs="Arial"/>
      <w:w w:val="90"/>
      <w:sz w:val="16"/>
      <w:szCs w:val="20"/>
    </w:rPr>
  </w:style>
  <w:style w:type="paragraph" w:customStyle="1" w:styleId="tabletextleft">
    <w:name w:val="table text left"/>
    <w:basedOn w:val="Normal"/>
    <w:link w:val="tabletextleftChar"/>
    <w:rsid w:val="00F276E4"/>
    <w:pPr>
      <w:spacing w:after="120"/>
      <w:jc w:val="left"/>
    </w:pPr>
    <w:rPr>
      <w:w w:val="90"/>
      <w:sz w:val="20"/>
      <w:szCs w:val="20"/>
    </w:rPr>
  </w:style>
  <w:style w:type="character" w:customStyle="1" w:styleId="tabletextleftChar">
    <w:name w:val="table text left Char"/>
    <w:link w:val="tabletextleft"/>
    <w:locked/>
    <w:rsid w:val="00F276E4"/>
    <w:rPr>
      <w:rFonts w:ascii="Times New Roman" w:hAnsi="Times New Roman"/>
      <w:w w:val="90"/>
      <w:sz w:val="20"/>
      <w:lang w:eastAsia="bg-BG"/>
    </w:rPr>
  </w:style>
  <w:style w:type="paragraph" w:customStyle="1" w:styleId="Style10ptCentered">
    <w:name w:val="Style 10 pt Centered"/>
    <w:basedOn w:val="Normal"/>
    <w:uiPriority w:val="99"/>
    <w:rsid w:val="00F276E4"/>
    <w:pPr>
      <w:spacing w:after="120"/>
      <w:jc w:val="center"/>
    </w:pPr>
    <w:rPr>
      <w:rFonts w:ascii="Verdana" w:eastAsia="Times New Roman" w:hAnsi="Verdana"/>
      <w:w w:val="90"/>
      <w:sz w:val="20"/>
      <w:szCs w:val="20"/>
    </w:rPr>
  </w:style>
  <w:style w:type="paragraph" w:styleId="BlockText">
    <w:name w:val="Block Text"/>
    <w:basedOn w:val="Normal"/>
    <w:uiPriority w:val="99"/>
    <w:rsid w:val="00F276E4"/>
    <w:pPr>
      <w:spacing w:after="120"/>
      <w:ind w:left="1440" w:right="1440"/>
    </w:pPr>
    <w:rPr>
      <w:rFonts w:eastAsia="Times New Roman"/>
    </w:rPr>
  </w:style>
  <w:style w:type="paragraph" w:customStyle="1" w:styleId="StyleHeading3TimesNewRomanAuto">
    <w:name w:val="Style Heading 3 + Times New Roman Auto"/>
    <w:basedOn w:val="Heading3"/>
    <w:link w:val="StyleHeading3TimesNewRomanAutoChar"/>
    <w:uiPriority w:val="99"/>
    <w:rsid w:val="00F276E4"/>
    <w:pPr>
      <w:keepLines w:val="0"/>
      <w:spacing w:before="240" w:after="180"/>
      <w:ind w:left="-567"/>
    </w:pPr>
    <w:rPr>
      <w:rFonts w:ascii="Times New Roman" w:eastAsia="Calibri" w:hAnsi="Times New Roman"/>
      <w:b w:val="0"/>
      <w:bCs w:val="0"/>
      <w:i/>
      <w:color w:val="auto"/>
      <w:sz w:val="26"/>
      <w:szCs w:val="20"/>
    </w:rPr>
  </w:style>
  <w:style w:type="character" w:customStyle="1" w:styleId="StyleHeading3TimesNewRomanAutoChar">
    <w:name w:val="Style Heading 3 + Times New Roman Auto Char"/>
    <w:link w:val="StyleHeading3TimesNewRomanAuto"/>
    <w:uiPriority w:val="99"/>
    <w:locked/>
    <w:rsid w:val="00F276E4"/>
    <w:rPr>
      <w:rFonts w:ascii="Times New Roman" w:eastAsia="Calibri" w:hAnsi="Times New Roman" w:cstheme="majorBidi"/>
      <w:i/>
      <w:caps/>
      <w:sz w:val="26"/>
      <w:szCs w:val="20"/>
    </w:rPr>
  </w:style>
  <w:style w:type="paragraph" w:styleId="TOC4">
    <w:name w:val="toc 4"/>
    <w:basedOn w:val="Normal"/>
    <w:next w:val="Normal"/>
    <w:autoRedefine/>
    <w:uiPriority w:val="39"/>
    <w:rsid w:val="003153D7"/>
    <w:pPr>
      <w:tabs>
        <w:tab w:val="left" w:pos="993"/>
        <w:tab w:val="left" w:pos="1134"/>
        <w:tab w:val="left" w:pos="1276"/>
        <w:tab w:val="right" w:leader="dot" w:pos="9070"/>
      </w:tabs>
      <w:spacing w:after="60"/>
      <w:ind w:left="1276" w:hanging="1276"/>
      <w:jc w:val="center"/>
    </w:pPr>
    <w:rPr>
      <w:spacing w:val="12"/>
      <w:sz w:val="32"/>
      <w:szCs w:val="32"/>
    </w:rPr>
  </w:style>
  <w:style w:type="paragraph" w:styleId="TOC5">
    <w:name w:val="toc 5"/>
    <w:basedOn w:val="Normal"/>
    <w:next w:val="Normal"/>
    <w:autoRedefine/>
    <w:uiPriority w:val="39"/>
    <w:rsid w:val="00F276E4"/>
    <w:pPr>
      <w:spacing w:after="0"/>
      <w:jc w:val="left"/>
    </w:pPr>
  </w:style>
  <w:style w:type="paragraph" w:styleId="TOC6">
    <w:name w:val="toc 6"/>
    <w:basedOn w:val="Normal"/>
    <w:next w:val="Normal"/>
    <w:autoRedefine/>
    <w:uiPriority w:val="39"/>
    <w:rsid w:val="00F276E4"/>
    <w:pPr>
      <w:spacing w:after="0"/>
      <w:jc w:val="left"/>
    </w:pPr>
  </w:style>
  <w:style w:type="paragraph" w:styleId="TOC7">
    <w:name w:val="toc 7"/>
    <w:basedOn w:val="Normal"/>
    <w:next w:val="Normal"/>
    <w:autoRedefine/>
    <w:uiPriority w:val="39"/>
    <w:rsid w:val="00F276E4"/>
    <w:pPr>
      <w:spacing w:after="0"/>
      <w:jc w:val="left"/>
    </w:pPr>
  </w:style>
  <w:style w:type="paragraph" w:styleId="TOC8">
    <w:name w:val="toc 8"/>
    <w:basedOn w:val="Normal"/>
    <w:next w:val="Normal"/>
    <w:autoRedefine/>
    <w:uiPriority w:val="39"/>
    <w:rsid w:val="00F276E4"/>
    <w:pPr>
      <w:spacing w:after="0"/>
      <w:jc w:val="left"/>
    </w:pPr>
  </w:style>
  <w:style w:type="paragraph" w:styleId="TOC9">
    <w:name w:val="toc 9"/>
    <w:basedOn w:val="Normal"/>
    <w:next w:val="Normal"/>
    <w:autoRedefine/>
    <w:uiPriority w:val="39"/>
    <w:rsid w:val="00F276E4"/>
    <w:pPr>
      <w:spacing w:after="0"/>
      <w:jc w:val="left"/>
    </w:pPr>
  </w:style>
  <w:style w:type="paragraph" w:styleId="NoSpacing">
    <w:name w:val="No Spacing"/>
    <w:link w:val="NoSpacingChar"/>
    <w:uiPriority w:val="1"/>
    <w:qFormat/>
    <w:rsid w:val="00A52E2F"/>
    <w:pPr>
      <w:spacing w:after="0" w:line="240" w:lineRule="auto"/>
    </w:pPr>
  </w:style>
  <w:style w:type="character" w:customStyle="1" w:styleId="NoSpacingChar">
    <w:name w:val="No Spacing Char"/>
    <w:basedOn w:val="DefaultParagraphFont"/>
    <w:link w:val="NoSpacing"/>
    <w:uiPriority w:val="1"/>
    <w:locked/>
    <w:rsid w:val="00A52E2F"/>
  </w:style>
  <w:style w:type="paragraph" w:customStyle="1" w:styleId="CharCharCharCharCharChar">
    <w:name w:val="Char Char Char Char Знак Char Char Знак"/>
    <w:basedOn w:val="Normal"/>
    <w:uiPriority w:val="99"/>
    <w:rsid w:val="00F276E4"/>
    <w:pPr>
      <w:tabs>
        <w:tab w:val="left" w:pos="709"/>
      </w:tabs>
      <w:spacing w:after="0"/>
      <w:jc w:val="left"/>
    </w:pPr>
    <w:rPr>
      <w:rFonts w:ascii="Tahoma" w:eastAsia="Times New Roman" w:hAnsi="Tahoma"/>
      <w:szCs w:val="24"/>
      <w:lang w:val="pl-PL" w:eastAsia="pl-PL"/>
    </w:rPr>
  </w:style>
  <w:style w:type="character" w:customStyle="1" w:styleId="apple-style-span">
    <w:name w:val="apple-style-span"/>
    <w:uiPriority w:val="99"/>
    <w:rsid w:val="00F276E4"/>
    <w:rPr>
      <w:rFonts w:cs="Times New Roman"/>
    </w:rPr>
  </w:style>
  <w:style w:type="paragraph" w:customStyle="1" w:styleId="StyleHeading2TimesNewRomanNotBoldUnderlineAfter6pt">
    <w:name w:val="Style Heading 2 + Times New Roman Not Bold Underline After:  6 pt"/>
    <w:basedOn w:val="Heading2"/>
    <w:autoRedefine/>
    <w:uiPriority w:val="99"/>
    <w:rsid w:val="00F276E4"/>
    <w:pPr>
      <w:keepLines w:val="0"/>
      <w:spacing w:before="120" w:after="120"/>
      <w:jc w:val="center"/>
    </w:pPr>
    <w:rPr>
      <w:rFonts w:ascii="Times New Roman" w:hAnsi="Times New Roman"/>
      <w:bCs w:val="0"/>
      <w:iCs/>
      <w:color w:val="000000"/>
      <w:sz w:val="24"/>
      <w:szCs w:val="24"/>
    </w:rPr>
  </w:style>
  <w:style w:type="paragraph" w:customStyle="1" w:styleId="CharCharCharChar">
    <w:name w:val="Char Char Char Char"/>
    <w:basedOn w:val="Normal"/>
    <w:uiPriority w:val="99"/>
    <w:rsid w:val="00F276E4"/>
    <w:pPr>
      <w:spacing w:after="160" w:line="240" w:lineRule="exact"/>
      <w:jc w:val="left"/>
    </w:pPr>
    <w:rPr>
      <w:rFonts w:ascii="Tahoma" w:eastAsia="Times New Roman" w:hAnsi="Tahoma"/>
      <w:sz w:val="20"/>
      <w:szCs w:val="20"/>
      <w:lang w:val="en-US"/>
    </w:rPr>
  </w:style>
  <w:style w:type="character" w:customStyle="1" w:styleId="longtext">
    <w:name w:val="long_text"/>
    <w:uiPriority w:val="99"/>
    <w:rsid w:val="00F276E4"/>
    <w:rPr>
      <w:rFonts w:cs="Times New Roman"/>
    </w:rPr>
  </w:style>
  <w:style w:type="character" w:customStyle="1" w:styleId="hps">
    <w:name w:val="hps"/>
    <w:uiPriority w:val="99"/>
    <w:rsid w:val="00F276E4"/>
    <w:rPr>
      <w:rFonts w:cs="Times New Roman"/>
    </w:rPr>
  </w:style>
  <w:style w:type="table" w:customStyle="1" w:styleId="TableGrid1">
    <w:name w:val="Table Grid1"/>
    <w:uiPriority w:val="99"/>
    <w:rsid w:val="00F276E4"/>
    <w:rPr>
      <w:rFonts w:ascii="Times New Roman" w:eastAsia="Batang"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next w:val="Normal"/>
    <w:link w:val="TitleChar"/>
    <w:uiPriority w:val="10"/>
    <w:qFormat/>
    <w:rsid w:val="00722CC6"/>
    <w:pPr>
      <w:pBdr>
        <w:bottom w:val="single" w:sz="8" w:space="4" w:color="FE8637" w:themeColor="accent1"/>
      </w:pBdr>
      <w:spacing w:after="300"/>
      <w:contextualSpacing/>
    </w:pPr>
    <w:rPr>
      <w:rFonts w:asciiTheme="majorHAnsi" w:eastAsiaTheme="majorEastAsia" w:hAnsiTheme="majorHAnsi" w:cstheme="majorBidi"/>
      <w:color w:val="852010"/>
      <w:spacing w:val="5"/>
      <w:kern w:val="28"/>
      <w:sz w:val="52"/>
      <w:szCs w:val="52"/>
    </w:rPr>
  </w:style>
  <w:style w:type="character" w:customStyle="1" w:styleId="TitleChar">
    <w:name w:val="Title Char"/>
    <w:basedOn w:val="DefaultParagraphFont"/>
    <w:link w:val="Title"/>
    <w:uiPriority w:val="10"/>
    <w:locked/>
    <w:rsid w:val="00722CC6"/>
    <w:rPr>
      <w:rFonts w:asciiTheme="majorHAnsi" w:eastAsiaTheme="majorEastAsia" w:hAnsiTheme="majorHAnsi" w:cstheme="majorBidi"/>
      <w:color w:val="852010"/>
      <w:spacing w:val="5"/>
      <w:kern w:val="28"/>
      <w:sz w:val="52"/>
      <w:szCs w:val="52"/>
    </w:rPr>
  </w:style>
  <w:style w:type="paragraph" w:customStyle="1" w:styleId="CharCharCharCharCharChar0">
    <w:name w:val="Char Char Char Char Char Char"/>
    <w:basedOn w:val="Normal"/>
    <w:uiPriority w:val="99"/>
    <w:rsid w:val="00F276E4"/>
    <w:pPr>
      <w:spacing w:before="120" w:after="160" w:line="240" w:lineRule="exact"/>
      <w:jc w:val="left"/>
    </w:pPr>
    <w:rPr>
      <w:rFonts w:ascii="Tahoma" w:eastAsia="Times New Roman" w:hAnsi="Tahoma"/>
      <w:sz w:val="20"/>
      <w:szCs w:val="20"/>
      <w:lang w:val="en-US"/>
    </w:rPr>
  </w:style>
  <w:style w:type="paragraph" w:customStyle="1" w:styleId="Char">
    <w:name w:val="Char"/>
    <w:basedOn w:val="Normal"/>
    <w:uiPriority w:val="99"/>
    <w:rsid w:val="00F276E4"/>
    <w:pPr>
      <w:spacing w:after="160" w:line="240" w:lineRule="exact"/>
      <w:jc w:val="left"/>
    </w:pPr>
    <w:rPr>
      <w:rFonts w:ascii="Tahoma" w:eastAsia="Times New Roman" w:hAnsi="Tahoma"/>
      <w:sz w:val="20"/>
      <w:szCs w:val="20"/>
      <w:lang w:val="en-US"/>
    </w:rPr>
  </w:style>
  <w:style w:type="paragraph" w:styleId="BodyText2">
    <w:name w:val="Body Text 2"/>
    <w:basedOn w:val="Normal"/>
    <w:link w:val="BodyText2Char"/>
    <w:uiPriority w:val="99"/>
    <w:rsid w:val="00F276E4"/>
    <w:pPr>
      <w:spacing w:after="120" w:line="480" w:lineRule="auto"/>
    </w:pPr>
    <w:rPr>
      <w:rFonts w:eastAsia="Times New Roman"/>
    </w:rPr>
  </w:style>
  <w:style w:type="character" w:customStyle="1" w:styleId="BodyText2Char">
    <w:name w:val="Body Text 2 Char"/>
    <w:link w:val="BodyText2"/>
    <w:uiPriority w:val="99"/>
    <w:locked/>
    <w:rsid w:val="00F276E4"/>
    <w:rPr>
      <w:rFonts w:ascii="Calibri" w:hAnsi="Calibri" w:cs="Times New Roman"/>
    </w:rPr>
  </w:style>
  <w:style w:type="paragraph" w:customStyle="1" w:styleId="Text1">
    <w:name w:val="Text 1"/>
    <w:basedOn w:val="Normal"/>
    <w:uiPriority w:val="99"/>
    <w:rsid w:val="00F276E4"/>
    <w:pPr>
      <w:spacing w:before="120" w:after="120"/>
      <w:ind w:left="850"/>
    </w:pPr>
    <w:rPr>
      <w:rFonts w:eastAsia="Times New Roman"/>
      <w:szCs w:val="24"/>
    </w:rPr>
  </w:style>
  <w:style w:type="paragraph" w:styleId="BodyText3">
    <w:name w:val="Body Text 3"/>
    <w:basedOn w:val="Normal"/>
    <w:link w:val="BodyText3Char"/>
    <w:uiPriority w:val="99"/>
    <w:rsid w:val="00F276E4"/>
    <w:pPr>
      <w:spacing w:after="120"/>
    </w:pPr>
    <w:rPr>
      <w:rFonts w:eastAsia="Times New Roman"/>
      <w:sz w:val="16"/>
      <w:szCs w:val="16"/>
    </w:rPr>
  </w:style>
  <w:style w:type="character" w:customStyle="1" w:styleId="BodyText3Char">
    <w:name w:val="Body Text 3 Char"/>
    <w:link w:val="BodyText3"/>
    <w:uiPriority w:val="99"/>
    <w:locked/>
    <w:rsid w:val="00F276E4"/>
    <w:rPr>
      <w:rFonts w:ascii="Calibri" w:hAnsi="Calibri" w:cs="Times New Roman"/>
      <w:sz w:val="16"/>
      <w:szCs w:val="16"/>
    </w:rPr>
  </w:style>
  <w:style w:type="paragraph" w:styleId="BodyTextIndent2">
    <w:name w:val="Body Text Indent 2"/>
    <w:basedOn w:val="Normal"/>
    <w:link w:val="BodyTextIndent2Char"/>
    <w:uiPriority w:val="99"/>
    <w:semiHidden/>
    <w:rsid w:val="000C1C21"/>
    <w:pPr>
      <w:spacing w:after="120" w:line="480" w:lineRule="auto"/>
      <w:ind w:left="283"/>
    </w:pPr>
  </w:style>
  <w:style w:type="character" w:customStyle="1" w:styleId="BodyTextIndent2Char">
    <w:name w:val="Body Text Indent 2 Char"/>
    <w:link w:val="BodyTextIndent2"/>
    <w:uiPriority w:val="99"/>
    <w:semiHidden/>
    <w:locked/>
    <w:rsid w:val="000C1C21"/>
    <w:rPr>
      <w:rFonts w:cs="Times New Roman"/>
    </w:rPr>
  </w:style>
  <w:style w:type="paragraph" w:styleId="Revision">
    <w:name w:val="Revision"/>
    <w:hidden/>
    <w:uiPriority w:val="99"/>
    <w:semiHidden/>
    <w:rsid w:val="00520004"/>
    <w:rPr>
      <w:lang w:eastAsia="en-US"/>
    </w:rPr>
  </w:style>
  <w:style w:type="paragraph" w:styleId="PlainText">
    <w:name w:val="Plain Text"/>
    <w:basedOn w:val="Normal"/>
    <w:link w:val="PlainTextChar"/>
    <w:uiPriority w:val="99"/>
    <w:semiHidden/>
    <w:locked/>
    <w:rsid w:val="00F6335A"/>
    <w:pPr>
      <w:spacing w:after="0"/>
      <w:jc w:val="left"/>
    </w:pPr>
    <w:rPr>
      <w:szCs w:val="21"/>
    </w:rPr>
  </w:style>
  <w:style w:type="character" w:customStyle="1" w:styleId="PlainTextChar">
    <w:name w:val="Plain Text Char"/>
    <w:link w:val="PlainText"/>
    <w:uiPriority w:val="99"/>
    <w:semiHidden/>
    <w:locked/>
    <w:rsid w:val="00F6335A"/>
    <w:rPr>
      <w:rFonts w:eastAsia="Times New Roman" w:cs="Times New Roman"/>
      <w:sz w:val="21"/>
      <w:szCs w:val="21"/>
      <w:lang w:eastAsia="en-US"/>
    </w:rPr>
  </w:style>
  <w:style w:type="table" w:styleId="ColorfulList">
    <w:name w:val="Colorful List"/>
    <w:basedOn w:val="TableNormal"/>
    <w:uiPriority w:val="72"/>
    <w:rsid w:val="00255A71"/>
    <w:rPr>
      <w:color w:val="000000"/>
    </w:rPr>
    <w:tblPr>
      <w:tblStyleRowBandSize w:val="1"/>
      <w:tblStyleColBandSize w:val="1"/>
    </w:tblPr>
    <w:tcPr>
      <w:shd w:val="clear" w:color="auto" w:fill="E6E6E6"/>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cPr>
    </w:tblStylePr>
    <w:tblStylePr w:type="band1Horz">
      <w:tblPr/>
      <w:tcPr>
        <w:shd w:val="clear" w:color="auto" w:fill="CCCCCC"/>
      </w:tcPr>
    </w:tblStylePr>
  </w:style>
  <w:style w:type="table" w:styleId="LightShading">
    <w:name w:val="Light Shading"/>
    <w:basedOn w:val="TableNormal"/>
    <w:uiPriority w:val="60"/>
    <w:rsid w:val="00CF5B42"/>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MediumGrid2-Accent42">
    <w:name w:val="Medium Grid 2 - Accent 42"/>
    <w:basedOn w:val="TableNormal"/>
    <w:next w:val="MediumGrid2-Accent4"/>
    <w:uiPriority w:val="68"/>
    <w:rsid w:val="008F4683"/>
    <w:rPr>
      <w:rFonts w:ascii="Cambria" w:eastAsia="Times New Roman" w:hAnsi="Cambria"/>
      <w:color w:val="000000"/>
      <w:lang w:val="en-US" w:eastAsia="ja-JP"/>
    </w:rPr>
    <w:tblPr>
      <w:tblStyleRowBandSize w:val="1"/>
      <w:tblStyleColBandSize w:val="1"/>
      <w:tblBorders>
        <w:top w:val="single" w:sz="8" w:space="0" w:color="838383"/>
        <w:left w:val="single" w:sz="8" w:space="0" w:color="838383"/>
        <w:bottom w:val="single" w:sz="8" w:space="0" w:color="838383"/>
        <w:right w:val="single" w:sz="8" w:space="0" w:color="838383"/>
        <w:insideH w:val="single" w:sz="8" w:space="0" w:color="838383"/>
        <w:insideV w:val="single" w:sz="8" w:space="0" w:color="838383"/>
      </w:tblBorders>
    </w:tblPr>
    <w:tcPr>
      <w:shd w:val="clear" w:color="auto" w:fill="E0E0E0"/>
    </w:tcPr>
    <w:tblStylePr w:type="firstRow">
      <w:rPr>
        <w:b/>
        <w:bCs/>
        <w:color w:val="000000"/>
      </w:rPr>
      <w:tblPr/>
      <w:tcPr>
        <w:shd w:val="clear" w:color="auto" w:fill="F2F2F2"/>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6E6E6"/>
      </w:tcPr>
    </w:tblStylePr>
    <w:tblStylePr w:type="band1Vert">
      <w:tblPr/>
      <w:tcPr>
        <w:shd w:val="clear" w:color="auto" w:fill="C1C1C1"/>
      </w:tcPr>
    </w:tblStylePr>
    <w:tblStylePr w:type="band1Horz">
      <w:tblPr/>
      <w:tcPr>
        <w:tcBorders>
          <w:insideH w:val="single" w:sz="6" w:space="0" w:color="838383"/>
          <w:insideV w:val="single" w:sz="6" w:space="0" w:color="838383"/>
        </w:tcBorders>
        <w:shd w:val="clear" w:color="auto" w:fill="C1C1C1"/>
      </w:tcPr>
    </w:tblStylePr>
    <w:tblStylePr w:type="nwCell">
      <w:tblPr/>
      <w:tcPr>
        <w:shd w:val="clear" w:color="auto" w:fill="FFFFFF"/>
      </w:tcPr>
    </w:tblStylePr>
  </w:style>
  <w:style w:type="table" w:styleId="MediumGrid2-Accent4">
    <w:name w:val="Medium Grid 2 Accent 4"/>
    <w:basedOn w:val="TableNormal"/>
    <w:uiPriority w:val="68"/>
    <w:rsid w:val="008F4683"/>
    <w:rPr>
      <w:rFonts w:ascii="Cambria" w:eastAsia="Times New Roman" w:hAnsi="Cambria"/>
      <w:color w:val="000000"/>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MediumGrid2-Accent41">
    <w:name w:val="Medium Grid 2 - Accent 41"/>
    <w:basedOn w:val="TableNormal"/>
    <w:next w:val="MediumGrid2-Accent4"/>
    <w:uiPriority w:val="68"/>
    <w:rsid w:val="008F4683"/>
    <w:rPr>
      <w:rFonts w:ascii="Cambria" w:eastAsia="Times New Roman" w:hAnsi="Cambria"/>
      <w:color w:val="000000"/>
      <w:lang w:val="en-US" w:eastAsia="ja-JP"/>
    </w:rPr>
    <w:tblPr>
      <w:tblStyleRowBandSize w:val="1"/>
      <w:tblStyleColBandSize w:val="1"/>
      <w:tblBorders>
        <w:top w:val="single" w:sz="8" w:space="0" w:color="838383"/>
        <w:left w:val="single" w:sz="8" w:space="0" w:color="838383"/>
        <w:bottom w:val="single" w:sz="8" w:space="0" w:color="838383"/>
        <w:right w:val="single" w:sz="8" w:space="0" w:color="838383"/>
        <w:insideH w:val="single" w:sz="8" w:space="0" w:color="838383"/>
        <w:insideV w:val="single" w:sz="8" w:space="0" w:color="838383"/>
      </w:tblBorders>
    </w:tblPr>
    <w:tcPr>
      <w:shd w:val="clear" w:color="auto" w:fill="E0E0E0"/>
    </w:tcPr>
    <w:tblStylePr w:type="firstRow">
      <w:rPr>
        <w:b/>
        <w:bCs/>
        <w:color w:val="000000"/>
      </w:rPr>
      <w:tblPr/>
      <w:tcPr>
        <w:shd w:val="clear" w:color="auto" w:fill="F2F2F2"/>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6E6E6"/>
      </w:tcPr>
    </w:tblStylePr>
    <w:tblStylePr w:type="band1Vert">
      <w:tblPr/>
      <w:tcPr>
        <w:shd w:val="clear" w:color="auto" w:fill="C1C1C1"/>
      </w:tcPr>
    </w:tblStylePr>
    <w:tblStylePr w:type="band1Horz">
      <w:tblPr/>
      <w:tcPr>
        <w:tcBorders>
          <w:insideH w:val="single" w:sz="6" w:space="0" w:color="838383"/>
          <w:insideV w:val="single" w:sz="6" w:space="0" w:color="838383"/>
        </w:tcBorders>
        <w:shd w:val="clear" w:color="auto" w:fill="C1C1C1"/>
      </w:tcPr>
    </w:tblStylePr>
    <w:tblStylePr w:type="nwCell">
      <w:tblPr/>
      <w:tcPr>
        <w:shd w:val="clear" w:color="auto" w:fill="FFFFFF"/>
      </w:tcPr>
    </w:tblStylePr>
  </w:style>
  <w:style w:type="table" w:customStyle="1" w:styleId="LightShading-Accent61">
    <w:name w:val="Light Shading - Accent 61"/>
    <w:basedOn w:val="TableNormal"/>
    <w:next w:val="LightShading-Accent6"/>
    <w:uiPriority w:val="99"/>
    <w:rsid w:val="00C173C4"/>
    <w:rPr>
      <w:rFonts w:eastAsia="MS Mincho"/>
      <w:color w:val="000000"/>
      <w:lang w:val="en-GB" w:eastAsia="en-GB" w:bidi="en-GB"/>
    </w:rPr>
    <w:tblPr>
      <w:tblStyleRowBandSize w:val="1"/>
      <w:tblStyleColBandSize w:val="1"/>
      <w:tblInd w:w="113" w:type="dxa"/>
      <w:tblBorders>
        <w:top w:val="single" w:sz="8" w:space="0" w:color="777C84"/>
        <w:bottom w:val="single" w:sz="8" w:space="0" w:color="777C84"/>
      </w:tblBorders>
    </w:tblPr>
    <w:tblStylePr w:type="firstRow">
      <w:pPr>
        <w:spacing w:before="0" w:after="0" w:line="240" w:lineRule="auto"/>
      </w:pPr>
      <w:rPr>
        <w:b/>
        <w:bCs/>
      </w:rPr>
      <w:tblPr/>
      <w:tcPr>
        <w:tcBorders>
          <w:top w:val="single" w:sz="8" w:space="0" w:color="777C84"/>
          <w:left w:val="nil"/>
          <w:bottom w:val="single" w:sz="8" w:space="0" w:color="777C84"/>
          <w:right w:val="nil"/>
          <w:insideH w:val="nil"/>
          <w:insideV w:val="nil"/>
        </w:tcBorders>
      </w:tcPr>
    </w:tblStylePr>
    <w:tblStylePr w:type="lastRow">
      <w:pPr>
        <w:spacing w:before="0" w:after="0" w:line="240" w:lineRule="auto"/>
      </w:pPr>
      <w:rPr>
        <w:b/>
        <w:bCs/>
      </w:rPr>
      <w:tblPr/>
      <w:tcPr>
        <w:tcBorders>
          <w:top w:val="single" w:sz="8" w:space="0" w:color="777C84"/>
          <w:left w:val="nil"/>
          <w:bottom w:val="single" w:sz="8" w:space="0" w:color="777C8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DDEE0"/>
      </w:tcPr>
    </w:tblStylePr>
    <w:tblStylePr w:type="band1Horz">
      <w:tblPr/>
      <w:tcPr>
        <w:tcBorders>
          <w:left w:val="nil"/>
          <w:right w:val="nil"/>
          <w:insideH w:val="nil"/>
          <w:insideV w:val="nil"/>
        </w:tcBorders>
        <w:shd w:val="clear" w:color="auto" w:fill="DDDEE0"/>
      </w:tcPr>
    </w:tblStylePr>
  </w:style>
  <w:style w:type="table" w:styleId="LightShading-Accent6">
    <w:name w:val="Light Shading Accent 6"/>
    <w:basedOn w:val="TableNormal"/>
    <w:uiPriority w:val="60"/>
    <w:rsid w:val="00C173C4"/>
    <w:rPr>
      <w:color w:val="E36C0A"/>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MediumShading1-Accent21">
    <w:name w:val="Medium Shading 1 - Accent 21"/>
    <w:basedOn w:val="TableNormal"/>
    <w:next w:val="MediumShading1-Accent2"/>
    <w:uiPriority w:val="63"/>
    <w:rsid w:val="004912A3"/>
    <w:rPr>
      <w:rFonts w:eastAsia="Times New Roman"/>
    </w:rPr>
    <w:tblPr>
      <w:tblStyleRowBandSize w:val="1"/>
      <w:tblStyleColBandSize w:val="1"/>
      <w:tblBorders>
        <w:top w:val="single" w:sz="8" w:space="0" w:color="73A2DE"/>
        <w:left w:val="single" w:sz="8" w:space="0" w:color="73A2DE"/>
        <w:bottom w:val="single" w:sz="8" w:space="0" w:color="73A2DE"/>
        <w:right w:val="single" w:sz="8" w:space="0" w:color="73A2DE"/>
        <w:insideH w:val="single" w:sz="8" w:space="0" w:color="73A2DE"/>
      </w:tblBorders>
    </w:tblPr>
    <w:tblStylePr w:type="firstRow">
      <w:pPr>
        <w:spacing w:before="0" w:after="0" w:line="240" w:lineRule="auto"/>
      </w:pPr>
      <w:rPr>
        <w:b/>
        <w:bCs/>
        <w:color w:val="FFFFFF"/>
      </w:rPr>
      <w:tblPr/>
      <w:tcPr>
        <w:tcBorders>
          <w:top w:val="single" w:sz="8" w:space="0" w:color="73A2DE"/>
          <w:left w:val="single" w:sz="8" w:space="0" w:color="73A2DE"/>
          <w:bottom w:val="single" w:sz="8" w:space="0" w:color="73A2DE"/>
          <w:right w:val="single" w:sz="8" w:space="0" w:color="73A2DE"/>
          <w:insideH w:val="nil"/>
          <w:insideV w:val="nil"/>
        </w:tcBorders>
        <w:shd w:val="clear" w:color="auto" w:fill="4584D3"/>
      </w:tcPr>
    </w:tblStylePr>
    <w:tblStylePr w:type="lastRow">
      <w:pPr>
        <w:spacing w:before="0" w:after="0" w:line="240" w:lineRule="auto"/>
      </w:pPr>
      <w:rPr>
        <w:b/>
        <w:bCs/>
      </w:rPr>
      <w:tblPr/>
      <w:tcPr>
        <w:tcBorders>
          <w:top w:val="double" w:sz="6" w:space="0" w:color="73A2DE"/>
          <w:left w:val="single" w:sz="8" w:space="0" w:color="73A2DE"/>
          <w:bottom w:val="single" w:sz="8" w:space="0" w:color="73A2DE"/>
          <w:right w:val="single" w:sz="8" w:space="0" w:color="73A2DE"/>
          <w:insideH w:val="nil"/>
          <w:insideV w:val="nil"/>
        </w:tcBorders>
      </w:tcPr>
    </w:tblStylePr>
    <w:tblStylePr w:type="firstCol">
      <w:rPr>
        <w:b/>
        <w:bCs/>
      </w:rPr>
    </w:tblStylePr>
    <w:tblStylePr w:type="lastCol">
      <w:rPr>
        <w:b/>
        <w:bCs/>
      </w:rPr>
    </w:tblStylePr>
    <w:tblStylePr w:type="band1Vert">
      <w:tblPr/>
      <w:tcPr>
        <w:shd w:val="clear" w:color="auto" w:fill="D0E0F4"/>
      </w:tcPr>
    </w:tblStylePr>
    <w:tblStylePr w:type="band1Horz">
      <w:tblPr/>
      <w:tcPr>
        <w:tcBorders>
          <w:insideH w:val="nil"/>
          <w:insideV w:val="nil"/>
        </w:tcBorders>
        <w:shd w:val="clear" w:color="auto" w:fill="D0E0F4"/>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4912A3"/>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TableGrid2">
    <w:name w:val="Table Grid2"/>
    <w:basedOn w:val="TableNormal"/>
    <w:next w:val="TableGrid"/>
    <w:uiPriority w:val="59"/>
    <w:rsid w:val="00A32DD1"/>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805054"/>
  </w:style>
  <w:style w:type="paragraph" w:styleId="EndnoteText">
    <w:name w:val="endnote text"/>
    <w:basedOn w:val="Normal"/>
    <w:link w:val="EndnoteTextChar"/>
    <w:locked/>
    <w:rsid w:val="007B50A6"/>
    <w:rPr>
      <w:rFonts w:eastAsia="Batang"/>
      <w:sz w:val="20"/>
      <w:szCs w:val="20"/>
    </w:rPr>
  </w:style>
  <w:style w:type="character" w:customStyle="1" w:styleId="EndnoteTextChar">
    <w:name w:val="Endnote Text Char"/>
    <w:link w:val="EndnoteText"/>
    <w:rsid w:val="007B50A6"/>
    <w:rPr>
      <w:rFonts w:eastAsia="Batang"/>
      <w:lang w:eastAsia="en-US"/>
    </w:rPr>
  </w:style>
  <w:style w:type="character" w:styleId="EndnoteReference">
    <w:name w:val="endnote reference"/>
    <w:locked/>
    <w:rsid w:val="007B50A6"/>
    <w:rPr>
      <w:vertAlign w:val="superscript"/>
    </w:rPr>
  </w:style>
  <w:style w:type="table" w:customStyle="1" w:styleId="MediumShading1-Accent211">
    <w:name w:val="Medium Shading 1 - Accent 211"/>
    <w:basedOn w:val="TableNormal"/>
    <w:next w:val="MediumShading1-Accent2"/>
    <w:uiPriority w:val="63"/>
    <w:rsid w:val="00600F10"/>
    <w:rPr>
      <w:rFonts w:eastAsia="Times New Roman"/>
    </w:rPr>
    <w:tblPr>
      <w:tblStyleRowBandSize w:val="1"/>
      <w:tblStyleColBandSize w:val="1"/>
      <w:tblBorders>
        <w:top w:val="single" w:sz="8" w:space="0" w:color="73A2DE"/>
        <w:left w:val="single" w:sz="8" w:space="0" w:color="73A2DE"/>
        <w:bottom w:val="single" w:sz="8" w:space="0" w:color="73A2DE"/>
        <w:right w:val="single" w:sz="8" w:space="0" w:color="73A2DE"/>
        <w:insideH w:val="single" w:sz="8" w:space="0" w:color="73A2DE"/>
      </w:tblBorders>
    </w:tblPr>
    <w:tblStylePr w:type="firstRow">
      <w:pPr>
        <w:spacing w:before="0" w:after="0" w:line="240" w:lineRule="auto"/>
      </w:pPr>
      <w:rPr>
        <w:b/>
        <w:bCs/>
        <w:color w:val="FFFFFF"/>
      </w:rPr>
      <w:tblPr/>
      <w:tcPr>
        <w:tcBorders>
          <w:top w:val="single" w:sz="8" w:space="0" w:color="73A2DE"/>
          <w:left w:val="single" w:sz="8" w:space="0" w:color="73A2DE"/>
          <w:bottom w:val="single" w:sz="8" w:space="0" w:color="73A2DE"/>
          <w:right w:val="single" w:sz="8" w:space="0" w:color="73A2DE"/>
          <w:insideH w:val="nil"/>
          <w:insideV w:val="nil"/>
        </w:tcBorders>
        <w:shd w:val="clear" w:color="auto" w:fill="4584D3"/>
      </w:tcPr>
    </w:tblStylePr>
    <w:tblStylePr w:type="lastRow">
      <w:pPr>
        <w:spacing w:before="0" w:after="0" w:line="240" w:lineRule="auto"/>
      </w:pPr>
      <w:rPr>
        <w:b/>
        <w:bCs/>
      </w:rPr>
      <w:tblPr/>
      <w:tcPr>
        <w:tcBorders>
          <w:top w:val="double" w:sz="6" w:space="0" w:color="73A2DE"/>
          <w:left w:val="single" w:sz="8" w:space="0" w:color="73A2DE"/>
          <w:bottom w:val="single" w:sz="8" w:space="0" w:color="73A2DE"/>
          <w:right w:val="single" w:sz="8" w:space="0" w:color="73A2DE"/>
          <w:insideH w:val="nil"/>
          <w:insideV w:val="nil"/>
        </w:tcBorders>
      </w:tcPr>
    </w:tblStylePr>
    <w:tblStylePr w:type="firstCol">
      <w:rPr>
        <w:b/>
        <w:bCs/>
      </w:rPr>
    </w:tblStylePr>
    <w:tblStylePr w:type="lastCol">
      <w:rPr>
        <w:b/>
        <w:bCs/>
      </w:rPr>
    </w:tblStylePr>
    <w:tblStylePr w:type="band1Vert">
      <w:tblPr/>
      <w:tcPr>
        <w:shd w:val="clear" w:color="auto" w:fill="D0E0F4"/>
      </w:tcPr>
    </w:tblStylePr>
    <w:tblStylePr w:type="band1Horz">
      <w:tblPr/>
      <w:tcPr>
        <w:tcBorders>
          <w:insideH w:val="nil"/>
          <w:insideV w:val="nil"/>
        </w:tcBorders>
        <w:shd w:val="clear" w:color="auto" w:fill="D0E0F4"/>
      </w:tcPr>
    </w:tblStylePr>
    <w:tblStylePr w:type="band2Horz">
      <w:tblPr/>
      <w:tcPr>
        <w:tcBorders>
          <w:insideH w:val="nil"/>
          <w:insideV w:val="nil"/>
        </w:tcBorders>
      </w:tcPr>
    </w:tblStylePr>
  </w:style>
  <w:style w:type="paragraph" w:styleId="TableofFigures">
    <w:name w:val="table of figures"/>
    <w:basedOn w:val="Normal"/>
    <w:next w:val="Normal"/>
    <w:uiPriority w:val="99"/>
    <w:unhideWhenUsed/>
    <w:locked/>
    <w:rsid w:val="002A07D8"/>
    <w:pPr>
      <w:spacing w:after="0"/>
    </w:pPr>
    <w:rPr>
      <w:rFonts w:eastAsia="Times New Roman"/>
      <w:lang w:eastAsia="en-GB"/>
    </w:rPr>
  </w:style>
  <w:style w:type="table" w:customStyle="1" w:styleId="TableGrid3">
    <w:name w:val="Table Grid3"/>
    <w:basedOn w:val="TableNormal"/>
    <w:next w:val="TableGrid"/>
    <w:uiPriority w:val="59"/>
    <w:rsid w:val="00CB3259"/>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CB3259"/>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graf">
    <w:name w:val="text_graf"/>
    <w:basedOn w:val="Normal"/>
    <w:qFormat/>
    <w:rsid w:val="00A52E2F"/>
    <w:pPr>
      <w:spacing w:after="60"/>
      <w:ind w:left="567"/>
    </w:pPr>
    <w:rPr>
      <w:sz w:val="20"/>
    </w:rPr>
  </w:style>
  <w:style w:type="paragraph" w:customStyle="1" w:styleId="Source0">
    <w:name w:val="Source"/>
    <w:basedOn w:val="Normal"/>
    <w:qFormat/>
    <w:rsid w:val="00BA381C"/>
    <w:pPr>
      <w:spacing w:before="60"/>
      <w:jc w:val="right"/>
    </w:pPr>
    <w:rPr>
      <w:rFonts w:eastAsia="Times New Roman"/>
      <w:sz w:val="20"/>
    </w:rPr>
  </w:style>
  <w:style w:type="paragraph" w:customStyle="1" w:styleId="texttable">
    <w:name w:val="text_table"/>
    <w:basedOn w:val="Normal"/>
    <w:qFormat/>
    <w:rsid w:val="00A52E2F"/>
    <w:pPr>
      <w:spacing w:before="40" w:after="40"/>
      <w:jc w:val="left"/>
    </w:pPr>
    <w:rPr>
      <w:rFonts w:eastAsia="Times New Roman"/>
      <w:bCs/>
      <w:sz w:val="20"/>
      <w:szCs w:val="20"/>
    </w:rPr>
  </w:style>
  <w:style w:type="paragraph" w:customStyle="1" w:styleId="a">
    <w:name w:val="Първи ред"/>
    <w:basedOn w:val="Normal"/>
    <w:qFormat/>
    <w:rsid w:val="00A52E2F"/>
    <w:pPr>
      <w:ind w:firstLine="578"/>
    </w:pPr>
    <w:rPr>
      <w:rFonts w:eastAsia="Times New Roman"/>
      <w:lang w:eastAsia="zh-CN"/>
    </w:rPr>
  </w:style>
  <w:style w:type="character" w:customStyle="1" w:styleId="Heading5Char">
    <w:name w:val="Heading 5 Char"/>
    <w:basedOn w:val="DefaultParagraphFont"/>
    <w:link w:val="Heading5"/>
    <w:uiPriority w:val="9"/>
    <w:rsid w:val="00B661BF"/>
    <w:rPr>
      <w:rFonts w:asciiTheme="majorHAnsi" w:eastAsiaTheme="majorEastAsia" w:hAnsiTheme="majorHAnsi" w:cstheme="majorBidi"/>
      <w:b/>
      <w:i/>
      <w:sz w:val="24"/>
    </w:rPr>
  </w:style>
  <w:style w:type="character" w:customStyle="1" w:styleId="Heading6Char">
    <w:name w:val="Heading 6 Char"/>
    <w:basedOn w:val="DefaultParagraphFont"/>
    <w:link w:val="Heading6"/>
    <w:uiPriority w:val="9"/>
    <w:rsid w:val="00FC2F83"/>
    <w:rPr>
      <w:rFonts w:ascii="Times New Roman" w:eastAsia="Times New Roman" w:hAnsi="Times New Roman"/>
      <w:b/>
      <w:color w:val="852010" w:themeColor="accent3" w:themeShade="BF"/>
      <w:sz w:val="24"/>
    </w:rPr>
  </w:style>
  <w:style w:type="character" w:customStyle="1" w:styleId="Heading7Char">
    <w:name w:val="Heading 7 Char"/>
    <w:basedOn w:val="DefaultParagraphFont"/>
    <w:link w:val="Heading7"/>
    <w:uiPriority w:val="9"/>
    <w:rsid w:val="00A52E2F"/>
    <w:rPr>
      <w:rFonts w:asciiTheme="majorHAnsi" w:eastAsiaTheme="majorEastAsia" w:hAnsiTheme="majorHAnsi" w:cstheme="majorBidi"/>
      <w:i/>
      <w:iCs/>
      <w:sz w:val="24"/>
    </w:rPr>
  </w:style>
  <w:style w:type="character" w:customStyle="1" w:styleId="Heading8Char">
    <w:name w:val="Heading 8 Char"/>
    <w:basedOn w:val="DefaultParagraphFont"/>
    <w:link w:val="Heading8"/>
    <w:uiPriority w:val="9"/>
    <w:rsid w:val="00A52E2F"/>
    <w:rPr>
      <w:rFonts w:asciiTheme="majorHAnsi" w:eastAsiaTheme="majorEastAsia" w:hAnsiTheme="majorHAnsi" w:cstheme="majorBidi"/>
      <w:color w:val="FE8637" w:themeColor="accent1"/>
      <w:sz w:val="20"/>
      <w:szCs w:val="20"/>
    </w:rPr>
  </w:style>
  <w:style w:type="character" w:customStyle="1" w:styleId="Heading9Char">
    <w:name w:val="Heading 9 Char"/>
    <w:basedOn w:val="DefaultParagraphFont"/>
    <w:link w:val="Heading9"/>
    <w:uiPriority w:val="9"/>
    <w:semiHidden/>
    <w:rsid w:val="00A52E2F"/>
    <w:rPr>
      <w:rFonts w:asciiTheme="majorHAnsi" w:eastAsiaTheme="majorEastAsia" w:hAnsiTheme="majorHAnsi" w:cstheme="majorBidi"/>
      <w:i/>
      <w:iCs/>
      <w:sz w:val="20"/>
      <w:szCs w:val="20"/>
    </w:rPr>
  </w:style>
  <w:style w:type="paragraph" w:styleId="Subtitle">
    <w:name w:val="Subtitle"/>
    <w:basedOn w:val="Normal"/>
    <w:next w:val="Normal"/>
    <w:link w:val="SubtitleChar"/>
    <w:uiPriority w:val="11"/>
    <w:qFormat/>
    <w:rsid w:val="00A52E2F"/>
    <w:pPr>
      <w:numPr>
        <w:ilvl w:val="1"/>
      </w:numPr>
    </w:pPr>
    <w:rPr>
      <w:rFonts w:asciiTheme="majorHAnsi" w:eastAsiaTheme="majorEastAsia" w:hAnsiTheme="majorHAnsi" w:cstheme="majorBidi"/>
      <w:i/>
      <w:iCs/>
      <w:color w:val="FE8637" w:themeColor="accent1"/>
      <w:spacing w:val="15"/>
      <w:szCs w:val="24"/>
    </w:rPr>
  </w:style>
  <w:style w:type="character" w:customStyle="1" w:styleId="SubtitleChar">
    <w:name w:val="Subtitle Char"/>
    <w:basedOn w:val="DefaultParagraphFont"/>
    <w:link w:val="Subtitle"/>
    <w:uiPriority w:val="11"/>
    <w:rsid w:val="00A52E2F"/>
    <w:rPr>
      <w:rFonts w:asciiTheme="majorHAnsi" w:eastAsiaTheme="majorEastAsia" w:hAnsiTheme="majorHAnsi" w:cstheme="majorBidi"/>
      <w:i/>
      <w:iCs/>
      <w:color w:val="FE8637" w:themeColor="accent1"/>
      <w:spacing w:val="15"/>
      <w:sz w:val="24"/>
      <w:szCs w:val="24"/>
    </w:rPr>
  </w:style>
  <w:style w:type="character" w:styleId="Strong">
    <w:name w:val="Strong"/>
    <w:basedOn w:val="DefaultParagraphFont"/>
    <w:uiPriority w:val="22"/>
    <w:qFormat/>
    <w:rsid w:val="00A52E2F"/>
    <w:rPr>
      <w:b/>
      <w:bCs/>
    </w:rPr>
  </w:style>
  <w:style w:type="paragraph" w:styleId="Quote">
    <w:name w:val="Quote"/>
    <w:basedOn w:val="Normal"/>
    <w:next w:val="Normal"/>
    <w:link w:val="QuoteChar"/>
    <w:uiPriority w:val="29"/>
    <w:qFormat/>
    <w:rsid w:val="00A52E2F"/>
    <w:rPr>
      <w:i/>
      <w:iCs/>
      <w:color w:val="000000" w:themeColor="text1"/>
      <w:sz w:val="22"/>
    </w:rPr>
  </w:style>
  <w:style w:type="character" w:customStyle="1" w:styleId="QuoteChar">
    <w:name w:val="Quote Char"/>
    <w:basedOn w:val="DefaultParagraphFont"/>
    <w:link w:val="Quote"/>
    <w:uiPriority w:val="29"/>
    <w:rsid w:val="00A52E2F"/>
    <w:rPr>
      <w:i/>
      <w:iCs/>
      <w:color w:val="000000" w:themeColor="text1"/>
    </w:rPr>
  </w:style>
  <w:style w:type="paragraph" w:styleId="IntenseQuote">
    <w:name w:val="Intense Quote"/>
    <w:basedOn w:val="Normal"/>
    <w:next w:val="Normal"/>
    <w:link w:val="IntenseQuoteChar"/>
    <w:uiPriority w:val="30"/>
    <w:qFormat/>
    <w:rsid w:val="00A52E2F"/>
    <w:pPr>
      <w:pBdr>
        <w:bottom w:val="single" w:sz="4" w:space="4" w:color="FE8637" w:themeColor="accent1"/>
      </w:pBdr>
      <w:spacing w:before="200" w:after="280"/>
      <w:ind w:left="936" w:right="936"/>
    </w:pPr>
    <w:rPr>
      <w:b/>
      <w:bCs/>
      <w:i/>
      <w:iCs/>
      <w:color w:val="FE8637" w:themeColor="accent1"/>
      <w:sz w:val="22"/>
    </w:rPr>
  </w:style>
  <w:style w:type="character" w:customStyle="1" w:styleId="IntenseQuoteChar">
    <w:name w:val="Intense Quote Char"/>
    <w:basedOn w:val="DefaultParagraphFont"/>
    <w:link w:val="IntenseQuote"/>
    <w:uiPriority w:val="30"/>
    <w:rsid w:val="00A52E2F"/>
    <w:rPr>
      <w:b/>
      <w:bCs/>
      <w:i/>
      <w:iCs/>
      <w:color w:val="FE8637" w:themeColor="accent1"/>
    </w:rPr>
  </w:style>
  <w:style w:type="character" w:styleId="SubtleEmphasis">
    <w:name w:val="Subtle Emphasis"/>
    <w:basedOn w:val="DefaultParagraphFont"/>
    <w:uiPriority w:val="19"/>
    <w:qFormat/>
    <w:rsid w:val="00A52E2F"/>
    <w:rPr>
      <w:i/>
      <w:iCs/>
      <w:color w:val="808080" w:themeColor="text1" w:themeTint="7F"/>
    </w:rPr>
  </w:style>
  <w:style w:type="character" w:styleId="IntenseEmphasis">
    <w:name w:val="Intense Emphasis"/>
    <w:basedOn w:val="DefaultParagraphFont"/>
    <w:uiPriority w:val="21"/>
    <w:qFormat/>
    <w:rsid w:val="00A52E2F"/>
    <w:rPr>
      <w:b/>
      <w:bCs/>
      <w:i/>
      <w:iCs/>
      <w:color w:val="FE8637" w:themeColor="accent1"/>
    </w:rPr>
  </w:style>
  <w:style w:type="character" w:styleId="SubtleReference">
    <w:name w:val="Subtle Reference"/>
    <w:basedOn w:val="DefaultParagraphFont"/>
    <w:uiPriority w:val="31"/>
    <w:qFormat/>
    <w:rsid w:val="00A52E2F"/>
    <w:rPr>
      <w:smallCaps/>
      <w:color w:val="7598D9" w:themeColor="accent2"/>
      <w:u w:val="single"/>
    </w:rPr>
  </w:style>
  <w:style w:type="character" w:styleId="IntenseReference">
    <w:name w:val="Intense Reference"/>
    <w:basedOn w:val="DefaultParagraphFont"/>
    <w:uiPriority w:val="32"/>
    <w:qFormat/>
    <w:rsid w:val="00A52E2F"/>
    <w:rPr>
      <w:b/>
      <w:bCs/>
      <w:smallCaps/>
      <w:color w:val="7598D9" w:themeColor="accent2"/>
      <w:spacing w:val="5"/>
      <w:u w:val="single"/>
    </w:rPr>
  </w:style>
  <w:style w:type="character" w:styleId="BookTitle">
    <w:name w:val="Book Title"/>
    <w:basedOn w:val="DefaultParagraphFont"/>
    <w:uiPriority w:val="33"/>
    <w:qFormat/>
    <w:rsid w:val="00A52E2F"/>
    <w:rPr>
      <w:b/>
      <w:bCs/>
      <w:smallCaps/>
      <w:spacing w:val="5"/>
    </w:rPr>
  </w:style>
  <w:style w:type="character" w:customStyle="1" w:styleId="ListParagraphChar">
    <w:name w:val="List Paragraph Char"/>
    <w:aliases w:val="Recommendatio Char,Párrafo de lista Char,Recommendation Char,OBC Bullet Char,Dot pt Char,F5 List Paragraph Char,No Spacing1 Char,List Paragraph Char Char Char Char,Indicator Text Char,Numbered Para 1 Char,Bullet 1 Char,L Char,3 Char"/>
    <w:link w:val="ListParagraph"/>
    <w:uiPriority w:val="34"/>
    <w:qFormat/>
    <w:locked/>
    <w:rsid w:val="00B03B34"/>
    <w:rPr>
      <w:rFonts w:ascii="Times New Roman" w:hAnsi="Times New Roman"/>
      <w:sz w:val="24"/>
    </w:rPr>
  </w:style>
  <w:style w:type="table" w:styleId="LightGrid-Accent1">
    <w:name w:val="Light Grid Accent 1"/>
    <w:basedOn w:val="TableNormal"/>
    <w:uiPriority w:val="62"/>
    <w:rsid w:val="006974DE"/>
    <w:pPr>
      <w:spacing w:after="0" w:line="240" w:lineRule="auto"/>
    </w:pPr>
    <w:tblPr>
      <w:tblStyleRowBandSize w:val="1"/>
      <w:tblStyleColBandSize w:val="1"/>
      <w:tblBorders>
        <w:top w:val="single" w:sz="8" w:space="0" w:color="FE8637" w:themeColor="accent1"/>
        <w:left w:val="single" w:sz="8" w:space="0" w:color="FE8637" w:themeColor="accent1"/>
        <w:bottom w:val="single" w:sz="8" w:space="0" w:color="FE8637" w:themeColor="accent1"/>
        <w:right w:val="single" w:sz="8" w:space="0" w:color="FE8637" w:themeColor="accent1"/>
        <w:insideH w:val="single" w:sz="8" w:space="0" w:color="FE8637" w:themeColor="accent1"/>
        <w:insideV w:val="single" w:sz="8" w:space="0" w:color="FE8637"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E8637" w:themeColor="accent1"/>
          <w:left w:val="single" w:sz="8" w:space="0" w:color="FE8637" w:themeColor="accent1"/>
          <w:bottom w:val="single" w:sz="18" w:space="0" w:color="FE8637" w:themeColor="accent1"/>
          <w:right w:val="single" w:sz="8" w:space="0" w:color="FE8637" w:themeColor="accent1"/>
          <w:insideH w:val="nil"/>
          <w:insideV w:val="single" w:sz="8" w:space="0" w:color="FE8637"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E8637" w:themeColor="accent1"/>
          <w:left w:val="single" w:sz="8" w:space="0" w:color="FE8637" w:themeColor="accent1"/>
          <w:bottom w:val="single" w:sz="8" w:space="0" w:color="FE8637" w:themeColor="accent1"/>
          <w:right w:val="single" w:sz="8" w:space="0" w:color="FE8637" w:themeColor="accent1"/>
          <w:insideH w:val="nil"/>
          <w:insideV w:val="single" w:sz="8" w:space="0" w:color="FE8637"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E8637" w:themeColor="accent1"/>
          <w:left w:val="single" w:sz="8" w:space="0" w:color="FE8637" w:themeColor="accent1"/>
          <w:bottom w:val="single" w:sz="8" w:space="0" w:color="FE8637" w:themeColor="accent1"/>
          <w:right w:val="single" w:sz="8" w:space="0" w:color="FE8637" w:themeColor="accent1"/>
        </w:tcBorders>
      </w:tcPr>
    </w:tblStylePr>
    <w:tblStylePr w:type="band1Vert">
      <w:tblPr/>
      <w:tcPr>
        <w:tcBorders>
          <w:top w:val="single" w:sz="8" w:space="0" w:color="FE8637" w:themeColor="accent1"/>
          <w:left w:val="single" w:sz="8" w:space="0" w:color="FE8637" w:themeColor="accent1"/>
          <w:bottom w:val="single" w:sz="8" w:space="0" w:color="FE8637" w:themeColor="accent1"/>
          <w:right w:val="single" w:sz="8" w:space="0" w:color="FE8637" w:themeColor="accent1"/>
        </w:tcBorders>
        <w:shd w:val="clear" w:color="auto" w:fill="FEE1CD" w:themeFill="accent1" w:themeFillTint="3F"/>
      </w:tcPr>
    </w:tblStylePr>
    <w:tblStylePr w:type="band1Horz">
      <w:tblPr/>
      <w:tcPr>
        <w:tcBorders>
          <w:top w:val="single" w:sz="8" w:space="0" w:color="FE8637" w:themeColor="accent1"/>
          <w:left w:val="single" w:sz="8" w:space="0" w:color="FE8637" w:themeColor="accent1"/>
          <w:bottom w:val="single" w:sz="8" w:space="0" w:color="FE8637" w:themeColor="accent1"/>
          <w:right w:val="single" w:sz="8" w:space="0" w:color="FE8637" w:themeColor="accent1"/>
          <w:insideV w:val="single" w:sz="8" w:space="0" w:color="FE8637" w:themeColor="accent1"/>
        </w:tcBorders>
        <w:shd w:val="clear" w:color="auto" w:fill="FEE1CD" w:themeFill="accent1" w:themeFillTint="3F"/>
      </w:tcPr>
    </w:tblStylePr>
    <w:tblStylePr w:type="band2Horz">
      <w:tblPr/>
      <w:tcPr>
        <w:tcBorders>
          <w:top w:val="single" w:sz="8" w:space="0" w:color="FE8637" w:themeColor="accent1"/>
          <w:left w:val="single" w:sz="8" w:space="0" w:color="FE8637" w:themeColor="accent1"/>
          <w:bottom w:val="single" w:sz="8" w:space="0" w:color="FE8637" w:themeColor="accent1"/>
          <w:right w:val="single" w:sz="8" w:space="0" w:color="FE8637" w:themeColor="accent1"/>
          <w:insideV w:val="single" w:sz="8" w:space="0" w:color="FE8637" w:themeColor="accent1"/>
        </w:tcBorders>
      </w:tcPr>
    </w:tblStylePr>
  </w:style>
  <w:style w:type="table" w:styleId="MediumList1-Accent3">
    <w:name w:val="Medium List 1 Accent 3"/>
    <w:basedOn w:val="TableNormal"/>
    <w:uiPriority w:val="65"/>
    <w:rsid w:val="00EA7452"/>
    <w:pPr>
      <w:spacing w:after="0" w:line="240" w:lineRule="auto"/>
    </w:pPr>
    <w:rPr>
      <w:color w:val="000000" w:themeColor="text1"/>
    </w:rPr>
    <w:tblPr>
      <w:tblStyleRowBandSize w:val="1"/>
      <w:tblStyleColBandSize w:val="1"/>
      <w:tblBorders>
        <w:top w:val="single" w:sz="8" w:space="0" w:color="B32C16" w:themeColor="accent3"/>
        <w:bottom w:val="single" w:sz="8" w:space="0" w:color="B32C16" w:themeColor="accent3"/>
      </w:tblBorders>
    </w:tblPr>
    <w:tblStylePr w:type="firstRow">
      <w:rPr>
        <w:rFonts w:asciiTheme="majorHAnsi" w:eastAsiaTheme="majorEastAsia" w:hAnsiTheme="majorHAnsi" w:cstheme="majorBidi"/>
      </w:rPr>
      <w:tblPr/>
      <w:tcPr>
        <w:tcBorders>
          <w:top w:val="nil"/>
          <w:bottom w:val="single" w:sz="8" w:space="0" w:color="B32C16" w:themeColor="accent3"/>
        </w:tcBorders>
      </w:tcPr>
    </w:tblStylePr>
    <w:tblStylePr w:type="lastRow">
      <w:rPr>
        <w:b/>
        <w:bCs/>
        <w:color w:val="575F6D" w:themeColor="text2"/>
      </w:rPr>
      <w:tblPr/>
      <w:tcPr>
        <w:tcBorders>
          <w:top w:val="single" w:sz="8" w:space="0" w:color="B32C16" w:themeColor="accent3"/>
          <w:bottom w:val="single" w:sz="8" w:space="0" w:color="B32C16" w:themeColor="accent3"/>
        </w:tcBorders>
      </w:tcPr>
    </w:tblStylePr>
    <w:tblStylePr w:type="firstCol">
      <w:rPr>
        <w:b/>
        <w:bCs/>
      </w:rPr>
    </w:tblStylePr>
    <w:tblStylePr w:type="lastCol">
      <w:rPr>
        <w:b/>
        <w:bCs/>
      </w:rPr>
      <w:tblPr/>
      <w:tcPr>
        <w:tcBorders>
          <w:top w:val="single" w:sz="8" w:space="0" w:color="B32C16" w:themeColor="accent3"/>
          <w:bottom w:val="single" w:sz="8" w:space="0" w:color="B32C16" w:themeColor="accent3"/>
        </w:tcBorders>
      </w:tcPr>
    </w:tblStylePr>
    <w:tblStylePr w:type="band1Vert">
      <w:tblPr/>
      <w:tcPr>
        <w:shd w:val="clear" w:color="auto" w:fill="F6C2BA" w:themeFill="accent3" w:themeFillTint="3F"/>
      </w:tcPr>
    </w:tblStylePr>
    <w:tblStylePr w:type="band1Horz">
      <w:tblPr/>
      <w:tcPr>
        <w:shd w:val="clear" w:color="auto" w:fill="F6C2BA" w:themeFill="accent3" w:themeFillTint="3F"/>
      </w:tcPr>
    </w:tblStylePr>
  </w:style>
  <w:style w:type="table" w:styleId="LightShading-Accent3">
    <w:name w:val="Light Shading Accent 3"/>
    <w:basedOn w:val="TableNormal"/>
    <w:uiPriority w:val="60"/>
    <w:rsid w:val="00F32828"/>
    <w:pPr>
      <w:spacing w:after="0" w:line="240" w:lineRule="auto"/>
    </w:pPr>
    <w:rPr>
      <w:color w:val="852010" w:themeColor="accent3" w:themeShade="BF"/>
    </w:rPr>
    <w:tblPr>
      <w:tblStyleRowBandSize w:val="1"/>
      <w:tblStyleColBandSize w:val="1"/>
      <w:tblBorders>
        <w:top w:val="single" w:sz="8" w:space="0" w:color="B32C16" w:themeColor="accent3"/>
        <w:bottom w:val="single" w:sz="8" w:space="0" w:color="B32C16" w:themeColor="accent3"/>
      </w:tblBorders>
    </w:tblPr>
    <w:tblStylePr w:type="firstRow">
      <w:pPr>
        <w:spacing w:before="0" w:after="0" w:line="240" w:lineRule="auto"/>
      </w:pPr>
      <w:rPr>
        <w:b/>
        <w:bCs/>
      </w:rPr>
      <w:tblPr/>
      <w:tcPr>
        <w:tcBorders>
          <w:top w:val="single" w:sz="8" w:space="0" w:color="B32C16" w:themeColor="accent3"/>
          <w:left w:val="nil"/>
          <w:bottom w:val="single" w:sz="8" w:space="0" w:color="B32C16" w:themeColor="accent3"/>
          <w:right w:val="nil"/>
          <w:insideH w:val="nil"/>
          <w:insideV w:val="nil"/>
        </w:tcBorders>
      </w:tcPr>
    </w:tblStylePr>
    <w:tblStylePr w:type="lastRow">
      <w:pPr>
        <w:spacing w:before="0" w:after="0" w:line="240" w:lineRule="auto"/>
      </w:pPr>
      <w:rPr>
        <w:b/>
        <w:bCs/>
      </w:rPr>
      <w:tblPr/>
      <w:tcPr>
        <w:tcBorders>
          <w:top w:val="single" w:sz="8" w:space="0" w:color="B32C16" w:themeColor="accent3"/>
          <w:left w:val="nil"/>
          <w:bottom w:val="single" w:sz="8" w:space="0" w:color="B32C16"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6C2BA" w:themeFill="accent3" w:themeFillTint="3F"/>
      </w:tcPr>
    </w:tblStylePr>
    <w:tblStylePr w:type="band1Horz">
      <w:tblPr/>
      <w:tcPr>
        <w:tcBorders>
          <w:left w:val="nil"/>
          <w:right w:val="nil"/>
          <w:insideH w:val="nil"/>
          <w:insideV w:val="nil"/>
        </w:tcBorders>
        <w:shd w:val="clear" w:color="auto" w:fill="F6C2BA" w:themeFill="accent3" w:themeFillTint="3F"/>
      </w:tcPr>
    </w:tblStylePr>
  </w:style>
  <w:style w:type="table" w:customStyle="1" w:styleId="GridTable5Dark-Accent11">
    <w:name w:val="Grid Table 5 Dark - Accent 11"/>
    <w:basedOn w:val="TableNormal"/>
    <w:uiPriority w:val="50"/>
    <w:rsid w:val="001143F9"/>
    <w:pPr>
      <w:spacing w:after="0" w:line="240" w:lineRule="auto"/>
    </w:pPr>
    <w:rPr>
      <w:rFonts w:eastAsiaTheme="minorHAnsi"/>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EE6D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E8637"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E8637"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E8637"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E8637" w:themeFill="accent1"/>
      </w:tcPr>
    </w:tblStylePr>
    <w:tblStylePr w:type="band1Vert">
      <w:tblPr/>
      <w:tcPr>
        <w:shd w:val="clear" w:color="auto" w:fill="FECEAE" w:themeFill="accent1" w:themeFillTint="66"/>
      </w:tcPr>
    </w:tblStylePr>
    <w:tblStylePr w:type="band1Horz">
      <w:tblPr/>
      <w:tcPr>
        <w:shd w:val="clear" w:color="auto" w:fill="FECEAE" w:themeFill="accent1" w:themeFillTint="66"/>
      </w:tcPr>
    </w:tblStylePr>
  </w:style>
  <w:style w:type="table" w:customStyle="1" w:styleId="MediumShading1-Accent22">
    <w:name w:val="Medium Shading 1 - Accent 22"/>
    <w:basedOn w:val="TableNormal"/>
    <w:next w:val="MediumShading1-Accent2"/>
    <w:uiPriority w:val="63"/>
    <w:rsid w:val="005A37D3"/>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character" w:styleId="FollowedHyperlink">
    <w:name w:val="FollowedHyperlink"/>
    <w:basedOn w:val="DefaultParagraphFont"/>
    <w:uiPriority w:val="99"/>
    <w:semiHidden/>
    <w:unhideWhenUsed/>
    <w:locked/>
    <w:rsid w:val="006A1558"/>
    <w:rPr>
      <w:color w:val="3B435B" w:themeColor="followedHyperlink"/>
      <w:u w:val="single"/>
    </w:rPr>
  </w:style>
  <w:style w:type="character" w:customStyle="1" w:styleId="FontStyle14">
    <w:name w:val="Font Style14"/>
    <w:basedOn w:val="DefaultParagraphFont"/>
    <w:uiPriority w:val="99"/>
    <w:rsid w:val="00684D8B"/>
    <w:rPr>
      <w:rFonts w:ascii="Times New Roman" w:hAnsi="Times New Roman" w:cs="Times New Roman"/>
      <w:sz w:val="22"/>
      <w:szCs w:val="22"/>
    </w:rPr>
  </w:style>
  <w:style w:type="numbering" w:customStyle="1" w:styleId="NoList2">
    <w:name w:val="No List2"/>
    <w:next w:val="NoList"/>
    <w:uiPriority w:val="99"/>
    <w:semiHidden/>
    <w:unhideWhenUsed/>
    <w:rsid w:val="005A3BEF"/>
  </w:style>
  <w:style w:type="table" w:customStyle="1" w:styleId="GridTable6Colorful-Accent11">
    <w:name w:val="Grid Table 6 Colorful - Accent 11"/>
    <w:basedOn w:val="TableNormal"/>
    <w:next w:val="GridTable6Colorful-Accent1"/>
    <w:uiPriority w:val="51"/>
    <w:rsid w:val="001528FC"/>
    <w:pPr>
      <w:spacing w:after="0" w:line="240" w:lineRule="auto"/>
    </w:pPr>
    <w:rPr>
      <w:rFonts w:eastAsia="Calibri"/>
      <w:color w:val="2E74B5"/>
      <w:lang w:eastAsia="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bottom w:val="single" w:sz="12" w:space="0" w:color="9CC2E5"/>
        </w:tcBorders>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GridTable6Colorful-Accent1">
    <w:name w:val="Grid Table 6 Colorful Accent 1"/>
    <w:basedOn w:val="TableNormal"/>
    <w:uiPriority w:val="51"/>
    <w:rsid w:val="001528FC"/>
    <w:pPr>
      <w:spacing w:after="0" w:line="240" w:lineRule="auto"/>
    </w:pPr>
    <w:rPr>
      <w:color w:val="E65B01" w:themeColor="accent1" w:themeShade="BF"/>
    </w:rPr>
    <w:tblPr>
      <w:tblStyleRowBandSize w:val="1"/>
      <w:tblStyleColBandSize w:val="1"/>
      <w:tblBorders>
        <w:top w:val="single" w:sz="4" w:space="0" w:color="FEB686" w:themeColor="accent1" w:themeTint="99"/>
        <w:left w:val="single" w:sz="4" w:space="0" w:color="FEB686" w:themeColor="accent1" w:themeTint="99"/>
        <w:bottom w:val="single" w:sz="4" w:space="0" w:color="FEB686" w:themeColor="accent1" w:themeTint="99"/>
        <w:right w:val="single" w:sz="4" w:space="0" w:color="FEB686" w:themeColor="accent1" w:themeTint="99"/>
        <w:insideH w:val="single" w:sz="4" w:space="0" w:color="FEB686" w:themeColor="accent1" w:themeTint="99"/>
        <w:insideV w:val="single" w:sz="4" w:space="0" w:color="FEB686" w:themeColor="accent1" w:themeTint="99"/>
      </w:tblBorders>
    </w:tblPr>
    <w:tblStylePr w:type="firstRow">
      <w:rPr>
        <w:b/>
        <w:bCs/>
      </w:rPr>
      <w:tblPr/>
      <w:tcPr>
        <w:tcBorders>
          <w:bottom w:val="single" w:sz="12" w:space="0" w:color="FEB686" w:themeColor="accent1" w:themeTint="99"/>
        </w:tcBorders>
      </w:tcPr>
    </w:tblStylePr>
    <w:tblStylePr w:type="lastRow">
      <w:rPr>
        <w:b/>
        <w:bCs/>
      </w:rPr>
      <w:tblPr/>
      <w:tcPr>
        <w:tcBorders>
          <w:top w:val="double" w:sz="4" w:space="0" w:color="FEB686" w:themeColor="accent1" w:themeTint="99"/>
        </w:tcBorders>
      </w:tcPr>
    </w:tblStylePr>
    <w:tblStylePr w:type="firstCol">
      <w:rPr>
        <w:b/>
        <w:bCs/>
      </w:rPr>
    </w:tblStylePr>
    <w:tblStylePr w:type="lastCol">
      <w:rPr>
        <w:b/>
        <w:bCs/>
      </w:rPr>
    </w:tblStylePr>
    <w:tblStylePr w:type="band1Vert">
      <w:tblPr/>
      <w:tcPr>
        <w:shd w:val="clear" w:color="auto" w:fill="FEE6D6" w:themeFill="accent1" w:themeFillTint="33"/>
      </w:tcPr>
    </w:tblStylePr>
    <w:tblStylePr w:type="band1Horz">
      <w:tblPr/>
      <w:tcPr>
        <w:shd w:val="clear" w:color="auto" w:fill="FEE6D6" w:themeFill="accent1" w:themeFillTint="33"/>
      </w:tcPr>
    </w:tblStylePr>
  </w:style>
  <w:style w:type="paragraph" w:customStyle="1" w:styleId="a0">
    <w:name w:val="табл"/>
    <w:basedOn w:val="Normal"/>
    <w:qFormat/>
    <w:rsid w:val="009B55CA"/>
    <w:pPr>
      <w:spacing w:after="0"/>
    </w:pPr>
    <w:rPr>
      <w:rFonts w:ascii="Calibri" w:eastAsia="Times New Roman" w:hAnsi="Calibri" w:cs="Times New Roman"/>
      <w:color w:val="262626" w:themeColor="text1" w:themeTint="D9"/>
      <w:sz w:val="16"/>
      <w:szCs w:val="14"/>
      <w:lang w:val="en-GB" w:eastAsia="ja-JP"/>
    </w:rPr>
  </w:style>
  <w:style w:type="numbering" w:customStyle="1" w:styleId="NoList3">
    <w:name w:val="No List3"/>
    <w:next w:val="NoList"/>
    <w:uiPriority w:val="99"/>
    <w:semiHidden/>
    <w:unhideWhenUsed/>
    <w:rsid w:val="0087536C"/>
  </w:style>
  <w:style w:type="table" w:customStyle="1" w:styleId="TableGrid5">
    <w:name w:val="Table Grid5"/>
    <w:basedOn w:val="TableNormal"/>
    <w:next w:val="TableGrid"/>
    <w:uiPriority w:val="59"/>
    <w:rsid w:val="00523762"/>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Grid1"/>
    <w:rsid w:val="001D5BCD"/>
    <w:pPr>
      <w:spacing w:after="0" w:line="240" w:lineRule="auto"/>
    </w:pPr>
    <w:rPr>
      <w:rFonts w:ascii="Times New Roman" w:eastAsia="Times New Roman" w:hAnsi="Times New Roman" w:cs="Times New Roman"/>
    </w:rPr>
    <w:tblPr>
      <w:tblCellMar>
        <w:top w:w="0" w:type="dxa"/>
        <w:left w:w="0" w:type="dxa"/>
        <w:bottom w:w="0" w:type="dxa"/>
        <w:right w:w="0" w:type="dxa"/>
      </w:tblCellMar>
    </w:tblPr>
  </w:style>
  <w:style w:type="table" w:customStyle="1" w:styleId="TableGrid11">
    <w:name w:val="TableGrid11"/>
    <w:rsid w:val="00E71601"/>
    <w:pPr>
      <w:spacing w:after="0" w:line="240" w:lineRule="auto"/>
    </w:pPr>
    <w:rPr>
      <w:rFonts w:ascii="Times New Roman" w:eastAsia="Times New Roman" w:hAnsi="Times New Roman" w:cs="Times New Roman"/>
    </w:rPr>
    <w:tblPr>
      <w:tblCellMar>
        <w:top w:w="0" w:type="dxa"/>
        <w:left w:w="0" w:type="dxa"/>
        <w:bottom w:w="0" w:type="dxa"/>
        <w:right w:w="0" w:type="dxa"/>
      </w:tblCellMar>
    </w:tblPr>
  </w:style>
  <w:style w:type="table" w:customStyle="1" w:styleId="TableGrid0">
    <w:name w:val="TableGrid"/>
    <w:rsid w:val="00384D4E"/>
    <w:pPr>
      <w:spacing w:after="0" w:line="240" w:lineRule="auto"/>
    </w:pPr>
    <w:tblPr>
      <w:tblCellMar>
        <w:top w:w="0" w:type="dxa"/>
        <w:left w:w="0" w:type="dxa"/>
        <w:bottom w:w="0" w:type="dxa"/>
        <w:right w:w="0" w:type="dxa"/>
      </w:tblCellMar>
    </w:tblPr>
  </w:style>
  <w:style w:type="table" w:customStyle="1" w:styleId="TableGrid26">
    <w:name w:val="Table Grid26"/>
    <w:basedOn w:val="TableNormal"/>
    <w:next w:val="TableGrid"/>
    <w:uiPriority w:val="59"/>
    <w:rsid w:val="00C05E54"/>
    <w:rPr>
      <w:rFonts w:ascii="Times New Roman" w:eastAsia="Times New Roman" w:hAnsi="Times New Roman"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7">
    <w:name w:val="Table Grid27"/>
    <w:basedOn w:val="TableNormal"/>
    <w:next w:val="TableGrid"/>
    <w:uiPriority w:val="59"/>
    <w:rsid w:val="00C05E54"/>
    <w:rPr>
      <w:rFonts w:ascii="Times New Roman" w:eastAsia="Times New Roman" w:hAnsi="Times New Roman"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8">
    <w:name w:val="Table Grid28"/>
    <w:basedOn w:val="TableNormal"/>
    <w:next w:val="TableGrid"/>
    <w:uiPriority w:val="59"/>
    <w:rsid w:val="00C05E54"/>
    <w:rPr>
      <w:rFonts w:ascii="Times New Roman" w:eastAsia="Times New Roman" w:hAnsi="Times New Roman"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9">
    <w:name w:val="Table Grid29"/>
    <w:basedOn w:val="TableNormal"/>
    <w:next w:val="TableGrid"/>
    <w:uiPriority w:val="59"/>
    <w:rsid w:val="006C51AF"/>
    <w:rPr>
      <w:rFonts w:ascii="Times New Roman" w:eastAsia="Times New Roman" w:hAnsi="Times New Roman"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NoList"/>
    <w:uiPriority w:val="99"/>
    <w:semiHidden/>
    <w:unhideWhenUsed/>
    <w:rsid w:val="008A3991"/>
  </w:style>
  <w:style w:type="numbering" w:customStyle="1" w:styleId="NoList5">
    <w:name w:val="No List5"/>
    <w:next w:val="NoList"/>
    <w:uiPriority w:val="99"/>
    <w:semiHidden/>
    <w:unhideWhenUsed/>
    <w:rsid w:val="001A5D18"/>
  </w:style>
  <w:style w:type="numbering" w:customStyle="1" w:styleId="NoList6">
    <w:name w:val="No List6"/>
    <w:next w:val="NoList"/>
    <w:uiPriority w:val="99"/>
    <w:semiHidden/>
    <w:unhideWhenUsed/>
    <w:rsid w:val="00DE5FA0"/>
  </w:style>
  <w:style w:type="numbering" w:customStyle="1" w:styleId="NoList7">
    <w:name w:val="No List7"/>
    <w:next w:val="NoList"/>
    <w:uiPriority w:val="99"/>
    <w:semiHidden/>
    <w:unhideWhenUsed/>
    <w:rsid w:val="00280D99"/>
  </w:style>
  <w:style w:type="table" w:customStyle="1" w:styleId="TableGrid261">
    <w:name w:val="Table Grid261"/>
    <w:basedOn w:val="TableNormal"/>
    <w:next w:val="TableGrid"/>
    <w:uiPriority w:val="59"/>
    <w:rsid w:val="007977EB"/>
    <w:rPr>
      <w:rFonts w:ascii="Times New Roman" w:eastAsia="Times New Roman" w:hAnsi="Times New Roman"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71">
    <w:name w:val="Table Grid271"/>
    <w:basedOn w:val="TableNormal"/>
    <w:next w:val="TableGrid"/>
    <w:uiPriority w:val="59"/>
    <w:rsid w:val="007977EB"/>
    <w:rPr>
      <w:rFonts w:ascii="Times New Roman" w:eastAsia="Times New Roman" w:hAnsi="Times New Roman"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81">
    <w:name w:val="Table Grid281"/>
    <w:basedOn w:val="TableNormal"/>
    <w:next w:val="TableGrid"/>
    <w:uiPriority w:val="59"/>
    <w:rsid w:val="007977EB"/>
    <w:rPr>
      <w:rFonts w:ascii="Times New Roman" w:eastAsia="Times New Roman" w:hAnsi="Times New Roman"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91">
    <w:name w:val="Table Grid291"/>
    <w:basedOn w:val="TableNormal"/>
    <w:next w:val="TableGrid"/>
    <w:uiPriority w:val="59"/>
    <w:rsid w:val="006736BB"/>
    <w:rPr>
      <w:rFonts w:ascii="Times New Roman" w:eastAsia="Times New Roman" w:hAnsi="Times New Roman"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C9700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
    <w:name w:val="No List8"/>
    <w:next w:val="NoList"/>
    <w:uiPriority w:val="99"/>
    <w:semiHidden/>
    <w:unhideWhenUsed/>
    <w:rsid w:val="00ED0C1E"/>
  </w:style>
  <w:style w:type="paragraph" w:customStyle="1" w:styleId="m">
    <w:name w:val="m"/>
    <w:basedOn w:val="Normal"/>
    <w:rsid w:val="00A23998"/>
    <w:pPr>
      <w:spacing w:before="100" w:beforeAutospacing="1" w:after="100" w:afterAutospacing="1"/>
      <w:jc w:val="left"/>
    </w:pPr>
    <w:rPr>
      <w:rFonts w:eastAsia="Times New Roman" w:cs="Times New Roman"/>
      <w:szCs w:val="24"/>
    </w:rPr>
  </w:style>
  <w:style w:type="numbering" w:customStyle="1" w:styleId="NoList9">
    <w:name w:val="No List9"/>
    <w:next w:val="NoList"/>
    <w:uiPriority w:val="99"/>
    <w:semiHidden/>
    <w:unhideWhenUsed/>
    <w:rsid w:val="00AE303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96834">
      <w:bodyDiv w:val="1"/>
      <w:marLeft w:val="0"/>
      <w:marRight w:val="0"/>
      <w:marTop w:val="0"/>
      <w:marBottom w:val="0"/>
      <w:divBdr>
        <w:top w:val="none" w:sz="0" w:space="0" w:color="auto"/>
        <w:left w:val="none" w:sz="0" w:space="0" w:color="auto"/>
        <w:bottom w:val="none" w:sz="0" w:space="0" w:color="auto"/>
        <w:right w:val="none" w:sz="0" w:space="0" w:color="auto"/>
      </w:divBdr>
    </w:div>
    <w:div w:id="3215222">
      <w:bodyDiv w:val="1"/>
      <w:marLeft w:val="0"/>
      <w:marRight w:val="0"/>
      <w:marTop w:val="0"/>
      <w:marBottom w:val="0"/>
      <w:divBdr>
        <w:top w:val="none" w:sz="0" w:space="0" w:color="auto"/>
        <w:left w:val="none" w:sz="0" w:space="0" w:color="auto"/>
        <w:bottom w:val="none" w:sz="0" w:space="0" w:color="auto"/>
        <w:right w:val="none" w:sz="0" w:space="0" w:color="auto"/>
      </w:divBdr>
    </w:div>
    <w:div w:id="4482480">
      <w:bodyDiv w:val="1"/>
      <w:marLeft w:val="0"/>
      <w:marRight w:val="0"/>
      <w:marTop w:val="0"/>
      <w:marBottom w:val="0"/>
      <w:divBdr>
        <w:top w:val="none" w:sz="0" w:space="0" w:color="auto"/>
        <w:left w:val="none" w:sz="0" w:space="0" w:color="auto"/>
        <w:bottom w:val="none" w:sz="0" w:space="0" w:color="auto"/>
        <w:right w:val="none" w:sz="0" w:space="0" w:color="auto"/>
      </w:divBdr>
    </w:div>
    <w:div w:id="6831625">
      <w:bodyDiv w:val="1"/>
      <w:marLeft w:val="0"/>
      <w:marRight w:val="0"/>
      <w:marTop w:val="0"/>
      <w:marBottom w:val="0"/>
      <w:divBdr>
        <w:top w:val="none" w:sz="0" w:space="0" w:color="auto"/>
        <w:left w:val="none" w:sz="0" w:space="0" w:color="auto"/>
        <w:bottom w:val="none" w:sz="0" w:space="0" w:color="auto"/>
        <w:right w:val="none" w:sz="0" w:space="0" w:color="auto"/>
      </w:divBdr>
    </w:div>
    <w:div w:id="8290016">
      <w:bodyDiv w:val="1"/>
      <w:marLeft w:val="0"/>
      <w:marRight w:val="0"/>
      <w:marTop w:val="0"/>
      <w:marBottom w:val="0"/>
      <w:divBdr>
        <w:top w:val="none" w:sz="0" w:space="0" w:color="auto"/>
        <w:left w:val="none" w:sz="0" w:space="0" w:color="auto"/>
        <w:bottom w:val="none" w:sz="0" w:space="0" w:color="auto"/>
        <w:right w:val="none" w:sz="0" w:space="0" w:color="auto"/>
      </w:divBdr>
    </w:div>
    <w:div w:id="8606226">
      <w:bodyDiv w:val="1"/>
      <w:marLeft w:val="0"/>
      <w:marRight w:val="0"/>
      <w:marTop w:val="0"/>
      <w:marBottom w:val="0"/>
      <w:divBdr>
        <w:top w:val="none" w:sz="0" w:space="0" w:color="auto"/>
        <w:left w:val="none" w:sz="0" w:space="0" w:color="auto"/>
        <w:bottom w:val="none" w:sz="0" w:space="0" w:color="auto"/>
        <w:right w:val="none" w:sz="0" w:space="0" w:color="auto"/>
      </w:divBdr>
    </w:div>
    <w:div w:id="9719210">
      <w:bodyDiv w:val="1"/>
      <w:marLeft w:val="0"/>
      <w:marRight w:val="0"/>
      <w:marTop w:val="0"/>
      <w:marBottom w:val="0"/>
      <w:divBdr>
        <w:top w:val="none" w:sz="0" w:space="0" w:color="auto"/>
        <w:left w:val="none" w:sz="0" w:space="0" w:color="auto"/>
        <w:bottom w:val="none" w:sz="0" w:space="0" w:color="auto"/>
        <w:right w:val="none" w:sz="0" w:space="0" w:color="auto"/>
      </w:divBdr>
    </w:div>
    <w:div w:id="20671740">
      <w:bodyDiv w:val="1"/>
      <w:marLeft w:val="0"/>
      <w:marRight w:val="0"/>
      <w:marTop w:val="0"/>
      <w:marBottom w:val="0"/>
      <w:divBdr>
        <w:top w:val="none" w:sz="0" w:space="0" w:color="auto"/>
        <w:left w:val="none" w:sz="0" w:space="0" w:color="auto"/>
        <w:bottom w:val="none" w:sz="0" w:space="0" w:color="auto"/>
        <w:right w:val="none" w:sz="0" w:space="0" w:color="auto"/>
      </w:divBdr>
    </w:div>
    <w:div w:id="25299828">
      <w:bodyDiv w:val="1"/>
      <w:marLeft w:val="0"/>
      <w:marRight w:val="0"/>
      <w:marTop w:val="0"/>
      <w:marBottom w:val="0"/>
      <w:divBdr>
        <w:top w:val="none" w:sz="0" w:space="0" w:color="auto"/>
        <w:left w:val="none" w:sz="0" w:space="0" w:color="auto"/>
        <w:bottom w:val="none" w:sz="0" w:space="0" w:color="auto"/>
        <w:right w:val="none" w:sz="0" w:space="0" w:color="auto"/>
      </w:divBdr>
    </w:div>
    <w:div w:id="29186719">
      <w:bodyDiv w:val="1"/>
      <w:marLeft w:val="0"/>
      <w:marRight w:val="0"/>
      <w:marTop w:val="0"/>
      <w:marBottom w:val="0"/>
      <w:divBdr>
        <w:top w:val="none" w:sz="0" w:space="0" w:color="auto"/>
        <w:left w:val="none" w:sz="0" w:space="0" w:color="auto"/>
        <w:bottom w:val="none" w:sz="0" w:space="0" w:color="auto"/>
        <w:right w:val="none" w:sz="0" w:space="0" w:color="auto"/>
      </w:divBdr>
    </w:div>
    <w:div w:id="29885669">
      <w:bodyDiv w:val="1"/>
      <w:marLeft w:val="0"/>
      <w:marRight w:val="0"/>
      <w:marTop w:val="0"/>
      <w:marBottom w:val="0"/>
      <w:divBdr>
        <w:top w:val="none" w:sz="0" w:space="0" w:color="auto"/>
        <w:left w:val="none" w:sz="0" w:space="0" w:color="auto"/>
        <w:bottom w:val="none" w:sz="0" w:space="0" w:color="auto"/>
        <w:right w:val="none" w:sz="0" w:space="0" w:color="auto"/>
      </w:divBdr>
    </w:div>
    <w:div w:id="33504774">
      <w:bodyDiv w:val="1"/>
      <w:marLeft w:val="0"/>
      <w:marRight w:val="0"/>
      <w:marTop w:val="0"/>
      <w:marBottom w:val="0"/>
      <w:divBdr>
        <w:top w:val="none" w:sz="0" w:space="0" w:color="auto"/>
        <w:left w:val="none" w:sz="0" w:space="0" w:color="auto"/>
        <w:bottom w:val="none" w:sz="0" w:space="0" w:color="auto"/>
        <w:right w:val="none" w:sz="0" w:space="0" w:color="auto"/>
      </w:divBdr>
    </w:div>
    <w:div w:id="35548132">
      <w:bodyDiv w:val="1"/>
      <w:marLeft w:val="0"/>
      <w:marRight w:val="0"/>
      <w:marTop w:val="0"/>
      <w:marBottom w:val="0"/>
      <w:divBdr>
        <w:top w:val="none" w:sz="0" w:space="0" w:color="auto"/>
        <w:left w:val="none" w:sz="0" w:space="0" w:color="auto"/>
        <w:bottom w:val="none" w:sz="0" w:space="0" w:color="auto"/>
        <w:right w:val="none" w:sz="0" w:space="0" w:color="auto"/>
      </w:divBdr>
    </w:div>
    <w:div w:id="42488722">
      <w:bodyDiv w:val="1"/>
      <w:marLeft w:val="0"/>
      <w:marRight w:val="0"/>
      <w:marTop w:val="0"/>
      <w:marBottom w:val="0"/>
      <w:divBdr>
        <w:top w:val="none" w:sz="0" w:space="0" w:color="auto"/>
        <w:left w:val="none" w:sz="0" w:space="0" w:color="auto"/>
        <w:bottom w:val="none" w:sz="0" w:space="0" w:color="auto"/>
        <w:right w:val="none" w:sz="0" w:space="0" w:color="auto"/>
      </w:divBdr>
    </w:div>
    <w:div w:id="46883033">
      <w:bodyDiv w:val="1"/>
      <w:marLeft w:val="0"/>
      <w:marRight w:val="0"/>
      <w:marTop w:val="0"/>
      <w:marBottom w:val="0"/>
      <w:divBdr>
        <w:top w:val="none" w:sz="0" w:space="0" w:color="auto"/>
        <w:left w:val="none" w:sz="0" w:space="0" w:color="auto"/>
        <w:bottom w:val="none" w:sz="0" w:space="0" w:color="auto"/>
        <w:right w:val="none" w:sz="0" w:space="0" w:color="auto"/>
      </w:divBdr>
    </w:div>
    <w:div w:id="51344088">
      <w:bodyDiv w:val="1"/>
      <w:marLeft w:val="0"/>
      <w:marRight w:val="0"/>
      <w:marTop w:val="0"/>
      <w:marBottom w:val="0"/>
      <w:divBdr>
        <w:top w:val="none" w:sz="0" w:space="0" w:color="auto"/>
        <w:left w:val="none" w:sz="0" w:space="0" w:color="auto"/>
        <w:bottom w:val="none" w:sz="0" w:space="0" w:color="auto"/>
        <w:right w:val="none" w:sz="0" w:space="0" w:color="auto"/>
      </w:divBdr>
    </w:div>
    <w:div w:id="53091075">
      <w:bodyDiv w:val="1"/>
      <w:marLeft w:val="0"/>
      <w:marRight w:val="0"/>
      <w:marTop w:val="0"/>
      <w:marBottom w:val="0"/>
      <w:divBdr>
        <w:top w:val="none" w:sz="0" w:space="0" w:color="auto"/>
        <w:left w:val="none" w:sz="0" w:space="0" w:color="auto"/>
        <w:bottom w:val="none" w:sz="0" w:space="0" w:color="auto"/>
        <w:right w:val="none" w:sz="0" w:space="0" w:color="auto"/>
      </w:divBdr>
    </w:div>
    <w:div w:id="54595509">
      <w:bodyDiv w:val="1"/>
      <w:marLeft w:val="0"/>
      <w:marRight w:val="0"/>
      <w:marTop w:val="0"/>
      <w:marBottom w:val="0"/>
      <w:divBdr>
        <w:top w:val="none" w:sz="0" w:space="0" w:color="auto"/>
        <w:left w:val="none" w:sz="0" w:space="0" w:color="auto"/>
        <w:bottom w:val="none" w:sz="0" w:space="0" w:color="auto"/>
        <w:right w:val="none" w:sz="0" w:space="0" w:color="auto"/>
      </w:divBdr>
    </w:div>
    <w:div w:id="55520316">
      <w:bodyDiv w:val="1"/>
      <w:marLeft w:val="0"/>
      <w:marRight w:val="0"/>
      <w:marTop w:val="0"/>
      <w:marBottom w:val="0"/>
      <w:divBdr>
        <w:top w:val="none" w:sz="0" w:space="0" w:color="auto"/>
        <w:left w:val="none" w:sz="0" w:space="0" w:color="auto"/>
        <w:bottom w:val="none" w:sz="0" w:space="0" w:color="auto"/>
        <w:right w:val="none" w:sz="0" w:space="0" w:color="auto"/>
      </w:divBdr>
    </w:div>
    <w:div w:id="59259335">
      <w:bodyDiv w:val="1"/>
      <w:marLeft w:val="0"/>
      <w:marRight w:val="0"/>
      <w:marTop w:val="0"/>
      <w:marBottom w:val="0"/>
      <w:divBdr>
        <w:top w:val="none" w:sz="0" w:space="0" w:color="auto"/>
        <w:left w:val="none" w:sz="0" w:space="0" w:color="auto"/>
        <w:bottom w:val="none" w:sz="0" w:space="0" w:color="auto"/>
        <w:right w:val="none" w:sz="0" w:space="0" w:color="auto"/>
      </w:divBdr>
    </w:div>
    <w:div w:id="60956377">
      <w:bodyDiv w:val="1"/>
      <w:marLeft w:val="0"/>
      <w:marRight w:val="0"/>
      <w:marTop w:val="0"/>
      <w:marBottom w:val="0"/>
      <w:divBdr>
        <w:top w:val="none" w:sz="0" w:space="0" w:color="auto"/>
        <w:left w:val="none" w:sz="0" w:space="0" w:color="auto"/>
        <w:bottom w:val="none" w:sz="0" w:space="0" w:color="auto"/>
        <w:right w:val="none" w:sz="0" w:space="0" w:color="auto"/>
      </w:divBdr>
    </w:div>
    <w:div w:id="61485056">
      <w:bodyDiv w:val="1"/>
      <w:marLeft w:val="0"/>
      <w:marRight w:val="0"/>
      <w:marTop w:val="0"/>
      <w:marBottom w:val="0"/>
      <w:divBdr>
        <w:top w:val="none" w:sz="0" w:space="0" w:color="auto"/>
        <w:left w:val="none" w:sz="0" w:space="0" w:color="auto"/>
        <w:bottom w:val="none" w:sz="0" w:space="0" w:color="auto"/>
        <w:right w:val="none" w:sz="0" w:space="0" w:color="auto"/>
      </w:divBdr>
    </w:div>
    <w:div w:id="65998485">
      <w:bodyDiv w:val="1"/>
      <w:marLeft w:val="0"/>
      <w:marRight w:val="0"/>
      <w:marTop w:val="0"/>
      <w:marBottom w:val="0"/>
      <w:divBdr>
        <w:top w:val="none" w:sz="0" w:space="0" w:color="auto"/>
        <w:left w:val="none" w:sz="0" w:space="0" w:color="auto"/>
        <w:bottom w:val="none" w:sz="0" w:space="0" w:color="auto"/>
        <w:right w:val="none" w:sz="0" w:space="0" w:color="auto"/>
      </w:divBdr>
    </w:div>
    <w:div w:id="67462990">
      <w:bodyDiv w:val="1"/>
      <w:marLeft w:val="0"/>
      <w:marRight w:val="0"/>
      <w:marTop w:val="0"/>
      <w:marBottom w:val="0"/>
      <w:divBdr>
        <w:top w:val="none" w:sz="0" w:space="0" w:color="auto"/>
        <w:left w:val="none" w:sz="0" w:space="0" w:color="auto"/>
        <w:bottom w:val="none" w:sz="0" w:space="0" w:color="auto"/>
        <w:right w:val="none" w:sz="0" w:space="0" w:color="auto"/>
      </w:divBdr>
    </w:div>
    <w:div w:id="67655246">
      <w:bodyDiv w:val="1"/>
      <w:marLeft w:val="0"/>
      <w:marRight w:val="0"/>
      <w:marTop w:val="0"/>
      <w:marBottom w:val="0"/>
      <w:divBdr>
        <w:top w:val="none" w:sz="0" w:space="0" w:color="auto"/>
        <w:left w:val="none" w:sz="0" w:space="0" w:color="auto"/>
        <w:bottom w:val="none" w:sz="0" w:space="0" w:color="auto"/>
        <w:right w:val="none" w:sz="0" w:space="0" w:color="auto"/>
      </w:divBdr>
    </w:div>
    <w:div w:id="73088647">
      <w:bodyDiv w:val="1"/>
      <w:marLeft w:val="0"/>
      <w:marRight w:val="0"/>
      <w:marTop w:val="0"/>
      <w:marBottom w:val="0"/>
      <w:divBdr>
        <w:top w:val="none" w:sz="0" w:space="0" w:color="auto"/>
        <w:left w:val="none" w:sz="0" w:space="0" w:color="auto"/>
        <w:bottom w:val="none" w:sz="0" w:space="0" w:color="auto"/>
        <w:right w:val="none" w:sz="0" w:space="0" w:color="auto"/>
      </w:divBdr>
    </w:div>
    <w:div w:id="77946382">
      <w:bodyDiv w:val="1"/>
      <w:marLeft w:val="0"/>
      <w:marRight w:val="0"/>
      <w:marTop w:val="0"/>
      <w:marBottom w:val="0"/>
      <w:divBdr>
        <w:top w:val="none" w:sz="0" w:space="0" w:color="auto"/>
        <w:left w:val="none" w:sz="0" w:space="0" w:color="auto"/>
        <w:bottom w:val="none" w:sz="0" w:space="0" w:color="auto"/>
        <w:right w:val="none" w:sz="0" w:space="0" w:color="auto"/>
      </w:divBdr>
    </w:div>
    <w:div w:id="79642638">
      <w:bodyDiv w:val="1"/>
      <w:marLeft w:val="0"/>
      <w:marRight w:val="0"/>
      <w:marTop w:val="0"/>
      <w:marBottom w:val="0"/>
      <w:divBdr>
        <w:top w:val="none" w:sz="0" w:space="0" w:color="auto"/>
        <w:left w:val="none" w:sz="0" w:space="0" w:color="auto"/>
        <w:bottom w:val="none" w:sz="0" w:space="0" w:color="auto"/>
        <w:right w:val="none" w:sz="0" w:space="0" w:color="auto"/>
      </w:divBdr>
    </w:div>
    <w:div w:id="88548509">
      <w:bodyDiv w:val="1"/>
      <w:marLeft w:val="0"/>
      <w:marRight w:val="0"/>
      <w:marTop w:val="0"/>
      <w:marBottom w:val="0"/>
      <w:divBdr>
        <w:top w:val="none" w:sz="0" w:space="0" w:color="auto"/>
        <w:left w:val="none" w:sz="0" w:space="0" w:color="auto"/>
        <w:bottom w:val="none" w:sz="0" w:space="0" w:color="auto"/>
        <w:right w:val="none" w:sz="0" w:space="0" w:color="auto"/>
      </w:divBdr>
    </w:div>
    <w:div w:id="90050875">
      <w:bodyDiv w:val="1"/>
      <w:marLeft w:val="0"/>
      <w:marRight w:val="0"/>
      <w:marTop w:val="0"/>
      <w:marBottom w:val="0"/>
      <w:divBdr>
        <w:top w:val="none" w:sz="0" w:space="0" w:color="auto"/>
        <w:left w:val="none" w:sz="0" w:space="0" w:color="auto"/>
        <w:bottom w:val="none" w:sz="0" w:space="0" w:color="auto"/>
        <w:right w:val="none" w:sz="0" w:space="0" w:color="auto"/>
      </w:divBdr>
    </w:div>
    <w:div w:id="92173006">
      <w:bodyDiv w:val="1"/>
      <w:marLeft w:val="0"/>
      <w:marRight w:val="0"/>
      <w:marTop w:val="0"/>
      <w:marBottom w:val="0"/>
      <w:divBdr>
        <w:top w:val="none" w:sz="0" w:space="0" w:color="auto"/>
        <w:left w:val="none" w:sz="0" w:space="0" w:color="auto"/>
        <w:bottom w:val="none" w:sz="0" w:space="0" w:color="auto"/>
        <w:right w:val="none" w:sz="0" w:space="0" w:color="auto"/>
      </w:divBdr>
    </w:div>
    <w:div w:id="94138269">
      <w:bodyDiv w:val="1"/>
      <w:marLeft w:val="0"/>
      <w:marRight w:val="0"/>
      <w:marTop w:val="0"/>
      <w:marBottom w:val="0"/>
      <w:divBdr>
        <w:top w:val="none" w:sz="0" w:space="0" w:color="auto"/>
        <w:left w:val="none" w:sz="0" w:space="0" w:color="auto"/>
        <w:bottom w:val="none" w:sz="0" w:space="0" w:color="auto"/>
        <w:right w:val="none" w:sz="0" w:space="0" w:color="auto"/>
      </w:divBdr>
    </w:div>
    <w:div w:id="96293363">
      <w:bodyDiv w:val="1"/>
      <w:marLeft w:val="0"/>
      <w:marRight w:val="0"/>
      <w:marTop w:val="0"/>
      <w:marBottom w:val="0"/>
      <w:divBdr>
        <w:top w:val="none" w:sz="0" w:space="0" w:color="auto"/>
        <w:left w:val="none" w:sz="0" w:space="0" w:color="auto"/>
        <w:bottom w:val="none" w:sz="0" w:space="0" w:color="auto"/>
        <w:right w:val="none" w:sz="0" w:space="0" w:color="auto"/>
      </w:divBdr>
    </w:div>
    <w:div w:id="104347452">
      <w:bodyDiv w:val="1"/>
      <w:marLeft w:val="0"/>
      <w:marRight w:val="0"/>
      <w:marTop w:val="0"/>
      <w:marBottom w:val="0"/>
      <w:divBdr>
        <w:top w:val="none" w:sz="0" w:space="0" w:color="auto"/>
        <w:left w:val="none" w:sz="0" w:space="0" w:color="auto"/>
        <w:bottom w:val="none" w:sz="0" w:space="0" w:color="auto"/>
        <w:right w:val="none" w:sz="0" w:space="0" w:color="auto"/>
      </w:divBdr>
    </w:div>
    <w:div w:id="110828535">
      <w:bodyDiv w:val="1"/>
      <w:marLeft w:val="0"/>
      <w:marRight w:val="0"/>
      <w:marTop w:val="0"/>
      <w:marBottom w:val="0"/>
      <w:divBdr>
        <w:top w:val="none" w:sz="0" w:space="0" w:color="auto"/>
        <w:left w:val="none" w:sz="0" w:space="0" w:color="auto"/>
        <w:bottom w:val="none" w:sz="0" w:space="0" w:color="auto"/>
        <w:right w:val="none" w:sz="0" w:space="0" w:color="auto"/>
      </w:divBdr>
    </w:div>
    <w:div w:id="117341382">
      <w:bodyDiv w:val="1"/>
      <w:marLeft w:val="0"/>
      <w:marRight w:val="0"/>
      <w:marTop w:val="0"/>
      <w:marBottom w:val="0"/>
      <w:divBdr>
        <w:top w:val="none" w:sz="0" w:space="0" w:color="auto"/>
        <w:left w:val="none" w:sz="0" w:space="0" w:color="auto"/>
        <w:bottom w:val="none" w:sz="0" w:space="0" w:color="auto"/>
        <w:right w:val="none" w:sz="0" w:space="0" w:color="auto"/>
      </w:divBdr>
    </w:div>
    <w:div w:id="119030432">
      <w:bodyDiv w:val="1"/>
      <w:marLeft w:val="0"/>
      <w:marRight w:val="0"/>
      <w:marTop w:val="0"/>
      <w:marBottom w:val="0"/>
      <w:divBdr>
        <w:top w:val="none" w:sz="0" w:space="0" w:color="auto"/>
        <w:left w:val="none" w:sz="0" w:space="0" w:color="auto"/>
        <w:bottom w:val="none" w:sz="0" w:space="0" w:color="auto"/>
        <w:right w:val="none" w:sz="0" w:space="0" w:color="auto"/>
      </w:divBdr>
    </w:div>
    <w:div w:id="126778073">
      <w:bodyDiv w:val="1"/>
      <w:marLeft w:val="0"/>
      <w:marRight w:val="0"/>
      <w:marTop w:val="0"/>
      <w:marBottom w:val="0"/>
      <w:divBdr>
        <w:top w:val="none" w:sz="0" w:space="0" w:color="auto"/>
        <w:left w:val="none" w:sz="0" w:space="0" w:color="auto"/>
        <w:bottom w:val="none" w:sz="0" w:space="0" w:color="auto"/>
        <w:right w:val="none" w:sz="0" w:space="0" w:color="auto"/>
      </w:divBdr>
    </w:div>
    <w:div w:id="129637332">
      <w:bodyDiv w:val="1"/>
      <w:marLeft w:val="0"/>
      <w:marRight w:val="0"/>
      <w:marTop w:val="0"/>
      <w:marBottom w:val="0"/>
      <w:divBdr>
        <w:top w:val="none" w:sz="0" w:space="0" w:color="auto"/>
        <w:left w:val="none" w:sz="0" w:space="0" w:color="auto"/>
        <w:bottom w:val="none" w:sz="0" w:space="0" w:color="auto"/>
        <w:right w:val="none" w:sz="0" w:space="0" w:color="auto"/>
      </w:divBdr>
    </w:div>
    <w:div w:id="132142883">
      <w:bodyDiv w:val="1"/>
      <w:marLeft w:val="0"/>
      <w:marRight w:val="0"/>
      <w:marTop w:val="0"/>
      <w:marBottom w:val="0"/>
      <w:divBdr>
        <w:top w:val="none" w:sz="0" w:space="0" w:color="auto"/>
        <w:left w:val="none" w:sz="0" w:space="0" w:color="auto"/>
        <w:bottom w:val="none" w:sz="0" w:space="0" w:color="auto"/>
        <w:right w:val="none" w:sz="0" w:space="0" w:color="auto"/>
      </w:divBdr>
    </w:div>
    <w:div w:id="133646604">
      <w:bodyDiv w:val="1"/>
      <w:marLeft w:val="0"/>
      <w:marRight w:val="0"/>
      <w:marTop w:val="0"/>
      <w:marBottom w:val="0"/>
      <w:divBdr>
        <w:top w:val="none" w:sz="0" w:space="0" w:color="auto"/>
        <w:left w:val="none" w:sz="0" w:space="0" w:color="auto"/>
        <w:bottom w:val="none" w:sz="0" w:space="0" w:color="auto"/>
        <w:right w:val="none" w:sz="0" w:space="0" w:color="auto"/>
      </w:divBdr>
    </w:div>
    <w:div w:id="134223892">
      <w:bodyDiv w:val="1"/>
      <w:marLeft w:val="0"/>
      <w:marRight w:val="0"/>
      <w:marTop w:val="0"/>
      <w:marBottom w:val="0"/>
      <w:divBdr>
        <w:top w:val="none" w:sz="0" w:space="0" w:color="auto"/>
        <w:left w:val="none" w:sz="0" w:space="0" w:color="auto"/>
        <w:bottom w:val="none" w:sz="0" w:space="0" w:color="auto"/>
        <w:right w:val="none" w:sz="0" w:space="0" w:color="auto"/>
      </w:divBdr>
    </w:div>
    <w:div w:id="136191977">
      <w:bodyDiv w:val="1"/>
      <w:marLeft w:val="0"/>
      <w:marRight w:val="0"/>
      <w:marTop w:val="0"/>
      <w:marBottom w:val="0"/>
      <w:divBdr>
        <w:top w:val="none" w:sz="0" w:space="0" w:color="auto"/>
        <w:left w:val="none" w:sz="0" w:space="0" w:color="auto"/>
        <w:bottom w:val="none" w:sz="0" w:space="0" w:color="auto"/>
        <w:right w:val="none" w:sz="0" w:space="0" w:color="auto"/>
      </w:divBdr>
    </w:div>
    <w:div w:id="138228673">
      <w:bodyDiv w:val="1"/>
      <w:marLeft w:val="0"/>
      <w:marRight w:val="0"/>
      <w:marTop w:val="0"/>
      <w:marBottom w:val="0"/>
      <w:divBdr>
        <w:top w:val="none" w:sz="0" w:space="0" w:color="auto"/>
        <w:left w:val="none" w:sz="0" w:space="0" w:color="auto"/>
        <w:bottom w:val="none" w:sz="0" w:space="0" w:color="auto"/>
        <w:right w:val="none" w:sz="0" w:space="0" w:color="auto"/>
      </w:divBdr>
    </w:div>
    <w:div w:id="139659902">
      <w:bodyDiv w:val="1"/>
      <w:marLeft w:val="0"/>
      <w:marRight w:val="0"/>
      <w:marTop w:val="0"/>
      <w:marBottom w:val="0"/>
      <w:divBdr>
        <w:top w:val="none" w:sz="0" w:space="0" w:color="auto"/>
        <w:left w:val="none" w:sz="0" w:space="0" w:color="auto"/>
        <w:bottom w:val="none" w:sz="0" w:space="0" w:color="auto"/>
        <w:right w:val="none" w:sz="0" w:space="0" w:color="auto"/>
      </w:divBdr>
    </w:div>
    <w:div w:id="140391147">
      <w:bodyDiv w:val="1"/>
      <w:marLeft w:val="0"/>
      <w:marRight w:val="0"/>
      <w:marTop w:val="0"/>
      <w:marBottom w:val="0"/>
      <w:divBdr>
        <w:top w:val="none" w:sz="0" w:space="0" w:color="auto"/>
        <w:left w:val="none" w:sz="0" w:space="0" w:color="auto"/>
        <w:bottom w:val="none" w:sz="0" w:space="0" w:color="auto"/>
        <w:right w:val="none" w:sz="0" w:space="0" w:color="auto"/>
      </w:divBdr>
    </w:div>
    <w:div w:id="142239758">
      <w:bodyDiv w:val="1"/>
      <w:marLeft w:val="0"/>
      <w:marRight w:val="0"/>
      <w:marTop w:val="0"/>
      <w:marBottom w:val="0"/>
      <w:divBdr>
        <w:top w:val="none" w:sz="0" w:space="0" w:color="auto"/>
        <w:left w:val="none" w:sz="0" w:space="0" w:color="auto"/>
        <w:bottom w:val="none" w:sz="0" w:space="0" w:color="auto"/>
        <w:right w:val="none" w:sz="0" w:space="0" w:color="auto"/>
      </w:divBdr>
    </w:div>
    <w:div w:id="144005800">
      <w:bodyDiv w:val="1"/>
      <w:marLeft w:val="0"/>
      <w:marRight w:val="0"/>
      <w:marTop w:val="0"/>
      <w:marBottom w:val="0"/>
      <w:divBdr>
        <w:top w:val="none" w:sz="0" w:space="0" w:color="auto"/>
        <w:left w:val="none" w:sz="0" w:space="0" w:color="auto"/>
        <w:bottom w:val="none" w:sz="0" w:space="0" w:color="auto"/>
        <w:right w:val="none" w:sz="0" w:space="0" w:color="auto"/>
      </w:divBdr>
    </w:div>
    <w:div w:id="144668098">
      <w:bodyDiv w:val="1"/>
      <w:marLeft w:val="0"/>
      <w:marRight w:val="0"/>
      <w:marTop w:val="0"/>
      <w:marBottom w:val="0"/>
      <w:divBdr>
        <w:top w:val="none" w:sz="0" w:space="0" w:color="auto"/>
        <w:left w:val="none" w:sz="0" w:space="0" w:color="auto"/>
        <w:bottom w:val="none" w:sz="0" w:space="0" w:color="auto"/>
        <w:right w:val="none" w:sz="0" w:space="0" w:color="auto"/>
      </w:divBdr>
    </w:div>
    <w:div w:id="151071326">
      <w:bodyDiv w:val="1"/>
      <w:marLeft w:val="0"/>
      <w:marRight w:val="0"/>
      <w:marTop w:val="0"/>
      <w:marBottom w:val="0"/>
      <w:divBdr>
        <w:top w:val="none" w:sz="0" w:space="0" w:color="auto"/>
        <w:left w:val="none" w:sz="0" w:space="0" w:color="auto"/>
        <w:bottom w:val="none" w:sz="0" w:space="0" w:color="auto"/>
        <w:right w:val="none" w:sz="0" w:space="0" w:color="auto"/>
      </w:divBdr>
    </w:div>
    <w:div w:id="155734591">
      <w:bodyDiv w:val="1"/>
      <w:marLeft w:val="0"/>
      <w:marRight w:val="0"/>
      <w:marTop w:val="0"/>
      <w:marBottom w:val="0"/>
      <w:divBdr>
        <w:top w:val="none" w:sz="0" w:space="0" w:color="auto"/>
        <w:left w:val="none" w:sz="0" w:space="0" w:color="auto"/>
        <w:bottom w:val="none" w:sz="0" w:space="0" w:color="auto"/>
        <w:right w:val="none" w:sz="0" w:space="0" w:color="auto"/>
      </w:divBdr>
    </w:div>
    <w:div w:id="156071657">
      <w:bodyDiv w:val="1"/>
      <w:marLeft w:val="0"/>
      <w:marRight w:val="0"/>
      <w:marTop w:val="0"/>
      <w:marBottom w:val="0"/>
      <w:divBdr>
        <w:top w:val="none" w:sz="0" w:space="0" w:color="auto"/>
        <w:left w:val="none" w:sz="0" w:space="0" w:color="auto"/>
        <w:bottom w:val="none" w:sz="0" w:space="0" w:color="auto"/>
        <w:right w:val="none" w:sz="0" w:space="0" w:color="auto"/>
      </w:divBdr>
    </w:div>
    <w:div w:id="156191865">
      <w:bodyDiv w:val="1"/>
      <w:marLeft w:val="0"/>
      <w:marRight w:val="0"/>
      <w:marTop w:val="0"/>
      <w:marBottom w:val="0"/>
      <w:divBdr>
        <w:top w:val="none" w:sz="0" w:space="0" w:color="auto"/>
        <w:left w:val="none" w:sz="0" w:space="0" w:color="auto"/>
        <w:bottom w:val="none" w:sz="0" w:space="0" w:color="auto"/>
        <w:right w:val="none" w:sz="0" w:space="0" w:color="auto"/>
      </w:divBdr>
    </w:div>
    <w:div w:id="157580748">
      <w:bodyDiv w:val="1"/>
      <w:marLeft w:val="0"/>
      <w:marRight w:val="0"/>
      <w:marTop w:val="0"/>
      <w:marBottom w:val="0"/>
      <w:divBdr>
        <w:top w:val="none" w:sz="0" w:space="0" w:color="auto"/>
        <w:left w:val="none" w:sz="0" w:space="0" w:color="auto"/>
        <w:bottom w:val="none" w:sz="0" w:space="0" w:color="auto"/>
        <w:right w:val="none" w:sz="0" w:space="0" w:color="auto"/>
      </w:divBdr>
    </w:div>
    <w:div w:id="160004600">
      <w:bodyDiv w:val="1"/>
      <w:marLeft w:val="0"/>
      <w:marRight w:val="0"/>
      <w:marTop w:val="0"/>
      <w:marBottom w:val="0"/>
      <w:divBdr>
        <w:top w:val="none" w:sz="0" w:space="0" w:color="auto"/>
        <w:left w:val="none" w:sz="0" w:space="0" w:color="auto"/>
        <w:bottom w:val="none" w:sz="0" w:space="0" w:color="auto"/>
        <w:right w:val="none" w:sz="0" w:space="0" w:color="auto"/>
      </w:divBdr>
    </w:div>
    <w:div w:id="165362991">
      <w:bodyDiv w:val="1"/>
      <w:marLeft w:val="0"/>
      <w:marRight w:val="0"/>
      <w:marTop w:val="0"/>
      <w:marBottom w:val="0"/>
      <w:divBdr>
        <w:top w:val="none" w:sz="0" w:space="0" w:color="auto"/>
        <w:left w:val="none" w:sz="0" w:space="0" w:color="auto"/>
        <w:bottom w:val="none" w:sz="0" w:space="0" w:color="auto"/>
        <w:right w:val="none" w:sz="0" w:space="0" w:color="auto"/>
      </w:divBdr>
    </w:div>
    <w:div w:id="167528918">
      <w:bodyDiv w:val="1"/>
      <w:marLeft w:val="0"/>
      <w:marRight w:val="0"/>
      <w:marTop w:val="0"/>
      <w:marBottom w:val="0"/>
      <w:divBdr>
        <w:top w:val="none" w:sz="0" w:space="0" w:color="auto"/>
        <w:left w:val="none" w:sz="0" w:space="0" w:color="auto"/>
        <w:bottom w:val="none" w:sz="0" w:space="0" w:color="auto"/>
        <w:right w:val="none" w:sz="0" w:space="0" w:color="auto"/>
      </w:divBdr>
    </w:div>
    <w:div w:id="167910285">
      <w:bodyDiv w:val="1"/>
      <w:marLeft w:val="0"/>
      <w:marRight w:val="0"/>
      <w:marTop w:val="0"/>
      <w:marBottom w:val="0"/>
      <w:divBdr>
        <w:top w:val="none" w:sz="0" w:space="0" w:color="auto"/>
        <w:left w:val="none" w:sz="0" w:space="0" w:color="auto"/>
        <w:bottom w:val="none" w:sz="0" w:space="0" w:color="auto"/>
        <w:right w:val="none" w:sz="0" w:space="0" w:color="auto"/>
      </w:divBdr>
    </w:div>
    <w:div w:id="172957475">
      <w:bodyDiv w:val="1"/>
      <w:marLeft w:val="0"/>
      <w:marRight w:val="0"/>
      <w:marTop w:val="0"/>
      <w:marBottom w:val="0"/>
      <w:divBdr>
        <w:top w:val="none" w:sz="0" w:space="0" w:color="auto"/>
        <w:left w:val="none" w:sz="0" w:space="0" w:color="auto"/>
        <w:bottom w:val="none" w:sz="0" w:space="0" w:color="auto"/>
        <w:right w:val="none" w:sz="0" w:space="0" w:color="auto"/>
      </w:divBdr>
    </w:div>
    <w:div w:id="174149885">
      <w:bodyDiv w:val="1"/>
      <w:marLeft w:val="0"/>
      <w:marRight w:val="0"/>
      <w:marTop w:val="0"/>
      <w:marBottom w:val="0"/>
      <w:divBdr>
        <w:top w:val="none" w:sz="0" w:space="0" w:color="auto"/>
        <w:left w:val="none" w:sz="0" w:space="0" w:color="auto"/>
        <w:bottom w:val="none" w:sz="0" w:space="0" w:color="auto"/>
        <w:right w:val="none" w:sz="0" w:space="0" w:color="auto"/>
      </w:divBdr>
    </w:div>
    <w:div w:id="174733497">
      <w:bodyDiv w:val="1"/>
      <w:marLeft w:val="0"/>
      <w:marRight w:val="0"/>
      <w:marTop w:val="0"/>
      <w:marBottom w:val="0"/>
      <w:divBdr>
        <w:top w:val="none" w:sz="0" w:space="0" w:color="auto"/>
        <w:left w:val="none" w:sz="0" w:space="0" w:color="auto"/>
        <w:bottom w:val="none" w:sz="0" w:space="0" w:color="auto"/>
        <w:right w:val="none" w:sz="0" w:space="0" w:color="auto"/>
      </w:divBdr>
    </w:div>
    <w:div w:id="174929458">
      <w:bodyDiv w:val="1"/>
      <w:marLeft w:val="0"/>
      <w:marRight w:val="0"/>
      <w:marTop w:val="0"/>
      <w:marBottom w:val="0"/>
      <w:divBdr>
        <w:top w:val="none" w:sz="0" w:space="0" w:color="auto"/>
        <w:left w:val="none" w:sz="0" w:space="0" w:color="auto"/>
        <w:bottom w:val="none" w:sz="0" w:space="0" w:color="auto"/>
        <w:right w:val="none" w:sz="0" w:space="0" w:color="auto"/>
      </w:divBdr>
    </w:div>
    <w:div w:id="175577555">
      <w:bodyDiv w:val="1"/>
      <w:marLeft w:val="0"/>
      <w:marRight w:val="0"/>
      <w:marTop w:val="0"/>
      <w:marBottom w:val="0"/>
      <w:divBdr>
        <w:top w:val="none" w:sz="0" w:space="0" w:color="auto"/>
        <w:left w:val="none" w:sz="0" w:space="0" w:color="auto"/>
        <w:bottom w:val="none" w:sz="0" w:space="0" w:color="auto"/>
        <w:right w:val="none" w:sz="0" w:space="0" w:color="auto"/>
      </w:divBdr>
    </w:div>
    <w:div w:id="178932940">
      <w:bodyDiv w:val="1"/>
      <w:marLeft w:val="0"/>
      <w:marRight w:val="0"/>
      <w:marTop w:val="0"/>
      <w:marBottom w:val="0"/>
      <w:divBdr>
        <w:top w:val="none" w:sz="0" w:space="0" w:color="auto"/>
        <w:left w:val="none" w:sz="0" w:space="0" w:color="auto"/>
        <w:bottom w:val="none" w:sz="0" w:space="0" w:color="auto"/>
        <w:right w:val="none" w:sz="0" w:space="0" w:color="auto"/>
      </w:divBdr>
    </w:div>
    <w:div w:id="179392954">
      <w:bodyDiv w:val="1"/>
      <w:marLeft w:val="0"/>
      <w:marRight w:val="0"/>
      <w:marTop w:val="0"/>
      <w:marBottom w:val="0"/>
      <w:divBdr>
        <w:top w:val="none" w:sz="0" w:space="0" w:color="auto"/>
        <w:left w:val="none" w:sz="0" w:space="0" w:color="auto"/>
        <w:bottom w:val="none" w:sz="0" w:space="0" w:color="auto"/>
        <w:right w:val="none" w:sz="0" w:space="0" w:color="auto"/>
      </w:divBdr>
    </w:div>
    <w:div w:id="182090241">
      <w:bodyDiv w:val="1"/>
      <w:marLeft w:val="0"/>
      <w:marRight w:val="0"/>
      <w:marTop w:val="0"/>
      <w:marBottom w:val="0"/>
      <w:divBdr>
        <w:top w:val="none" w:sz="0" w:space="0" w:color="auto"/>
        <w:left w:val="none" w:sz="0" w:space="0" w:color="auto"/>
        <w:bottom w:val="none" w:sz="0" w:space="0" w:color="auto"/>
        <w:right w:val="none" w:sz="0" w:space="0" w:color="auto"/>
      </w:divBdr>
    </w:div>
    <w:div w:id="183447324">
      <w:bodyDiv w:val="1"/>
      <w:marLeft w:val="0"/>
      <w:marRight w:val="0"/>
      <w:marTop w:val="0"/>
      <w:marBottom w:val="0"/>
      <w:divBdr>
        <w:top w:val="none" w:sz="0" w:space="0" w:color="auto"/>
        <w:left w:val="none" w:sz="0" w:space="0" w:color="auto"/>
        <w:bottom w:val="none" w:sz="0" w:space="0" w:color="auto"/>
        <w:right w:val="none" w:sz="0" w:space="0" w:color="auto"/>
      </w:divBdr>
    </w:div>
    <w:div w:id="184250895">
      <w:bodyDiv w:val="1"/>
      <w:marLeft w:val="0"/>
      <w:marRight w:val="0"/>
      <w:marTop w:val="0"/>
      <w:marBottom w:val="0"/>
      <w:divBdr>
        <w:top w:val="none" w:sz="0" w:space="0" w:color="auto"/>
        <w:left w:val="none" w:sz="0" w:space="0" w:color="auto"/>
        <w:bottom w:val="none" w:sz="0" w:space="0" w:color="auto"/>
        <w:right w:val="none" w:sz="0" w:space="0" w:color="auto"/>
      </w:divBdr>
    </w:div>
    <w:div w:id="187332600">
      <w:bodyDiv w:val="1"/>
      <w:marLeft w:val="0"/>
      <w:marRight w:val="0"/>
      <w:marTop w:val="0"/>
      <w:marBottom w:val="0"/>
      <w:divBdr>
        <w:top w:val="none" w:sz="0" w:space="0" w:color="auto"/>
        <w:left w:val="none" w:sz="0" w:space="0" w:color="auto"/>
        <w:bottom w:val="none" w:sz="0" w:space="0" w:color="auto"/>
        <w:right w:val="none" w:sz="0" w:space="0" w:color="auto"/>
      </w:divBdr>
    </w:div>
    <w:div w:id="191264159">
      <w:bodyDiv w:val="1"/>
      <w:marLeft w:val="0"/>
      <w:marRight w:val="0"/>
      <w:marTop w:val="0"/>
      <w:marBottom w:val="0"/>
      <w:divBdr>
        <w:top w:val="none" w:sz="0" w:space="0" w:color="auto"/>
        <w:left w:val="none" w:sz="0" w:space="0" w:color="auto"/>
        <w:bottom w:val="none" w:sz="0" w:space="0" w:color="auto"/>
        <w:right w:val="none" w:sz="0" w:space="0" w:color="auto"/>
      </w:divBdr>
    </w:div>
    <w:div w:id="192115807">
      <w:bodyDiv w:val="1"/>
      <w:marLeft w:val="0"/>
      <w:marRight w:val="0"/>
      <w:marTop w:val="0"/>
      <w:marBottom w:val="0"/>
      <w:divBdr>
        <w:top w:val="none" w:sz="0" w:space="0" w:color="auto"/>
        <w:left w:val="none" w:sz="0" w:space="0" w:color="auto"/>
        <w:bottom w:val="none" w:sz="0" w:space="0" w:color="auto"/>
        <w:right w:val="none" w:sz="0" w:space="0" w:color="auto"/>
      </w:divBdr>
    </w:div>
    <w:div w:id="197208606">
      <w:bodyDiv w:val="1"/>
      <w:marLeft w:val="0"/>
      <w:marRight w:val="0"/>
      <w:marTop w:val="0"/>
      <w:marBottom w:val="0"/>
      <w:divBdr>
        <w:top w:val="none" w:sz="0" w:space="0" w:color="auto"/>
        <w:left w:val="none" w:sz="0" w:space="0" w:color="auto"/>
        <w:bottom w:val="none" w:sz="0" w:space="0" w:color="auto"/>
        <w:right w:val="none" w:sz="0" w:space="0" w:color="auto"/>
      </w:divBdr>
    </w:div>
    <w:div w:id="198014273">
      <w:bodyDiv w:val="1"/>
      <w:marLeft w:val="0"/>
      <w:marRight w:val="0"/>
      <w:marTop w:val="0"/>
      <w:marBottom w:val="0"/>
      <w:divBdr>
        <w:top w:val="none" w:sz="0" w:space="0" w:color="auto"/>
        <w:left w:val="none" w:sz="0" w:space="0" w:color="auto"/>
        <w:bottom w:val="none" w:sz="0" w:space="0" w:color="auto"/>
        <w:right w:val="none" w:sz="0" w:space="0" w:color="auto"/>
      </w:divBdr>
    </w:div>
    <w:div w:id="200898650">
      <w:bodyDiv w:val="1"/>
      <w:marLeft w:val="0"/>
      <w:marRight w:val="0"/>
      <w:marTop w:val="0"/>
      <w:marBottom w:val="0"/>
      <w:divBdr>
        <w:top w:val="none" w:sz="0" w:space="0" w:color="auto"/>
        <w:left w:val="none" w:sz="0" w:space="0" w:color="auto"/>
        <w:bottom w:val="none" w:sz="0" w:space="0" w:color="auto"/>
        <w:right w:val="none" w:sz="0" w:space="0" w:color="auto"/>
      </w:divBdr>
    </w:div>
    <w:div w:id="203368685">
      <w:bodyDiv w:val="1"/>
      <w:marLeft w:val="0"/>
      <w:marRight w:val="0"/>
      <w:marTop w:val="0"/>
      <w:marBottom w:val="0"/>
      <w:divBdr>
        <w:top w:val="none" w:sz="0" w:space="0" w:color="auto"/>
        <w:left w:val="none" w:sz="0" w:space="0" w:color="auto"/>
        <w:bottom w:val="none" w:sz="0" w:space="0" w:color="auto"/>
        <w:right w:val="none" w:sz="0" w:space="0" w:color="auto"/>
      </w:divBdr>
    </w:div>
    <w:div w:id="212205769">
      <w:bodyDiv w:val="1"/>
      <w:marLeft w:val="0"/>
      <w:marRight w:val="0"/>
      <w:marTop w:val="0"/>
      <w:marBottom w:val="0"/>
      <w:divBdr>
        <w:top w:val="none" w:sz="0" w:space="0" w:color="auto"/>
        <w:left w:val="none" w:sz="0" w:space="0" w:color="auto"/>
        <w:bottom w:val="none" w:sz="0" w:space="0" w:color="auto"/>
        <w:right w:val="none" w:sz="0" w:space="0" w:color="auto"/>
      </w:divBdr>
    </w:div>
    <w:div w:id="213808535">
      <w:bodyDiv w:val="1"/>
      <w:marLeft w:val="0"/>
      <w:marRight w:val="0"/>
      <w:marTop w:val="0"/>
      <w:marBottom w:val="0"/>
      <w:divBdr>
        <w:top w:val="none" w:sz="0" w:space="0" w:color="auto"/>
        <w:left w:val="none" w:sz="0" w:space="0" w:color="auto"/>
        <w:bottom w:val="none" w:sz="0" w:space="0" w:color="auto"/>
        <w:right w:val="none" w:sz="0" w:space="0" w:color="auto"/>
      </w:divBdr>
    </w:div>
    <w:div w:id="213930075">
      <w:bodyDiv w:val="1"/>
      <w:marLeft w:val="0"/>
      <w:marRight w:val="0"/>
      <w:marTop w:val="0"/>
      <w:marBottom w:val="0"/>
      <w:divBdr>
        <w:top w:val="none" w:sz="0" w:space="0" w:color="auto"/>
        <w:left w:val="none" w:sz="0" w:space="0" w:color="auto"/>
        <w:bottom w:val="none" w:sz="0" w:space="0" w:color="auto"/>
        <w:right w:val="none" w:sz="0" w:space="0" w:color="auto"/>
      </w:divBdr>
    </w:div>
    <w:div w:id="214631514">
      <w:bodyDiv w:val="1"/>
      <w:marLeft w:val="0"/>
      <w:marRight w:val="0"/>
      <w:marTop w:val="0"/>
      <w:marBottom w:val="0"/>
      <w:divBdr>
        <w:top w:val="none" w:sz="0" w:space="0" w:color="auto"/>
        <w:left w:val="none" w:sz="0" w:space="0" w:color="auto"/>
        <w:bottom w:val="none" w:sz="0" w:space="0" w:color="auto"/>
        <w:right w:val="none" w:sz="0" w:space="0" w:color="auto"/>
      </w:divBdr>
    </w:div>
    <w:div w:id="218979474">
      <w:bodyDiv w:val="1"/>
      <w:marLeft w:val="0"/>
      <w:marRight w:val="0"/>
      <w:marTop w:val="0"/>
      <w:marBottom w:val="0"/>
      <w:divBdr>
        <w:top w:val="none" w:sz="0" w:space="0" w:color="auto"/>
        <w:left w:val="none" w:sz="0" w:space="0" w:color="auto"/>
        <w:bottom w:val="none" w:sz="0" w:space="0" w:color="auto"/>
        <w:right w:val="none" w:sz="0" w:space="0" w:color="auto"/>
      </w:divBdr>
    </w:div>
    <w:div w:id="222258701">
      <w:bodyDiv w:val="1"/>
      <w:marLeft w:val="0"/>
      <w:marRight w:val="0"/>
      <w:marTop w:val="0"/>
      <w:marBottom w:val="0"/>
      <w:divBdr>
        <w:top w:val="none" w:sz="0" w:space="0" w:color="auto"/>
        <w:left w:val="none" w:sz="0" w:space="0" w:color="auto"/>
        <w:bottom w:val="none" w:sz="0" w:space="0" w:color="auto"/>
        <w:right w:val="none" w:sz="0" w:space="0" w:color="auto"/>
      </w:divBdr>
    </w:div>
    <w:div w:id="222370617">
      <w:bodyDiv w:val="1"/>
      <w:marLeft w:val="0"/>
      <w:marRight w:val="0"/>
      <w:marTop w:val="0"/>
      <w:marBottom w:val="0"/>
      <w:divBdr>
        <w:top w:val="none" w:sz="0" w:space="0" w:color="auto"/>
        <w:left w:val="none" w:sz="0" w:space="0" w:color="auto"/>
        <w:bottom w:val="none" w:sz="0" w:space="0" w:color="auto"/>
        <w:right w:val="none" w:sz="0" w:space="0" w:color="auto"/>
      </w:divBdr>
    </w:div>
    <w:div w:id="224343236">
      <w:bodyDiv w:val="1"/>
      <w:marLeft w:val="0"/>
      <w:marRight w:val="0"/>
      <w:marTop w:val="0"/>
      <w:marBottom w:val="0"/>
      <w:divBdr>
        <w:top w:val="none" w:sz="0" w:space="0" w:color="auto"/>
        <w:left w:val="none" w:sz="0" w:space="0" w:color="auto"/>
        <w:bottom w:val="none" w:sz="0" w:space="0" w:color="auto"/>
        <w:right w:val="none" w:sz="0" w:space="0" w:color="auto"/>
      </w:divBdr>
    </w:div>
    <w:div w:id="230043281">
      <w:bodyDiv w:val="1"/>
      <w:marLeft w:val="0"/>
      <w:marRight w:val="0"/>
      <w:marTop w:val="0"/>
      <w:marBottom w:val="0"/>
      <w:divBdr>
        <w:top w:val="none" w:sz="0" w:space="0" w:color="auto"/>
        <w:left w:val="none" w:sz="0" w:space="0" w:color="auto"/>
        <w:bottom w:val="none" w:sz="0" w:space="0" w:color="auto"/>
        <w:right w:val="none" w:sz="0" w:space="0" w:color="auto"/>
      </w:divBdr>
    </w:div>
    <w:div w:id="232207247">
      <w:bodyDiv w:val="1"/>
      <w:marLeft w:val="0"/>
      <w:marRight w:val="0"/>
      <w:marTop w:val="0"/>
      <w:marBottom w:val="0"/>
      <w:divBdr>
        <w:top w:val="none" w:sz="0" w:space="0" w:color="auto"/>
        <w:left w:val="none" w:sz="0" w:space="0" w:color="auto"/>
        <w:bottom w:val="none" w:sz="0" w:space="0" w:color="auto"/>
        <w:right w:val="none" w:sz="0" w:space="0" w:color="auto"/>
      </w:divBdr>
    </w:div>
    <w:div w:id="245382169">
      <w:bodyDiv w:val="1"/>
      <w:marLeft w:val="0"/>
      <w:marRight w:val="0"/>
      <w:marTop w:val="0"/>
      <w:marBottom w:val="0"/>
      <w:divBdr>
        <w:top w:val="none" w:sz="0" w:space="0" w:color="auto"/>
        <w:left w:val="none" w:sz="0" w:space="0" w:color="auto"/>
        <w:bottom w:val="none" w:sz="0" w:space="0" w:color="auto"/>
        <w:right w:val="none" w:sz="0" w:space="0" w:color="auto"/>
      </w:divBdr>
    </w:div>
    <w:div w:id="246497359">
      <w:bodyDiv w:val="1"/>
      <w:marLeft w:val="0"/>
      <w:marRight w:val="0"/>
      <w:marTop w:val="0"/>
      <w:marBottom w:val="0"/>
      <w:divBdr>
        <w:top w:val="none" w:sz="0" w:space="0" w:color="auto"/>
        <w:left w:val="none" w:sz="0" w:space="0" w:color="auto"/>
        <w:bottom w:val="none" w:sz="0" w:space="0" w:color="auto"/>
        <w:right w:val="none" w:sz="0" w:space="0" w:color="auto"/>
      </w:divBdr>
    </w:div>
    <w:div w:id="252469551">
      <w:bodyDiv w:val="1"/>
      <w:marLeft w:val="0"/>
      <w:marRight w:val="0"/>
      <w:marTop w:val="0"/>
      <w:marBottom w:val="0"/>
      <w:divBdr>
        <w:top w:val="none" w:sz="0" w:space="0" w:color="auto"/>
        <w:left w:val="none" w:sz="0" w:space="0" w:color="auto"/>
        <w:bottom w:val="none" w:sz="0" w:space="0" w:color="auto"/>
        <w:right w:val="none" w:sz="0" w:space="0" w:color="auto"/>
      </w:divBdr>
    </w:div>
    <w:div w:id="256602893">
      <w:bodyDiv w:val="1"/>
      <w:marLeft w:val="0"/>
      <w:marRight w:val="0"/>
      <w:marTop w:val="0"/>
      <w:marBottom w:val="0"/>
      <w:divBdr>
        <w:top w:val="none" w:sz="0" w:space="0" w:color="auto"/>
        <w:left w:val="none" w:sz="0" w:space="0" w:color="auto"/>
        <w:bottom w:val="none" w:sz="0" w:space="0" w:color="auto"/>
        <w:right w:val="none" w:sz="0" w:space="0" w:color="auto"/>
      </w:divBdr>
    </w:div>
    <w:div w:id="262079299">
      <w:bodyDiv w:val="1"/>
      <w:marLeft w:val="0"/>
      <w:marRight w:val="0"/>
      <w:marTop w:val="0"/>
      <w:marBottom w:val="0"/>
      <w:divBdr>
        <w:top w:val="none" w:sz="0" w:space="0" w:color="auto"/>
        <w:left w:val="none" w:sz="0" w:space="0" w:color="auto"/>
        <w:bottom w:val="none" w:sz="0" w:space="0" w:color="auto"/>
        <w:right w:val="none" w:sz="0" w:space="0" w:color="auto"/>
      </w:divBdr>
    </w:div>
    <w:div w:id="264576197">
      <w:bodyDiv w:val="1"/>
      <w:marLeft w:val="0"/>
      <w:marRight w:val="0"/>
      <w:marTop w:val="0"/>
      <w:marBottom w:val="0"/>
      <w:divBdr>
        <w:top w:val="none" w:sz="0" w:space="0" w:color="auto"/>
        <w:left w:val="none" w:sz="0" w:space="0" w:color="auto"/>
        <w:bottom w:val="none" w:sz="0" w:space="0" w:color="auto"/>
        <w:right w:val="none" w:sz="0" w:space="0" w:color="auto"/>
      </w:divBdr>
    </w:div>
    <w:div w:id="264928008">
      <w:bodyDiv w:val="1"/>
      <w:marLeft w:val="0"/>
      <w:marRight w:val="0"/>
      <w:marTop w:val="0"/>
      <w:marBottom w:val="0"/>
      <w:divBdr>
        <w:top w:val="none" w:sz="0" w:space="0" w:color="auto"/>
        <w:left w:val="none" w:sz="0" w:space="0" w:color="auto"/>
        <w:bottom w:val="none" w:sz="0" w:space="0" w:color="auto"/>
        <w:right w:val="none" w:sz="0" w:space="0" w:color="auto"/>
      </w:divBdr>
    </w:div>
    <w:div w:id="265576529">
      <w:bodyDiv w:val="1"/>
      <w:marLeft w:val="0"/>
      <w:marRight w:val="0"/>
      <w:marTop w:val="0"/>
      <w:marBottom w:val="0"/>
      <w:divBdr>
        <w:top w:val="none" w:sz="0" w:space="0" w:color="auto"/>
        <w:left w:val="none" w:sz="0" w:space="0" w:color="auto"/>
        <w:bottom w:val="none" w:sz="0" w:space="0" w:color="auto"/>
        <w:right w:val="none" w:sz="0" w:space="0" w:color="auto"/>
      </w:divBdr>
    </w:div>
    <w:div w:id="267810088">
      <w:bodyDiv w:val="1"/>
      <w:marLeft w:val="0"/>
      <w:marRight w:val="0"/>
      <w:marTop w:val="0"/>
      <w:marBottom w:val="0"/>
      <w:divBdr>
        <w:top w:val="none" w:sz="0" w:space="0" w:color="auto"/>
        <w:left w:val="none" w:sz="0" w:space="0" w:color="auto"/>
        <w:bottom w:val="none" w:sz="0" w:space="0" w:color="auto"/>
        <w:right w:val="none" w:sz="0" w:space="0" w:color="auto"/>
      </w:divBdr>
    </w:div>
    <w:div w:id="268708866">
      <w:bodyDiv w:val="1"/>
      <w:marLeft w:val="0"/>
      <w:marRight w:val="0"/>
      <w:marTop w:val="0"/>
      <w:marBottom w:val="0"/>
      <w:divBdr>
        <w:top w:val="none" w:sz="0" w:space="0" w:color="auto"/>
        <w:left w:val="none" w:sz="0" w:space="0" w:color="auto"/>
        <w:bottom w:val="none" w:sz="0" w:space="0" w:color="auto"/>
        <w:right w:val="none" w:sz="0" w:space="0" w:color="auto"/>
      </w:divBdr>
    </w:div>
    <w:div w:id="269582134">
      <w:bodyDiv w:val="1"/>
      <w:marLeft w:val="0"/>
      <w:marRight w:val="0"/>
      <w:marTop w:val="0"/>
      <w:marBottom w:val="0"/>
      <w:divBdr>
        <w:top w:val="none" w:sz="0" w:space="0" w:color="auto"/>
        <w:left w:val="none" w:sz="0" w:space="0" w:color="auto"/>
        <w:bottom w:val="none" w:sz="0" w:space="0" w:color="auto"/>
        <w:right w:val="none" w:sz="0" w:space="0" w:color="auto"/>
      </w:divBdr>
    </w:div>
    <w:div w:id="270666384">
      <w:bodyDiv w:val="1"/>
      <w:marLeft w:val="0"/>
      <w:marRight w:val="0"/>
      <w:marTop w:val="0"/>
      <w:marBottom w:val="0"/>
      <w:divBdr>
        <w:top w:val="none" w:sz="0" w:space="0" w:color="auto"/>
        <w:left w:val="none" w:sz="0" w:space="0" w:color="auto"/>
        <w:bottom w:val="none" w:sz="0" w:space="0" w:color="auto"/>
        <w:right w:val="none" w:sz="0" w:space="0" w:color="auto"/>
      </w:divBdr>
    </w:div>
    <w:div w:id="276915621">
      <w:bodyDiv w:val="1"/>
      <w:marLeft w:val="0"/>
      <w:marRight w:val="0"/>
      <w:marTop w:val="0"/>
      <w:marBottom w:val="0"/>
      <w:divBdr>
        <w:top w:val="none" w:sz="0" w:space="0" w:color="auto"/>
        <w:left w:val="none" w:sz="0" w:space="0" w:color="auto"/>
        <w:bottom w:val="none" w:sz="0" w:space="0" w:color="auto"/>
        <w:right w:val="none" w:sz="0" w:space="0" w:color="auto"/>
      </w:divBdr>
    </w:div>
    <w:div w:id="277834201">
      <w:bodyDiv w:val="1"/>
      <w:marLeft w:val="0"/>
      <w:marRight w:val="0"/>
      <w:marTop w:val="0"/>
      <w:marBottom w:val="0"/>
      <w:divBdr>
        <w:top w:val="none" w:sz="0" w:space="0" w:color="auto"/>
        <w:left w:val="none" w:sz="0" w:space="0" w:color="auto"/>
        <w:bottom w:val="none" w:sz="0" w:space="0" w:color="auto"/>
        <w:right w:val="none" w:sz="0" w:space="0" w:color="auto"/>
      </w:divBdr>
    </w:div>
    <w:div w:id="279071744">
      <w:bodyDiv w:val="1"/>
      <w:marLeft w:val="0"/>
      <w:marRight w:val="0"/>
      <w:marTop w:val="0"/>
      <w:marBottom w:val="0"/>
      <w:divBdr>
        <w:top w:val="none" w:sz="0" w:space="0" w:color="auto"/>
        <w:left w:val="none" w:sz="0" w:space="0" w:color="auto"/>
        <w:bottom w:val="none" w:sz="0" w:space="0" w:color="auto"/>
        <w:right w:val="none" w:sz="0" w:space="0" w:color="auto"/>
      </w:divBdr>
    </w:div>
    <w:div w:id="279075714">
      <w:bodyDiv w:val="1"/>
      <w:marLeft w:val="0"/>
      <w:marRight w:val="0"/>
      <w:marTop w:val="0"/>
      <w:marBottom w:val="0"/>
      <w:divBdr>
        <w:top w:val="none" w:sz="0" w:space="0" w:color="auto"/>
        <w:left w:val="none" w:sz="0" w:space="0" w:color="auto"/>
        <w:bottom w:val="none" w:sz="0" w:space="0" w:color="auto"/>
        <w:right w:val="none" w:sz="0" w:space="0" w:color="auto"/>
      </w:divBdr>
    </w:div>
    <w:div w:id="280570406">
      <w:bodyDiv w:val="1"/>
      <w:marLeft w:val="0"/>
      <w:marRight w:val="0"/>
      <w:marTop w:val="0"/>
      <w:marBottom w:val="0"/>
      <w:divBdr>
        <w:top w:val="none" w:sz="0" w:space="0" w:color="auto"/>
        <w:left w:val="none" w:sz="0" w:space="0" w:color="auto"/>
        <w:bottom w:val="none" w:sz="0" w:space="0" w:color="auto"/>
        <w:right w:val="none" w:sz="0" w:space="0" w:color="auto"/>
      </w:divBdr>
    </w:div>
    <w:div w:id="282001464">
      <w:bodyDiv w:val="1"/>
      <w:marLeft w:val="0"/>
      <w:marRight w:val="0"/>
      <w:marTop w:val="0"/>
      <w:marBottom w:val="0"/>
      <w:divBdr>
        <w:top w:val="none" w:sz="0" w:space="0" w:color="auto"/>
        <w:left w:val="none" w:sz="0" w:space="0" w:color="auto"/>
        <w:bottom w:val="none" w:sz="0" w:space="0" w:color="auto"/>
        <w:right w:val="none" w:sz="0" w:space="0" w:color="auto"/>
      </w:divBdr>
    </w:div>
    <w:div w:id="285894113">
      <w:bodyDiv w:val="1"/>
      <w:marLeft w:val="0"/>
      <w:marRight w:val="0"/>
      <w:marTop w:val="0"/>
      <w:marBottom w:val="0"/>
      <w:divBdr>
        <w:top w:val="none" w:sz="0" w:space="0" w:color="auto"/>
        <w:left w:val="none" w:sz="0" w:space="0" w:color="auto"/>
        <w:bottom w:val="none" w:sz="0" w:space="0" w:color="auto"/>
        <w:right w:val="none" w:sz="0" w:space="0" w:color="auto"/>
      </w:divBdr>
    </w:div>
    <w:div w:id="286475436">
      <w:bodyDiv w:val="1"/>
      <w:marLeft w:val="0"/>
      <w:marRight w:val="0"/>
      <w:marTop w:val="0"/>
      <w:marBottom w:val="0"/>
      <w:divBdr>
        <w:top w:val="none" w:sz="0" w:space="0" w:color="auto"/>
        <w:left w:val="none" w:sz="0" w:space="0" w:color="auto"/>
        <w:bottom w:val="none" w:sz="0" w:space="0" w:color="auto"/>
        <w:right w:val="none" w:sz="0" w:space="0" w:color="auto"/>
      </w:divBdr>
      <w:divsChild>
        <w:div w:id="2051295057">
          <w:marLeft w:val="0"/>
          <w:marRight w:val="0"/>
          <w:marTop w:val="0"/>
          <w:marBottom w:val="0"/>
          <w:divBdr>
            <w:top w:val="none" w:sz="0" w:space="0" w:color="auto"/>
            <w:left w:val="none" w:sz="0" w:space="0" w:color="auto"/>
            <w:bottom w:val="none" w:sz="0" w:space="0" w:color="auto"/>
            <w:right w:val="none" w:sz="0" w:space="0" w:color="auto"/>
          </w:divBdr>
          <w:divsChild>
            <w:div w:id="820080541">
              <w:marLeft w:val="0"/>
              <w:marRight w:val="0"/>
              <w:marTop w:val="0"/>
              <w:marBottom w:val="0"/>
              <w:divBdr>
                <w:top w:val="none" w:sz="0" w:space="0" w:color="auto"/>
                <w:left w:val="none" w:sz="0" w:space="0" w:color="auto"/>
                <w:bottom w:val="none" w:sz="0" w:space="0" w:color="auto"/>
                <w:right w:val="none" w:sz="0" w:space="0" w:color="auto"/>
              </w:divBdr>
              <w:divsChild>
                <w:div w:id="508758858">
                  <w:marLeft w:val="0"/>
                  <w:marRight w:val="0"/>
                  <w:marTop w:val="0"/>
                  <w:marBottom w:val="0"/>
                  <w:divBdr>
                    <w:top w:val="none" w:sz="0" w:space="0" w:color="auto"/>
                    <w:left w:val="none" w:sz="0" w:space="0" w:color="auto"/>
                    <w:bottom w:val="none" w:sz="0" w:space="0" w:color="auto"/>
                    <w:right w:val="none" w:sz="0" w:space="0" w:color="auto"/>
                  </w:divBdr>
                  <w:divsChild>
                    <w:div w:id="1713653178">
                      <w:marLeft w:val="0"/>
                      <w:marRight w:val="0"/>
                      <w:marTop w:val="0"/>
                      <w:marBottom w:val="0"/>
                      <w:divBdr>
                        <w:top w:val="none" w:sz="0" w:space="0" w:color="auto"/>
                        <w:left w:val="none" w:sz="0" w:space="0" w:color="auto"/>
                        <w:bottom w:val="none" w:sz="0" w:space="0" w:color="auto"/>
                        <w:right w:val="none" w:sz="0" w:space="0" w:color="auto"/>
                      </w:divBdr>
                      <w:divsChild>
                        <w:div w:id="61293739">
                          <w:marLeft w:val="0"/>
                          <w:marRight w:val="0"/>
                          <w:marTop w:val="0"/>
                          <w:marBottom w:val="0"/>
                          <w:divBdr>
                            <w:top w:val="none" w:sz="0" w:space="0" w:color="auto"/>
                            <w:left w:val="none" w:sz="0" w:space="0" w:color="auto"/>
                            <w:bottom w:val="none" w:sz="0" w:space="0" w:color="auto"/>
                            <w:right w:val="none" w:sz="0" w:space="0" w:color="auto"/>
                          </w:divBdr>
                          <w:divsChild>
                            <w:div w:id="236407550">
                              <w:marLeft w:val="0"/>
                              <w:marRight w:val="0"/>
                              <w:marTop w:val="0"/>
                              <w:marBottom w:val="0"/>
                              <w:divBdr>
                                <w:top w:val="none" w:sz="0" w:space="0" w:color="auto"/>
                                <w:left w:val="none" w:sz="0" w:space="0" w:color="auto"/>
                                <w:bottom w:val="none" w:sz="0" w:space="0" w:color="auto"/>
                                <w:right w:val="none" w:sz="0" w:space="0" w:color="auto"/>
                              </w:divBdr>
                              <w:divsChild>
                                <w:div w:id="1786121157">
                                  <w:marLeft w:val="0"/>
                                  <w:marRight w:val="0"/>
                                  <w:marTop w:val="0"/>
                                  <w:marBottom w:val="0"/>
                                  <w:divBdr>
                                    <w:top w:val="none" w:sz="0" w:space="0" w:color="auto"/>
                                    <w:left w:val="none" w:sz="0" w:space="0" w:color="auto"/>
                                    <w:bottom w:val="none" w:sz="0" w:space="0" w:color="auto"/>
                                    <w:right w:val="none" w:sz="0" w:space="0" w:color="auto"/>
                                  </w:divBdr>
                                  <w:divsChild>
                                    <w:div w:id="1274442813">
                                      <w:marLeft w:val="0"/>
                                      <w:marRight w:val="0"/>
                                      <w:marTop w:val="0"/>
                                      <w:marBottom w:val="0"/>
                                      <w:divBdr>
                                        <w:top w:val="none" w:sz="0" w:space="0" w:color="auto"/>
                                        <w:left w:val="none" w:sz="0" w:space="0" w:color="auto"/>
                                        <w:bottom w:val="none" w:sz="0" w:space="0" w:color="auto"/>
                                        <w:right w:val="none" w:sz="0" w:space="0" w:color="auto"/>
                                      </w:divBdr>
                                      <w:divsChild>
                                        <w:div w:id="2039961868">
                                          <w:marLeft w:val="0"/>
                                          <w:marRight w:val="0"/>
                                          <w:marTop w:val="0"/>
                                          <w:marBottom w:val="495"/>
                                          <w:divBdr>
                                            <w:top w:val="none" w:sz="0" w:space="0" w:color="auto"/>
                                            <w:left w:val="none" w:sz="0" w:space="0" w:color="auto"/>
                                            <w:bottom w:val="none" w:sz="0" w:space="0" w:color="auto"/>
                                            <w:right w:val="none" w:sz="0" w:space="0" w:color="auto"/>
                                          </w:divBdr>
                                          <w:divsChild>
                                            <w:div w:id="1045372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87247349">
      <w:bodyDiv w:val="1"/>
      <w:marLeft w:val="0"/>
      <w:marRight w:val="0"/>
      <w:marTop w:val="0"/>
      <w:marBottom w:val="0"/>
      <w:divBdr>
        <w:top w:val="none" w:sz="0" w:space="0" w:color="auto"/>
        <w:left w:val="none" w:sz="0" w:space="0" w:color="auto"/>
        <w:bottom w:val="none" w:sz="0" w:space="0" w:color="auto"/>
        <w:right w:val="none" w:sz="0" w:space="0" w:color="auto"/>
      </w:divBdr>
      <w:divsChild>
        <w:div w:id="1486553592">
          <w:marLeft w:val="0"/>
          <w:marRight w:val="0"/>
          <w:marTop w:val="0"/>
          <w:marBottom w:val="0"/>
          <w:divBdr>
            <w:top w:val="none" w:sz="0" w:space="0" w:color="auto"/>
            <w:left w:val="none" w:sz="0" w:space="0" w:color="auto"/>
            <w:bottom w:val="none" w:sz="0" w:space="0" w:color="auto"/>
            <w:right w:val="none" w:sz="0" w:space="0" w:color="auto"/>
          </w:divBdr>
          <w:divsChild>
            <w:div w:id="206577185">
              <w:marLeft w:val="0"/>
              <w:marRight w:val="0"/>
              <w:marTop w:val="0"/>
              <w:marBottom w:val="0"/>
              <w:divBdr>
                <w:top w:val="none" w:sz="0" w:space="0" w:color="auto"/>
                <w:left w:val="none" w:sz="0" w:space="0" w:color="auto"/>
                <w:bottom w:val="none" w:sz="0" w:space="0" w:color="auto"/>
                <w:right w:val="none" w:sz="0" w:space="0" w:color="auto"/>
              </w:divBdr>
              <w:divsChild>
                <w:div w:id="2095124645">
                  <w:marLeft w:val="-225"/>
                  <w:marRight w:val="-225"/>
                  <w:marTop w:val="0"/>
                  <w:marBottom w:val="0"/>
                  <w:divBdr>
                    <w:top w:val="none" w:sz="0" w:space="0" w:color="auto"/>
                    <w:left w:val="none" w:sz="0" w:space="0" w:color="auto"/>
                    <w:bottom w:val="none" w:sz="0" w:space="0" w:color="auto"/>
                    <w:right w:val="none" w:sz="0" w:space="0" w:color="auto"/>
                  </w:divBdr>
                  <w:divsChild>
                    <w:div w:id="1716271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8442896">
      <w:bodyDiv w:val="1"/>
      <w:marLeft w:val="0"/>
      <w:marRight w:val="0"/>
      <w:marTop w:val="0"/>
      <w:marBottom w:val="0"/>
      <w:divBdr>
        <w:top w:val="none" w:sz="0" w:space="0" w:color="auto"/>
        <w:left w:val="none" w:sz="0" w:space="0" w:color="auto"/>
        <w:bottom w:val="none" w:sz="0" w:space="0" w:color="auto"/>
        <w:right w:val="none" w:sz="0" w:space="0" w:color="auto"/>
      </w:divBdr>
    </w:div>
    <w:div w:id="296372579">
      <w:bodyDiv w:val="1"/>
      <w:marLeft w:val="0"/>
      <w:marRight w:val="0"/>
      <w:marTop w:val="0"/>
      <w:marBottom w:val="0"/>
      <w:divBdr>
        <w:top w:val="none" w:sz="0" w:space="0" w:color="auto"/>
        <w:left w:val="none" w:sz="0" w:space="0" w:color="auto"/>
        <w:bottom w:val="none" w:sz="0" w:space="0" w:color="auto"/>
        <w:right w:val="none" w:sz="0" w:space="0" w:color="auto"/>
      </w:divBdr>
    </w:div>
    <w:div w:id="297609151">
      <w:bodyDiv w:val="1"/>
      <w:marLeft w:val="0"/>
      <w:marRight w:val="0"/>
      <w:marTop w:val="0"/>
      <w:marBottom w:val="0"/>
      <w:divBdr>
        <w:top w:val="none" w:sz="0" w:space="0" w:color="auto"/>
        <w:left w:val="none" w:sz="0" w:space="0" w:color="auto"/>
        <w:bottom w:val="none" w:sz="0" w:space="0" w:color="auto"/>
        <w:right w:val="none" w:sz="0" w:space="0" w:color="auto"/>
      </w:divBdr>
    </w:div>
    <w:div w:id="299963776">
      <w:bodyDiv w:val="1"/>
      <w:marLeft w:val="0"/>
      <w:marRight w:val="0"/>
      <w:marTop w:val="0"/>
      <w:marBottom w:val="0"/>
      <w:divBdr>
        <w:top w:val="none" w:sz="0" w:space="0" w:color="auto"/>
        <w:left w:val="none" w:sz="0" w:space="0" w:color="auto"/>
        <w:bottom w:val="none" w:sz="0" w:space="0" w:color="auto"/>
        <w:right w:val="none" w:sz="0" w:space="0" w:color="auto"/>
      </w:divBdr>
    </w:div>
    <w:div w:id="301230771">
      <w:bodyDiv w:val="1"/>
      <w:marLeft w:val="0"/>
      <w:marRight w:val="0"/>
      <w:marTop w:val="0"/>
      <w:marBottom w:val="0"/>
      <w:divBdr>
        <w:top w:val="none" w:sz="0" w:space="0" w:color="auto"/>
        <w:left w:val="none" w:sz="0" w:space="0" w:color="auto"/>
        <w:bottom w:val="none" w:sz="0" w:space="0" w:color="auto"/>
        <w:right w:val="none" w:sz="0" w:space="0" w:color="auto"/>
      </w:divBdr>
    </w:div>
    <w:div w:id="305473029">
      <w:bodyDiv w:val="1"/>
      <w:marLeft w:val="0"/>
      <w:marRight w:val="0"/>
      <w:marTop w:val="0"/>
      <w:marBottom w:val="0"/>
      <w:divBdr>
        <w:top w:val="none" w:sz="0" w:space="0" w:color="auto"/>
        <w:left w:val="none" w:sz="0" w:space="0" w:color="auto"/>
        <w:bottom w:val="none" w:sz="0" w:space="0" w:color="auto"/>
        <w:right w:val="none" w:sz="0" w:space="0" w:color="auto"/>
      </w:divBdr>
    </w:div>
    <w:div w:id="306277858">
      <w:bodyDiv w:val="1"/>
      <w:marLeft w:val="0"/>
      <w:marRight w:val="0"/>
      <w:marTop w:val="0"/>
      <w:marBottom w:val="0"/>
      <w:divBdr>
        <w:top w:val="none" w:sz="0" w:space="0" w:color="auto"/>
        <w:left w:val="none" w:sz="0" w:space="0" w:color="auto"/>
        <w:bottom w:val="none" w:sz="0" w:space="0" w:color="auto"/>
        <w:right w:val="none" w:sz="0" w:space="0" w:color="auto"/>
      </w:divBdr>
    </w:div>
    <w:div w:id="306590753">
      <w:bodyDiv w:val="1"/>
      <w:marLeft w:val="0"/>
      <w:marRight w:val="0"/>
      <w:marTop w:val="0"/>
      <w:marBottom w:val="0"/>
      <w:divBdr>
        <w:top w:val="none" w:sz="0" w:space="0" w:color="auto"/>
        <w:left w:val="none" w:sz="0" w:space="0" w:color="auto"/>
        <w:bottom w:val="none" w:sz="0" w:space="0" w:color="auto"/>
        <w:right w:val="none" w:sz="0" w:space="0" w:color="auto"/>
      </w:divBdr>
    </w:div>
    <w:div w:id="308093391">
      <w:bodyDiv w:val="1"/>
      <w:marLeft w:val="0"/>
      <w:marRight w:val="0"/>
      <w:marTop w:val="0"/>
      <w:marBottom w:val="0"/>
      <w:divBdr>
        <w:top w:val="none" w:sz="0" w:space="0" w:color="auto"/>
        <w:left w:val="none" w:sz="0" w:space="0" w:color="auto"/>
        <w:bottom w:val="none" w:sz="0" w:space="0" w:color="auto"/>
        <w:right w:val="none" w:sz="0" w:space="0" w:color="auto"/>
      </w:divBdr>
    </w:div>
    <w:div w:id="308678663">
      <w:bodyDiv w:val="1"/>
      <w:marLeft w:val="0"/>
      <w:marRight w:val="0"/>
      <w:marTop w:val="0"/>
      <w:marBottom w:val="0"/>
      <w:divBdr>
        <w:top w:val="none" w:sz="0" w:space="0" w:color="auto"/>
        <w:left w:val="none" w:sz="0" w:space="0" w:color="auto"/>
        <w:bottom w:val="none" w:sz="0" w:space="0" w:color="auto"/>
        <w:right w:val="none" w:sz="0" w:space="0" w:color="auto"/>
      </w:divBdr>
    </w:div>
    <w:div w:id="314186417">
      <w:bodyDiv w:val="1"/>
      <w:marLeft w:val="0"/>
      <w:marRight w:val="0"/>
      <w:marTop w:val="0"/>
      <w:marBottom w:val="0"/>
      <w:divBdr>
        <w:top w:val="none" w:sz="0" w:space="0" w:color="auto"/>
        <w:left w:val="none" w:sz="0" w:space="0" w:color="auto"/>
        <w:bottom w:val="none" w:sz="0" w:space="0" w:color="auto"/>
        <w:right w:val="none" w:sz="0" w:space="0" w:color="auto"/>
      </w:divBdr>
    </w:div>
    <w:div w:id="321853562">
      <w:bodyDiv w:val="1"/>
      <w:marLeft w:val="0"/>
      <w:marRight w:val="0"/>
      <w:marTop w:val="0"/>
      <w:marBottom w:val="0"/>
      <w:divBdr>
        <w:top w:val="none" w:sz="0" w:space="0" w:color="auto"/>
        <w:left w:val="none" w:sz="0" w:space="0" w:color="auto"/>
        <w:bottom w:val="none" w:sz="0" w:space="0" w:color="auto"/>
        <w:right w:val="none" w:sz="0" w:space="0" w:color="auto"/>
      </w:divBdr>
    </w:div>
    <w:div w:id="324669404">
      <w:bodyDiv w:val="1"/>
      <w:marLeft w:val="0"/>
      <w:marRight w:val="0"/>
      <w:marTop w:val="0"/>
      <w:marBottom w:val="0"/>
      <w:divBdr>
        <w:top w:val="none" w:sz="0" w:space="0" w:color="auto"/>
        <w:left w:val="none" w:sz="0" w:space="0" w:color="auto"/>
        <w:bottom w:val="none" w:sz="0" w:space="0" w:color="auto"/>
        <w:right w:val="none" w:sz="0" w:space="0" w:color="auto"/>
      </w:divBdr>
    </w:div>
    <w:div w:id="327055393">
      <w:bodyDiv w:val="1"/>
      <w:marLeft w:val="0"/>
      <w:marRight w:val="0"/>
      <w:marTop w:val="0"/>
      <w:marBottom w:val="0"/>
      <w:divBdr>
        <w:top w:val="none" w:sz="0" w:space="0" w:color="auto"/>
        <w:left w:val="none" w:sz="0" w:space="0" w:color="auto"/>
        <w:bottom w:val="none" w:sz="0" w:space="0" w:color="auto"/>
        <w:right w:val="none" w:sz="0" w:space="0" w:color="auto"/>
      </w:divBdr>
    </w:div>
    <w:div w:id="332681120">
      <w:bodyDiv w:val="1"/>
      <w:marLeft w:val="0"/>
      <w:marRight w:val="0"/>
      <w:marTop w:val="0"/>
      <w:marBottom w:val="0"/>
      <w:divBdr>
        <w:top w:val="none" w:sz="0" w:space="0" w:color="auto"/>
        <w:left w:val="none" w:sz="0" w:space="0" w:color="auto"/>
        <w:bottom w:val="none" w:sz="0" w:space="0" w:color="auto"/>
        <w:right w:val="none" w:sz="0" w:space="0" w:color="auto"/>
      </w:divBdr>
    </w:div>
    <w:div w:id="333804879">
      <w:bodyDiv w:val="1"/>
      <w:marLeft w:val="0"/>
      <w:marRight w:val="0"/>
      <w:marTop w:val="0"/>
      <w:marBottom w:val="0"/>
      <w:divBdr>
        <w:top w:val="none" w:sz="0" w:space="0" w:color="auto"/>
        <w:left w:val="none" w:sz="0" w:space="0" w:color="auto"/>
        <w:bottom w:val="none" w:sz="0" w:space="0" w:color="auto"/>
        <w:right w:val="none" w:sz="0" w:space="0" w:color="auto"/>
      </w:divBdr>
      <w:divsChild>
        <w:div w:id="1950548302">
          <w:marLeft w:val="0"/>
          <w:marRight w:val="0"/>
          <w:marTop w:val="0"/>
          <w:marBottom w:val="0"/>
          <w:divBdr>
            <w:top w:val="none" w:sz="0" w:space="0" w:color="auto"/>
            <w:left w:val="none" w:sz="0" w:space="0" w:color="auto"/>
            <w:bottom w:val="none" w:sz="0" w:space="0" w:color="auto"/>
            <w:right w:val="none" w:sz="0" w:space="0" w:color="auto"/>
          </w:divBdr>
          <w:divsChild>
            <w:div w:id="1788042560">
              <w:marLeft w:val="0"/>
              <w:marRight w:val="0"/>
              <w:marTop w:val="0"/>
              <w:marBottom w:val="0"/>
              <w:divBdr>
                <w:top w:val="none" w:sz="0" w:space="0" w:color="auto"/>
                <w:left w:val="none" w:sz="0" w:space="0" w:color="auto"/>
                <w:bottom w:val="none" w:sz="0" w:space="0" w:color="auto"/>
                <w:right w:val="none" w:sz="0" w:space="0" w:color="auto"/>
              </w:divBdr>
              <w:divsChild>
                <w:div w:id="1755514306">
                  <w:marLeft w:val="0"/>
                  <w:marRight w:val="0"/>
                  <w:marTop w:val="0"/>
                  <w:marBottom w:val="0"/>
                  <w:divBdr>
                    <w:top w:val="none" w:sz="0" w:space="0" w:color="auto"/>
                    <w:left w:val="none" w:sz="0" w:space="0" w:color="auto"/>
                    <w:bottom w:val="none" w:sz="0" w:space="0" w:color="auto"/>
                    <w:right w:val="none" w:sz="0" w:space="0" w:color="auto"/>
                  </w:divBdr>
                  <w:divsChild>
                    <w:div w:id="1392071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3754380">
      <w:bodyDiv w:val="1"/>
      <w:marLeft w:val="0"/>
      <w:marRight w:val="0"/>
      <w:marTop w:val="0"/>
      <w:marBottom w:val="0"/>
      <w:divBdr>
        <w:top w:val="none" w:sz="0" w:space="0" w:color="auto"/>
        <w:left w:val="none" w:sz="0" w:space="0" w:color="auto"/>
        <w:bottom w:val="none" w:sz="0" w:space="0" w:color="auto"/>
        <w:right w:val="none" w:sz="0" w:space="0" w:color="auto"/>
      </w:divBdr>
      <w:divsChild>
        <w:div w:id="337850442">
          <w:marLeft w:val="706"/>
          <w:marRight w:val="0"/>
          <w:marTop w:val="96"/>
          <w:marBottom w:val="144"/>
          <w:divBdr>
            <w:top w:val="none" w:sz="0" w:space="0" w:color="auto"/>
            <w:left w:val="none" w:sz="0" w:space="0" w:color="auto"/>
            <w:bottom w:val="none" w:sz="0" w:space="0" w:color="auto"/>
            <w:right w:val="none" w:sz="0" w:space="0" w:color="auto"/>
          </w:divBdr>
        </w:div>
        <w:div w:id="1867789119">
          <w:marLeft w:val="706"/>
          <w:marRight w:val="0"/>
          <w:marTop w:val="96"/>
          <w:marBottom w:val="144"/>
          <w:divBdr>
            <w:top w:val="none" w:sz="0" w:space="0" w:color="auto"/>
            <w:left w:val="none" w:sz="0" w:space="0" w:color="auto"/>
            <w:bottom w:val="none" w:sz="0" w:space="0" w:color="auto"/>
            <w:right w:val="none" w:sz="0" w:space="0" w:color="auto"/>
          </w:divBdr>
        </w:div>
      </w:divsChild>
    </w:div>
    <w:div w:id="344207305">
      <w:bodyDiv w:val="1"/>
      <w:marLeft w:val="0"/>
      <w:marRight w:val="0"/>
      <w:marTop w:val="0"/>
      <w:marBottom w:val="0"/>
      <w:divBdr>
        <w:top w:val="none" w:sz="0" w:space="0" w:color="auto"/>
        <w:left w:val="none" w:sz="0" w:space="0" w:color="auto"/>
        <w:bottom w:val="none" w:sz="0" w:space="0" w:color="auto"/>
        <w:right w:val="none" w:sz="0" w:space="0" w:color="auto"/>
      </w:divBdr>
    </w:div>
    <w:div w:id="345376255">
      <w:bodyDiv w:val="1"/>
      <w:marLeft w:val="0"/>
      <w:marRight w:val="0"/>
      <w:marTop w:val="0"/>
      <w:marBottom w:val="0"/>
      <w:divBdr>
        <w:top w:val="none" w:sz="0" w:space="0" w:color="auto"/>
        <w:left w:val="none" w:sz="0" w:space="0" w:color="auto"/>
        <w:bottom w:val="none" w:sz="0" w:space="0" w:color="auto"/>
        <w:right w:val="none" w:sz="0" w:space="0" w:color="auto"/>
      </w:divBdr>
      <w:divsChild>
        <w:div w:id="9574112">
          <w:marLeft w:val="547"/>
          <w:marRight w:val="0"/>
          <w:marTop w:val="86"/>
          <w:marBottom w:val="0"/>
          <w:divBdr>
            <w:top w:val="none" w:sz="0" w:space="0" w:color="auto"/>
            <w:left w:val="none" w:sz="0" w:space="0" w:color="auto"/>
            <w:bottom w:val="none" w:sz="0" w:space="0" w:color="auto"/>
            <w:right w:val="none" w:sz="0" w:space="0" w:color="auto"/>
          </w:divBdr>
        </w:div>
        <w:div w:id="1021584574">
          <w:marLeft w:val="547"/>
          <w:marRight w:val="0"/>
          <w:marTop w:val="86"/>
          <w:marBottom w:val="0"/>
          <w:divBdr>
            <w:top w:val="none" w:sz="0" w:space="0" w:color="auto"/>
            <w:left w:val="none" w:sz="0" w:space="0" w:color="auto"/>
            <w:bottom w:val="none" w:sz="0" w:space="0" w:color="auto"/>
            <w:right w:val="none" w:sz="0" w:space="0" w:color="auto"/>
          </w:divBdr>
        </w:div>
        <w:div w:id="1637643086">
          <w:marLeft w:val="547"/>
          <w:marRight w:val="0"/>
          <w:marTop w:val="86"/>
          <w:marBottom w:val="0"/>
          <w:divBdr>
            <w:top w:val="none" w:sz="0" w:space="0" w:color="auto"/>
            <w:left w:val="none" w:sz="0" w:space="0" w:color="auto"/>
            <w:bottom w:val="none" w:sz="0" w:space="0" w:color="auto"/>
            <w:right w:val="none" w:sz="0" w:space="0" w:color="auto"/>
          </w:divBdr>
        </w:div>
        <w:div w:id="1709644866">
          <w:marLeft w:val="547"/>
          <w:marRight w:val="0"/>
          <w:marTop w:val="86"/>
          <w:marBottom w:val="0"/>
          <w:divBdr>
            <w:top w:val="none" w:sz="0" w:space="0" w:color="auto"/>
            <w:left w:val="none" w:sz="0" w:space="0" w:color="auto"/>
            <w:bottom w:val="none" w:sz="0" w:space="0" w:color="auto"/>
            <w:right w:val="none" w:sz="0" w:space="0" w:color="auto"/>
          </w:divBdr>
        </w:div>
      </w:divsChild>
    </w:div>
    <w:div w:id="350227748">
      <w:bodyDiv w:val="1"/>
      <w:marLeft w:val="0"/>
      <w:marRight w:val="0"/>
      <w:marTop w:val="0"/>
      <w:marBottom w:val="0"/>
      <w:divBdr>
        <w:top w:val="none" w:sz="0" w:space="0" w:color="auto"/>
        <w:left w:val="none" w:sz="0" w:space="0" w:color="auto"/>
        <w:bottom w:val="none" w:sz="0" w:space="0" w:color="auto"/>
        <w:right w:val="none" w:sz="0" w:space="0" w:color="auto"/>
      </w:divBdr>
    </w:div>
    <w:div w:id="351541242">
      <w:bodyDiv w:val="1"/>
      <w:marLeft w:val="0"/>
      <w:marRight w:val="0"/>
      <w:marTop w:val="0"/>
      <w:marBottom w:val="0"/>
      <w:divBdr>
        <w:top w:val="none" w:sz="0" w:space="0" w:color="auto"/>
        <w:left w:val="none" w:sz="0" w:space="0" w:color="auto"/>
        <w:bottom w:val="none" w:sz="0" w:space="0" w:color="auto"/>
        <w:right w:val="none" w:sz="0" w:space="0" w:color="auto"/>
      </w:divBdr>
    </w:div>
    <w:div w:id="359860754">
      <w:bodyDiv w:val="1"/>
      <w:marLeft w:val="0"/>
      <w:marRight w:val="0"/>
      <w:marTop w:val="0"/>
      <w:marBottom w:val="0"/>
      <w:divBdr>
        <w:top w:val="none" w:sz="0" w:space="0" w:color="auto"/>
        <w:left w:val="none" w:sz="0" w:space="0" w:color="auto"/>
        <w:bottom w:val="none" w:sz="0" w:space="0" w:color="auto"/>
        <w:right w:val="none" w:sz="0" w:space="0" w:color="auto"/>
      </w:divBdr>
    </w:div>
    <w:div w:id="363214378">
      <w:bodyDiv w:val="1"/>
      <w:marLeft w:val="0"/>
      <w:marRight w:val="0"/>
      <w:marTop w:val="0"/>
      <w:marBottom w:val="0"/>
      <w:divBdr>
        <w:top w:val="none" w:sz="0" w:space="0" w:color="auto"/>
        <w:left w:val="none" w:sz="0" w:space="0" w:color="auto"/>
        <w:bottom w:val="none" w:sz="0" w:space="0" w:color="auto"/>
        <w:right w:val="none" w:sz="0" w:space="0" w:color="auto"/>
      </w:divBdr>
    </w:div>
    <w:div w:id="366178007">
      <w:bodyDiv w:val="1"/>
      <w:marLeft w:val="0"/>
      <w:marRight w:val="0"/>
      <w:marTop w:val="0"/>
      <w:marBottom w:val="0"/>
      <w:divBdr>
        <w:top w:val="none" w:sz="0" w:space="0" w:color="auto"/>
        <w:left w:val="none" w:sz="0" w:space="0" w:color="auto"/>
        <w:bottom w:val="none" w:sz="0" w:space="0" w:color="auto"/>
        <w:right w:val="none" w:sz="0" w:space="0" w:color="auto"/>
      </w:divBdr>
    </w:div>
    <w:div w:id="366685899">
      <w:bodyDiv w:val="1"/>
      <w:marLeft w:val="0"/>
      <w:marRight w:val="0"/>
      <w:marTop w:val="0"/>
      <w:marBottom w:val="0"/>
      <w:divBdr>
        <w:top w:val="none" w:sz="0" w:space="0" w:color="auto"/>
        <w:left w:val="none" w:sz="0" w:space="0" w:color="auto"/>
        <w:bottom w:val="none" w:sz="0" w:space="0" w:color="auto"/>
        <w:right w:val="none" w:sz="0" w:space="0" w:color="auto"/>
      </w:divBdr>
    </w:div>
    <w:div w:id="369960699">
      <w:bodyDiv w:val="1"/>
      <w:marLeft w:val="0"/>
      <w:marRight w:val="0"/>
      <w:marTop w:val="0"/>
      <w:marBottom w:val="0"/>
      <w:divBdr>
        <w:top w:val="none" w:sz="0" w:space="0" w:color="auto"/>
        <w:left w:val="none" w:sz="0" w:space="0" w:color="auto"/>
        <w:bottom w:val="none" w:sz="0" w:space="0" w:color="auto"/>
        <w:right w:val="none" w:sz="0" w:space="0" w:color="auto"/>
      </w:divBdr>
    </w:div>
    <w:div w:id="370344322">
      <w:bodyDiv w:val="1"/>
      <w:marLeft w:val="0"/>
      <w:marRight w:val="0"/>
      <w:marTop w:val="0"/>
      <w:marBottom w:val="0"/>
      <w:divBdr>
        <w:top w:val="none" w:sz="0" w:space="0" w:color="auto"/>
        <w:left w:val="none" w:sz="0" w:space="0" w:color="auto"/>
        <w:bottom w:val="none" w:sz="0" w:space="0" w:color="auto"/>
        <w:right w:val="none" w:sz="0" w:space="0" w:color="auto"/>
      </w:divBdr>
    </w:div>
    <w:div w:id="371273885">
      <w:bodyDiv w:val="1"/>
      <w:marLeft w:val="0"/>
      <w:marRight w:val="0"/>
      <w:marTop w:val="0"/>
      <w:marBottom w:val="0"/>
      <w:divBdr>
        <w:top w:val="none" w:sz="0" w:space="0" w:color="auto"/>
        <w:left w:val="none" w:sz="0" w:space="0" w:color="auto"/>
        <w:bottom w:val="none" w:sz="0" w:space="0" w:color="auto"/>
        <w:right w:val="none" w:sz="0" w:space="0" w:color="auto"/>
      </w:divBdr>
    </w:div>
    <w:div w:id="371420807">
      <w:bodyDiv w:val="1"/>
      <w:marLeft w:val="0"/>
      <w:marRight w:val="0"/>
      <w:marTop w:val="0"/>
      <w:marBottom w:val="0"/>
      <w:divBdr>
        <w:top w:val="none" w:sz="0" w:space="0" w:color="auto"/>
        <w:left w:val="none" w:sz="0" w:space="0" w:color="auto"/>
        <w:bottom w:val="none" w:sz="0" w:space="0" w:color="auto"/>
        <w:right w:val="none" w:sz="0" w:space="0" w:color="auto"/>
      </w:divBdr>
    </w:div>
    <w:div w:id="371542156">
      <w:bodyDiv w:val="1"/>
      <w:marLeft w:val="0"/>
      <w:marRight w:val="0"/>
      <w:marTop w:val="0"/>
      <w:marBottom w:val="0"/>
      <w:divBdr>
        <w:top w:val="none" w:sz="0" w:space="0" w:color="auto"/>
        <w:left w:val="none" w:sz="0" w:space="0" w:color="auto"/>
        <w:bottom w:val="none" w:sz="0" w:space="0" w:color="auto"/>
        <w:right w:val="none" w:sz="0" w:space="0" w:color="auto"/>
      </w:divBdr>
    </w:div>
    <w:div w:id="373701585">
      <w:bodyDiv w:val="1"/>
      <w:marLeft w:val="0"/>
      <w:marRight w:val="0"/>
      <w:marTop w:val="0"/>
      <w:marBottom w:val="0"/>
      <w:divBdr>
        <w:top w:val="none" w:sz="0" w:space="0" w:color="auto"/>
        <w:left w:val="none" w:sz="0" w:space="0" w:color="auto"/>
        <w:bottom w:val="none" w:sz="0" w:space="0" w:color="auto"/>
        <w:right w:val="none" w:sz="0" w:space="0" w:color="auto"/>
      </w:divBdr>
    </w:div>
    <w:div w:id="375011542">
      <w:bodyDiv w:val="1"/>
      <w:marLeft w:val="0"/>
      <w:marRight w:val="0"/>
      <w:marTop w:val="0"/>
      <w:marBottom w:val="0"/>
      <w:divBdr>
        <w:top w:val="none" w:sz="0" w:space="0" w:color="auto"/>
        <w:left w:val="none" w:sz="0" w:space="0" w:color="auto"/>
        <w:bottom w:val="none" w:sz="0" w:space="0" w:color="auto"/>
        <w:right w:val="none" w:sz="0" w:space="0" w:color="auto"/>
      </w:divBdr>
    </w:div>
    <w:div w:id="375205271">
      <w:bodyDiv w:val="1"/>
      <w:marLeft w:val="0"/>
      <w:marRight w:val="0"/>
      <w:marTop w:val="0"/>
      <w:marBottom w:val="0"/>
      <w:divBdr>
        <w:top w:val="none" w:sz="0" w:space="0" w:color="auto"/>
        <w:left w:val="none" w:sz="0" w:space="0" w:color="auto"/>
        <w:bottom w:val="none" w:sz="0" w:space="0" w:color="auto"/>
        <w:right w:val="none" w:sz="0" w:space="0" w:color="auto"/>
      </w:divBdr>
    </w:div>
    <w:div w:id="380250634">
      <w:bodyDiv w:val="1"/>
      <w:marLeft w:val="0"/>
      <w:marRight w:val="0"/>
      <w:marTop w:val="0"/>
      <w:marBottom w:val="0"/>
      <w:divBdr>
        <w:top w:val="none" w:sz="0" w:space="0" w:color="auto"/>
        <w:left w:val="none" w:sz="0" w:space="0" w:color="auto"/>
        <w:bottom w:val="none" w:sz="0" w:space="0" w:color="auto"/>
        <w:right w:val="none" w:sz="0" w:space="0" w:color="auto"/>
      </w:divBdr>
    </w:div>
    <w:div w:id="380327941">
      <w:bodyDiv w:val="1"/>
      <w:marLeft w:val="0"/>
      <w:marRight w:val="0"/>
      <w:marTop w:val="0"/>
      <w:marBottom w:val="0"/>
      <w:divBdr>
        <w:top w:val="none" w:sz="0" w:space="0" w:color="auto"/>
        <w:left w:val="none" w:sz="0" w:space="0" w:color="auto"/>
        <w:bottom w:val="none" w:sz="0" w:space="0" w:color="auto"/>
        <w:right w:val="none" w:sz="0" w:space="0" w:color="auto"/>
      </w:divBdr>
    </w:div>
    <w:div w:id="380397834">
      <w:bodyDiv w:val="1"/>
      <w:marLeft w:val="0"/>
      <w:marRight w:val="0"/>
      <w:marTop w:val="0"/>
      <w:marBottom w:val="0"/>
      <w:divBdr>
        <w:top w:val="none" w:sz="0" w:space="0" w:color="auto"/>
        <w:left w:val="none" w:sz="0" w:space="0" w:color="auto"/>
        <w:bottom w:val="none" w:sz="0" w:space="0" w:color="auto"/>
        <w:right w:val="none" w:sz="0" w:space="0" w:color="auto"/>
      </w:divBdr>
    </w:div>
    <w:div w:id="380982883">
      <w:bodyDiv w:val="1"/>
      <w:marLeft w:val="0"/>
      <w:marRight w:val="0"/>
      <w:marTop w:val="0"/>
      <w:marBottom w:val="0"/>
      <w:divBdr>
        <w:top w:val="none" w:sz="0" w:space="0" w:color="auto"/>
        <w:left w:val="none" w:sz="0" w:space="0" w:color="auto"/>
        <w:bottom w:val="none" w:sz="0" w:space="0" w:color="auto"/>
        <w:right w:val="none" w:sz="0" w:space="0" w:color="auto"/>
      </w:divBdr>
    </w:div>
    <w:div w:id="387338403">
      <w:bodyDiv w:val="1"/>
      <w:marLeft w:val="0"/>
      <w:marRight w:val="0"/>
      <w:marTop w:val="0"/>
      <w:marBottom w:val="0"/>
      <w:divBdr>
        <w:top w:val="none" w:sz="0" w:space="0" w:color="auto"/>
        <w:left w:val="none" w:sz="0" w:space="0" w:color="auto"/>
        <w:bottom w:val="none" w:sz="0" w:space="0" w:color="auto"/>
        <w:right w:val="none" w:sz="0" w:space="0" w:color="auto"/>
      </w:divBdr>
    </w:div>
    <w:div w:id="390465640">
      <w:bodyDiv w:val="1"/>
      <w:marLeft w:val="0"/>
      <w:marRight w:val="0"/>
      <w:marTop w:val="0"/>
      <w:marBottom w:val="0"/>
      <w:divBdr>
        <w:top w:val="none" w:sz="0" w:space="0" w:color="auto"/>
        <w:left w:val="none" w:sz="0" w:space="0" w:color="auto"/>
        <w:bottom w:val="none" w:sz="0" w:space="0" w:color="auto"/>
        <w:right w:val="none" w:sz="0" w:space="0" w:color="auto"/>
      </w:divBdr>
    </w:div>
    <w:div w:id="390470445">
      <w:bodyDiv w:val="1"/>
      <w:marLeft w:val="0"/>
      <w:marRight w:val="0"/>
      <w:marTop w:val="0"/>
      <w:marBottom w:val="0"/>
      <w:divBdr>
        <w:top w:val="none" w:sz="0" w:space="0" w:color="auto"/>
        <w:left w:val="none" w:sz="0" w:space="0" w:color="auto"/>
        <w:bottom w:val="none" w:sz="0" w:space="0" w:color="auto"/>
        <w:right w:val="none" w:sz="0" w:space="0" w:color="auto"/>
      </w:divBdr>
    </w:div>
    <w:div w:id="394747126">
      <w:bodyDiv w:val="1"/>
      <w:marLeft w:val="0"/>
      <w:marRight w:val="0"/>
      <w:marTop w:val="0"/>
      <w:marBottom w:val="0"/>
      <w:divBdr>
        <w:top w:val="none" w:sz="0" w:space="0" w:color="auto"/>
        <w:left w:val="none" w:sz="0" w:space="0" w:color="auto"/>
        <w:bottom w:val="none" w:sz="0" w:space="0" w:color="auto"/>
        <w:right w:val="none" w:sz="0" w:space="0" w:color="auto"/>
      </w:divBdr>
    </w:div>
    <w:div w:id="399906005">
      <w:bodyDiv w:val="1"/>
      <w:marLeft w:val="0"/>
      <w:marRight w:val="0"/>
      <w:marTop w:val="0"/>
      <w:marBottom w:val="0"/>
      <w:divBdr>
        <w:top w:val="none" w:sz="0" w:space="0" w:color="auto"/>
        <w:left w:val="none" w:sz="0" w:space="0" w:color="auto"/>
        <w:bottom w:val="none" w:sz="0" w:space="0" w:color="auto"/>
        <w:right w:val="none" w:sz="0" w:space="0" w:color="auto"/>
      </w:divBdr>
    </w:div>
    <w:div w:id="404038767">
      <w:bodyDiv w:val="1"/>
      <w:marLeft w:val="0"/>
      <w:marRight w:val="0"/>
      <w:marTop w:val="0"/>
      <w:marBottom w:val="0"/>
      <w:divBdr>
        <w:top w:val="none" w:sz="0" w:space="0" w:color="auto"/>
        <w:left w:val="none" w:sz="0" w:space="0" w:color="auto"/>
        <w:bottom w:val="none" w:sz="0" w:space="0" w:color="auto"/>
        <w:right w:val="none" w:sz="0" w:space="0" w:color="auto"/>
      </w:divBdr>
    </w:div>
    <w:div w:id="405156234">
      <w:bodyDiv w:val="1"/>
      <w:marLeft w:val="0"/>
      <w:marRight w:val="0"/>
      <w:marTop w:val="0"/>
      <w:marBottom w:val="0"/>
      <w:divBdr>
        <w:top w:val="none" w:sz="0" w:space="0" w:color="auto"/>
        <w:left w:val="none" w:sz="0" w:space="0" w:color="auto"/>
        <w:bottom w:val="none" w:sz="0" w:space="0" w:color="auto"/>
        <w:right w:val="none" w:sz="0" w:space="0" w:color="auto"/>
      </w:divBdr>
    </w:div>
    <w:div w:id="407389318">
      <w:bodyDiv w:val="1"/>
      <w:marLeft w:val="0"/>
      <w:marRight w:val="0"/>
      <w:marTop w:val="0"/>
      <w:marBottom w:val="0"/>
      <w:divBdr>
        <w:top w:val="none" w:sz="0" w:space="0" w:color="auto"/>
        <w:left w:val="none" w:sz="0" w:space="0" w:color="auto"/>
        <w:bottom w:val="none" w:sz="0" w:space="0" w:color="auto"/>
        <w:right w:val="none" w:sz="0" w:space="0" w:color="auto"/>
      </w:divBdr>
    </w:div>
    <w:div w:id="412630188">
      <w:bodyDiv w:val="1"/>
      <w:marLeft w:val="0"/>
      <w:marRight w:val="0"/>
      <w:marTop w:val="0"/>
      <w:marBottom w:val="0"/>
      <w:divBdr>
        <w:top w:val="none" w:sz="0" w:space="0" w:color="auto"/>
        <w:left w:val="none" w:sz="0" w:space="0" w:color="auto"/>
        <w:bottom w:val="none" w:sz="0" w:space="0" w:color="auto"/>
        <w:right w:val="none" w:sz="0" w:space="0" w:color="auto"/>
      </w:divBdr>
    </w:div>
    <w:div w:id="419179654">
      <w:bodyDiv w:val="1"/>
      <w:marLeft w:val="0"/>
      <w:marRight w:val="0"/>
      <w:marTop w:val="0"/>
      <w:marBottom w:val="0"/>
      <w:divBdr>
        <w:top w:val="none" w:sz="0" w:space="0" w:color="auto"/>
        <w:left w:val="none" w:sz="0" w:space="0" w:color="auto"/>
        <w:bottom w:val="none" w:sz="0" w:space="0" w:color="auto"/>
        <w:right w:val="none" w:sz="0" w:space="0" w:color="auto"/>
      </w:divBdr>
    </w:div>
    <w:div w:id="419837527">
      <w:bodyDiv w:val="1"/>
      <w:marLeft w:val="0"/>
      <w:marRight w:val="0"/>
      <w:marTop w:val="0"/>
      <w:marBottom w:val="0"/>
      <w:divBdr>
        <w:top w:val="none" w:sz="0" w:space="0" w:color="auto"/>
        <w:left w:val="none" w:sz="0" w:space="0" w:color="auto"/>
        <w:bottom w:val="none" w:sz="0" w:space="0" w:color="auto"/>
        <w:right w:val="none" w:sz="0" w:space="0" w:color="auto"/>
      </w:divBdr>
    </w:div>
    <w:div w:id="420033661">
      <w:bodyDiv w:val="1"/>
      <w:marLeft w:val="0"/>
      <w:marRight w:val="0"/>
      <w:marTop w:val="0"/>
      <w:marBottom w:val="0"/>
      <w:divBdr>
        <w:top w:val="none" w:sz="0" w:space="0" w:color="auto"/>
        <w:left w:val="none" w:sz="0" w:space="0" w:color="auto"/>
        <w:bottom w:val="none" w:sz="0" w:space="0" w:color="auto"/>
        <w:right w:val="none" w:sz="0" w:space="0" w:color="auto"/>
      </w:divBdr>
    </w:div>
    <w:div w:id="424301366">
      <w:bodyDiv w:val="1"/>
      <w:marLeft w:val="0"/>
      <w:marRight w:val="0"/>
      <w:marTop w:val="0"/>
      <w:marBottom w:val="0"/>
      <w:divBdr>
        <w:top w:val="none" w:sz="0" w:space="0" w:color="auto"/>
        <w:left w:val="none" w:sz="0" w:space="0" w:color="auto"/>
        <w:bottom w:val="none" w:sz="0" w:space="0" w:color="auto"/>
        <w:right w:val="none" w:sz="0" w:space="0" w:color="auto"/>
      </w:divBdr>
      <w:divsChild>
        <w:div w:id="140269511">
          <w:marLeft w:val="547"/>
          <w:marRight w:val="0"/>
          <w:marTop w:val="82"/>
          <w:marBottom w:val="0"/>
          <w:divBdr>
            <w:top w:val="none" w:sz="0" w:space="0" w:color="auto"/>
            <w:left w:val="none" w:sz="0" w:space="0" w:color="auto"/>
            <w:bottom w:val="none" w:sz="0" w:space="0" w:color="auto"/>
            <w:right w:val="none" w:sz="0" w:space="0" w:color="auto"/>
          </w:divBdr>
        </w:div>
        <w:div w:id="432939306">
          <w:marLeft w:val="547"/>
          <w:marRight w:val="0"/>
          <w:marTop w:val="82"/>
          <w:marBottom w:val="0"/>
          <w:divBdr>
            <w:top w:val="none" w:sz="0" w:space="0" w:color="auto"/>
            <w:left w:val="none" w:sz="0" w:space="0" w:color="auto"/>
            <w:bottom w:val="none" w:sz="0" w:space="0" w:color="auto"/>
            <w:right w:val="none" w:sz="0" w:space="0" w:color="auto"/>
          </w:divBdr>
        </w:div>
        <w:div w:id="558370417">
          <w:marLeft w:val="547"/>
          <w:marRight w:val="0"/>
          <w:marTop w:val="82"/>
          <w:marBottom w:val="0"/>
          <w:divBdr>
            <w:top w:val="none" w:sz="0" w:space="0" w:color="auto"/>
            <w:left w:val="none" w:sz="0" w:space="0" w:color="auto"/>
            <w:bottom w:val="none" w:sz="0" w:space="0" w:color="auto"/>
            <w:right w:val="none" w:sz="0" w:space="0" w:color="auto"/>
          </w:divBdr>
        </w:div>
        <w:div w:id="1459757297">
          <w:marLeft w:val="547"/>
          <w:marRight w:val="0"/>
          <w:marTop w:val="82"/>
          <w:marBottom w:val="0"/>
          <w:divBdr>
            <w:top w:val="none" w:sz="0" w:space="0" w:color="auto"/>
            <w:left w:val="none" w:sz="0" w:space="0" w:color="auto"/>
            <w:bottom w:val="none" w:sz="0" w:space="0" w:color="auto"/>
            <w:right w:val="none" w:sz="0" w:space="0" w:color="auto"/>
          </w:divBdr>
        </w:div>
        <w:div w:id="1479348423">
          <w:marLeft w:val="547"/>
          <w:marRight w:val="0"/>
          <w:marTop w:val="82"/>
          <w:marBottom w:val="0"/>
          <w:divBdr>
            <w:top w:val="none" w:sz="0" w:space="0" w:color="auto"/>
            <w:left w:val="none" w:sz="0" w:space="0" w:color="auto"/>
            <w:bottom w:val="none" w:sz="0" w:space="0" w:color="auto"/>
            <w:right w:val="none" w:sz="0" w:space="0" w:color="auto"/>
          </w:divBdr>
        </w:div>
        <w:div w:id="2044136001">
          <w:marLeft w:val="547"/>
          <w:marRight w:val="0"/>
          <w:marTop w:val="82"/>
          <w:marBottom w:val="0"/>
          <w:divBdr>
            <w:top w:val="none" w:sz="0" w:space="0" w:color="auto"/>
            <w:left w:val="none" w:sz="0" w:space="0" w:color="auto"/>
            <w:bottom w:val="none" w:sz="0" w:space="0" w:color="auto"/>
            <w:right w:val="none" w:sz="0" w:space="0" w:color="auto"/>
          </w:divBdr>
        </w:div>
        <w:div w:id="2105613919">
          <w:marLeft w:val="547"/>
          <w:marRight w:val="0"/>
          <w:marTop w:val="82"/>
          <w:marBottom w:val="0"/>
          <w:divBdr>
            <w:top w:val="none" w:sz="0" w:space="0" w:color="auto"/>
            <w:left w:val="none" w:sz="0" w:space="0" w:color="auto"/>
            <w:bottom w:val="none" w:sz="0" w:space="0" w:color="auto"/>
            <w:right w:val="none" w:sz="0" w:space="0" w:color="auto"/>
          </w:divBdr>
        </w:div>
      </w:divsChild>
    </w:div>
    <w:div w:id="433669977">
      <w:bodyDiv w:val="1"/>
      <w:marLeft w:val="0"/>
      <w:marRight w:val="0"/>
      <w:marTop w:val="0"/>
      <w:marBottom w:val="0"/>
      <w:divBdr>
        <w:top w:val="none" w:sz="0" w:space="0" w:color="auto"/>
        <w:left w:val="none" w:sz="0" w:space="0" w:color="auto"/>
        <w:bottom w:val="none" w:sz="0" w:space="0" w:color="auto"/>
        <w:right w:val="none" w:sz="0" w:space="0" w:color="auto"/>
      </w:divBdr>
    </w:div>
    <w:div w:id="435517356">
      <w:bodyDiv w:val="1"/>
      <w:marLeft w:val="0"/>
      <w:marRight w:val="0"/>
      <w:marTop w:val="0"/>
      <w:marBottom w:val="0"/>
      <w:divBdr>
        <w:top w:val="none" w:sz="0" w:space="0" w:color="auto"/>
        <w:left w:val="none" w:sz="0" w:space="0" w:color="auto"/>
        <w:bottom w:val="none" w:sz="0" w:space="0" w:color="auto"/>
        <w:right w:val="none" w:sz="0" w:space="0" w:color="auto"/>
      </w:divBdr>
    </w:div>
    <w:div w:id="440539269">
      <w:bodyDiv w:val="1"/>
      <w:marLeft w:val="0"/>
      <w:marRight w:val="0"/>
      <w:marTop w:val="0"/>
      <w:marBottom w:val="0"/>
      <w:divBdr>
        <w:top w:val="none" w:sz="0" w:space="0" w:color="auto"/>
        <w:left w:val="none" w:sz="0" w:space="0" w:color="auto"/>
        <w:bottom w:val="none" w:sz="0" w:space="0" w:color="auto"/>
        <w:right w:val="none" w:sz="0" w:space="0" w:color="auto"/>
      </w:divBdr>
    </w:div>
    <w:div w:id="440614863">
      <w:bodyDiv w:val="1"/>
      <w:marLeft w:val="0"/>
      <w:marRight w:val="0"/>
      <w:marTop w:val="0"/>
      <w:marBottom w:val="0"/>
      <w:divBdr>
        <w:top w:val="none" w:sz="0" w:space="0" w:color="auto"/>
        <w:left w:val="none" w:sz="0" w:space="0" w:color="auto"/>
        <w:bottom w:val="none" w:sz="0" w:space="0" w:color="auto"/>
        <w:right w:val="none" w:sz="0" w:space="0" w:color="auto"/>
      </w:divBdr>
    </w:div>
    <w:div w:id="446628163">
      <w:bodyDiv w:val="1"/>
      <w:marLeft w:val="0"/>
      <w:marRight w:val="0"/>
      <w:marTop w:val="0"/>
      <w:marBottom w:val="0"/>
      <w:divBdr>
        <w:top w:val="none" w:sz="0" w:space="0" w:color="auto"/>
        <w:left w:val="none" w:sz="0" w:space="0" w:color="auto"/>
        <w:bottom w:val="none" w:sz="0" w:space="0" w:color="auto"/>
        <w:right w:val="none" w:sz="0" w:space="0" w:color="auto"/>
      </w:divBdr>
    </w:div>
    <w:div w:id="449469677">
      <w:bodyDiv w:val="1"/>
      <w:marLeft w:val="0"/>
      <w:marRight w:val="0"/>
      <w:marTop w:val="0"/>
      <w:marBottom w:val="0"/>
      <w:divBdr>
        <w:top w:val="none" w:sz="0" w:space="0" w:color="auto"/>
        <w:left w:val="none" w:sz="0" w:space="0" w:color="auto"/>
        <w:bottom w:val="none" w:sz="0" w:space="0" w:color="auto"/>
        <w:right w:val="none" w:sz="0" w:space="0" w:color="auto"/>
      </w:divBdr>
    </w:div>
    <w:div w:id="450518165">
      <w:bodyDiv w:val="1"/>
      <w:marLeft w:val="0"/>
      <w:marRight w:val="0"/>
      <w:marTop w:val="0"/>
      <w:marBottom w:val="0"/>
      <w:divBdr>
        <w:top w:val="none" w:sz="0" w:space="0" w:color="auto"/>
        <w:left w:val="none" w:sz="0" w:space="0" w:color="auto"/>
        <w:bottom w:val="none" w:sz="0" w:space="0" w:color="auto"/>
        <w:right w:val="none" w:sz="0" w:space="0" w:color="auto"/>
      </w:divBdr>
    </w:div>
    <w:div w:id="452095450">
      <w:bodyDiv w:val="1"/>
      <w:marLeft w:val="0"/>
      <w:marRight w:val="0"/>
      <w:marTop w:val="0"/>
      <w:marBottom w:val="0"/>
      <w:divBdr>
        <w:top w:val="none" w:sz="0" w:space="0" w:color="auto"/>
        <w:left w:val="none" w:sz="0" w:space="0" w:color="auto"/>
        <w:bottom w:val="none" w:sz="0" w:space="0" w:color="auto"/>
        <w:right w:val="none" w:sz="0" w:space="0" w:color="auto"/>
      </w:divBdr>
    </w:div>
    <w:div w:id="454569052">
      <w:bodyDiv w:val="1"/>
      <w:marLeft w:val="0"/>
      <w:marRight w:val="0"/>
      <w:marTop w:val="0"/>
      <w:marBottom w:val="0"/>
      <w:divBdr>
        <w:top w:val="none" w:sz="0" w:space="0" w:color="auto"/>
        <w:left w:val="none" w:sz="0" w:space="0" w:color="auto"/>
        <w:bottom w:val="none" w:sz="0" w:space="0" w:color="auto"/>
        <w:right w:val="none" w:sz="0" w:space="0" w:color="auto"/>
      </w:divBdr>
    </w:div>
    <w:div w:id="457260865">
      <w:bodyDiv w:val="1"/>
      <w:marLeft w:val="0"/>
      <w:marRight w:val="0"/>
      <w:marTop w:val="0"/>
      <w:marBottom w:val="0"/>
      <w:divBdr>
        <w:top w:val="none" w:sz="0" w:space="0" w:color="auto"/>
        <w:left w:val="none" w:sz="0" w:space="0" w:color="auto"/>
        <w:bottom w:val="none" w:sz="0" w:space="0" w:color="auto"/>
        <w:right w:val="none" w:sz="0" w:space="0" w:color="auto"/>
      </w:divBdr>
    </w:div>
    <w:div w:id="460347489">
      <w:bodyDiv w:val="1"/>
      <w:marLeft w:val="0"/>
      <w:marRight w:val="0"/>
      <w:marTop w:val="0"/>
      <w:marBottom w:val="0"/>
      <w:divBdr>
        <w:top w:val="none" w:sz="0" w:space="0" w:color="auto"/>
        <w:left w:val="none" w:sz="0" w:space="0" w:color="auto"/>
        <w:bottom w:val="none" w:sz="0" w:space="0" w:color="auto"/>
        <w:right w:val="none" w:sz="0" w:space="0" w:color="auto"/>
      </w:divBdr>
    </w:div>
    <w:div w:id="465389758">
      <w:bodyDiv w:val="1"/>
      <w:marLeft w:val="0"/>
      <w:marRight w:val="0"/>
      <w:marTop w:val="0"/>
      <w:marBottom w:val="0"/>
      <w:divBdr>
        <w:top w:val="none" w:sz="0" w:space="0" w:color="auto"/>
        <w:left w:val="none" w:sz="0" w:space="0" w:color="auto"/>
        <w:bottom w:val="none" w:sz="0" w:space="0" w:color="auto"/>
        <w:right w:val="none" w:sz="0" w:space="0" w:color="auto"/>
      </w:divBdr>
    </w:div>
    <w:div w:id="465780090">
      <w:bodyDiv w:val="1"/>
      <w:marLeft w:val="0"/>
      <w:marRight w:val="0"/>
      <w:marTop w:val="0"/>
      <w:marBottom w:val="0"/>
      <w:divBdr>
        <w:top w:val="none" w:sz="0" w:space="0" w:color="auto"/>
        <w:left w:val="none" w:sz="0" w:space="0" w:color="auto"/>
        <w:bottom w:val="none" w:sz="0" w:space="0" w:color="auto"/>
        <w:right w:val="none" w:sz="0" w:space="0" w:color="auto"/>
      </w:divBdr>
    </w:div>
    <w:div w:id="471554992">
      <w:bodyDiv w:val="1"/>
      <w:marLeft w:val="0"/>
      <w:marRight w:val="0"/>
      <w:marTop w:val="0"/>
      <w:marBottom w:val="0"/>
      <w:divBdr>
        <w:top w:val="none" w:sz="0" w:space="0" w:color="auto"/>
        <w:left w:val="none" w:sz="0" w:space="0" w:color="auto"/>
        <w:bottom w:val="none" w:sz="0" w:space="0" w:color="auto"/>
        <w:right w:val="none" w:sz="0" w:space="0" w:color="auto"/>
      </w:divBdr>
    </w:div>
    <w:div w:id="477653061">
      <w:bodyDiv w:val="1"/>
      <w:marLeft w:val="0"/>
      <w:marRight w:val="0"/>
      <w:marTop w:val="0"/>
      <w:marBottom w:val="0"/>
      <w:divBdr>
        <w:top w:val="none" w:sz="0" w:space="0" w:color="auto"/>
        <w:left w:val="none" w:sz="0" w:space="0" w:color="auto"/>
        <w:bottom w:val="none" w:sz="0" w:space="0" w:color="auto"/>
        <w:right w:val="none" w:sz="0" w:space="0" w:color="auto"/>
      </w:divBdr>
    </w:div>
    <w:div w:id="482281070">
      <w:bodyDiv w:val="1"/>
      <w:marLeft w:val="0"/>
      <w:marRight w:val="0"/>
      <w:marTop w:val="0"/>
      <w:marBottom w:val="0"/>
      <w:divBdr>
        <w:top w:val="none" w:sz="0" w:space="0" w:color="auto"/>
        <w:left w:val="none" w:sz="0" w:space="0" w:color="auto"/>
        <w:bottom w:val="none" w:sz="0" w:space="0" w:color="auto"/>
        <w:right w:val="none" w:sz="0" w:space="0" w:color="auto"/>
      </w:divBdr>
    </w:div>
    <w:div w:id="483400145">
      <w:bodyDiv w:val="1"/>
      <w:marLeft w:val="0"/>
      <w:marRight w:val="0"/>
      <w:marTop w:val="0"/>
      <w:marBottom w:val="0"/>
      <w:divBdr>
        <w:top w:val="none" w:sz="0" w:space="0" w:color="auto"/>
        <w:left w:val="none" w:sz="0" w:space="0" w:color="auto"/>
        <w:bottom w:val="none" w:sz="0" w:space="0" w:color="auto"/>
        <w:right w:val="none" w:sz="0" w:space="0" w:color="auto"/>
      </w:divBdr>
    </w:div>
    <w:div w:id="486749781">
      <w:bodyDiv w:val="1"/>
      <w:marLeft w:val="0"/>
      <w:marRight w:val="0"/>
      <w:marTop w:val="0"/>
      <w:marBottom w:val="0"/>
      <w:divBdr>
        <w:top w:val="none" w:sz="0" w:space="0" w:color="auto"/>
        <w:left w:val="none" w:sz="0" w:space="0" w:color="auto"/>
        <w:bottom w:val="none" w:sz="0" w:space="0" w:color="auto"/>
        <w:right w:val="none" w:sz="0" w:space="0" w:color="auto"/>
      </w:divBdr>
    </w:div>
    <w:div w:id="486939076">
      <w:bodyDiv w:val="1"/>
      <w:marLeft w:val="0"/>
      <w:marRight w:val="0"/>
      <w:marTop w:val="0"/>
      <w:marBottom w:val="0"/>
      <w:divBdr>
        <w:top w:val="none" w:sz="0" w:space="0" w:color="auto"/>
        <w:left w:val="none" w:sz="0" w:space="0" w:color="auto"/>
        <w:bottom w:val="none" w:sz="0" w:space="0" w:color="auto"/>
        <w:right w:val="none" w:sz="0" w:space="0" w:color="auto"/>
      </w:divBdr>
    </w:div>
    <w:div w:id="489637823">
      <w:bodyDiv w:val="1"/>
      <w:marLeft w:val="0"/>
      <w:marRight w:val="0"/>
      <w:marTop w:val="0"/>
      <w:marBottom w:val="0"/>
      <w:divBdr>
        <w:top w:val="none" w:sz="0" w:space="0" w:color="auto"/>
        <w:left w:val="none" w:sz="0" w:space="0" w:color="auto"/>
        <w:bottom w:val="none" w:sz="0" w:space="0" w:color="auto"/>
        <w:right w:val="none" w:sz="0" w:space="0" w:color="auto"/>
      </w:divBdr>
    </w:div>
    <w:div w:id="491913322">
      <w:bodyDiv w:val="1"/>
      <w:marLeft w:val="0"/>
      <w:marRight w:val="0"/>
      <w:marTop w:val="0"/>
      <w:marBottom w:val="0"/>
      <w:divBdr>
        <w:top w:val="none" w:sz="0" w:space="0" w:color="auto"/>
        <w:left w:val="none" w:sz="0" w:space="0" w:color="auto"/>
        <w:bottom w:val="none" w:sz="0" w:space="0" w:color="auto"/>
        <w:right w:val="none" w:sz="0" w:space="0" w:color="auto"/>
      </w:divBdr>
    </w:div>
    <w:div w:id="495190971">
      <w:bodyDiv w:val="1"/>
      <w:marLeft w:val="0"/>
      <w:marRight w:val="0"/>
      <w:marTop w:val="0"/>
      <w:marBottom w:val="0"/>
      <w:divBdr>
        <w:top w:val="none" w:sz="0" w:space="0" w:color="auto"/>
        <w:left w:val="none" w:sz="0" w:space="0" w:color="auto"/>
        <w:bottom w:val="none" w:sz="0" w:space="0" w:color="auto"/>
        <w:right w:val="none" w:sz="0" w:space="0" w:color="auto"/>
      </w:divBdr>
    </w:div>
    <w:div w:id="498353065">
      <w:bodyDiv w:val="1"/>
      <w:marLeft w:val="0"/>
      <w:marRight w:val="0"/>
      <w:marTop w:val="0"/>
      <w:marBottom w:val="0"/>
      <w:divBdr>
        <w:top w:val="none" w:sz="0" w:space="0" w:color="auto"/>
        <w:left w:val="none" w:sz="0" w:space="0" w:color="auto"/>
        <w:bottom w:val="none" w:sz="0" w:space="0" w:color="auto"/>
        <w:right w:val="none" w:sz="0" w:space="0" w:color="auto"/>
      </w:divBdr>
    </w:div>
    <w:div w:id="498540370">
      <w:bodyDiv w:val="1"/>
      <w:marLeft w:val="0"/>
      <w:marRight w:val="0"/>
      <w:marTop w:val="0"/>
      <w:marBottom w:val="0"/>
      <w:divBdr>
        <w:top w:val="none" w:sz="0" w:space="0" w:color="auto"/>
        <w:left w:val="none" w:sz="0" w:space="0" w:color="auto"/>
        <w:bottom w:val="none" w:sz="0" w:space="0" w:color="auto"/>
        <w:right w:val="none" w:sz="0" w:space="0" w:color="auto"/>
      </w:divBdr>
    </w:div>
    <w:div w:id="500393055">
      <w:bodyDiv w:val="1"/>
      <w:marLeft w:val="0"/>
      <w:marRight w:val="0"/>
      <w:marTop w:val="0"/>
      <w:marBottom w:val="0"/>
      <w:divBdr>
        <w:top w:val="none" w:sz="0" w:space="0" w:color="auto"/>
        <w:left w:val="none" w:sz="0" w:space="0" w:color="auto"/>
        <w:bottom w:val="none" w:sz="0" w:space="0" w:color="auto"/>
        <w:right w:val="none" w:sz="0" w:space="0" w:color="auto"/>
      </w:divBdr>
    </w:div>
    <w:div w:id="500707351">
      <w:bodyDiv w:val="1"/>
      <w:marLeft w:val="0"/>
      <w:marRight w:val="0"/>
      <w:marTop w:val="0"/>
      <w:marBottom w:val="0"/>
      <w:divBdr>
        <w:top w:val="none" w:sz="0" w:space="0" w:color="auto"/>
        <w:left w:val="none" w:sz="0" w:space="0" w:color="auto"/>
        <w:bottom w:val="none" w:sz="0" w:space="0" w:color="auto"/>
        <w:right w:val="none" w:sz="0" w:space="0" w:color="auto"/>
      </w:divBdr>
    </w:div>
    <w:div w:id="501163016">
      <w:bodyDiv w:val="1"/>
      <w:marLeft w:val="0"/>
      <w:marRight w:val="0"/>
      <w:marTop w:val="0"/>
      <w:marBottom w:val="0"/>
      <w:divBdr>
        <w:top w:val="none" w:sz="0" w:space="0" w:color="auto"/>
        <w:left w:val="none" w:sz="0" w:space="0" w:color="auto"/>
        <w:bottom w:val="none" w:sz="0" w:space="0" w:color="auto"/>
        <w:right w:val="none" w:sz="0" w:space="0" w:color="auto"/>
      </w:divBdr>
    </w:div>
    <w:div w:id="501285593">
      <w:bodyDiv w:val="1"/>
      <w:marLeft w:val="0"/>
      <w:marRight w:val="0"/>
      <w:marTop w:val="0"/>
      <w:marBottom w:val="0"/>
      <w:divBdr>
        <w:top w:val="none" w:sz="0" w:space="0" w:color="auto"/>
        <w:left w:val="none" w:sz="0" w:space="0" w:color="auto"/>
        <w:bottom w:val="none" w:sz="0" w:space="0" w:color="auto"/>
        <w:right w:val="none" w:sz="0" w:space="0" w:color="auto"/>
      </w:divBdr>
    </w:div>
    <w:div w:id="516892529">
      <w:bodyDiv w:val="1"/>
      <w:marLeft w:val="0"/>
      <w:marRight w:val="0"/>
      <w:marTop w:val="0"/>
      <w:marBottom w:val="0"/>
      <w:divBdr>
        <w:top w:val="none" w:sz="0" w:space="0" w:color="auto"/>
        <w:left w:val="none" w:sz="0" w:space="0" w:color="auto"/>
        <w:bottom w:val="none" w:sz="0" w:space="0" w:color="auto"/>
        <w:right w:val="none" w:sz="0" w:space="0" w:color="auto"/>
      </w:divBdr>
    </w:div>
    <w:div w:id="518354303">
      <w:bodyDiv w:val="1"/>
      <w:marLeft w:val="0"/>
      <w:marRight w:val="0"/>
      <w:marTop w:val="0"/>
      <w:marBottom w:val="0"/>
      <w:divBdr>
        <w:top w:val="none" w:sz="0" w:space="0" w:color="auto"/>
        <w:left w:val="none" w:sz="0" w:space="0" w:color="auto"/>
        <w:bottom w:val="none" w:sz="0" w:space="0" w:color="auto"/>
        <w:right w:val="none" w:sz="0" w:space="0" w:color="auto"/>
      </w:divBdr>
    </w:div>
    <w:div w:id="520239614">
      <w:bodyDiv w:val="1"/>
      <w:marLeft w:val="0"/>
      <w:marRight w:val="0"/>
      <w:marTop w:val="0"/>
      <w:marBottom w:val="0"/>
      <w:divBdr>
        <w:top w:val="none" w:sz="0" w:space="0" w:color="auto"/>
        <w:left w:val="none" w:sz="0" w:space="0" w:color="auto"/>
        <w:bottom w:val="none" w:sz="0" w:space="0" w:color="auto"/>
        <w:right w:val="none" w:sz="0" w:space="0" w:color="auto"/>
      </w:divBdr>
    </w:div>
    <w:div w:id="521016665">
      <w:bodyDiv w:val="1"/>
      <w:marLeft w:val="0"/>
      <w:marRight w:val="0"/>
      <w:marTop w:val="0"/>
      <w:marBottom w:val="0"/>
      <w:divBdr>
        <w:top w:val="none" w:sz="0" w:space="0" w:color="auto"/>
        <w:left w:val="none" w:sz="0" w:space="0" w:color="auto"/>
        <w:bottom w:val="none" w:sz="0" w:space="0" w:color="auto"/>
        <w:right w:val="none" w:sz="0" w:space="0" w:color="auto"/>
      </w:divBdr>
    </w:div>
    <w:div w:id="521210679">
      <w:bodyDiv w:val="1"/>
      <w:marLeft w:val="0"/>
      <w:marRight w:val="0"/>
      <w:marTop w:val="0"/>
      <w:marBottom w:val="0"/>
      <w:divBdr>
        <w:top w:val="none" w:sz="0" w:space="0" w:color="auto"/>
        <w:left w:val="none" w:sz="0" w:space="0" w:color="auto"/>
        <w:bottom w:val="none" w:sz="0" w:space="0" w:color="auto"/>
        <w:right w:val="none" w:sz="0" w:space="0" w:color="auto"/>
      </w:divBdr>
    </w:div>
    <w:div w:id="522479399">
      <w:bodyDiv w:val="1"/>
      <w:marLeft w:val="0"/>
      <w:marRight w:val="0"/>
      <w:marTop w:val="0"/>
      <w:marBottom w:val="0"/>
      <w:divBdr>
        <w:top w:val="none" w:sz="0" w:space="0" w:color="auto"/>
        <w:left w:val="none" w:sz="0" w:space="0" w:color="auto"/>
        <w:bottom w:val="none" w:sz="0" w:space="0" w:color="auto"/>
        <w:right w:val="none" w:sz="0" w:space="0" w:color="auto"/>
      </w:divBdr>
    </w:div>
    <w:div w:id="523910150">
      <w:bodyDiv w:val="1"/>
      <w:marLeft w:val="0"/>
      <w:marRight w:val="0"/>
      <w:marTop w:val="0"/>
      <w:marBottom w:val="0"/>
      <w:divBdr>
        <w:top w:val="none" w:sz="0" w:space="0" w:color="auto"/>
        <w:left w:val="none" w:sz="0" w:space="0" w:color="auto"/>
        <w:bottom w:val="none" w:sz="0" w:space="0" w:color="auto"/>
        <w:right w:val="none" w:sz="0" w:space="0" w:color="auto"/>
      </w:divBdr>
    </w:div>
    <w:div w:id="528447426">
      <w:bodyDiv w:val="1"/>
      <w:marLeft w:val="0"/>
      <w:marRight w:val="0"/>
      <w:marTop w:val="0"/>
      <w:marBottom w:val="0"/>
      <w:divBdr>
        <w:top w:val="none" w:sz="0" w:space="0" w:color="auto"/>
        <w:left w:val="none" w:sz="0" w:space="0" w:color="auto"/>
        <w:bottom w:val="none" w:sz="0" w:space="0" w:color="auto"/>
        <w:right w:val="none" w:sz="0" w:space="0" w:color="auto"/>
      </w:divBdr>
      <w:divsChild>
        <w:div w:id="959800455">
          <w:marLeft w:val="547"/>
          <w:marRight w:val="0"/>
          <w:marTop w:val="86"/>
          <w:marBottom w:val="0"/>
          <w:divBdr>
            <w:top w:val="none" w:sz="0" w:space="0" w:color="auto"/>
            <w:left w:val="none" w:sz="0" w:space="0" w:color="auto"/>
            <w:bottom w:val="none" w:sz="0" w:space="0" w:color="auto"/>
            <w:right w:val="none" w:sz="0" w:space="0" w:color="auto"/>
          </w:divBdr>
        </w:div>
        <w:div w:id="1198346866">
          <w:marLeft w:val="547"/>
          <w:marRight w:val="0"/>
          <w:marTop w:val="86"/>
          <w:marBottom w:val="0"/>
          <w:divBdr>
            <w:top w:val="none" w:sz="0" w:space="0" w:color="auto"/>
            <w:left w:val="none" w:sz="0" w:space="0" w:color="auto"/>
            <w:bottom w:val="none" w:sz="0" w:space="0" w:color="auto"/>
            <w:right w:val="none" w:sz="0" w:space="0" w:color="auto"/>
          </w:divBdr>
        </w:div>
        <w:div w:id="1537427501">
          <w:marLeft w:val="547"/>
          <w:marRight w:val="0"/>
          <w:marTop w:val="86"/>
          <w:marBottom w:val="0"/>
          <w:divBdr>
            <w:top w:val="none" w:sz="0" w:space="0" w:color="auto"/>
            <w:left w:val="none" w:sz="0" w:space="0" w:color="auto"/>
            <w:bottom w:val="none" w:sz="0" w:space="0" w:color="auto"/>
            <w:right w:val="none" w:sz="0" w:space="0" w:color="auto"/>
          </w:divBdr>
        </w:div>
        <w:div w:id="2058233673">
          <w:marLeft w:val="547"/>
          <w:marRight w:val="0"/>
          <w:marTop w:val="86"/>
          <w:marBottom w:val="0"/>
          <w:divBdr>
            <w:top w:val="none" w:sz="0" w:space="0" w:color="auto"/>
            <w:left w:val="none" w:sz="0" w:space="0" w:color="auto"/>
            <w:bottom w:val="none" w:sz="0" w:space="0" w:color="auto"/>
            <w:right w:val="none" w:sz="0" w:space="0" w:color="auto"/>
          </w:divBdr>
        </w:div>
      </w:divsChild>
    </w:div>
    <w:div w:id="530799790">
      <w:bodyDiv w:val="1"/>
      <w:marLeft w:val="0"/>
      <w:marRight w:val="0"/>
      <w:marTop w:val="0"/>
      <w:marBottom w:val="0"/>
      <w:divBdr>
        <w:top w:val="none" w:sz="0" w:space="0" w:color="auto"/>
        <w:left w:val="none" w:sz="0" w:space="0" w:color="auto"/>
        <w:bottom w:val="none" w:sz="0" w:space="0" w:color="auto"/>
        <w:right w:val="none" w:sz="0" w:space="0" w:color="auto"/>
      </w:divBdr>
    </w:div>
    <w:div w:id="538669749">
      <w:bodyDiv w:val="1"/>
      <w:marLeft w:val="0"/>
      <w:marRight w:val="0"/>
      <w:marTop w:val="0"/>
      <w:marBottom w:val="0"/>
      <w:divBdr>
        <w:top w:val="none" w:sz="0" w:space="0" w:color="auto"/>
        <w:left w:val="none" w:sz="0" w:space="0" w:color="auto"/>
        <w:bottom w:val="none" w:sz="0" w:space="0" w:color="auto"/>
        <w:right w:val="none" w:sz="0" w:space="0" w:color="auto"/>
      </w:divBdr>
    </w:div>
    <w:div w:id="542787591">
      <w:bodyDiv w:val="1"/>
      <w:marLeft w:val="0"/>
      <w:marRight w:val="0"/>
      <w:marTop w:val="0"/>
      <w:marBottom w:val="0"/>
      <w:divBdr>
        <w:top w:val="none" w:sz="0" w:space="0" w:color="auto"/>
        <w:left w:val="none" w:sz="0" w:space="0" w:color="auto"/>
        <w:bottom w:val="none" w:sz="0" w:space="0" w:color="auto"/>
        <w:right w:val="none" w:sz="0" w:space="0" w:color="auto"/>
      </w:divBdr>
    </w:div>
    <w:div w:id="549223398">
      <w:bodyDiv w:val="1"/>
      <w:marLeft w:val="0"/>
      <w:marRight w:val="0"/>
      <w:marTop w:val="0"/>
      <w:marBottom w:val="0"/>
      <w:divBdr>
        <w:top w:val="none" w:sz="0" w:space="0" w:color="auto"/>
        <w:left w:val="none" w:sz="0" w:space="0" w:color="auto"/>
        <w:bottom w:val="none" w:sz="0" w:space="0" w:color="auto"/>
        <w:right w:val="none" w:sz="0" w:space="0" w:color="auto"/>
      </w:divBdr>
    </w:div>
    <w:div w:id="556210568">
      <w:bodyDiv w:val="1"/>
      <w:marLeft w:val="0"/>
      <w:marRight w:val="0"/>
      <w:marTop w:val="0"/>
      <w:marBottom w:val="0"/>
      <w:divBdr>
        <w:top w:val="none" w:sz="0" w:space="0" w:color="auto"/>
        <w:left w:val="none" w:sz="0" w:space="0" w:color="auto"/>
        <w:bottom w:val="none" w:sz="0" w:space="0" w:color="auto"/>
        <w:right w:val="none" w:sz="0" w:space="0" w:color="auto"/>
      </w:divBdr>
    </w:div>
    <w:div w:id="561019682">
      <w:bodyDiv w:val="1"/>
      <w:marLeft w:val="0"/>
      <w:marRight w:val="0"/>
      <w:marTop w:val="0"/>
      <w:marBottom w:val="0"/>
      <w:divBdr>
        <w:top w:val="none" w:sz="0" w:space="0" w:color="auto"/>
        <w:left w:val="none" w:sz="0" w:space="0" w:color="auto"/>
        <w:bottom w:val="none" w:sz="0" w:space="0" w:color="auto"/>
        <w:right w:val="none" w:sz="0" w:space="0" w:color="auto"/>
      </w:divBdr>
    </w:div>
    <w:div w:id="561529146">
      <w:bodyDiv w:val="1"/>
      <w:marLeft w:val="0"/>
      <w:marRight w:val="0"/>
      <w:marTop w:val="0"/>
      <w:marBottom w:val="0"/>
      <w:divBdr>
        <w:top w:val="none" w:sz="0" w:space="0" w:color="auto"/>
        <w:left w:val="none" w:sz="0" w:space="0" w:color="auto"/>
        <w:bottom w:val="none" w:sz="0" w:space="0" w:color="auto"/>
        <w:right w:val="none" w:sz="0" w:space="0" w:color="auto"/>
      </w:divBdr>
    </w:div>
    <w:div w:id="562761555">
      <w:bodyDiv w:val="1"/>
      <w:marLeft w:val="0"/>
      <w:marRight w:val="0"/>
      <w:marTop w:val="0"/>
      <w:marBottom w:val="0"/>
      <w:divBdr>
        <w:top w:val="none" w:sz="0" w:space="0" w:color="auto"/>
        <w:left w:val="none" w:sz="0" w:space="0" w:color="auto"/>
        <w:bottom w:val="none" w:sz="0" w:space="0" w:color="auto"/>
        <w:right w:val="none" w:sz="0" w:space="0" w:color="auto"/>
      </w:divBdr>
    </w:div>
    <w:div w:id="563950569">
      <w:bodyDiv w:val="1"/>
      <w:marLeft w:val="0"/>
      <w:marRight w:val="0"/>
      <w:marTop w:val="0"/>
      <w:marBottom w:val="0"/>
      <w:divBdr>
        <w:top w:val="none" w:sz="0" w:space="0" w:color="auto"/>
        <w:left w:val="none" w:sz="0" w:space="0" w:color="auto"/>
        <w:bottom w:val="none" w:sz="0" w:space="0" w:color="auto"/>
        <w:right w:val="none" w:sz="0" w:space="0" w:color="auto"/>
      </w:divBdr>
    </w:div>
    <w:div w:id="565998456">
      <w:bodyDiv w:val="1"/>
      <w:marLeft w:val="0"/>
      <w:marRight w:val="0"/>
      <w:marTop w:val="0"/>
      <w:marBottom w:val="0"/>
      <w:divBdr>
        <w:top w:val="none" w:sz="0" w:space="0" w:color="auto"/>
        <w:left w:val="none" w:sz="0" w:space="0" w:color="auto"/>
        <w:bottom w:val="none" w:sz="0" w:space="0" w:color="auto"/>
        <w:right w:val="none" w:sz="0" w:space="0" w:color="auto"/>
      </w:divBdr>
    </w:div>
    <w:div w:id="575752154">
      <w:bodyDiv w:val="1"/>
      <w:marLeft w:val="0"/>
      <w:marRight w:val="0"/>
      <w:marTop w:val="0"/>
      <w:marBottom w:val="0"/>
      <w:divBdr>
        <w:top w:val="none" w:sz="0" w:space="0" w:color="auto"/>
        <w:left w:val="none" w:sz="0" w:space="0" w:color="auto"/>
        <w:bottom w:val="none" w:sz="0" w:space="0" w:color="auto"/>
        <w:right w:val="none" w:sz="0" w:space="0" w:color="auto"/>
      </w:divBdr>
    </w:div>
    <w:div w:id="576206397">
      <w:bodyDiv w:val="1"/>
      <w:marLeft w:val="0"/>
      <w:marRight w:val="0"/>
      <w:marTop w:val="0"/>
      <w:marBottom w:val="0"/>
      <w:divBdr>
        <w:top w:val="none" w:sz="0" w:space="0" w:color="auto"/>
        <w:left w:val="none" w:sz="0" w:space="0" w:color="auto"/>
        <w:bottom w:val="none" w:sz="0" w:space="0" w:color="auto"/>
        <w:right w:val="none" w:sz="0" w:space="0" w:color="auto"/>
      </w:divBdr>
    </w:div>
    <w:div w:id="579213159">
      <w:bodyDiv w:val="1"/>
      <w:marLeft w:val="0"/>
      <w:marRight w:val="0"/>
      <w:marTop w:val="0"/>
      <w:marBottom w:val="0"/>
      <w:divBdr>
        <w:top w:val="none" w:sz="0" w:space="0" w:color="auto"/>
        <w:left w:val="none" w:sz="0" w:space="0" w:color="auto"/>
        <w:bottom w:val="none" w:sz="0" w:space="0" w:color="auto"/>
        <w:right w:val="none" w:sz="0" w:space="0" w:color="auto"/>
      </w:divBdr>
    </w:div>
    <w:div w:id="581377349">
      <w:bodyDiv w:val="1"/>
      <w:marLeft w:val="0"/>
      <w:marRight w:val="0"/>
      <w:marTop w:val="0"/>
      <w:marBottom w:val="0"/>
      <w:divBdr>
        <w:top w:val="none" w:sz="0" w:space="0" w:color="auto"/>
        <w:left w:val="none" w:sz="0" w:space="0" w:color="auto"/>
        <w:bottom w:val="none" w:sz="0" w:space="0" w:color="auto"/>
        <w:right w:val="none" w:sz="0" w:space="0" w:color="auto"/>
      </w:divBdr>
    </w:div>
    <w:div w:id="582107417">
      <w:bodyDiv w:val="1"/>
      <w:marLeft w:val="0"/>
      <w:marRight w:val="0"/>
      <w:marTop w:val="0"/>
      <w:marBottom w:val="0"/>
      <w:divBdr>
        <w:top w:val="none" w:sz="0" w:space="0" w:color="auto"/>
        <w:left w:val="none" w:sz="0" w:space="0" w:color="auto"/>
        <w:bottom w:val="none" w:sz="0" w:space="0" w:color="auto"/>
        <w:right w:val="none" w:sz="0" w:space="0" w:color="auto"/>
      </w:divBdr>
    </w:div>
    <w:div w:id="592201422">
      <w:bodyDiv w:val="1"/>
      <w:marLeft w:val="0"/>
      <w:marRight w:val="0"/>
      <w:marTop w:val="0"/>
      <w:marBottom w:val="0"/>
      <w:divBdr>
        <w:top w:val="none" w:sz="0" w:space="0" w:color="auto"/>
        <w:left w:val="none" w:sz="0" w:space="0" w:color="auto"/>
        <w:bottom w:val="none" w:sz="0" w:space="0" w:color="auto"/>
        <w:right w:val="none" w:sz="0" w:space="0" w:color="auto"/>
      </w:divBdr>
    </w:div>
    <w:div w:id="592936046">
      <w:bodyDiv w:val="1"/>
      <w:marLeft w:val="0"/>
      <w:marRight w:val="0"/>
      <w:marTop w:val="0"/>
      <w:marBottom w:val="0"/>
      <w:divBdr>
        <w:top w:val="none" w:sz="0" w:space="0" w:color="auto"/>
        <w:left w:val="none" w:sz="0" w:space="0" w:color="auto"/>
        <w:bottom w:val="none" w:sz="0" w:space="0" w:color="auto"/>
        <w:right w:val="none" w:sz="0" w:space="0" w:color="auto"/>
      </w:divBdr>
    </w:div>
    <w:div w:id="594635807">
      <w:bodyDiv w:val="1"/>
      <w:marLeft w:val="0"/>
      <w:marRight w:val="0"/>
      <w:marTop w:val="0"/>
      <w:marBottom w:val="0"/>
      <w:divBdr>
        <w:top w:val="none" w:sz="0" w:space="0" w:color="auto"/>
        <w:left w:val="none" w:sz="0" w:space="0" w:color="auto"/>
        <w:bottom w:val="none" w:sz="0" w:space="0" w:color="auto"/>
        <w:right w:val="none" w:sz="0" w:space="0" w:color="auto"/>
      </w:divBdr>
    </w:div>
    <w:div w:id="595600554">
      <w:bodyDiv w:val="1"/>
      <w:marLeft w:val="0"/>
      <w:marRight w:val="0"/>
      <w:marTop w:val="0"/>
      <w:marBottom w:val="0"/>
      <w:divBdr>
        <w:top w:val="none" w:sz="0" w:space="0" w:color="auto"/>
        <w:left w:val="none" w:sz="0" w:space="0" w:color="auto"/>
        <w:bottom w:val="none" w:sz="0" w:space="0" w:color="auto"/>
        <w:right w:val="none" w:sz="0" w:space="0" w:color="auto"/>
      </w:divBdr>
    </w:div>
    <w:div w:id="599486384">
      <w:bodyDiv w:val="1"/>
      <w:marLeft w:val="0"/>
      <w:marRight w:val="0"/>
      <w:marTop w:val="0"/>
      <w:marBottom w:val="0"/>
      <w:divBdr>
        <w:top w:val="none" w:sz="0" w:space="0" w:color="auto"/>
        <w:left w:val="none" w:sz="0" w:space="0" w:color="auto"/>
        <w:bottom w:val="none" w:sz="0" w:space="0" w:color="auto"/>
        <w:right w:val="none" w:sz="0" w:space="0" w:color="auto"/>
      </w:divBdr>
    </w:div>
    <w:div w:id="600142157">
      <w:bodyDiv w:val="1"/>
      <w:marLeft w:val="0"/>
      <w:marRight w:val="0"/>
      <w:marTop w:val="0"/>
      <w:marBottom w:val="0"/>
      <w:divBdr>
        <w:top w:val="none" w:sz="0" w:space="0" w:color="auto"/>
        <w:left w:val="none" w:sz="0" w:space="0" w:color="auto"/>
        <w:bottom w:val="none" w:sz="0" w:space="0" w:color="auto"/>
        <w:right w:val="none" w:sz="0" w:space="0" w:color="auto"/>
      </w:divBdr>
    </w:div>
    <w:div w:id="601375723">
      <w:bodyDiv w:val="1"/>
      <w:marLeft w:val="0"/>
      <w:marRight w:val="0"/>
      <w:marTop w:val="0"/>
      <w:marBottom w:val="0"/>
      <w:divBdr>
        <w:top w:val="none" w:sz="0" w:space="0" w:color="auto"/>
        <w:left w:val="none" w:sz="0" w:space="0" w:color="auto"/>
        <w:bottom w:val="none" w:sz="0" w:space="0" w:color="auto"/>
        <w:right w:val="none" w:sz="0" w:space="0" w:color="auto"/>
      </w:divBdr>
    </w:div>
    <w:div w:id="606960366">
      <w:bodyDiv w:val="1"/>
      <w:marLeft w:val="0"/>
      <w:marRight w:val="0"/>
      <w:marTop w:val="0"/>
      <w:marBottom w:val="0"/>
      <w:divBdr>
        <w:top w:val="none" w:sz="0" w:space="0" w:color="auto"/>
        <w:left w:val="none" w:sz="0" w:space="0" w:color="auto"/>
        <w:bottom w:val="none" w:sz="0" w:space="0" w:color="auto"/>
        <w:right w:val="none" w:sz="0" w:space="0" w:color="auto"/>
      </w:divBdr>
    </w:div>
    <w:div w:id="610475082">
      <w:bodyDiv w:val="1"/>
      <w:marLeft w:val="0"/>
      <w:marRight w:val="0"/>
      <w:marTop w:val="0"/>
      <w:marBottom w:val="0"/>
      <w:divBdr>
        <w:top w:val="none" w:sz="0" w:space="0" w:color="auto"/>
        <w:left w:val="none" w:sz="0" w:space="0" w:color="auto"/>
        <w:bottom w:val="none" w:sz="0" w:space="0" w:color="auto"/>
        <w:right w:val="none" w:sz="0" w:space="0" w:color="auto"/>
      </w:divBdr>
    </w:div>
    <w:div w:id="610820278">
      <w:bodyDiv w:val="1"/>
      <w:marLeft w:val="0"/>
      <w:marRight w:val="0"/>
      <w:marTop w:val="0"/>
      <w:marBottom w:val="0"/>
      <w:divBdr>
        <w:top w:val="none" w:sz="0" w:space="0" w:color="auto"/>
        <w:left w:val="none" w:sz="0" w:space="0" w:color="auto"/>
        <w:bottom w:val="none" w:sz="0" w:space="0" w:color="auto"/>
        <w:right w:val="none" w:sz="0" w:space="0" w:color="auto"/>
      </w:divBdr>
    </w:div>
    <w:div w:id="611521713">
      <w:bodyDiv w:val="1"/>
      <w:marLeft w:val="0"/>
      <w:marRight w:val="0"/>
      <w:marTop w:val="0"/>
      <w:marBottom w:val="0"/>
      <w:divBdr>
        <w:top w:val="none" w:sz="0" w:space="0" w:color="auto"/>
        <w:left w:val="none" w:sz="0" w:space="0" w:color="auto"/>
        <w:bottom w:val="none" w:sz="0" w:space="0" w:color="auto"/>
        <w:right w:val="none" w:sz="0" w:space="0" w:color="auto"/>
      </w:divBdr>
    </w:div>
    <w:div w:id="612637527">
      <w:bodyDiv w:val="1"/>
      <w:marLeft w:val="0"/>
      <w:marRight w:val="0"/>
      <w:marTop w:val="0"/>
      <w:marBottom w:val="0"/>
      <w:divBdr>
        <w:top w:val="none" w:sz="0" w:space="0" w:color="auto"/>
        <w:left w:val="none" w:sz="0" w:space="0" w:color="auto"/>
        <w:bottom w:val="none" w:sz="0" w:space="0" w:color="auto"/>
        <w:right w:val="none" w:sz="0" w:space="0" w:color="auto"/>
      </w:divBdr>
    </w:div>
    <w:div w:id="614142494">
      <w:bodyDiv w:val="1"/>
      <w:marLeft w:val="0"/>
      <w:marRight w:val="0"/>
      <w:marTop w:val="0"/>
      <w:marBottom w:val="0"/>
      <w:divBdr>
        <w:top w:val="none" w:sz="0" w:space="0" w:color="auto"/>
        <w:left w:val="none" w:sz="0" w:space="0" w:color="auto"/>
        <w:bottom w:val="none" w:sz="0" w:space="0" w:color="auto"/>
        <w:right w:val="none" w:sz="0" w:space="0" w:color="auto"/>
      </w:divBdr>
    </w:div>
    <w:div w:id="615216110">
      <w:bodyDiv w:val="1"/>
      <w:marLeft w:val="0"/>
      <w:marRight w:val="0"/>
      <w:marTop w:val="0"/>
      <w:marBottom w:val="0"/>
      <w:divBdr>
        <w:top w:val="none" w:sz="0" w:space="0" w:color="auto"/>
        <w:left w:val="none" w:sz="0" w:space="0" w:color="auto"/>
        <w:bottom w:val="none" w:sz="0" w:space="0" w:color="auto"/>
        <w:right w:val="none" w:sz="0" w:space="0" w:color="auto"/>
      </w:divBdr>
    </w:div>
    <w:div w:id="618024680">
      <w:bodyDiv w:val="1"/>
      <w:marLeft w:val="0"/>
      <w:marRight w:val="0"/>
      <w:marTop w:val="0"/>
      <w:marBottom w:val="0"/>
      <w:divBdr>
        <w:top w:val="none" w:sz="0" w:space="0" w:color="auto"/>
        <w:left w:val="none" w:sz="0" w:space="0" w:color="auto"/>
        <w:bottom w:val="none" w:sz="0" w:space="0" w:color="auto"/>
        <w:right w:val="none" w:sz="0" w:space="0" w:color="auto"/>
      </w:divBdr>
    </w:div>
    <w:div w:id="620067532">
      <w:bodyDiv w:val="1"/>
      <w:marLeft w:val="0"/>
      <w:marRight w:val="0"/>
      <w:marTop w:val="0"/>
      <w:marBottom w:val="0"/>
      <w:divBdr>
        <w:top w:val="none" w:sz="0" w:space="0" w:color="auto"/>
        <w:left w:val="none" w:sz="0" w:space="0" w:color="auto"/>
        <w:bottom w:val="none" w:sz="0" w:space="0" w:color="auto"/>
        <w:right w:val="none" w:sz="0" w:space="0" w:color="auto"/>
      </w:divBdr>
    </w:div>
    <w:div w:id="621423111">
      <w:bodyDiv w:val="1"/>
      <w:marLeft w:val="0"/>
      <w:marRight w:val="0"/>
      <w:marTop w:val="0"/>
      <w:marBottom w:val="0"/>
      <w:divBdr>
        <w:top w:val="none" w:sz="0" w:space="0" w:color="auto"/>
        <w:left w:val="none" w:sz="0" w:space="0" w:color="auto"/>
        <w:bottom w:val="none" w:sz="0" w:space="0" w:color="auto"/>
        <w:right w:val="none" w:sz="0" w:space="0" w:color="auto"/>
      </w:divBdr>
    </w:div>
    <w:div w:id="621956081">
      <w:bodyDiv w:val="1"/>
      <w:marLeft w:val="0"/>
      <w:marRight w:val="0"/>
      <w:marTop w:val="0"/>
      <w:marBottom w:val="0"/>
      <w:divBdr>
        <w:top w:val="none" w:sz="0" w:space="0" w:color="auto"/>
        <w:left w:val="none" w:sz="0" w:space="0" w:color="auto"/>
        <w:bottom w:val="none" w:sz="0" w:space="0" w:color="auto"/>
        <w:right w:val="none" w:sz="0" w:space="0" w:color="auto"/>
      </w:divBdr>
    </w:div>
    <w:div w:id="627665690">
      <w:bodyDiv w:val="1"/>
      <w:marLeft w:val="0"/>
      <w:marRight w:val="0"/>
      <w:marTop w:val="0"/>
      <w:marBottom w:val="0"/>
      <w:divBdr>
        <w:top w:val="none" w:sz="0" w:space="0" w:color="auto"/>
        <w:left w:val="none" w:sz="0" w:space="0" w:color="auto"/>
        <w:bottom w:val="none" w:sz="0" w:space="0" w:color="auto"/>
        <w:right w:val="none" w:sz="0" w:space="0" w:color="auto"/>
      </w:divBdr>
    </w:div>
    <w:div w:id="627856222">
      <w:bodyDiv w:val="1"/>
      <w:marLeft w:val="0"/>
      <w:marRight w:val="0"/>
      <w:marTop w:val="0"/>
      <w:marBottom w:val="0"/>
      <w:divBdr>
        <w:top w:val="none" w:sz="0" w:space="0" w:color="auto"/>
        <w:left w:val="none" w:sz="0" w:space="0" w:color="auto"/>
        <w:bottom w:val="none" w:sz="0" w:space="0" w:color="auto"/>
        <w:right w:val="none" w:sz="0" w:space="0" w:color="auto"/>
      </w:divBdr>
    </w:div>
    <w:div w:id="628360547">
      <w:bodyDiv w:val="1"/>
      <w:marLeft w:val="0"/>
      <w:marRight w:val="0"/>
      <w:marTop w:val="0"/>
      <w:marBottom w:val="0"/>
      <w:divBdr>
        <w:top w:val="none" w:sz="0" w:space="0" w:color="auto"/>
        <w:left w:val="none" w:sz="0" w:space="0" w:color="auto"/>
        <w:bottom w:val="none" w:sz="0" w:space="0" w:color="auto"/>
        <w:right w:val="none" w:sz="0" w:space="0" w:color="auto"/>
      </w:divBdr>
    </w:div>
    <w:div w:id="628705423">
      <w:bodyDiv w:val="1"/>
      <w:marLeft w:val="0"/>
      <w:marRight w:val="0"/>
      <w:marTop w:val="0"/>
      <w:marBottom w:val="0"/>
      <w:divBdr>
        <w:top w:val="none" w:sz="0" w:space="0" w:color="auto"/>
        <w:left w:val="none" w:sz="0" w:space="0" w:color="auto"/>
        <w:bottom w:val="none" w:sz="0" w:space="0" w:color="auto"/>
        <w:right w:val="none" w:sz="0" w:space="0" w:color="auto"/>
      </w:divBdr>
    </w:div>
    <w:div w:id="629746148">
      <w:bodyDiv w:val="1"/>
      <w:marLeft w:val="0"/>
      <w:marRight w:val="0"/>
      <w:marTop w:val="0"/>
      <w:marBottom w:val="0"/>
      <w:divBdr>
        <w:top w:val="none" w:sz="0" w:space="0" w:color="auto"/>
        <w:left w:val="none" w:sz="0" w:space="0" w:color="auto"/>
        <w:bottom w:val="none" w:sz="0" w:space="0" w:color="auto"/>
        <w:right w:val="none" w:sz="0" w:space="0" w:color="auto"/>
      </w:divBdr>
    </w:div>
    <w:div w:id="629868285">
      <w:bodyDiv w:val="1"/>
      <w:marLeft w:val="0"/>
      <w:marRight w:val="0"/>
      <w:marTop w:val="0"/>
      <w:marBottom w:val="0"/>
      <w:divBdr>
        <w:top w:val="none" w:sz="0" w:space="0" w:color="auto"/>
        <w:left w:val="none" w:sz="0" w:space="0" w:color="auto"/>
        <w:bottom w:val="none" w:sz="0" w:space="0" w:color="auto"/>
        <w:right w:val="none" w:sz="0" w:space="0" w:color="auto"/>
      </w:divBdr>
    </w:div>
    <w:div w:id="633559931">
      <w:bodyDiv w:val="1"/>
      <w:marLeft w:val="0"/>
      <w:marRight w:val="0"/>
      <w:marTop w:val="0"/>
      <w:marBottom w:val="0"/>
      <w:divBdr>
        <w:top w:val="none" w:sz="0" w:space="0" w:color="auto"/>
        <w:left w:val="none" w:sz="0" w:space="0" w:color="auto"/>
        <w:bottom w:val="none" w:sz="0" w:space="0" w:color="auto"/>
        <w:right w:val="none" w:sz="0" w:space="0" w:color="auto"/>
      </w:divBdr>
    </w:div>
    <w:div w:id="635647017">
      <w:bodyDiv w:val="1"/>
      <w:marLeft w:val="0"/>
      <w:marRight w:val="0"/>
      <w:marTop w:val="0"/>
      <w:marBottom w:val="0"/>
      <w:divBdr>
        <w:top w:val="none" w:sz="0" w:space="0" w:color="auto"/>
        <w:left w:val="none" w:sz="0" w:space="0" w:color="auto"/>
        <w:bottom w:val="none" w:sz="0" w:space="0" w:color="auto"/>
        <w:right w:val="none" w:sz="0" w:space="0" w:color="auto"/>
      </w:divBdr>
    </w:div>
    <w:div w:id="637801899">
      <w:bodyDiv w:val="1"/>
      <w:marLeft w:val="0"/>
      <w:marRight w:val="0"/>
      <w:marTop w:val="0"/>
      <w:marBottom w:val="0"/>
      <w:divBdr>
        <w:top w:val="none" w:sz="0" w:space="0" w:color="auto"/>
        <w:left w:val="none" w:sz="0" w:space="0" w:color="auto"/>
        <w:bottom w:val="none" w:sz="0" w:space="0" w:color="auto"/>
        <w:right w:val="none" w:sz="0" w:space="0" w:color="auto"/>
      </w:divBdr>
    </w:div>
    <w:div w:id="637808734">
      <w:bodyDiv w:val="1"/>
      <w:marLeft w:val="0"/>
      <w:marRight w:val="0"/>
      <w:marTop w:val="0"/>
      <w:marBottom w:val="0"/>
      <w:divBdr>
        <w:top w:val="none" w:sz="0" w:space="0" w:color="auto"/>
        <w:left w:val="none" w:sz="0" w:space="0" w:color="auto"/>
        <w:bottom w:val="none" w:sz="0" w:space="0" w:color="auto"/>
        <w:right w:val="none" w:sz="0" w:space="0" w:color="auto"/>
      </w:divBdr>
    </w:div>
    <w:div w:id="639264082">
      <w:bodyDiv w:val="1"/>
      <w:marLeft w:val="0"/>
      <w:marRight w:val="0"/>
      <w:marTop w:val="0"/>
      <w:marBottom w:val="0"/>
      <w:divBdr>
        <w:top w:val="none" w:sz="0" w:space="0" w:color="auto"/>
        <w:left w:val="none" w:sz="0" w:space="0" w:color="auto"/>
        <w:bottom w:val="none" w:sz="0" w:space="0" w:color="auto"/>
        <w:right w:val="none" w:sz="0" w:space="0" w:color="auto"/>
      </w:divBdr>
    </w:div>
    <w:div w:id="645356209">
      <w:bodyDiv w:val="1"/>
      <w:marLeft w:val="0"/>
      <w:marRight w:val="0"/>
      <w:marTop w:val="0"/>
      <w:marBottom w:val="0"/>
      <w:divBdr>
        <w:top w:val="none" w:sz="0" w:space="0" w:color="auto"/>
        <w:left w:val="none" w:sz="0" w:space="0" w:color="auto"/>
        <w:bottom w:val="none" w:sz="0" w:space="0" w:color="auto"/>
        <w:right w:val="none" w:sz="0" w:space="0" w:color="auto"/>
      </w:divBdr>
    </w:div>
    <w:div w:id="655032456">
      <w:bodyDiv w:val="1"/>
      <w:marLeft w:val="0"/>
      <w:marRight w:val="0"/>
      <w:marTop w:val="0"/>
      <w:marBottom w:val="0"/>
      <w:divBdr>
        <w:top w:val="none" w:sz="0" w:space="0" w:color="auto"/>
        <w:left w:val="none" w:sz="0" w:space="0" w:color="auto"/>
        <w:bottom w:val="none" w:sz="0" w:space="0" w:color="auto"/>
        <w:right w:val="none" w:sz="0" w:space="0" w:color="auto"/>
      </w:divBdr>
    </w:div>
    <w:div w:id="655761482">
      <w:bodyDiv w:val="1"/>
      <w:marLeft w:val="0"/>
      <w:marRight w:val="0"/>
      <w:marTop w:val="0"/>
      <w:marBottom w:val="0"/>
      <w:divBdr>
        <w:top w:val="none" w:sz="0" w:space="0" w:color="auto"/>
        <w:left w:val="none" w:sz="0" w:space="0" w:color="auto"/>
        <w:bottom w:val="none" w:sz="0" w:space="0" w:color="auto"/>
        <w:right w:val="none" w:sz="0" w:space="0" w:color="auto"/>
      </w:divBdr>
    </w:div>
    <w:div w:id="660234131">
      <w:bodyDiv w:val="1"/>
      <w:marLeft w:val="0"/>
      <w:marRight w:val="0"/>
      <w:marTop w:val="0"/>
      <w:marBottom w:val="0"/>
      <w:divBdr>
        <w:top w:val="none" w:sz="0" w:space="0" w:color="auto"/>
        <w:left w:val="none" w:sz="0" w:space="0" w:color="auto"/>
        <w:bottom w:val="none" w:sz="0" w:space="0" w:color="auto"/>
        <w:right w:val="none" w:sz="0" w:space="0" w:color="auto"/>
      </w:divBdr>
      <w:divsChild>
        <w:div w:id="60256341">
          <w:marLeft w:val="547"/>
          <w:marRight w:val="0"/>
          <w:marTop w:val="82"/>
          <w:marBottom w:val="0"/>
          <w:divBdr>
            <w:top w:val="none" w:sz="0" w:space="0" w:color="auto"/>
            <w:left w:val="none" w:sz="0" w:space="0" w:color="auto"/>
            <w:bottom w:val="none" w:sz="0" w:space="0" w:color="auto"/>
            <w:right w:val="none" w:sz="0" w:space="0" w:color="auto"/>
          </w:divBdr>
        </w:div>
        <w:div w:id="124547603">
          <w:marLeft w:val="547"/>
          <w:marRight w:val="0"/>
          <w:marTop w:val="82"/>
          <w:marBottom w:val="0"/>
          <w:divBdr>
            <w:top w:val="none" w:sz="0" w:space="0" w:color="auto"/>
            <w:left w:val="none" w:sz="0" w:space="0" w:color="auto"/>
            <w:bottom w:val="none" w:sz="0" w:space="0" w:color="auto"/>
            <w:right w:val="none" w:sz="0" w:space="0" w:color="auto"/>
          </w:divBdr>
        </w:div>
        <w:div w:id="159271984">
          <w:marLeft w:val="547"/>
          <w:marRight w:val="0"/>
          <w:marTop w:val="82"/>
          <w:marBottom w:val="0"/>
          <w:divBdr>
            <w:top w:val="none" w:sz="0" w:space="0" w:color="auto"/>
            <w:left w:val="none" w:sz="0" w:space="0" w:color="auto"/>
            <w:bottom w:val="none" w:sz="0" w:space="0" w:color="auto"/>
            <w:right w:val="none" w:sz="0" w:space="0" w:color="auto"/>
          </w:divBdr>
        </w:div>
        <w:div w:id="274097833">
          <w:marLeft w:val="547"/>
          <w:marRight w:val="0"/>
          <w:marTop w:val="82"/>
          <w:marBottom w:val="0"/>
          <w:divBdr>
            <w:top w:val="none" w:sz="0" w:space="0" w:color="auto"/>
            <w:left w:val="none" w:sz="0" w:space="0" w:color="auto"/>
            <w:bottom w:val="none" w:sz="0" w:space="0" w:color="auto"/>
            <w:right w:val="none" w:sz="0" w:space="0" w:color="auto"/>
          </w:divBdr>
        </w:div>
        <w:div w:id="701630082">
          <w:marLeft w:val="547"/>
          <w:marRight w:val="0"/>
          <w:marTop w:val="82"/>
          <w:marBottom w:val="0"/>
          <w:divBdr>
            <w:top w:val="none" w:sz="0" w:space="0" w:color="auto"/>
            <w:left w:val="none" w:sz="0" w:space="0" w:color="auto"/>
            <w:bottom w:val="none" w:sz="0" w:space="0" w:color="auto"/>
            <w:right w:val="none" w:sz="0" w:space="0" w:color="auto"/>
          </w:divBdr>
        </w:div>
        <w:div w:id="740837412">
          <w:marLeft w:val="547"/>
          <w:marRight w:val="0"/>
          <w:marTop w:val="82"/>
          <w:marBottom w:val="0"/>
          <w:divBdr>
            <w:top w:val="none" w:sz="0" w:space="0" w:color="auto"/>
            <w:left w:val="none" w:sz="0" w:space="0" w:color="auto"/>
            <w:bottom w:val="none" w:sz="0" w:space="0" w:color="auto"/>
            <w:right w:val="none" w:sz="0" w:space="0" w:color="auto"/>
          </w:divBdr>
        </w:div>
        <w:div w:id="2014602485">
          <w:marLeft w:val="547"/>
          <w:marRight w:val="0"/>
          <w:marTop w:val="82"/>
          <w:marBottom w:val="0"/>
          <w:divBdr>
            <w:top w:val="none" w:sz="0" w:space="0" w:color="auto"/>
            <w:left w:val="none" w:sz="0" w:space="0" w:color="auto"/>
            <w:bottom w:val="none" w:sz="0" w:space="0" w:color="auto"/>
            <w:right w:val="none" w:sz="0" w:space="0" w:color="auto"/>
          </w:divBdr>
        </w:div>
      </w:divsChild>
    </w:div>
    <w:div w:id="665016882">
      <w:bodyDiv w:val="1"/>
      <w:marLeft w:val="0"/>
      <w:marRight w:val="0"/>
      <w:marTop w:val="0"/>
      <w:marBottom w:val="0"/>
      <w:divBdr>
        <w:top w:val="none" w:sz="0" w:space="0" w:color="auto"/>
        <w:left w:val="none" w:sz="0" w:space="0" w:color="auto"/>
        <w:bottom w:val="none" w:sz="0" w:space="0" w:color="auto"/>
        <w:right w:val="none" w:sz="0" w:space="0" w:color="auto"/>
      </w:divBdr>
    </w:div>
    <w:div w:id="666711620">
      <w:bodyDiv w:val="1"/>
      <w:marLeft w:val="0"/>
      <w:marRight w:val="0"/>
      <w:marTop w:val="0"/>
      <w:marBottom w:val="0"/>
      <w:divBdr>
        <w:top w:val="none" w:sz="0" w:space="0" w:color="auto"/>
        <w:left w:val="none" w:sz="0" w:space="0" w:color="auto"/>
        <w:bottom w:val="none" w:sz="0" w:space="0" w:color="auto"/>
        <w:right w:val="none" w:sz="0" w:space="0" w:color="auto"/>
      </w:divBdr>
    </w:div>
    <w:div w:id="671758822">
      <w:bodyDiv w:val="1"/>
      <w:marLeft w:val="0"/>
      <w:marRight w:val="0"/>
      <w:marTop w:val="0"/>
      <w:marBottom w:val="0"/>
      <w:divBdr>
        <w:top w:val="none" w:sz="0" w:space="0" w:color="auto"/>
        <w:left w:val="none" w:sz="0" w:space="0" w:color="auto"/>
        <w:bottom w:val="none" w:sz="0" w:space="0" w:color="auto"/>
        <w:right w:val="none" w:sz="0" w:space="0" w:color="auto"/>
      </w:divBdr>
    </w:div>
    <w:div w:id="673579633">
      <w:bodyDiv w:val="1"/>
      <w:marLeft w:val="0"/>
      <w:marRight w:val="0"/>
      <w:marTop w:val="0"/>
      <w:marBottom w:val="0"/>
      <w:divBdr>
        <w:top w:val="none" w:sz="0" w:space="0" w:color="auto"/>
        <w:left w:val="none" w:sz="0" w:space="0" w:color="auto"/>
        <w:bottom w:val="none" w:sz="0" w:space="0" w:color="auto"/>
        <w:right w:val="none" w:sz="0" w:space="0" w:color="auto"/>
      </w:divBdr>
    </w:div>
    <w:div w:id="677007010">
      <w:bodyDiv w:val="1"/>
      <w:marLeft w:val="0"/>
      <w:marRight w:val="0"/>
      <w:marTop w:val="0"/>
      <w:marBottom w:val="0"/>
      <w:divBdr>
        <w:top w:val="none" w:sz="0" w:space="0" w:color="auto"/>
        <w:left w:val="none" w:sz="0" w:space="0" w:color="auto"/>
        <w:bottom w:val="none" w:sz="0" w:space="0" w:color="auto"/>
        <w:right w:val="none" w:sz="0" w:space="0" w:color="auto"/>
      </w:divBdr>
    </w:div>
    <w:div w:id="678390695">
      <w:bodyDiv w:val="1"/>
      <w:marLeft w:val="0"/>
      <w:marRight w:val="0"/>
      <w:marTop w:val="0"/>
      <w:marBottom w:val="0"/>
      <w:divBdr>
        <w:top w:val="none" w:sz="0" w:space="0" w:color="auto"/>
        <w:left w:val="none" w:sz="0" w:space="0" w:color="auto"/>
        <w:bottom w:val="none" w:sz="0" w:space="0" w:color="auto"/>
        <w:right w:val="none" w:sz="0" w:space="0" w:color="auto"/>
      </w:divBdr>
    </w:div>
    <w:div w:id="679697688">
      <w:bodyDiv w:val="1"/>
      <w:marLeft w:val="0"/>
      <w:marRight w:val="0"/>
      <w:marTop w:val="0"/>
      <w:marBottom w:val="0"/>
      <w:divBdr>
        <w:top w:val="none" w:sz="0" w:space="0" w:color="auto"/>
        <w:left w:val="none" w:sz="0" w:space="0" w:color="auto"/>
        <w:bottom w:val="none" w:sz="0" w:space="0" w:color="auto"/>
        <w:right w:val="none" w:sz="0" w:space="0" w:color="auto"/>
      </w:divBdr>
    </w:div>
    <w:div w:id="685637929">
      <w:bodyDiv w:val="1"/>
      <w:marLeft w:val="0"/>
      <w:marRight w:val="0"/>
      <w:marTop w:val="0"/>
      <w:marBottom w:val="0"/>
      <w:divBdr>
        <w:top w:val="none" w:sz="0" w:space="0" w:color="auto"/>
        <w:left w:val="none" w:sz="0" w:space="0" w:color="auto"/>
        <w:bottom w:val="none" w:sz="0" w:space="0" w:color="auto"/>
        <w:right w:val="none" w:sz="0" w:space="0" w:color="auto"/>
      </w:divBdr>
    </w:div>
    <w:div w:id="692999958">
      <w:bodyDiv w:val="1"/>
      <w:marLeft w:val="0"/>
      <w:marRight w:val="0"/>
      <w:marTop w:val="0"/>
      <w:marBottom w:val="0"/>
      <w:divBdr>
        <w:top w:val="none" w:sz="0" w:space="0" w:color="auto"/>
        <w:left w:val="none" w:sz="0" w:space="0" w:color="auto"/>
        <w:bottom w:val="none" w:sz="0" w:space="0" w:color="auto"/>
        <w:right w:val="none" w:sz="0" w:space="0" w:color="auto"/>
      </w:divBdr>
    </w:div>
    <w:div w:id="700863063">
      <w:bodyDiv w:val="1"/>
      <w:marLeft w:val="0"/>
      <w:marRight w:val="0"/>
      <w:marTop w:val="0"/>
      <w:marBottom w:val="0"/>
      <w:divBdr>
        <w:top w:val="none" w:sz="0" w:space="0" w:color="auto"/>
        <w:left w:val="none" w:sz="0" w:space="0" w:color="auto"/>
        <w:bottom w:val="none" w:sz="0" w:space="0" w:color="auto"/>
        <w:right w:val="none" w:sz="0" w:space="0" w:color="auto"/>
      </w:divBdr>
    </w:div>
    <w:div w:id="702289312">
      <w:bodyDiv w:val="1"/>
      <w:marLeft w:val="0"/>
      <w:marRight w:val="0"/>
      <w:marTop w:val="0"/>
      <w:marBottom w:val="0"/>
      <w:divBdr>
        <w:top w:val="none" w:sz="0" w:space="0" w:color="auto"/>
        <w:left w:val="none" w:sz="0" w:space="0" w:color="auto"/>
        <w:bottom w:val="none" w:sz="0" w:space="0" w:color="auto"/>
        <w:right w:val="none" w:sz="0" w:space="0" w:color="auto"/>
      </w:divBdr>
    </w:div>
    <w:div w:id="702437948">
      <w:bodyDiv w:val="1"/>
      <w:marLeft w:val="0"/>
      <w:marRight w:val="0"/>
      <w:marTop w:val="0"/>
      <w:marBottom w:val="0"/>
      <w:divBdr>
        <w:top w:val="none" w:sz="0" w:space="0" w:color="auto"/>
        <w:left w:val="none" w:sz="0" w:space="0" w:color="auto"/>
        <w:bottom w:val="none" w:sz="0" w:space="0" w:color="auto"/>
        <w:right w:val="none" w:sz="0" w:space="0" w:color="auto"/>
      </w:divBdr>
    </w:div>
    <w:div w:id="703409438">
      <w:bodyDiv w:val="1"/>
      <w:marLeft w:val="0"/>
      <w:marRight w:val="0"/>
      <w:marTop w:val="0"/>
      <w:marBottom w:val="0"/>
      <w:divBdr>
        <w:top w:val="none" w:sz="0" w:space="0" w:color="auto"/>
        <w:left w:val="none" w:sz="0" w:space="0" w:color="auto"/>
        <w:bottom w:val="none" w:sz="0" w:space="0" w:color="auto"/>
        <w:right w:val="none" w:sz="0" w:space="0" w:color="auto"/>
      </w:divBdr>
    </w:div>
    <w:div w:id="706104739">
      <w:bodyDiv w:val="1"/>
      <w:marLeft w:val="0"/>
      <w:marRight w:val="0"/>
      <w:marTop w:val="0"/>
      <w:marBottom w:val="0"/>
      <w:divBdr>
        <w:top w:val="none" w:sz="0" w:space="0" w:color="auto"/>
        <w:left w:val="none" w:sz="0" w:space="0" w:color="auto"/>
        <w:bottom w:val="none" w:sz="0" w:space="0" w:color="auto"/>
        <w:right w:val="none" w:sz="0" w:space="0" w:color="auto"/>
      </w:divBdr>
    </w:div>
    <w:div w:id="708146207">
      <w:bodyDiv w:val="1"/>
      <w:marLeft w:val="0"/>
      <w:marRight w:val="0"/>
      <w:marTop w:val="0"/>
      <w:marBottom w:val="0"/>
      <w:divBdr>
        <w:top w:val="none" w:sz="0" w:space="0" w:color="auto"/>
        <w:left w:val="none" w:sz="0" w:space="0" w:color="auto"/>
        <w:bottom w:val="none" w:sz="0" w:space="0" w:color="auto"/>
        <w:right w:val="none" w:sz="0" w:space="0" w:color="auto"/>
      </w:divBdr>
    </w:div>
    <w:div w:id="708801934">
      <w:bodyDiv w:val="1"/>
      <w:marLeft w:val="0"/>
      <w:marRight w:val="0"/>
      <w:marTop w:val="0"/>
      <w:marBottom w:val="0"/>
      <w:divBdr>
        <w:top w:val="none" w:sz="0" w:space="0" w:color="auto"/>
        <w:left w:val="none" w:sz="0" w:space="0" w:color="auto"/>
        <w:bottom w:val="none" w:sz="0" w:space="0" w:color="auto"/>
        <w:right w:val="none" w:sz="0" w:space="0" w:color="auto"/>
      </w:divBdr>
    </w:div>
    <w:div w:id="710888033">
      <w:bodyDiv w:val="1"/>
      <w:marLeft w:val="0"/>
      <w:marRight w:val="0"/>
      <w:marTop w:val="0"/>
      <w:marBottom w:val="0"/>
      <w:divBdr>
        <w:top w:val="none" w:sz="0" w:space="0" w:color="auto"/>
        <w:left w:val="none" w:sz="0" w:space="0" w:color="auto"/>
        <w:bottom w:val="none" w:sz="0" w:space="0" w:color="auto"/>
        <w:right w:val="none" w:sz="0" w:space="0" w:color="auto"/>
      </w:divBdr>
    </w:div>
    <w:div w:id="714089312">
      <w:bodyDiv w:val="1"/>
      <w:marLeft w:val="0"/>
      <w:marRight w:val="0"/>
      <w:marTop w:val="0"/>
      <w:marBottom w:val="0"/>
      <w:divBdr>
        <w:top w:val="none" w:sz="0" w:space="0" w:color="auto"/>
        <w:left w:val="none" w:sz="0" w:space="0" w:color="auto"/>
        <w:bottom w:val="none" w:sz="0" w:space="0" w:color="auto"/>
        <w:right w:val="none" w:sz="0" w:space="0" w:color="auto"/>
      </w:divBdr>
    </w:div>
    <w:div w:id="726492507">
      <w:bodyDiv w:val="1"/>
      <w:marLeft w:val="0"/>
      <w:marRight w:val="0"/>
      <w:marTop w:val="0"/>
      <w:marBottom w:val="0"/>
      <w:divBdr>
        <w:top w:val="none" w:sz="0" w:space="0" w:color="auto"/>
        <w:left w:val="none" w:sz="0" w:space="0" w:color="auto"/>
        <w:bottom w:val="none" w:sz="0" w:space="0" w:color="auto"/>
        <w:right w:val="none" w:sz="0" w:space="0" w:color="auto"/>
      </w:divBdr>
    </w:div>
    <w:div w:id="728501682">
      <w:bodyDiv w:val="1"/>
      <w:marLeft w:val="0"/>
      <w:marRight w:val="0"/>
      <w:marTop w:val="0"/>
      <w:marBottom w:val="0"/>
      <w:divBdr>
        <w:top w:val="none" w:sz="0" w:space="0" w:color="auto"/>
        <w:left w:val="none" w:sz="0" w:space="0" w:color="auto"/>
        <w:bottom w:val="none" w:sz="0" w:space="0" w:color="auto"/>
        <w:right w:val="none" w:sz="0" w:space="0" w:color="auto"/>
      </w:divBdr>
    </w:div>
    <w:div w:id="728529146">
      <w:bodyDiv w:val="1"/>
      <w:marLeft w:val="0"/>
      <w:marRight w:val="0"/>
      <w:marTop w:val="0"/>
      <w:marBottom w:val="0"/>
      <w:divBdr>
        <w:top w:val="none" w:sz="0" w:space="0" w:color="auto"/>
        <w:left w:val="none" w:sz="0" w:space="0" w:color="auto"/>
        <w:bottom w:val="none" w:sz="0" w:space="0" w:color="auto"/>
        <w:right w:val="none" w:sz="0" w:space="0" w:color="auto"/>
      </w:divBdr>
    </w:div>
    <w:div w:id="731075656">
      <w:bodyDiv w:val="1"/>
      <w:marLeft w:val="0"/>
      <w:marRight w:val="0"/>
      <w:marTop w:val="0"/>
      <w:marBottom w:val="0"/>
      <w:divBdr>
        <w:top w:val="none" w:sz="0" w:space="0" w:color="auto"/>
        <w:left w:val="none" w:sz="0" w:space="0" w:color="auto"/>
        <w:bottom w:val="none" w:sz="0" w:space="0" w:color="auto"/>
        <w:right w:val="none" w:sz="0" w:space="0" w:color="auto"/>
      </w:divBdr>
    </w:div>
    <w:div w:id="734157538">
      <w:bodyDiv w:val="1"/>
      <w:marLeft w:val="0"/>
      <w:marRight w:val="0"/>
      <w:marTop w:val="0"/>
      <w:marBottom w:val="0"/>
      <w:divBdr>
        <w:top w:val="none" w:sz="0" w:space="0" w:color="auto"/>
        <w:left w:val="none" w:sz="0" w:space="0" w:color="auto"/>
        <w:bottom w:val="none" w:sz="0" w:space="0" w:color="auto"/>
        <w:right w:val="none" w:sz="0" w:space="0" w:color="auto"/>
      </w:divBdr>
    </w:div>
    <w:div w:id="735054927">
      <w:bodyDiv w:val="1"/>
      <w:marLeft w:val="0"/>
      <w:marRight w:val="0"/>
      <w:marTop w:val="0"/>
      <w:marBottom w:val="0"/>
      <w:divBdr>
        <w:top w:val="none" w:sz="0" w:space="0" w:color="auto"/>
        <w:left w:val="none" w:sz="0" w:space="0" w:color="auto"/>
        <w:bottom w:val="none" w:sz="0" w:space="0" w:color="auto"/>
        <w:right w:val="none" w:sz="0" w:space="0" w:color="auto"/>
      </w:divBdr>
    </w:div>
    <w:div w:id="741217156">
      <w:bodyDiv w:val="1"/>
      <w:marLeft w:val="0"/>
      <w:marRight w:val="0"/>
      <w:marTop w:val="0"/>
      <w:marBottom w:val="0"/>
      <w:divBdr>
        <w:top w:val="none" w:sz="0" w:space="0" w:color="auto"/>
        <w:left w:val="none" w:sz="0" w:space="0" w:color="auto"/>
        <w:bottom w:val="none" w:sz="0" w:space="0" w:color="auto"/>
        <w:right w:val="none" w:sz="0" w:space="0" w:color="auto"/>
      </w:divBdr>
    </w:div>
    <w:div w:id="745880794">
      <w:bodyDiv w:val="1"/>
      <w:marLeft w:val="0"/>
      <w:marRight w:val="0"/>
      <w:marTop w:val="0"/>
      <w:marBottom w:val="0"/>
      <w:divBdr>
        <w:top w:val="none" w:sz="0" w:space="0" w:color="auto"/>
        <w:left w:val="none" w:sz="0" w:space="0" w:color="auto"/>
        <w:bottom w:val="none" w:sz="0" w:space="0" w:color="auto"/>
        <w:right w:val="none" w:sz="0" w:space="0" w:color="auto"/>
      </w:divBdr>
    </w:div>
    <w:div w:id="748817189">
      <w:bodyDiv w:val="1"/>
      <w:marLeft w:val="0"/>
      <w:marRight w:val="0"/>
      <w:marTop w:val="0"/>
      <w:marBottom w:val="0"/>
      <w:divBdr>
        <w:top w:val="none" w:sz="0" w:space="0" w:color="auto"/>
        <w:left w:val="none" w:sz="0" w:space="0" w:color="auto"/>
        <w:bottom w:val="none" w:sz="0" w:space="0" w:color="auto"/>
        <w:right w:val="none" w:sz="0" w:space="0" w:color="auto"/>
      </w:divBdr>
    </w:div>
    <w:div w:id="750851150">
      <w:bodyDiv w:val="1"/>
      <w:marLeft w:val="0"/>
      <w:marRight w:val="0"/>
      <w:marTop w:val="0"/>
      <w:marBottom w:val="0"/>
      <w:divBdr>
        <w:top w:val="none" w:sz="0" w:space="0" w:color="auto"/>
        <w:left w:val="none" w:sz="0" w:space="0" w:color="auto"/>
        <w:bottom w:val="none" w:sz="0" w:space="0" w:color="auto"/>
        <w:right w:val="none" w:sz="0" w:space="0" w:color="auto"/>
      </w:divBdr>
    </w:div>
    <w:div w:id="751975419">
      <w:bodyDiv w:val="1"/>
      <w:marLeft w:val="0"/>
      <w:marRight w:val="0"/>
      <w:marTop w:val="0"/>
      <w:marBottom w:val="0"/>
      <w:divBdr>
        <w:top w:val="none" w:sz="0" w:space="0" w:color="auto"/>
        <w:left w:val="none" w:sz="0" w:space="0" w:color="auto"/>
        <w:bottom w:val="none" w:sz="0" w:space="0" w:color="auto"/>
        <w:right w:val="none" w:sz="0" w:space="0" w:color="auto"/>
      </w:divBdr>
    </w:div>
    <w:div w:id="757290684">
      <w:bodyDiv w:val="1"/>
      <w:marLeft w:val="0"/>
      <w:marRight w:val="0"/>
      <w:marTop w:val="0"/>
      <w:marBottom w:val="0"/>
      <w:divBdr>
        <w:top w:val="none" w:sz="0" w:space="0" w:color="auto"/>
        <w:left w:val="none" w:sz="0" w:space="0" w:color="auto"/>
        <w:bottom w:val="none" w:sz="0" w:space="0" w:color="auto"/>
        <w:right w:val="none" w:sz="0" w:space="0" w:color="auto"/>
      </w:divBdr>
    </w:div>
    <w:div w:id="757293721">
      <w:bodyDiv w:val="1"/>
      <w:marLeft w:val="0"/>
      <w:marRight w:val="0"/>
      <w:marTop w:val="0"/>
      <w:marBottom w:val="0"/>
      <w:divBdr>
        <w:top w:val="none" w:sz="0" w:space="0" w:color="auto"/>
        <w:left w:val="none" w:sz="0" w:space="0" w:color="auto"/>
        <w:bottom w:val="none" w:sz="0" w:space="0" w:color="auto"/>
        <w:right w:val="none" w:sz="0" w:space="0" w:color="auto"/>
      </w:divBdr>
    </w:div>
    <w:div w:id="758478012">
      <w:bodyDiv w:val="1"/>
      <w:marLeft w:val="0"/>
      <w:marRight w:val="0"/>
      <w:marTop w:val="0"/>
      <w:marBottom w:val="0"/>
      <w:divBdr>
        <w:top w:val="none" w:sz="0" w:space="0" w:color="auto"/>
        <w:left w:val="none" w:sz="0" w:space="0" w:color="auto"/>
        <w:bottom w:val="none" w:sz="0" w:space="0" w:color="auto"/>
        <w:right w:val="none" w:sz="0" w:space="0" w:color="auto"/>
      </w:divBdr>
    </w:div>
    <w:div w:id="758603202">
      <w:bodyDiv w:val="1"/>
      <w:marLeft w:val="0"/>
      <w:marRight w:val="0"/>
      <w:marTop w:val="0"/>
      <w:marBottom w:val="0"/>
      <w:divBdr>
        <w:top w:val="none" w:sz="0" w:space="0" w:color="auto"/>
        <w:left w:val="none" w:sz="0" w:space="0" w:color="auto"/>
        <w:bottom w:val="none" w:sz="0" w:space="0" w:color="auto"/>
        <w:right w:val="none" w:sz="0" w:space="0" w:color="auto"/>
      </w:divBdr>
    </w:div>
    <w:div w:id="763307294">
      <w:bodyDiv w:val="1"/>
      <w:marLeft w:val="0"/>
      <w:marRight w:val="0"/>
      <w:marTop w:val="0"/>
      <w:marBottom w:val="0"/>
      <w:divBdr>
        <w:top w:val="none" w:sz="0" w:space="0" w:color="auto"/>
        <w:left w:val="none" w:sz="0" w:space="0" w:color="auto"/>
        <w:bottom w:val="none" w:sz="0" w:space="0" w:color="auto"/>
        <w:right w:val="none" w:sz="0" w:space="0" w:color="auto"/>
      </w:divBdr>
    </w:div>
    <w:div w:id="767654368">
      <w:bodyDiv w:val="1"/>
      <w:marLeft w:val="0"/>
      <w:marRight w:val="0"/>
      <w:marTop w:val="0"/>
      <w:marBottom w:val="0"/>
      <w:divBdr>
        <w:top w:val="none" w:sz="0" w:space="0" w:color="auto"/>
        <w:left w:val="none" w:sz="0" w:space="0" w:color="auto"/>
        <w:bottom w:val="none" w:sz="0" w:space="0" w:color="auto"/>
        <w:right w:val="none" w:sz="0" w:space="0" w:color="auto"/>
      </w:divBdr>
    </w:div>
    <w:div w:id="767888974">
      <w:bodyDiv w:val="1"/>
      <w:marLeft w:val="0"/>
      <w:marRight w:val="0"/>
      <w:marTop w:val="0"/>
      <w:marBottom w:val="0"/>
      <w:divBdr>
        <w:top w:val="none" w:sz="0" w:space="0" w:color="auto"/>
        <w:left w:val="none" w:sz="0" w:space="0" w:color="auto"/>
        <w:bottom w:val="none" w:sz="0" w:space="0" w:color="auto"/>
        <w:right w:val="none" w:sz="0" w:space="0" w:color="auto"/>
      </w:divBdr>
    </w:div>
    <w:div w:id="772046143">
      <w:bodyDiv w:val="1"/>
      <w:marLeft w:val="0"/>
      <w:marRight w:val="0"/>
      <w:marTop w:val="0"/>
      <w:marBottom w:val="0"/>
      <w:divBdr>
        <w:top w:val="none" w:sz="0" w:space="0" w:color="auto"/>
        <w:left w:val="none" w:sz="0" w:space="0" w:color="auto"/>
        <w:bottom w:val="none" w:sz="0" w:space="0" w:color="auto"/>
        <w:right w:val="none" w:sz="0" w:space="0" w:color="auto"/>
      </w:divBdr>
    </w:div>
    <w:div w:id="776951713">
      <w:bodyDiv w:val="1"/>
      <w:marLeft w:val="0"/>
      <w:marRight w:val="0"/>
      <w:marTop w:val="0"/>
      <w:marBottom w:val="0"/>
      <w:divBdr>
        <w:top w:val="none" w:sz="0" w:space="0" w:color="auto"/>
        <w:left w:val="none" w:sz="0" w:space="0" w:color="auto"/>
        <w:bottom w:val="none" w:sz="0" w:space="0" w:color="auto"/>
        <w:right w:val="none" w:sz="0" w:space="0" w:color="auto"/>
      </w:divBdr>
    </w:div>
    <w:div w:id="779763631">
      <w:bodyDiv w:val="1"/>
      <w:marLeft w:val="0"/>
      <w:marRight w:val="0"/>
      <w:marTop w:val="0"/>
      <w:marBottom w:val="0"/>
      <w:divBdr>
        <w:top w:val="none" w:sz="0" w:space="0" w:color="auto"/>
        <w:left w:val="none" w:sz="0" w:space="0" w:color="auto"/>
        <w:bottom w:val="none" w:sz="0" w:space="0" w:color="auto"/>
        <w:right w:val="none" w:sz="0" w:space="0" w:color="auto"/>
      </w:divBdr>
    </w:div>
    <w:div w:id="781731873">
      <w:bodyDiv w:val="1"/>
      <w:marLeft w:val="0"/>
      <w:marRight w:val="0"/>
      <w:marTop w:val="0"/>
      <w:marBottom w:val="0"/>
      <w:divBdr>
        <w:top w:val="none" w:sz="0" w:space="0" w:color="auto"/>
        <w:left w:val="none" w:sz="0" w:space="0" w:color="auto"/>
        <w:bottom w:val="none" w:sz="0" w:space="0" w:color="auto"/>
        <w:right w:val="none" w:sz="0" w:space="0" w:color="auto"/>
      </w:divBdr>
    </w:div>
    <w:div w:id="784009933">
      <w:bodyDiv w:val="1"/>
      <w:marLeft w:val="0"/>
      <w:marRight w:val="0"/>
      <w:marTop w:val="0"/>
      <w:marBottom w:val="0"/>
      <w:divBdr>
        <w:top w:val="none" w:sz="0" w:space="0" w:color="auto"/>
        <w:left w:val="none" w:sz="0" w:space="0" w:color="auto"/>
        <w:bottom w:val="none" w:sz="0" w:space="0" w:color="auto"/>
        <w:right w:val="none" w:sz="0" w:space="0" w:color="auto"/>
      </w:divBdr>
    </w:div>
    <w:div w:id="785008668">
      <w:bodyDiv w:val="1"/>
      <w:marLeft w:val="0"/>
      <w:marRight w:val="0"/>
      <w:marTop w:val="0"/>
      <w:marBottom w:val="0"/>
      <w:divBdr>
        <w:top w:val="none" w:sz="0" w:space="0" w:color="auto"/>
        <w:left w:val="none" w:sz="0" w:space="0" w:color="auto"/>
        <w:bottom w:val="none" w:sz="0" w:space="0" w:color="auto"/>
        <w:right w:val="none" w:sz="0" w:space="0" w:color="auto"/>
      </w:divBdr>
    </w:div>
    <w:div w:id="789471124">
      <w:bodyDiv w:val="1"/>
      <w:marLeft w:val="0"/>
      <w:marRight w:val="0"/>
      <w:marTop w:val="0"/>
      <w:marBottom w:val="0"/>
      <w:divBdr>
        <w:top w:val="none" w:sz="0" w:space="0" w:color="auto"/>
        <w:left w:val="none" w:sz="0" w:space="0" w:color="auto"/>
        <w:bottom w:val="none" w:sz="0" w:space="0" w:color="auto"/>
        <w:right w:val="none" w:sz="0" w:space="0" w:color="auto"/>
      </w:divBdr>
    </w:div>
    <w:div w:id="798456513">
      <w:bodyDiv w:val="1"/>
      <w:marLeft w:val="0"/>
      <w:marRight w:val="0"/>
      <w:marTop w:val="0"/>
      <w:marBottom w:val="0"/>
      <w:divBdr>
        <w:top w:val="none" w:sz="0" w:space="0" w:color="auto"/>
        <w:left w:val="none" w:sz="0" w:space="0" w:color="auto"/>
        <w:bottom w:val="none" w:sz="0" w:space="0" w:color="auto"/>
        <w:right w:val="none" w:sz="0" w:space="0" w:color="auto"/>
      </w:divBdr>
    </w:div>
    <w:div w:id="799690513">
      <w:bodyDiv w:val="1"/>
      <w:marLeft w:val="0"/>
      <w:marRight w:val="0"/>
      <w:marTop w:val="0"/>
      <w:marBottom w:val="0"/>
      <w:divBdr>
        <w:top w:val="none" w:sz="0" w:space="0" w:color="auto"/>
        <w:left w:val="none" w:sz="0" w:space="0" w:color="auto"/>
        <w:bottom w:val="none" w:sz="0" w:space="0" w:color="auto"/>
        <w:right w:val="none" w:sz="0" w:space="0" w:color="auto"/>
      </w:divBdr>
    </w:div>
    <w:div w:id="799760181">
      <w:bodyDiv w:val="1"/>
      <w:marLeft w:val="0"/>
      <w:marRight w:val="0"/>
      <w:marTop w:val="0"/>
      <w:marBottom w:val="0"/>
      <w:divBdr>
        <w:top w:val="none" w:sz="0" w:space="0" w:color="auto"/>
        <w:left w:val="none" w:sz="0" w:space="0" w:color="auto"/>
        <w:bottom w:val="none" w:sz="0" w:space="0" w:color="auto"/>
        <w:right w:val="none" w:sz="0" w:space="0" w:color="auto"/>
      </w:divBdr>
    </w:div>
    <w:div w:id="803888186">
      <w:bodyDiv w:val="1"/>
      <w:marLeft w:val="0"/>
      <w:marRight w:val="0"/>
      <w:marTop w:val="0"/>
      <w:marBottom w:val="0"/>
      <w:divBdr>
        <w:top w:val="none" w:sz="0" w:space="0" w:color="auto"/>
        <w:left w:val="none" w:sz="0" w:space="0" w:color="auto"/>
        <w:bottom w:val="none" w:sz="0" w:space="0" w:color="auto"/>
        <w:right w:val="none" w:sz="0" w:space="0" w:color="auto"/>
      </w:divBdr>
    </w:div>
    <w:div w:id="804204697">
      <w:bodyDiv w:val="1"/>
      <w:marLeft w:val="0"/>
      <w:marRight w:val="0"/>
      <w:marTop w:val="0"/>
      <w:marBottom w:val="0"/>
      <w:divBdr>
        <w:top w:val="none" w:sz="0" w:space="0" w:color="auto"/>
        <w:left w:val="none" w:sz="0" w:space="0" w:color="auto"/>
        <w:bottom w:val="none" w:sz="0" w:space="0" w:color="auto"/>
        <w:right w:val="none" w:sz="0" w:space="0" w:color="auto"/>
      </w:divBdr>
    </w:div>
    <w:div w:id="804470137">
      <w:bodyDiv w:val="1"/>
      <w:marLeft w:val="0"/>
      <w:marRight w:val="0"/>
      <w:marTop w:val="0"/>
      <w:marBottom w:val="0"/>
      <w:divBdr>
        <w:top w:val="none" w:sz="0" w:space="0" w:color="auto"/>
        <w:left w:val="none" w:sz="0" w:space="0" w:color="auto"/>
        <w:bottom w:val="none" w:sz="0" w:space="0" w:color="auto"/>
        <w:right w:val="none" w:sz="0" w:space="0" w:color="auto"/>
      </w:divBdr>
    </w:div>
    <w:div w:id="808085578">
      <w:bodyDiv w:val="1"/>
      <w:marLeft w:val="0"/>
      <w:marRight w:val="0"/>
      <w:marTop w:val="0"/>
      <w:marBottom w:val="0"/>
      <w:divBdr>
        <w:top w:val="none" w:sz="0" w:space="0" w:color="auto"/>
        <w:left w:val="none" w:sz="0" w:space="0" w:color="auto"/>
        <w:bottom w:val="none" w:sz="0" w:space="0" w:color="auto"/>
        <w:right w:val="none" w:sz="0" w:space="0" w:color="auto"/>
      </w:divBdr>
    </w:div>
    <w:div w:id="811480799">
      <w:bodyDiv w:val="1"/>
      <w:marLeft w:val="0"/>
      <w:marRight w:val="0"/>
      <w:marTop w:val="0"/>
      <w:marBottom w:val="0"/>
      <w:divBdr>
        <w:top w:val="none" w:sz="0" w:space="0" w:color="auto"/>
        <w:left w:val="none" w:sz="0" w:space="0" w:color="auto"/>
        <w:bottom w:val="none" w:sz="0" w:space="0" w:color="auto"/>
        <w:right w:val="none" w:sz="0" w:space="0" w:color="auto"/>
      </w:divBdr>
    </w:div>
    <w:div w:id="812023173">
      <w:bodyDiv w:val="1"/>
      <w:marLeft w:val="0"/>
      <w:marRight w:val="0"/>
      <w:marTop w:val="0"/>
      <w:marBottom w:val="0"/>
      <w:divBdr>
        <w:top w:val="none" w:sz="0" w:space="0" w:color="auto"/>
        <w:left w:val="none" w:sz="0" w:space="0" w:color="auto"/>
        <w:bottom w:val="none" w:sz="0" w:space="0" w:color="auto"/>
        <w:right w:val="none" w:sz="0" w:space="0" w:color="auto"/>
      </w:divBdr>
    </w:div>
    <w:div w:id="815419199">
      <w:bodyDiv w:val="1"/>
      <w:marLeft w:val="0"/>
      <w:marRight w:val="0"/>
      <w:marTop w:val="0"/>
      <w:marBottom w:val="0"/>
      <w:divBdr>
        <w:top w:val="none" w:sz="0" w:space="0" w:color="auto"/>
        <w:left w:val="none" w:sz="0" w:space="0" w:color="auto"/>
        <w:bottom w:val="none" w:sz="0" w:space="0" w:color="auto"/>
        <w:right w:val="none" w:sz="0" w:space="0" w:color="auto"/>
      </w:divBdr>
    </w:div>
    <w:div w:id="832262220">
      <w:bodyDiv w:val="1"/>
      <w:marLeft w:val="0"/>
      <w:marRight w:val="0"/>
      <w:marTop w:val="0"/>
      <w:marBottom w:val="0"/>
      <w:divBdr>
        <w:top w:val="none" w:sz="0" w:space="0" w:color="auto"/>
        <w:left w:val="none" w:sz="0" w:space="0" w:color="auto"/>
        <w:bottom w:val="none" w:sz="0" w:space="0" w:color="auto"/>
        <w:right w:val="none" w:sz="0" w:space="0" w:color="auto"/>
      </w:divBdr>
    </w:div>
    <w:div w:id="835993417">
      <w:bodyDiv w:val="1"/>
      <w:marLeft w:val="0"/>
      <w:marRight w:val="0"/>
      <w:marTop w:val="0"/>
      <w:marBottom w:val="0"/>
      <w:divBdr>
        <w:top w:val="none" w:sz="0" w:space="0" w:color="auto"/>
        <w:left w:val="none" w:sz="0" w:space="0" w:color="auto"/>
        <w:bottom w:val="none" w:sz="0" w:space="0" w:color="auto"/>
        <w:right w:val="none" w:sz="0" w:space="0" w:color="auto"/>
      </w:divBdr>
    </w:div>
    <w:div w:id="837500931">
      <w:bodyDiv w:val="1"/>
      <w:marLeft w:val="0"/>
      <w:marRight w:val="0"/>
      <w:marTop w:val="0"/>
      <w:marBottom w:val="0"/>
      <w:divBdr>
        <w:top w:val="none" w:sz="0" w:space="0" w:color="auto"/>
        <w:left w:val="none" w:sz="0" w:space="0" w:color="auto"/>
        <w:bottom w:val="none" w:sz="0" w:space="0" w:color="auto"/>
        <w:right w:val="none" w:sz="0" w:space="0" w:color="auto"/>
      </w:divBdr>
    </w:div>
    <w:div w:id="838541009">
      <w:bodyDiv w:val="1"/>
      <w:marLeft w:val="0"/>
      <w:marRight w:val="0"/>
      <w:marTop w:val="0"/>
      <w:marBottom w:val="0"/>
      <w:divBdr>
        <w:top w:val="none" w:sz="0" w:space="0" w:color="auto"/>
        <w:left w:val="none" w:sz="0" w:space="0" w:color="auto"/>
        <w:bottom w:val="none" w:sz="0" w:space="0" w:color="auto"/>
        <w:right w:val="none" w:sz="0" w:space="0" w:color="auto"/>
      </w:divBdr>
    </w:div>
    <w:div w:id="845829023">
      <w:bodyDiv w:val="1"/>
      <w:marLeft w:val="0"/>
      <w:marRight w:val="0"/>
      <w:marTop w:val="0"/>
      <w:marBottom w:val="0"/>
      <w:divBdr>
        <w:top w:val="none" w:sz="0" w:space="0" w:color="auto"/>
        <w:left w:val="none" w:sz="0" w:space="0" w:color="auto"/>
        <w:bottom w:val="none" w:sz="0" w:space="0" w:color="auto"/>
        <w:right w:val="none" w:sz="0" w:space="0" w:color="auto"/>
      </w:divBdr>
    </w:div>
    <w:div w:id="846359523">
      <w:bodyDiv w:val="1"/>
      <w:marLeft w:val="0"/>
      <w:marRight w:val="0"/>
      <w:marTop w:val="0"/>
      <w:marBottom w:val="0"/>
      <w:divBdr>
        <w:top w:val="none" w:sz="0" w:space="0" w:color="auto"/>
        <w:left w:val="none" w:sz="0" w:space="0" w:color="auto"/>
        <w:bottom w:val="none" w:sz="0" w:space="0" w:color="auto"/>
        <w:right w:val="none" w:sz="0" w:space="0" w:color="auto"/>
      </w:divBdr>
    </w:div>
    <w:div w:id="846796472">
      <w:bodyDiv w:val="1"/>
      <w:marLeft w:val="0"/>
      <w:marRight w:val="0"/>
      <w:marTop w:val="0"/>
      <w:marBottom w:val="0"/>
      <w:divBdr>
        <w:top w:val="none" w:sz="0" w:space="0" w:color="auto"/>
        <w:left w:val="none" w:sz="0" w:space="0" w:color="auto"/>
        <w:bottom w:val="none" w:sz="0" w:space="0" w:color="auto"/>
        <w:right w:val="none" w:sz="0" w:space="0" w:color="auto"/>
      </w:divBdr>
    </w:div>
    <w:div w:id="850535329">
      <w:bodyDiv w:val="1"/>
      <w:marLeft w:val="0"/>
      <w:marRight w:val="0"/>
      <w:marTop w:val="0"/>
      <w:marBottom w:val="0"/>
      <w:divBdr>
        <w:top w:val="none" w:sz="0" w:space="0" w:color="auto"/>
        <w:left w:val="none" w:sz="0" w:space="0" w:color="auto"/>
        <w:bottom w:val="none" w:sz="0" w:space="0" w:color="auto"/>
        <w:right w:val="none" w:sz="0" w:space="0" w:color="auto"/>
      </w:divBdr>
    </w:div>
    <w:div w:id="851603019">
      <w:bodyDiv w:val="1"/>
      <w:marLeft w:val="0"/>
      <w:marRight w:val="0"/>
      <w:marTop w:val="0"/>
      <w:marBottom w:val="0"/>
      <w:divBdr>
        <w:top w:val="none" w:sz="0" w:space="0" w:color="auto"/>
        <w:left w:val="none" w:sz="0" w:space="0" w:color="auto"/>
        <w:bottom w:val="none" w:sz="0" w:space="0" w:color="auto"/>
        <w:right w:val="none" w:sz="0" w:space="0" w:color="auto"/>
      </w:divBdr>
    </w:div>
    <w:div w:id="852569345">
      <w:bodyDiv w:val="1"/>
      <w:marLeft w:val="0"/>
      <w:marRight w:val="0"/>
      <w:marTop w:val="0"/>
      <w:marBottom w:val="0"/>
      <w:divBdr>
        <w:top w:val="none" w:sz="0" w:space="0" w:color="auto"/>
        <w:left w:val="none" w:sz="0" w:space="0" w:color="auto"/>
        <w:bottom w:val="none" w:sz="0" w:space="0" w:color="auto"/>
        <w:right w:val="none" w:sz="0" w:space="0" w:color="auto"/>
      </w:divBdr>
    </w:div>
    <w:div w:id="852575546">
      <w:bodyDiv w:val="1"/>
      <w:marLeft w:val="0"/>
      <w:marRight w:val="0"/>
      <w:marTop w:val="0"/>
      <w:marBottom w:val="0"/>
      <w:divBdr>
        <w:top w:val="none" w:sz="0" w:space="0" w:color="auto"/>
        <w:left w:val="none" w:sz="0" w:space="0" w:color="auto"/>
        <w:bottom w:val="none" w:sz="0" w:space="0" w:color="auto"/>
        <w:right w:val="none" w:sz="0" w:space="0" w:color="auto"/>
      </w:divBdr>
    </w:div>
    <w:div w:id="853346689">
      <w:bodyDiv w:val="1"/>
      <w:marLeft w:val="0"/>
      <w:marRight w:val="0"/>
      <w:marTop w:val="0"/>
      <w:marBottom w:val="0"/>
      <w:divBdr>
        <w:top w:val="none" w:sz="0" w:space="0" w:color="auto"/>
        <w:left w:val="none" w:sz="0" w:space="0" w:color="auto"/>
        <w:bottom w:val="none" w:sz="0" w:space="0" w:color="auto"/>
        <w:right w:val="none" w:sz="0" w:space="0" w:color="auto"/>
      </w:divBdr>
    </w:div>
    <w:div w:id="856041096">
      <w:bodyDiv w:val="1"/>
      <w:marLeft w:val="0"/>
      <w:marRight w:val="0"/>
      <w:marTop w:val="0"/>
      <w:marBottom w:val="0"/>
      <w:divBdr>
        <w:top w:val="none" w:sz="0" w:space="0" w:color="auto"/>
        <w:left w:val="none" w:sz="0" w:space="0" w:color="auto"/>
        <w:bottom w:val="none" w:sz="0" w:space="0" w:color="auto"/>
        <w:right w:val="none" w:sz="0" w:space="0" w:color="auto"/>
      </w:divBdr>
    </w:div>
    <w:div w:id="856315593">
      <w:bodyDiv w:val="1"/>
      <w:marLeft w:val="0"/>
      <w:marRight w:val="0"/>
      <w:marTop w:val="0"/>
      <w:marBottom w:val="0"/>
      <w:divBdr>
        <w:top w:val="none" w:sz="0" w:space="0" w:color="auto"/>
        <w:left w:val="none" w:sz="0" w:space="0" w:color="auto"/>
        <w:bottom w:val="none" w:sz="0" w:space="0" w:color="auto"/>
        <w:right w:val="none" w:sz="0" w:space="0" w:color="auto"/>
      </w:divBdr>
      <w:divsChild>
        <w:div w:id="645818907">
          <w:marLeft w:val="0"/>
          <w:marRight w:val="0"/>
          <w:marTop w:val="0"/>
          <w:marBottom w:val="0"/>
          <w:divBdr>
            <w:top w:val="none" w:sz="0" w:space="0" w:color="auto"/>
            <w:left w:val="none" w:sz="0" w:space="0" w:color="auto"/>
            <w:bottom w:val="none" w:sz="0" w:space="0" w:color="auto"/>
            <w:right w:val="none" w:sz="0" w:space="0" w:color="auto"/>
          </w:divBdr>
          <w:divsChild>
            <w:div w:id="1238907245">
              <w:marLeft w:val="0"/>
              <w:marRight w:val="0"/>
              <w:marTop w:val="0"/>
              <w:marBottom w:val="0"/>
              <w:divBdr>
                <w:top w:val="none" w:sz="0" w:space="0" w:color="auto"/>
                <w:left w:val="none" w:sz="0" w:space="0" w:color="auto"/>
                <w:bottom w:val="none" w:sz="0" w:space="0" w:color="auto"/>
                <w:right w:val="none" w:sz="0" w:space="0" w:color="auto"/>
              </w:divBdr>
              <w:divsChild>
                <w:div w:id="1708529167">
                  <w:marLeft w:val="0"/>
                  <w:marRight w:val="0"/>
                  <w:marTop w:val="0"/>
                  <w:marBottom w:val="0"/>
                  <w:divBdr>
                    <w:top w:val="none" w:sz="0" w:space="0" w:color="auto"/>
                    <w:left w:val="none" w:sz="0" w:space="0" w:color="auto"/>
                    <w:bottom w:val="none" w:sz="0" w:space="0" w:color="auto"/>
                    <w:right w:val="none" w:sz="0" w:space="0" w:color="auto"/>
                  </w:divBdr>
                  <w:divsChild>
                    <w:div w:id="1353997995">
                      <w:marLeft w:val="0"/>
                      <w:marRight w:val="0"/>
                      <w:marTop w:val="0"/>
                      <w:marBottom w:val="0"/>
                      <w:divBdr>
                        <w:top w:val="none" w:sz="0" w:space="0" w:color="auto"/>
                        <w:left w:val="none" w:sz="0" w:space="0" w:color="auto"/>
                        <w:bottom w:val="none" w:sz="0" w:space="0" w:color="auto"/>
                        <w:right w:val="none" w:sz="0" w:space="0" w:color="auto"/>
                      </w:divBdr>
                      <w:divsChild>
                        <w:div w:id="153692618">
                          <w:marLeft w:val="0"/>
                          <w:marRight w:val="0"/>
                          <w:marTop w:val="0"/>
                          <w:marBottom w:val="0"/>
                          <w:divBdr>
                            <w:top w:val="none" w:sz="0" w:space="0" w:color="auto"/>
                            <w:left w:val="none" w:sz="0" w:space="0" w:color="auto"/>
                            <w:bottom w:val="none" w:sz="0" w:space="0" w:color="auto"/>
                            <w:right w:val="none" w:sz="0" w:space="0" w:color="auto"/>
                          </w:divBdr>
                          <w:divsChild>
                            <w:div w:id="1794209684">
                              <w:marLeft w:val="12300"/>
                              <w:marRight w:val="0"/>
                              <w:marTop w:val="0"/>
                              <w:marBottom w:val="0"/>
                              <w:divBdr>
                                <w:top w:val="none" w:sz="0" w:space="0" w:color="auto"/>
                                <w:left w:val="none" w:sz="0" w:space="0" w:color="auto"/>
                                <w:bottom w:val="none" w:sz="0" w:space="0" w:color="auto"/>
                                <w:right w:val="none" w:sz="0" w:space="0" w:color="auto"/>
                              </w:divBdr>
                              <w:divsChild>
                                <w:div w:id="1288589934">
                                  <w:marLeft w:val="0"/>
                                  <w:marRight w:val="0"/>
                                  <w:marTop w:val="0"/>
                                  <w:marBottom w:val="0"/>
                                  <w:divBdr>
                                    <w:top w:val="none" w:sz="0" w:space="0" w:color="auto"/>
                                    <w:left w:val="none" w:sz="0" w:space="0" w:color="auto"/>
                                    <w:bottom w:val="none" w:sz="0" w:space="0" w:color="auto"/>
                                    <w:right w:val="none" w:sz="0" w:space="0" w:color="auto"/>
                                  </w:divBdr>
                                  <w:divsChild>
                                    <w:div w:id="2133400723">
                                      <w:marLeft w:val="0"/>
                                      <w:marRight w:val="0"/>
                                      <w:marTop w:val="0"/>
                                      <w:marBottom w:val="405"/>
                                      <w:divBdr>
                                        <w:top w:val="none" w:sz="0" w:space="0" w:color="auto"/>
                                        <w:left w:val="none" w:sz="0" w:space="0" w:color="auto"/>
                                        <w:bottom w:val="none" w:sz="0" w:space="0" w:color="auto"/>
                                        <w:right w:val="none" w:sz="0" w:space="0" w:color="auto"/>
                                      </w:divBdr>
                                      <w:divsChild>
                                        <w:div w:id="1580402902">
                                          <w:marLeft w:val="0"/>
                                          <w:marRight w:val="0"/>
                                          <w:marTop w:val="0"/>
                                          <w:marBottom w:val="0"/>
                                          <w:divBdr>
                                            <w:top w:val="none" w:sz="0" w:space="0" w:color="auto"/>
                                            <w:left w:val="none" w:sz="0" w:space="0" w:color="auto"/>
                                            <w:bottom w:val="none" w:sz="0" w:space="0" w:color="auto"/>
                                            <w:right w:val="none" w:sz="0" w:space="0" w:color="auto"/>
                                          </w:divBdr>
                                          <w:divsChild>
                                            <w:div w:id="1181311622">
                                              <w:marLeft w:val="0"/>
                                              <w:marRight w:val="0"/>
                                              <w:marTop w:val="0"/>
                                              <w:marBottom w:val="0"/>
                                              <w:divBdr>
                                                <w:top w:val="none" w:sz="0" w:space="0" w:color="auto"/>
                                                <w:left w:val="none" w:sz="0" w:space="0" w:color="auto"/>
                                                <w:bottom w:val="none" w:sz="0" w:space="0" w:color="auto"/>
                                                <w:right w:val="none" w:sz="0" w:space="0" w:color="auto"/>
                                              </w:divBdr>
                                              <w:divsChild>
                                                <w:div w:id="1837263871">
                                                  <w:marLeft w:val="0"/>
                                                  <w:marRight w:val="0"/>
                                                  <w:marTop w:val="0"/>
                                                  <w:marBottom w:val="0"/>
                                                  <w:divBdr>
                                                    <w:top w:val="none" w:sz="0" w:space="0" w:color="auto"/>
                                                    <w:left w:val="none" w:sz="0" w:space="0" w:color="auto"/>
                                                    <w:bottom w:val="none" w:sz="0" w:space="0" w:color="auto"/>
                                                    <w:right w:val="none" w:sz="0" w:space="0" w:color="auto"/>
                                                  </w:divBdr>
                                                  <w:divsChild>
                                                    <w:div w:id="1685128355">
                                                      <w:marLeft w:val="0"/>
                                                      <w:marRight w:val="0"/>
                                                      <w:marTop w:val="0"/>
                                                      <w:marBottom w:val="0"/>
                                                      <w:divBdr>
                                                        <w:top w:val="none" w:sz="0" w:space="0" w:color="auto"/>
                                                        <w:left w:val="none" w:sz="0" w:space="0" w:color="auto"/>
                                                        <w:bottom w:val="none" w:sz="0" w:space="0" w:color="auto"/>
                                                        <w:right w:val="none" w:sz="0" w:space="0" w:color="auto"/>
                                                      </w:divBdr>
                                                      <w:divsChild>
                                                        <w:div w:id="391581920">
                                                          <w:marLeft w:val="0"/>
                                                          <w:marRight w:val="0"/>
                                                          <w:marTop w:val="0"/>
                                                          <w:marBottom w:val="0"/>
                                                          <w:divBdr>
                                                            <w:top w:val="none" w:sz="0" w:space="0" w:color="auto"/>
                                                            <w:left w:val="none" w:sz="0" w:space="0" w:color="auto"/>
                                                            <w:bottom w:val="none" w:sz="0" w:space="0" w:color="auto"/>
                                                            <w:right w:val="none" w:sz="0" w:space="0" w:color="auto"/>
                                                          </w:divBdr>
                                                          <w:divsChild>
                                                            <w:div w:id="861938097">
                                                              <w:marLeft w:val="0"/>
                                                              <w:marRight w:val="0"/>
                                                              <w:marTop w:val="0"/>
                                                              <w:marBottom w:val="0"/>
                                                              <w:divBdr>
                                                                <w:top w:val="none" w:sz="0" w:space="0" w:color="auto"/>
                                                                <w:left w:val="none" w:sz="0" w:space="0" w:color="auto"/>
                                                                <w:bottom w:val="none" w:sz="0" w:space="0" w:color="auto"/>
                                                                <w:right w:val="none" w:sz="0" w:space="0" w:color="auto"/>
                                                              </w:divBdr>
                                                              <w:divsChild>
                                                                <w:div w:id="974795644">
                                                                  <w:marLeft w:val="0"/>
                                                                  <w:marRight w:val="0"/>
                                                                  <w:marTop w:val="0"/>
                                                                  <w:marBottom w:val="0"/>
                                                                  <w:divBdr>
                                                                    <w:top w:val="none" w:sz="0" w:space="0" w:color="auto"/>
                                                                    <w:left w:val="none" w:sz="0" w:space="0" w:color="auto"/>
                                                                    <w:bottom w:val="none" w:sz="0" w:space="0" w:color="auto"/>
                                                                    <w:right w:val="none" w:sz="0" w:space="0" w:color="auto"/>
                                                                  </w:divBdr>
                                                                  <w:divsChild>
                                                                    <w:div w:id="1139808723">
                                                                      <w:marLeft w:val="0"/>
                                                                      <w:marRight w:val="0"/>
                                                                      <w:marTop w:val="0"/>
                                                                      <w:marBottom w:val="0"/>
                                                                      <w:divBdr>
                                                                        <w:top w:val="none" w:sz="0" w:space="0" w:color="auto"/>
                                                                        <w:left w:val="none" w:sz="0" w:space="0" w:color="auto"/>
                                                                        <w:bottom w:val="none" w:sz="0" w:space="0" w:color="auto"/>
                                                                        <w:right w:val="none" w:sz="0" w:space="0" w:color="auto"/>
                                                                      </w:divBdr>
                                                                      <w:divsChild>
                                                                        <w:div w:id="96826895">
                                                                          <w:marLeft w:val="0"/>
                                                                          <w:marRight w:val="0"/>
                                                                          <w:marTop w:val="0"/>
                                                                          <w:marBottom w:val="0"/>
                                                                          <w:divBdr>
                                                                            <w:top w:val="none" w:sz="0" w:space="0" w:color="auto"/>
                                                                            <w:left w:val="none" w:sz="0" w:space="0" w:color="auto"/>
                                                                            <w:bottom w:val="none" w:sz="0" w:space="0" w:color="auto"/>
                                                                            <w:right w:val="none" w:sz="0" w:space="0" w:color="auto"/>
                                                                          </w:divBdr>
                                                                          <w:divsChild>
                                                                            <w:div w:id="140658900">
                                                                              <w:marLeft w:val="0"/>
                                                                              <w:marRight w:val="0"/>
                                                                              <w:marTop w:val="0"/>
                                                                              <w:marBottom w:val="0"/>
                                                                              <w:divBdr>
                                                                                <w:top w:val="none" w:sz="0" w:space="0" w:color="auto"/>
                                                                                <w:left w:val="none" w:sz="0" w:space="0" w:color="auto"/>
                                                                                <w:bottom w:val="none" w:sz="0" w:space="0" w:color="auto"/>
                                                                                <w:right w:val="none" w:sz="0" w:space="0" w:color="auto"/>
                                                                              </w:divBdr>
                                                                              <w:divsChild>
                                                                                <w:div w:id="109516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57811176">
      <w:bodyDiv w:val="1"/>
      <w:marLeft w:val="0"/>
      <w:marRight w:val="0"/>
      <w:marTop w:val="0"/>
      <w:marBottom w:val="0"/>
      <w:divBdr>
        <w:top w:val="none" w:sz="0" w:space="0" w:color="auto"/>
        <w:left w:val="none" w:sz="0" w:space="0" w:color="auto"/>
        <w:bottom w:val="none" w:sz="0" w:space="0" w:color="auto"/>
        <w:right w:val="none" w:sz="0" w:space="0" w:color="auto"/>
      </w:divBdr>
    </w:div>
    <w:div w:id="858204855">
      <w:bodyDiv w:val="1"/>
      <w:marLeft w:val="0"/>
      <w:marRight w:val="0"/>
      <w:marTop w:val="0"/>
      <w:marBottom w:val="0"/>
      <w:divBdr>
        <w:top w:val="none" w:sz="0" w:space="0" w:color="auto"/>
        <w:left w:val="none" w:sz="0" w:space="0" w:color="auto"/>
        <w:bottom w:val="none" w:sz="0" w:space="0" w:color="auto"/>
        <w:right w:val="none" w:sz="0" w:space="0" w:color="auto"/>
      </w:divBdr>
    </w:div>
    <w:div w:id="859591851">
      <w:bodyDiv w:val="1"/>
      <w:marLeft w:val="0"/>
      <w:marRight w:val="0"/>
      <w:marTop w:val="0"/>
      <w:marBottom w:val="0"/>
      <w:divBdr>
        <w:top w:val="none" w:sz="0" w:space="0" w:color="auto"/>
        <w:left w:val="none" w:sz="0" w:space="0" w:color="auto"/>
        <w:bottom w:val="none" w:sz="0" w:space="0" w:color="auto"/>
        <w:right w:val="none" w:sz="0" w:space="0" w:color="auto"/>
      </w:divBdr>
    </w:div>
    <w:div w:id="859855737">
      <w:bodyDiv w:val="1"/>
      <w:marLeft w:val="0"/>
      <w:marRight w:val="0"/>
      <w:marTop w:val="0"/>
      <w:marBottom w:val="0"/>
      <w:divBdr>
        <w:top w:val="none" w:sz="0" w:space="0" w:color="auto"/>
        <w:left w:val="none" w:sz="0" w:space="0" w:color="auto"/>
        <w:bottom w:val="none" w:sz="0" w:space="0" w:color="auto"/>
        <w:right w:val="none" w:sz="0" w:space="0" w:color="auto"/>
      </w:divBdr>
    </w:div>
    <w:div w:id="866479742">
      <w:bodyDiv w:val="1"/>
      <w:marLeft w:val="0"/>
      <w:marRight w:val="0"/>
      <w:marTop w:val="0"/>
      <w:marBottom w:val="0"/>
      <w:divBdr>
        <w:top w:val="none" w:sz="0" w:space="0" w:color="auto"/>
        <w:left w:val="none" w:sz="0" w:space="0" w:color="auto"/>
        <w:bottom w:val="none" w:sz="0" w:space="0" w:color="auto"/>
        <w:right w:val="none" w:sz="0" w:space="0" w:color="auto"/>
      </w:divBdr>
    </w:div>
    <w:div w:id="874778480">
      <w:bodyDiv w:val="1"/>
      <w:marLeft w:val="0"/>
      <w:marRight w:val="0"/>
      <w:marTop w:val="0"/>
      <w:marBottom w:val="0"/>
      <w:divBdr>
        <w:top w:val="none" w:sz="0" w:space="0" w:color="auto"/>
        <w:left w:val="none" w:sz="0" w:space="0" w:color="auto"/>
        <w:bottom w:val="none" w:sz="0" w:space="0" w:color="auto"/>
        <w:right w:val="none" w:sz="0" w:space="0" w:color="auto"/>
      </w:divBdr>
    </w:div>
    <w:div w:id="875431281">
      <w:bodyDiv w:val="1"/>
      <w:marLeft w:val="0"/>
      <w:marRight w:val="0"/>
      <w:marTop w:val="0"/>
      <w:marBottom w:val="0"/>
      <w:divBdr>
        <w:top w:val="none" w:sz="0" w:space="0" w:color="auto"/>
        <w:left w:val="none" w:sz="0" w:space="0" w:color="auto"/>
        <w:bottom w:val="none" w:sz="0" w:space="0" w:color="auto"/>
        <w:right w:val="none" w:sz="0" w:space="0" w:color="auto"/>
      </w:divBdr>
    </w:div>
    <w:div w:id="877813844">
      <w:bodyDiv w:val="1"/>
      <w:marLeft w:val="0"/>
      <w:marRight w:val="0"/>
      <w:marTop w:val="0"/>
      <w:marBottom w:val="0"/>
      <w:divBdr>
        <w:top w:val="none" w:sz="0" w:space="0" w:color="auto"/>
        <w:left w:val="none" w:sz="0" w:space="0" w:color="auto"/>
        <w:bottom w:val="none" w:sz="0" w:space="0" w:color="auto"/>
        <w:right w:val="none" w:sz="0" w:space="0" w:color="auto"/>
      </w:divBdr>
    </w:div>
    <w:div w:id="886603578">
      <w:bodyDiv w:val="1"/>
      <w:marLeft w:val="0"/>
      <w:marRight w:val="0"/>
      <w:marTop w:val="0"/>
      <w:marBottom w:val="0"/>
      <w:divBdr>
        <w:top w:val="none" w:sz="0" w:space="0" w:color="auto"/>
        <w:left w:val="none" w:sz="0" w:space="0" w:color="auto"/>
        <w:bottom w:val="none" w:sz="0" w:space="0" w:color="auto"/>
        <w:right w:val="none" w:sz="0" w:space="0" w:color="auto"/>
      </w:divBdr>
    </w:div>
    <w:div w:id="887033100">
      <w:bodyDiv w:val="1"/>
      <w:marLeft w:val="0"/>
      <w:marRight w:val="0"/>
      <w:marTop w:val="0"/>
      <w:marBottom w:val="0"/>
      <w:divBdr>
        <w:top w:val="none" w:sz="0" w:space="0" w:color="auto"/>
        <w:left w:val="none" w:sz="0" w:space="0" w:color="auto"/>
        <w:bottom w:val="none" w:sz="0" w:space="0" w:color="auto"/>
        <w:right w:val="none" w:sz="0" w:space="0" w:color="auto"/>
      </w:divBdr>
      <w:divsChild>
        <w:div w:id="1746149626">
          <w:marLeft w:val="0"/>
          <w:marRight w:val="0"/>
          <w:marTop w:val="0"/>
          <w:marBottom w:val="0"/>
          <w:divBdr>
            <w:top w:val="none" w:sz="0" w:space="0" w:color="auto"/>
            <w:left w:val="none" w:sz="0" w:space="0" w:color="auto"/>
            <w:bottom w:val="none" w:sz="0" w:space="0" w:color="auto"/>
            <w:right w:val="none" w:sz="0" w:space="0" w:color="auto"/>
          </w:divBdr>
          <w:divsChild>
            <w:div w:id="944069684">
              <w:marLeft w:val="0"/>
              <w:marRight w:val="0"/>
              <w:marTop w:val="0"/>
              <w:marBottom w:val="0"/>
              <w:divBdr>
                <w:top w:val="none" w:sz="0" w:space="0" w:color="auto"/>
                <w:left w:val="none" w:sz="0" w:space="0" w:color="auto"/>
                <w:bottom w:val="none" w:sz="0" w:space="0" w:color="auto"/>
                <w:right w:val="none" w:sz="0" w:space="0" w:color="auto"/>
              </w:divBdr>
              <w:divsChild>
                <w:div w:id="787965967">
                  <w:marLeft w:val="0"/>
                  <w:marRight w:val="0"/>
                  <w:marTop w:val="0"/>
                  <w:marBottom w:val="0"/>
                  <w:divBdr>
                    <w:top w:val="none" w:sz="0" w:space="0" w:color="auto"/>
                    <w:left w:val="none" w:sz="0" w:space="0" w:color="auto"/>
                    <w:bottom w:val="none" w:sz="0" w:space="0" w:color="auto"/>
                    <w:right w:val="none" w:sz="0" w:space="0" w:color="auto"/>
                  </w:divBdr>
                  <w:divsChild>
                    <w:div w:id="384111335">
                      <w:marLeft w:val="-120"/>
                      <w:marRight w:val="-120"/>
                      <w:marTop w:val="0"/>
                      <w:marBottom w:val="0"/>
                      <w:divBdr>
                        <w:top w:val="none" w:sz="0" w:space="0" w:color="auto"/>
                        <w:left w:val="none" w:sz="0" w:space="0" w:color="auto"/>
                        <w:bottom w:val="none" w:sz="0" w:space="0" w:color="auto"/>
                        <w:right w:val="none" w:sz="0" w:space="0" w:color="auto"/>
                      </w:divBdr>
                      <w:divsChild>
                        <w:div w:id="1301111442">
                          <w:marLeft w:val="0"/>
                          <w:marRight w:val="0"/>
                          <w:marTop w:val="0"/>
                          <w:marBottom w:val="0"/>
                          <w:divBdr>
                            <w:top w:val="none" w:sz="0" w:space="0" w:color="auto"/>
                            <w:left w:val="none" w:sz="0" w:space="0" w:color="auto"/>
                            <w:bottom w:val="none" w:sz="0" w:space="0" w:color="auto"/>
                            <w:right w:val="none" w:sz="0" w:space="0" w:color="auto"/>
                          </w:divBdr>
                          <w:divsChild>
                            <w:div w:id="693385952">
                              <w:marLeft w:val="-120"/>
                              <w:marRight w:val="-120"/>
                              <w:marTop w:val="0"/>
                              <w:marBottom w:val="0"/>
                              <w:divBdr>
                                <w:top w:val="none" w:sz="0" w:space="0" w:color="auto"/>
                                <w:left w:val="none" w:sz="0" w:space="0" w:color="auto"/>
                                <w:bottom w:val="none" w:sz="0" w:space="0" w:color="auto"/>
                                <w:right w:val="none" w:sz="0" w:space="0" w:color="auto"/>
                              </w:divBdr>
                              <w:divsChild>
                                <w:div w:id="296883279">
                                  <w:marLeft w:val="0"/>
                                  <w:marRight w:val="0"/>
                                  <w:marTop w:val="0"/>
                                  <w:marBottom w:val="0"/>
                                  <w:divBdr>
                                    <w:top w:val="none" w:sz="0" w:space="0" w:color="auto"/>
                                    <w:left w:val="none" w:sz="0" w:space="0" w:color="auto"/>
                                    <w:bottom w:val="none" w:sz="0" w:space="0" w:color="auto"/>
                                    <w:right w:val="none" w:sz="0" w:space="0" w:color="auto"/>
                                  </w:divBdr>
                                  <w:divsChild>
                                    <w:div w:id="1370108271">
                                      <w:marLeft w:val="0"/>
                                      <w:marRight w:val="0"/>
                                      <w:marTop w:val="0"/>
                                      <w:marBottom w:val="0"/>
                                      <w:divBdr>
                                        <w:top w:val="none" w:sz="0" w:space="0" w:color="auto"/>
                                        <w:left w:val="none" w:sz="0" w:space="0" w:color="auto"/>
                                        <w:bottom w:val="none" w:sz="0" w:space="0" w:color="auto"/>
                                        <w:right w:val="none" w:sz="0" w:space="0" w:color="auto"/>
                                      </w:divBdr>
                                      <w:divsChild>
                                        <w:div w:id="1695620097">
                                          <w:marLeft w:val="0"/>
                                          <w:marRight w:val="0"/>
                                          <w:marTop w:val="0"/>
                                          <w:marBottom w:val="0"/>
                                          <w:divBdr>
                                            <w:top w:val="none" w:sz="0" w:space="0" w:color="auto"/>
                                            <w:left w:val="none" w:sz="0" w:space="0" w:color="auto"/>
                                            <w:bottom w:val="none" w:sz="0" w:space="0" w:color="auto"/>
                                            <w:right w:val="none" w:sz="0" w:space="0" w:color="auto"/>
                                          </w:divBdr>
                                          <w:divsChild>
                                            <w:div w:id="1125125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88347076">
      <w:bodyDiv w:val="1"/>
      <w:marLeft w:val="0"/>
      <w:marRight w:val="0"/>
      <w:marTop w:val="0"/>
      <w:marBottom w:val="0"/>
      <w:divBdr>
        <w:top w:val="none" w:sz="0" w:space="0" w:color="auto"/>
        <w:left w:val="none" w:sz="0" w:space="0" w:color="auto"/>
        <w:bottom w:val="none" w:sz="0" w:space="0" w:color="auto"/>
        <w:right w:val="none" w:sz="0" w:space="0" w:color="auto"/>
      </w:divBdr>
    </w:div>
    <w:div w:id="889732746">
      <w:bodyDiv w:val="1"/>
      <w:marLeft w:val="0"/>
      <w:marRight w:val="0"/>
      <w:marTop w:val="0"/>
      <w:marBottom w:val="0"/>
      <w:divBdr>
        <w:top w:val="none" w:sz="0" w:space="0" w:color="auto"/>
        <w:left w:val="none" w:sz="0" w:space="0" w:color="auto"/>
        <w:bottom w:val="none" w:sz="0" w:space="0" w:color="auto"/>
        <w:right w:val="none" w:sz="0" w:space="0" w:color="auto"/>
      </w:divBdr>
    </w:div>
    <w:div w:id="892692794">
      <w:bodyDiv w:val="1"/>
      <w:marLeft w:val="0"/>
      <w:marRight w:val="0"/>
      <w:marTop w:val="0"/>
      <w:marBottom w:val="0"/>
      <w:divBdr>
        <w:top w:val="none" w:sz="0" w:space="0" w:color="auto"/>
        <w:left w:val="none" w:sz="0" w:space="0" w:color="auto"/>
        <w:bottom w:val="none" w:sz="0" w:space="0" w:color="auto"/>
        <w:right w:val="none" w:sz="0" w:space="0" w:color="auto"/>
      </w:divBdr>
    </w:div>
    <w:div w:id="892888130">
      <w:bodyDiv w:val="1"/>
      <w:marLeft w:val="0"/>
      <w:marRight w:val="0"/>
      <w:marTop w:val="0"/>
      <w:marBottom w:val="0"/>
      <w:divBdr>
        <w:top w:val="none" w:sz="0" w:space="0" w:color="auto"/>
        <w:left w:val="none" w:sz="0" w:space="0" w:color="auto"/>
        <w:bottom w:val="none" w:sz="0" w:space="0" w:color="auto"/>
        <w:right w:val="none" w:sz="0" w:space="0" w:color="auto"/>
      </w:divBdr>
    </w:div>
    <w:div w:id="893662800">
      <w:bodyDiv w:val="1"/>
      <w:marLeft w:val="0"/>
      <w:marRight w:val="0"/>
      <w:marTop w:val="0"/>
      <w:marBottom w:val="0"/>
      <w:divBdr>
        <w:top w:val="none" w:sz="0" w:space="0" w:color="auto"/>
        <w:left w:val="none" w:sz="0" w:space="0" w:color="auto"/>
        <w:bottom w:val="none" w:sz="0" w:space="0" w:color="auto"/>
        <w:right w:val="none" w:sz="0" w:space="0" w:color="auto"/>
      </w:divBdr>
    </w:div>
    <w:div w:id="894588297">
      <w:bodyDiv w:val="1"/>
      <w:marLeft w:val="0"/>
      <w:marRight w:val="0"/>
      <w:marTop w:val="0"/>
      <w:marBottom w:val="0"/>
      <w:divBdr>
        <w:top w:val="none" w:sz="0" w:space="0" w:color="auto"/>
        <w:left w:val="none" w:sz="0" w:space="0" w:color="auto"/>
        <w:bottom w:val="none" w:sz="0" w:space="0" w:color="auto"/>
        <w:right w:val="none" w:sz="0" w:space="0" w:color="auto"/>
      </w:divBdr>
    </w:div>
    <w:div w:id="894901170">
      <w:bodyDiv w:val="1"/>
      <w:marLeft w:val="0"/>
      <w:marRight w:val="0"/>
      <w:marTop w:val="0"/>
      <w:marBottom w:val="0"/>
      <w:divBdr>
        <w:top w:val="none" w:sz="0" w:space="0" w:color="auto"/>
        <w:left w:val="none" w:sz="0" w:space="0" w:color="auto"/>
        <w:bottom w:val="none" w:sz="0" w:space="0" w:color="auto"/>
        <w:right w:val="none" w:sz="0" w:space="0" w:color="auto"/>
      </w:divBdr>
    </w:div>
    <w:div w:id="899906515">
      <w:bodyDiv w:val="1"/>
      <w:marLeft w:val="0"/>
      <w:marRight w:val="0"/>
      <w:marTop w:val="0"/>
      <w:marBottom w:val="0"/>
      <w:divBdr>
        <w:top w:val="none" w:sz="0" w:space="0" w:color="auto"/>
        <w:left w:val="none" w:sz="0" w:space="0" w:color="auto"/>
        <w:bottom w:val="none" w:sz="0" w:space="0" w:color="auto"/>
        <w:right w:val="none" w:sz="0" w:space="0" w:color="auto"/>
      </w:divBdr>
    </w:div>
    <w:div w:id="900336391">
      <w:bodyDiv w:val="1"/>
      <w:marLeft w:val="0"/>
      <w:marRight w:val="0"/>
      <w:marTop w:val="0"/>
      <w:marBottom w:val="0"/>
      <w:divBdr>
        <w:top w:val="none" w:sz="0" w:space="0" w:color="auto"/>
        <w:left w:val="none" w:sz="0" w:space="0" w:color="auto"/>
        <w:bottom w:val="none" w:sz="0" w:space="0" w:color="auto"/>
        <w:right w:val="none" w:sz="0" w:space="0" w:color="auto"/>
      </w:divBdr>
    </w:div>
    <w:div w:id="901714763">
      <w:bodyDiv w:val="1"/>
      <w:marLeft w:val="0"/>
      <w:marRight w:val="0"/>
      <w:marTop w:val="0"/>
      <w:marBottom w:val="0"/>
      <w:divBdr>
        <w:top w:val="none" w:sz="0" w:space="0" w:color="auto"/>
        <w:left w:val="none" w:sz="0" w:space="0" w:color="auto"/>
        <w:bottom w:val="none" w:sz="0" w:space="0" w:color="auto"/>
        <w:right w:val="none" w:sz="0" w:space="0" w:color="auto"/>
      </w:divBdr>
    </w:div>
    <w:div w:id="908148202">
      <w:bodyDiv w:val="1"/>
      <w:marLeft w:val="0"/>
      <w:marRight w:val="0"/>
      <w:marTop w:val="0"/>
      <w:marBottom w:val="0"/>
      <w:divBdr>
        <w:top w:val="none" w:sz="0" w:space="0" w:color="auto"/>
        <w:left w:val="none" w:sz="0" w:space="0" w:color="auto"/>
        <w:bottom w:val="none" w:sz="0" w:space="0" w:color="auto"/>
        <w:right w:val="none" w:sz="0" w:space="0" w:color="auto"/>
      </w:divBdr>
    </w:div>
    <w:div w:id="910115150">
      <w:bodyDiv w:val="1"/>
      <w:marLeft w:val="0"/>
      <w:marRight w:val="0"/>
      <w:marTop w:val="0"/>
      <w:marBottom w:val="0"/>
      <w:divBdr>
        <w:top w:val="none" w:sz="0" w:space="0" w:color="auto"/>
        <w:left w:val="none" w:sz="0" w:space="0" w:color="auto"/>
        <w:bottom w:val="none" w:sz="0" w:space="0" w:color="auto"/>
        <w:right w:val="none" w:sz="0" w:space="0" w:color="auto"/>
      </w:divBdr>
    </w:div>
    <w:div w:id="912812978">
      <w:bodyDiv w:val="1"/>
      <w:marLeft w:val="0"/>
      <w:marRight w:val="0"/>
      <w:marTop w:val="0"/>
      <w:marBottom w:val="0"/>
      <w:divBdr>
        <w:top w:val="none" w:sz="0" w:space="0" w:color="auto"/>
        <w:left w:val="none" w:sz="0" w:space="0" w:color="auto"/>
        <w:bottom w:val="none" w:sz="0" w:space="0" w:color="auto"/>
        <w:right w:val="none" w:sz="0" w:space="0" w:color="auto"/>
      </w:divBdr>
    </w:div>
    <w:div w:id="916091376">
      <w:bodyDiv w:val="1"/>
      <w:marLeft w:val="0"/>
      <w:marRight w:val="0"/>
      <w:marTop w:val="0"/>
      <w:marBottom w:val="0"/>
      <w:divBdr>
        <w:top w:val="none" w:sz="0" w:space="0" w:color="auto"/>
        <w:left w:val="none" w:sz="0" w:space="0" w:color="auto"/>
        <w:bottom w:val="none" w:sz="0" w:space="0" w:color="auto"/>
        <w:right w:val="none" w:sz="0" w:space="0" w:color="auto"/>
      </w:divBdr>
    </w:div>
    <w:div w:id="916744949">
      <w:bodyDiv w:val="1"/>
      <w:marLeft w:val="0"/>
      <w:marRight w:val="0"/>
      <w:marTop w:val="0"/>
      <w:marBottom w:val="0"/>
      <w:divBdr>
        <w:top w:val="none" w:sz="0" w:space="0" w:color="auto"/>
        <w:left w:val="none" w:sz="0" w:space="0" w:color="auto"/>
        <w:bottom w:val="none" w:sz="0" w:space="0" w:color="auto"/>
        <w:right w:val="none" w:sz="0" w:space="0" w:color="auto"/>
      </w:divBdr>
    </w:div>
    <w:div w:id="918368230">
      <w:bodyDiv w:val="1"/>
      <w:marLeft w:val="0"/>
      <w:marRight w:val="0"/>
      <w:marTop w:val="0"/>
      <w:marBottom w:val="0"/>
      <w:divBdr>
        <w:top w:val="none" w:sz="0" w:space="0" w:color="auto"/>
        <w:left w:val="none" w:sz="0" w:space="0" w:color="auto"/>
        <w:bottom w:val="none" w:sz="0" w:space="0" w:color="auto"/>
        <w:right w:val="none" w:sz="0" w:space="0" w:color="auto"/>
      </w:divBdr>
    </w:div>
    <w:div w:id="919825853">
      <w:bodyDiv w:val="1"/>
      <w:marLeft w:val="0"/>
      <w:marRight w:val="0"/>
      <w:marTop w:val="0"/>
      <w:marBottom w:val="0"/>
      <w:divBdr>
        <w:top w:val="none" w:sz="0" w:space="0" w:color="auto"/>
        <w:left w:val="none" w:sz="0" w:space="0" w:color="auto"/>
        <w:bottom w:val="none" w:sz="0" w:space="0" w:color="auto"/>
        <w:right w:val="none" w:sz="0" w:space="0" w:color="auto"/>
      </w:divBdr>
    </w:div>
    <w:div w:id="920717869">
      <w:bodyDiv w:val="1"/>
      <w:marLeft w:val="0"/>
      <w:marRight w:val="0"/>
      <w:marTop w:val="0"/>
      <w:marBottom w:val="0"/>
      <w:divBdr>
        <w:top w:val="none" w:sz="0" w:space="0" w:color="auto"/>
        <w:left w:val="none" w:sz="0" w:space="0" w:color="auto"/>
        <w:bottom w:val="none" w:sz="0" w:space="0" w:color="auto"/>
        <w:right w:val="none" w:sz="0" w:space="0" w:color="auto"/>
      </w:divBdr>
    </w:div>
    <w:div w:id="921185157">
      <w:bodyDiv w:val="1"/>
      <w:marLeft w:val="0"/>
      <w:marRight w:val="0"/>
      <w:marTop w:val="0"/>
      <w:marBottom w:val="0"/>
      <w:divBdr>
        <w:top w:val="none" w:sz="0" w:space="0" w:color="auto"/>
        <w:left w:val="none" w:sz="0" w:space="0" w:color="auto"/>
        <w:bottom w:val="none" w:sz="0" w:space="0" w:color="auto"/>
        <w:right w:val="none" w:sz="0" w:space="0" w:color="auto"/>
      </w:divBdr>
    </w:div>
    <w:div w:id="921452900">
      <w:bodyDiv w:val="1"/>
      <w:marLeft w:val="0"/>
      <w:marRight w:val="0"/>
      <w:marTop w:val="0"/>
      <w:marBottom w:val="0"/>
      <w:divBdr>
        <w:top w:val="none" w:sz="0" w:space="0" w:color="auto"/>
        <w:left w:val="none" w:sz="0" w:space="0" w:color="auto"/>
        <w:bottom w:val="none" w:sz="0" w:space="0" w:color="auto"/>
        <w:right w:val="none" w:sz="0" w:space="0" w:color="auto"/>
      </w:divBdr>
    </w:div>
    <w:div w:id="922027221">
      <w:bodyDiv w:val="1"/>
      <w:marLeft w:val="0"/>
      <w:marRight w:val="0"/>
      <w:marTop w:val="0"/>
      <w:marBottom w:val="0"/>
      <w:divBdr>
        <w:top w:val="none" w:sz="0" w:space="0" w:color="auto"/>
        <w:left w:val="none" w:sz="0" w:space="0" w:color="auto"/>
        <w:bottom w:val="none" w:sz="0" w:space="0" w:color="auto"/>
        <w:right w:val="none" w:sz="0" w:space="0" w:color="auto"/>
      </w:divBdr>
    </w:div>
    <w:div w:id="928194352">
      <w:bodyDiv w:val="1"/>
      <w:marLeft w:val="0"/>
      <w:marRight w:val="0"/>
      <w:marTop w:val="0"/>
      <w:marBottom w:val="0"/>
      <w:divBdr>
        <w:top w:val="none" w:sz="0" w:space="0" w:color="auto"/>
        <w:left w:val="none" w:sz="0" w:space="0" w:color="auto"/>
        <w:bottom w:val="none" w:sz="0" w:space="0" w:color="auto"/>
        <w:right w:val="none" w:sz="0" w:space="0" w:color="auto"/>
      </w:divBdr>
    </w:div>
    <w:div w:id="930939219">
      <w:bodyDiv w:val="1"/>
      <w:marLeft w:val="0"/>
      <w:marRight w:val="0"/>
      <w:marTop w:val="0"/>
      <w:marBottom w:val="0"/>
      <w:divBdr>
        <w:top w:val="none" w:sz="0" w:space="0" w:color="auto"/>
        <w:left w:val="none" w:sz="0" w:space="0" w:color="auto"/>
        <w:bottom w:val="none" w:sz="0" w:space="0" w:color="auto"/>
        <w:right w:val="none" w:sz="0" w:space="0" w:color="auto"/>
      </w:divBdr>
    </w:div>
    <w:div w:id="933055474">
      <w:bodyDiv w:val="1"/>
      <w:marLeft w:val="0"/>
      <w:marRight w:val="0"/>
      <w:marTop w:val="0"/>
      <w:marBottom w:val="0"/>
      <w:divBdr>
        <w:top w:val="none" w:sz="0" w:space="0" w:color="auto"/>
        <w:left w:val="none" w:sz="0" w:space="0" w:color="auto"/>
        <w:bottom w:val="none" w:sz="0" w:space="0" w:color="auto"/>
        <w:right w:val="none" w:sz="0" w:space="0" w:color="auto"/>
      </w:divBdr>
    </w:div>
    <w:div w:id="938172157">
      <w:bodyDiv w:val="1"/>
      <w:marLeft w:val="0"/>
      <w:marRight w:val="0"/>
      <w:marTop w:val="0"/>
      <w:marBottom w:val="0"/>
      <w:divBdr>
        <w:top w:val="none" w:sz="0" w:space="0" w:color="auto"/>
        <w:left w:val="none" w:sz="0" w:space="0" w:color="auto"/>
        <w:bottom w:val="none" w:sz="0" w:space="0" w:color="auto"/>
        <w:right w:val="none" w:sz="0" w:space="0" w:color="auto"/>
      </w:divBdr>
    </w:div>
    <w:div w:id="940262050">
      <w:bodyDiv w:val="1"/>
      <w:marLeft w:val="0"/>
      <w:marRight w:val="0"/>
      <w:marTop w:val="0"/>
      <w:marBottom w:val="0"/>
      <w:divBdr>
        <w:top w:val="none" w:sz="0" w:space="0" w:color="auto"/>
        <w:left w:val="none" w:sz="0" w:space="0" w:color="auto"/>
        <w:bottom w:val="none" w:sz="0" w:space="0" w:color="auto"/>
        <w:right w:val="none" w:sz="0" w:space="0" w:color="auto"/>
      </w:divBdr>
    </w:div>
    <w:div w:id="940383169">
      <w:bodyDiv w:val="1"/>
      <w:marLeft w:val="0"/>
      <w:marRight w:val="0"/>
      <w:marTop w:val="0"/>
      <w:marBottom w:val="0"/>
      <w:divBdr>
        <w:top w:val="none" w:sz="0" w:space="0" w:color="auto"/>
        <w:left w:val="none" w:sz="0" w:space="0" w:color="auto"/>
        <w:bottom w:val="none" w:sz="0" w:space="0" w:color="auto"/>
        <w:right w:val="none" w:sz="0" w:space="0" w:color="auto"/>
      </w:divBdr>
    </w:div>
    <w:div w:id="941182780">
      <w:bodyDiv w:val="1"/>
      <w:marLeft w:val="0"/>
      <w:marRight w:val="0"/>
      <w:marTop w:val="0"/>
      <w:marBottom w:val="0"/>
      <w:divBdr>
        <w:top w:val="none" w:sz="0" w:space="0" w:color="auto"/>
        <w:left w:val="none" w:sz="0" w:space="0" w:color="auto"/>
        <w:bottom w:val="none" w:sz="0" w:space="0" w:color="auto"/>
        <w:right w:val="none" w:sz="0" w:space="0" w:color="auto"/>
      </w:divBdr>
    </w:div>
    <w:div w:id="943342308">
      <w:bodyDiv w:val="1"/>
      <w:marLeft w:val="0"/>
      <w:marRight w:val="0"/>
      <w:marTop w:val="0"/>
      <w:marBottom w:val="0"/>
      <w:divBdr>
        <w:top w:val="none" w:sz="0" w:space="0" w:color="auto"/>
        <w:left w:val="none" w:sz="0" w:space="0" w:color="auto"/>
        <w:bottom w:val="none" w:sz="0" w:space="0" w:color="auto"/>
        <w:right w:val="none" w:sz="0" w:space="0" w:color="auto"/>
      </w:divBdr>
    </w:div>
    <w:div w:id="944654225">
      <w:bodyDiv w:val="1"/>
      <w:marLeft w:val="0"/>
      <w:marRight w:val="0"/>
      <w:marTop w:val="0"/>
      <w:marBottom w:val="0"/>
      <w:divBdr>
        <w:top w:val="none" w:sz="0" w:space="0" w:color="auto"/>
        <w:left w:val="none" w:sz="0" w:space="0" w:color="auto"/>
        <w:bottom w:val="none" w:sz="0" w:space="0" w:color="auto"/>
        <w:right w:val="none" w:sz="0" w:space="0" w:color="auto"/>
      </w:divBdr>
    </w:div>
    <w:div w:id="944701681">
      <w:bodyDiv w:val="1"/>
      <w:marLeft w:val="0"/>
      <w:marRight w:val="0"/>
      <w:marTop w:val="0"/>
      <w:marBottom w:val="0"/>
      <w:divBdr>
        <w:top w:val="none" w:sz="0" w:space="0" w:color="auto"/>
        <w:left w:val="none" w:sz="0" w:space="0" w:color="auto"/>
        <w:bottom w:val="none" w:sz="0" w:space="0" w:color="auto"/>
        <w:right w:val="none" w:sz="0" w:space="0" w:color="auto"/>
      </w:divBdr>
    </w:div>
    <w:div w:id="947395349">
      <w:bodyDiv w:val="1"/>
      <w:marLeft w:val="0"/>
      <w:marRight w:val="0"/>
      <w:marTop w:val="0"/>
      <w:marBottom w:val="0"/>
      <w:divBdr>
        <w:top w:val="none" w:sz="0" w:space="0" w:color="auto"/>
        <w:left w:val="none" w:sz="0" w:space="0" w:color="auto"/>
        <w:bottom w:val="none" w:sz="0" w:space="0" w:color="auto"/>
        <w:right w:val="none" w:sz="0" w:space="0" w:color="auto"/>
      </w:divBdr>
    </w:div>
    <w:div w:id="951208064">
      <w:bodyDiv w:val="1"/>
      <w:marLeft w:val="0"/>
      <w:marRight w:val="0"/>
      <w:marTop w:val="0"/>
      <w:marBottom w:val="0"/>
      <w:divBdr>
        <w:top w:val="none" w:sz="0" w:space="0" w:color="auto"/>
        <w:left w:val="none" w:sz="0" w:space="0" w:color="auto"/>
        <w:bottom w:val="none" w:sz="0" w:space="0" w:color="auto"/>
        <w:right w:val="none" w:sz="0" w:space="0" w:color="auto"/>
      </w:divBdr>
    </w:div>
    <w:div w:id="954597998">
      <w:bodyDiv w:val="1"/>
      <w:marLeft w:val="0"/>
      <w:marRight w:val="0"/>
      <w:marTop w:val="0"/>
      <w:marBottom w:val="0"/>
      <w:divBdr>
        <w:top w:val="none" w:sz="0" w:space="0" w:color="auto"/>
        <w:left w:val="none" w:sz="0" w:space="0" w:color="auto"/>
        <w:bottom w:val="none" w:sz="0" w:space="0" w:color="auto"/>
        <w:right w:val="none" w:sz="0" w:space="0" w:color="auto"/>
      </w:divBdr>
    </w:div>
    <w:div w:id="954796724">
      <w:bodyDiv w:val="1"/>
      <w:marLeft w:val="0"/>
      <w:marRight w:val="0"/>
      <w:marTop w:val="0"/>
      <w:marBottom w:val="0"/>
      <w:divBdr>
        <w:top w:val="none" w:sz="0" w:space="0" w:color="auto"/>
        <w:left w:val="none" w:sz="0" w:space="0" w:color="auto"/>
        <w:bottom w:val="none" w:sz="0" w:space="0" w:color="auto"/>
        <w:right w:val="none" w:sz="0" w:space="0" w:color="auto"/>
      </w:divBdr>
    </w:div>
    <w:div w:id="954870828">
      <w:bodyDiv w:val="1"/>
      <w:marLeft w:val="0"/>
      <w:marRight w:val="0"/>
      <w:marTop w:val="0"/>
      <w:marBottom w:val="0"/>
      <w:divBdr>
        <w:top w:val="none" w:sz="0" w:space="0" w:color="auto"/>
        <w:left w:val="none" w:sz="0" w:space="0" w:color="auto"/>
        <w:bottom w:val="none" w:sz="0" w:space="0" w:color="auto"/>
        <w:right w:val="none" w:sz="0" w:space="0" w:color="auto"/>
      </w:divBdr>
    </w:div>
    <w:div w:id="956259655">
      <w:bodyDiv w:val="1"/>
      <w:marLeft w:val="0"/>
      <w:marRight w:val="0"/>
      <w:marTop w:val="0"/>
      <w:marBottom w:val="0"/>
      <w:divBdr>
        <w:top w:val="none" w:sz="0" w:space="0" w:color="auto"/>
        <w:left w:val="none" w:sz="0" w:space="0" w:color="auto"/>
        <w:bottom w:val="none" w:sz="0" w:space="0" w:color="auto"/>
        <w:right w:val="none" w:sz="0" w:space="0" w:color="auto"/>
      </w:divBdr>
    </w:div>
    <w:div w:id="956988936">
      <w:bodyDiv w:val="1"/>
      <w:marLeft w:val="0"/>
      <w:marRight w:val="0"/>
      <w:marTop w:val="0"/>
      <w:marBottom w:val="0"/>
      <w:divBdr>
        <w:top w:val="none" w:sz="0" w:space="0" w:color="auto"/>
        <w:left w:val="none" w:sz="0" w:space="0" w:color="auto"/>
        <w:bottom w:val="none" w:sz="0" w:space="0" w:color="auto"/>
        <w:right w:val="none" w:sz="0" w:space="0" w:color="auto"/>
      </w:divBdr>
    </w:div>
    <w:div w:id="957954790">
      <w:bodyDiv w:val="1"/>
      <w:marLeft w:val="0"/>
      <w:marRight w:val="0"/>
      <w:marTop w:val="0"/>
      <w:marBottom w:val="0"/>
      <w:divBdr>
        <w:top w:val="none" w:sz="0" w:space="0" w:color="auto"/>
        <w:left w:val="none" w:sz="0" w:space="0" w:color="auto"/>
        <w:bottom w:val="none" w:sz="0" w:space="0" w:color="auto"/>
        <w:right w:val="none" w:sz="0" w:space="0" w:color="auto"/>
      </w:divBdr>
    </w:div>
    <w:div w:id="958101540">
      <w:bodyDiv w:val="1"/>
      <w:marLeft w:val="0"/>
      <w:marRight w:val="0"/>
      <w:marTop w:val="0"/>
      <w:marBottom w:val="0"/>
      <w:divBdr>
        <w:top w:val="none" w:sz="0" w:space="0" w:color="auto"/>
        <w:left w:val="none" w:sz="0" w:space="0" w:color="auto"/>
        <w:bottom w:val="none" w:sz="0" w:space="0" w:color="auto"/>
        <w:right w:val="none" w:sz="0" w:space="0" w:color="auto"/>
      </w:divBdr>
    </w:div>
    <w:div w:id="959916408">
      <w:bodyDiv w:val="1"/>
      <w:marLeft w:val="0"/>
      <w:marRight w:val="0"/>
      <w:marTop w:val="0"/>
      <w:marBottom w:val="0"/>
      <w:divBdr>
        <w:top w:val="none" w:sz="0" w:space="0" w:color="auto"/>
        <w:left w:val="none" w:sz="0" w:space="0" w:color="auto"/>
        <w:bottom w:val="none" w:sz="0" w:space="0" w:color="auto"/>
        <w:right w:val="none" w:sz="0" w:space="0" w:color="auto"/>
      </w:divBdr>
    </w:div>
    <w:div w:id="959992237">
      <w:bodyDiv w:val="1"/>
      <w:marLeft w:val="0"/>
      <w:marRight w:val="0"/>
      <w:marTop w:val="0"/>
      <w:marBottom w:val="0"/>
      <w:divBdr>
        <w:top w:val="none" w:sz="0" w:space="0" w:color="auto"/>
        <w:left w:val="none" w:sz="0" w:space="0" w:color="auto"/>
        <w:bottom w:val="none" w:sz="0" w:space="0" w:color="auto"/>
        <w:right w:val="none" w:sz="0" w:space="0" w:color="auto"/>
      </w:divBdr>
    </w:div>
    <w:div w:id="963079654">
      <w:bodyDiv w:val="1"/>
      <w:marLeft w:val="0"/>
      <w:marRight w:val="0"/>
      <w:marTop w:val="0"/>
      <w:marBottom w:val="0"/>
      <w:divBdr>
        <w:top w:val="none" w:sz="0" w:space="0" w:color="auto"/>
        <w:left w:val="none" w:sz="0" w:space="0" w:color="auto"/>
        <w:bottom w:val="none" w:sz="0" w:space="0" w:color="auto"/>
        <w:right w:val="none" w:sz="0" w:space="0" w:color="auto"/>
      </w:divBdr>
    </w:div>
    <w:div w:id="963730884">
      <w:bodyDiv w:val="1"/>
      <w:marLeft w:val="0"/>
      <w:marRight w:val="0"/>
      <w:marTop w:val="0"/>
      <w:marBottom w:val="0"/>
      <w:divBdr>
        <w:top w:val="none" w:sz="0" w:space="0" w:color="auto"/>
        <w:left w:val="none" w:sz="0" w:space="0" w:color="auto"/>
        <w:bottom w:val="none" w:sz="0" w:space="0" w:color="auto"/>
        <w:right w:val="none" w:sz="0" w:space="0" w:color="auto"/>
      </w:divBdr>
    </w:div>
    <w:div w:id="969824517">
      <w:bodyDiv w:val="1"/>
      <w:marLeft w:val="0"/>
      <w:marRight w:val="0"/>
      <w:marTop w:val="0"/>
      <w:marBottom w:val="0"/>
      <w:divBdr>
        <w:top w:val="none" w:sz="0" w:space="0" w:color="auto"/>
        <w:left w:val="none" w:sz="0" w:space="0" w:color="auto"/>
        <w:bottom w:val="none" w:sz="0" w:space="0" w:color="auto"/>
        <w:right w:val="none" w:sz="0" w:space="0" w:color="auto"/>
      </w:divBdr>
    </w:div>
    <w:div w:id="980696392">
      <w:bodyDiv w:val="1"/>
      <w:marLeft w:val="0"/>
      <w:marRight w:val="0"/>
      <w:marTop w:val="0"/>
      <w:marBottom w:val="0"/>
      <w:divBdr>
        <w:top w:val="none" w:sz="0" w:space="0" w:color="auto"/>
        <w:left w:val="none" w:sz="0" w:space="0" w:color="auto"/>
        <w:bottom w:val="none" w:sz="0" w:space="0" w:color="auto"/>
        <w:right w:val="none" w:sz="0" w:space="0" w:color="auto"/>
      </w:divBdr>
    </w:div>
    <w:div w:id="981151469">
      <w:bodyDiv w:val="1"/>
      <w:marLeft w:val="0"/>
      <w:marRight w:val="0"/>
      <w:marTop w:val="0"/>
      <w:marBottom w:val="0"/>
      <w:divBdr>
        <w:top w:val="none" w:sz="0" w:space="0" w:color="auto"/>
        <w:left w:val="none" w:sz="0" w:space="0" w:color="auto"/>
        <w:bottom w:val="none" w:sz="0" w:space="0" w:color="auto"/>
        <w:right w:val="none" w:sz="0" w:space="0" w:color="auto"/>
      </w:divBdr>
    </w:div>
    <w:div w:id="981814947">
      <w:bodyDiv w:val="1"/>
      <w:marLeft w:val="0"/>
      <w:marRight w:val="0"/>
      <w:marTop w:val="0"/>
      <w:marBottom w:val="0"/>
      <w:divBdr>
        <w:top w:val="none" w:sz="0" w:space="0" w:color="auto"/>
        <w:left w:val="none" w:sz="0" w:space="0" w:color="auto"/>
        <w:bottom w:val="none" w:sz="0" w:space="0" w:color="auto"/>
        <w:right w:val="none" w:sz="0" w:space="0" w:color="auto"/>
      </w:divBdr>
    </w:div>
    <w:div w:id="981926740">
      <w:bodyDiv w:val="1"/>
      <w:marLeft w:val="0"/>
      <w:marRight w:val="0"/>
      <w:marTop w:val="0"/>
      <w:marBottom w:val="0"/>
      <w:divBdr>
        <w:top w:val="none" w:sz="0" w:space="0" w:color="auto"/>
        <w:left w:val="none" w:sz="0" w:space="0" w:color="auto"/>
        <w:bottom w:val="none" w:sz="0" w:space="0" w:color="auto"/>
        <w:right w:val="none" w:sz="0" w:space="0" w:color="auto"/>
      </w:divBdr>
    </w:div>
    <w:div w:id="984819219">
      <w:bodyDiv w:val="1"/>
      <w:marLeft w:val="0"/>
      <w:marRight w:val="0"/>
      <w:marTop w:val="0"/>
      <w:marBottom w:val="0"/>
      <w:divBdr>
        <w:top w:val="none" w:sz="0" w:space="0" w:color="auto"/>
        <w:left w:val="none" w:sz="0" w:space="0" w:color="auto"/>
        <w:bottom w:val="none" w:sz="0" w:space="0" w:color="auto"/>
        <w:right w:val="none" w:sz="0" w:space="0" w:color="auto"/>
      </w:divBdr>
    </w:div>
    <w:div w:id="989794075">
      <w:bodyDiv w:val="1"/>
      <w:marLeft w:val="0"/>
      <w:marRight w:val="0"/>
      <w:marTop w:val="0"/>
      <w:marBottom w:val="0"/>
      <w:divBdr>
        <w:top w:val="none" w:sz="0" w:space="0" w:color="auto"/>
        <w:left w:val="none" w:sz="0" w:space="0" w:color="auto"/>
        <w:bottom w:val="none" w:sz="0" w:space="0" w:color="auto"/>
        <w:right w:val="none" w:sz="0" w:space="0" w:color="auto"/>
      </w:divBdr>
    </w:div>
    <w:div w:id="989941786">
      <w:bodyDiv w:val="1"/>
      <w:marLeft w:val="0"/>
      <w:marRight w:val="0"/>
      <w:marTop w:val="0"/>
      <w:marBottom w:val="0"/>
      <w:divBdr>
        <w:top w:val="none" w:sz="0" w:space="0" w:color="auto"/>
        <w:left w:val="none" w:sz="0" w:space="0" w:color="auto"/>
        <w:bottom w:val="none" w:sz="0" w:space="0" w:color="auto"/>
        <w:right w:val="none" w:sz="0" w:space="0" w:color="auto"/>
      </w:divBdr>
    </w:div>
    <w:div w:id="999115278">
      <w:bodyDiv w:val="1"/>
      <w:marLeft w:val="0"/>
      <w:marRight w:val="0"/>
      <w:marTop w:val="0"/>
      <w:marBottom w:val="0"/>
      <w:divBdr>
        <w:top w:val="none" w:sz="0" w:space="0" w:color="auto"/>
        <w:left w:val="none" w:sz="0" w:space="0" w:color="auto"/>
        <w:bottom w:val="none" w:sz="0" w:space="0" w:color="auto"/>
        <w:right w:val="none" w:sz="0" w:space="0" w:color="auto"/>
      </w:divBdr>
    </w:div>
    <w:div w:id="1001851984">
      <w:bodyDiv w:val="1"/>
      <w:marLeft w:val="0"/>
      <w:marRight w:val="0"/>
      <w:marTop w:val="0"/>
      <w:marBottom w:val="0"/>
      <w:divBdr>
        <w:top w:val="none" w:sz="0" w:space="0" w:color="auto"/>
        <w:left w:val="none" w:sz="0" w:space="0" w:color="auto"/>
        <w:bottom w:val="none" w:sz="0" w:space="0" w:color="auto"/>
        <w:right w:val="none" w:sz="0" w:space="0" w:color="auto"/>
      </w:divBdr>
    </w:div>
    <w:div w:id="1003583282">
      <w:bodyDiv w:val="1"/>
      <w:marLeft w:val="0"/>
      <w:marRight w:val="0"/>
      <w:marTop w:val="0"/>
      <w:marBottom w:val="0"/>
      <w:divBdr>
        <w:top w:val="none" w:sz="0" w:space="0" w:color="auto"/>
        <w:left w:val="none" w:sz="0" w:space="0" w:color="auto"/>
        <w:bottom w:val="none" w:sz="0" w:space="0" w:color="auto"/>
        <w:right w:val="none" w:sz="0" w:space="0" w:color="auto"/>
      </w:divBdr>
    </w:div>
    <w:div w:id="1004941649">
      <w:bodyDiv w:val="1"/>
      <w:marLeft w:val="0"/>
      <w:marRight w:val="0"/>
      <w:marTop w:val="0"/>
      <w:marBottom w:val="0"/>
      <w:divBdr>
        <w:top w:val="none" w:sz="0" w:space="0" w:color="auto"/>
        <w:left w:val="none" w:sz="0" w:space="0" w:color="auto"/>
        <w:bottom w:val="none" w:sz="0" w:space="0" w:color="auto"/>
        <w:right w:val="none" w:sz="0" w:space="0" w:color="auto"/>
      </w:divBdr>
    </w:div>
    <w:div w:id="1005130229">
      <w:bodyDiv w:val="1"/>
      <w:marLeft w:val="0"/>
      <w:marRight w:val="0"/>
      <w:marTop w:val="0"/>
      <w:marBottom w:val="0"/>
      <w:divBdr>
        <w:top w:val="none" w:sz="0" w:space="0" w:color="auto"/>
        <w:left w:val="none" w:sz="0" w:space="0" w:color="auto"/>
        <w:bottom w:val="none" w:sz="0" w:space="0" w:color="auto"/>
        <w:right w:val="none" w:sz="0" w:space="0" w:color="auto"/>
      </w:divBdr>
    </w:div>
    <w:div w:id="1008168664">
      <w:bodyDiv w:val="1"/>
      <w:marLeft w:val="0"/>
      <w:marRight w:val="0"/>
      <w:marTop w:val="0"/>
      <w:marBottom w:val="0"/>
      <w:divBdr>
        <w:top w:val="none" w:sz="0" w:space="0" w:color="auto"/>
        <w:left w:val="none" w:sz="0" w:space="0" w:color="auto"/>
        <w:bottom w:val="none" w:sz="0" w:space="0" w:color="auto"/>
        <w:right w:val="none" w:sz="0" w:space="0" w:color="auto"/>
      </w:divBdr>
      <w:divsChild>
        <w:div w:id="1615332317">
          <w:marLeft w:val="0"/>
          <w:marRight w:val="0"/>
          <w:marTop w:val="0"/>
          <w:marBottom w:val="0"/>
          <w:divBdr>
            <w:top w:val="none" w:sz="0" w:space="0" w:color="auto"/>
            <w:left w:val="none" w:sz="0" w:space="0" w:color="auto"/>
            <w:bottom w:val="none" w:sz="0" w:space="0" w:color="auto"/>
            <w:right w:val="none" w:sz="0" w:space="0" w:color="auto"/>
          </w:divBdr>
          <w:divsChild>
            <w:div w:id="991107590">
              <w:marLeft w:val="0"/>
              <w:marRight w:val="0"/>
              <w:marTop w:val="0"/>
              <w:marBottom w:val="0"/>
              <w:divBdr>
                <w:top w:val="none" w:sz="0" w:space="0" w:color="auto"/>
                <w:left w:val="none" w:sz="0" w:space="0" w:color="auto"/>
                <w:bottom w:val="none" w:sz="0" w:space="0" w:color="auto"/>
                <w:right w:val="none" w:sz="0" w:space="0" w:color="auto"/>
              </w:divBdr>
              <w:divsChild>
                <w:div w:id="244340417">
                  <w:marLeft w:val="0"/>
                  <w:marRight w:val="0"/>
                  <w:marTop w:val="0"/>
                  <w:marBottom w:val="0"/>
                  <w:divBdr>
                    <w:top w:val="none" w:sz="0" w:space="0" w:color="auto"/>
                    <w:left w:val="none" w:sz="0" w:space="0" w:color="auto"/>
                    <w:bottom w:val="none" w:sz="0" w:space="0" w:color="auto"/>
                    <w:right w:val="none" w:sz="0" w:space="0" w:color="auto"/>
                  </w:divBdr>
                  <w:divsChild>
                    <w:div w:id="1044872411">
                      <w:marLeft w:val="0"/>
                      <w:marRight w:val="0"/>
                      <w:marTop w:val="0"/>
                      <w:marBottom w:val="0"/>
                      <w:divBdr>
                        <w:top w:val="none" w:sz="0" w:space="0" w:color="auto"/>
                        <w:left w:val="none" w:sz="0" w:space="0" w:color="auto"/>
                        <w:bottom w:val="none" w:sz="0" w:space="0" w:color="auto"/>
                        <w:right w:val="none" w:sz="0" w:space="0" w:color="auto"/>
                      </w:divBdr>
                      <w:divsChild>
                        <w:div w:id="2033605920">
                          <w:marLeft w:val="0"/>
                          <w:marRight w:val="0"/>
                          <w:marTop w:val="0"/>
                          <w:marBottom w:val="0"/>
                          <w:divBdr>
                            <w:top w:val="none" w:sz="0" w:space="0" w:color="auto"/>
                            <w:left w:val="none" w:sz="0" w:space="0" w:color="auto"/>
                            <w:bottom w:val="none" w:sz="0" w:space="0" w:color="auto"/>
                            <w:right w:val="none" w:sz="0" w:space="0" w:color="auto"/>
                          </w:divBdr>
                          <w:divsChild>
                            <w:div w:id="1259173539">
                              <w:marLeft w:val="0"/>
                              <w:marRight w:val="0"/>
                              <w:marTop w:val="0"/>
                              <w:marBottom w:val="0"/>
                              <w:divBdr>
                                <w:top w:val="none" w:sz="0" w:space="0" w:color="auto"/>
                                <w:left w:val="none" w:sz="0" w:space="0" w:color="auto"/>
                                <w:bottom w:val="none" w:sz="0" w:space="0" w:color="auto"/>
                                <w:right w:val="none" w:sz="0" w:space="0" w:color="auto"/>
                              </w:divBdr>
                              <w:divsChild>
                                <w:div w:id="773403230">
                                  <w:marLeft w:val="0"/>
                                  <w:marRight w:val="0"/>
                                  <w:marTop w:val="0"/>
                                  <w:marBottom w:val="0"/>
                                  <w:divBdr>
                                    <w:top w:val="none" w:sz="0" w:space="0" w:color="auto"/>
                                    <w:left w:val="none" w:sz="0" w:space="0" w:color="auto"/>
                                    <w:bottom w:val="none" w:sz="0" w:space="0" w:color="auto"/>
                                    <w:right w:val="none" w:sz="0" w:space="0" w:color="auto"/>
                                  </w:divBdr>
                                  <w:divsChild>
                                    <w:div w:id="281569792">
                                      <w:marLeft w:val="0"/>
                                      <w:marRight w:val="0"/>
                                      <w:marTop w:val="0"/>
                                      <w:marBottom w:val="0"/>
                                      <w:divBdr>
                                        <w:top w:val="none" w:sz="0" w:space="0" w:color="auto"/>
                                        <w:left w:val="none" w:sz="0" w:space="0" w:color="auto"/>
                                        <w:bottom w:val="none" w:sz="0" w:space="0" w:color="auto"/>
                                        <w:right w:val="none" w:sz="0" w:space="0" w:color="auto"/>
                                      </w:divBdr>
                                      <w:divsChild>
                                        <w:div w:id="1368335686">
                                          <w:marLeft w:val="0"/>
                                          <w:marRight w:val="0"/>
                                          <w:marTop w:val="0"/>
                                          <w:marBottom w:val="0"/>
                                          <w:divBdr>
                                            <w:top w:val="none" w:sz="0" w:space="0" w:color="auto"/>
                                            <w:left w:val="none" w:sz="0" w:space="0" w:color="auto"/>
                                            <w:bottom w:val="none" w:sz="0" w:space="0" w:color="auto"/>
                                            <w:right w:val="none" w:sz="0" w:space="0" w:color="auto"/>
                                          </w:divBdr>
                                          <w:divsChild>
                                            <w:div w:id="17976307">
                                              <w:marLeft w:val="0"/>
                                              <w:marRight w:val="0"/>
                                              <w:marTop w:val="0"/>
                                              <w:marBottom w:val="495"/>
                                              <w:divBdr>
                                                <w:top w:val="none" w:sz="0" w:space="0" w:color="auto"/>
                                                <w:left w:val="none" w:sz="0" w:space="0" w:color="auto"/>
                                                <w:bottom w:val="none" w:sz="0" w:space="0" w:color="auto"/>
                                                <w:right w:val="none" w:sz="0" w:space="0" w:color="auto"/>
                                              </w:divBdr>
                                              <w:divsChild>
                                                <w:div w:id="1862009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010988179">
      <w:bodyDiv w:val="1"/>
      <w:marLeft w:val="0"/>
      <w:marRight w:val="0"/>
      <w:marTop w:val="0"/>
      <w:marBottom w:val="0"/>
      <w:divBdr>
        <w:top w:val="none" w:sz="0" w:space="0" w:color="auto"/>
        <w:left w:val="none" w:sz="0" w:space="0" w:color="auto"/>
        <w:bottom w:val="none" w:sz="0" w:space="0" w:color="auto"/>
        <w:right w:val="none" w:sz="0" w:space="0" w:color="auto"/>
      </w:divBdr>
    </w:div>
    <w:div w:id="1014722561">
      <w:bodyDiv w:val="1"/>
      <w:marLeft w:val="0"/>
      <w:marRight w:val="0"/>
      <w:marTop w:val="0"/>
      <w:marBottom w:val="0"/>
      <w:divBdr>
        <w:top w:val="none" w:sz="0" w:space="0" w:color="auto"/>
        <w:left w:val="none" w:sz="0" w:space="0" w:color="auto"/>
        <w:bottom w:val="none" w:sz="0" w:space="0" w:color="auto"/>
        <w:right w:val="none" w:sz="0" w:space="0" w:color="auto"/>
      </w:divBdr>
    </w:div>
    <w:div w:id="1015690399">
      <w:bodyDiv w:val="1"/>
      <w:marLeft w:val="0"/>
      <w:marRight w:val="0"/>
      <w:marTop w:val="0"/>
      <w:marBottom w:val="0"/>
      <w:divBdr>
        <w:top w:val="none" w:sz="0" w:space="0" w:color="auto"/>
        <w:left w:val="none" w:sz="0" w:space="0" w:color="auto"/>
        <w:bottom w:val="none" w:sz="0" w:space="0" w:color="auto"/>
        <w:right w:val="none" w:sz="0" w:space="0" w:color="auto"/>
      </w:divBdr>
    </w:div>
    <w:div w:id="1017459974">
      <w:bodyDiv w:val="1"/>
      <w:marLeft w:val="0"/>
      <w:marRight w:val="0"/>
      <w:marTop w:val="0"/>
      <w:marBottom w:val="0"/>
      <w:divBdr>
        <w:top w:val="none" w:sz="0" w:space="0" w:color="auto"/>
        <w:left w:val="none" w:sz="0" w:space="0" w:color="auto"/>
        <w:bottom w:val="none" w:sz="0" w:space="0" w:color="auto"/>
        <w:right w:val="none" w:sz="0" w:space="0" w:color="auto"/>
      </w:divBdr>
    </w:div>
    <w:div w:id="1021665676">
      <w:bodyDiv w:val="1"/>
      <w:marLeft w:val="0"/>
      <w:marRight w:val="0"/>
      <w:marTop w:val="0"/>
      <w:marBottom w:val="0"/>
      <w:divBdr>
        <w:top w:val="none" w:sz="0" w:space="0" w:color="auto"/>
        <w:left w:val="none" w:sz="0" w:space="0" w:color="auto"/>
        <w:bottom w:val="none" w:sz="0" w:space="0" w:color="auto"/>
        <w:right w:val="none" w:sz="0" w:space="0" w:color="auto"/>
      </w:divBdr>
    </w:div>
    <w:div w:id="1022704939">
      <w:bodyDiv w:val="1"/>
      <w:marLeft w:val="0"/>
      <w:marRight w:val="0"/>
      <w:marTop w:val="0"/>
      <w:marBottom w:val="0"/>
      <w:divBdr>
        <w:top w:val="none" w:sz="0" w:space="0" w:color="auto"/>
        <w:left w:val="none" w:sz="0" w:space="0" w:color="auto"/>
        <w:bottom w:val="none" w:sz="0" w:space="0" w:color="auto"/>
        <w:right w:val="none" w:sz="0" w:space="0" w:color="auto"/>
      </w:divBdr>
    </w:div>
    <w:div w:id="1023288295">
      <w:bodyDiv w:val="1"/>
      <w:marLeft w:val="0"/>
      <w:marRight w:val="0"/>
      <w:marTop w:val="0"/>
      <w:marBottom w:val="0"/>
      <w:divBdr>
        <w:top w:val="none" w:sz="0" w:space="0" w:color="auto"/>
        <w:left w:val="none" w:sz="0" w:space="0" w:color="auto"/>
        <w:bottom w:val="none" w:sz="0" w:space="0" w:color="auto"/>
        <w:right w:val="none" w:sz="0" w:space="0" w:color="auto"/>
      </w:divBdr>
    </w:div>
    <w:div w:id="1023744950">
      <w:bodyDiv w:val="1"/>
      <w:marLeft w:val="0"/>
      <w:marRight w:val="0"/>
      <w:marTop w:val="0"/>
      <w:marBottom w:val="0"/>
      <w:divBdr>
        <w:top w:val="none" w:sz="0" w:space="0" w:color="auto"/>
        <w:left w:val="none" w:sz="0" w:space="0" w:color="auto"/>
        <w:bottom w:val="none" w:sz="0" w:space="0" w:color="auto"/>
        <w:right w:val="none" w:sz="0" w:space="0" w:color="auto"/>
      </w:divBdr>
    </w:div>
    <w:div w:id="1024818789">
      <w:bodyDiv w:val="1"/>
      <w:marLeft w:val="0"/>
      <w:marRight w:val="0"/>
      <w:marTop w:val="0"/>
      <w:marBottom w:val="0"/>
      <w:divBdr>
        <w:top w:val="none" w:sz="0" w:space="0" w:color="auto"/>
        <w:left w:val="none" w:sz="0" w:space="0" w:color="auto"/>
        <w:bottom w:val="none" w:sz="0" w:space="0" w:color="auto"/>
        <w:right w:val="none" w:sz="0" w:space="0" w:color="auto"/>
      </w:divBdr>
    </w:div>
    <w:div w:id="1027877417">
      <w:bodyDiv w:val="1"/>
      <w:marLeft w:val="0"/>
      <w:marRight w:val="0"/>
      <w:marTop w:val="0"/>
      <w:marBottom w:val="0"/>
      <w:divBdr>
        <w:top w:val="none" w:sz="0" w:space="0" w:color="auto"/>
        <w:left w:val="none" w:sz="0" w:space="0" w:color="auto"/>
        <w:bottom w:val="none" w:sz="0" w:space="0" w:color="auto"/>
        <w:right w:val="none" w:sz="0" w:space="0" w:color="auto"/>
      </w:divBdr>
    </w:div>
    <w:div w:id="1028750600">
      <w:bodyDiv w:val="1"/>
      <w:marLeft w:val="0"/>
      <w:marRight w:val="0"/>
      <w:marTop w:val="0"/>
      <w:marBottom w:val="0"/>
      <w:divBdr>
        <w:top w:val="none" w:sz="0" w:space="0" w:color="auto"/>
        <w:left w:val="none" w:sz="0" w:space="0" w:color="auto"/>
        <w:bottom w:val="none" w:sz="0" w:space="0" w:color="auto"/>
        <w:right w:val="none" w:sz="0" w:space="0" w:color="auto"/>
      </w:divBdr>
    </w:div>
    <w:div w:id="1029143090">
      <w:bodyDiv w:val="1"/>
      <w:marLeft w:val="0"/>
      <w:marRight w:val="0"/>
      <w:marTop w:val="0"/>
      <w:marBottom w:val="0"/>
      <w:divBdr>
        <w:top w:val="none" w:sz="0" w:space="0" w:color="auto"/>
        <w:left w:val="none" w:sz="0" w:space="0" w:color="auto"/>
        <w:bottom w:val="none" w:sz="0" w:space="0" w:color="auto"/>
        <w:right w:val="none" w:sz="0" w:space="0" w:color="auto"/>
      </w:divBdr>
    </w:div>
    <w:div w:id="1033076390">
      <w:bodyDiv w:val="1"/>
      <w:marLeft w:val="0"/>
      <w:marRight w:val="0"/>
      <w:marTop w:val="0"/>
      <w:marBottom w:val="0"/>
      <w:divBdr>
        <w:top w:val="none" w:sz="0" w:space="0" w:color="auto"/>
        <w:left w:val="none" w:sz="0" w:space="0" w:color="auto"/>
        <w:bottom w:val="none" w:sz="0" w:space="0" w:color="auto"/>
        <w:right w:val="none" w:sz="0" w:space="0" w:color="auto"/>
      </w:divBdr>
    </w:div>
    <w:div w:id="1034505080">
      <w:bodyDiv w:val="1"/>
      <w:marLeft w:val="0"/>
      <w:marRight w:val="0"/>
      <w:marTop w:val="0"/>
      <w:marBottom w:val="0"/>
      <w:divBdr>
        <w:top w:val="none" w:sz="0" w:space="0" w:color="auto"/>
        <w:left w:val="none" w:sz="0" w:space="0" w:color="auto"/>
        <w:bottom w:val="none" w:sz="0" w:space="0" w:color="auto"/>
        <w:right w:val="none" w:sz="0" w:space="0" w:color="auto"/>
      </w:divBdr>
    </w:div>
    <w:div w:id="1038437489">
      <w:bodyDiv w:val="1"/>
      <w:marLeft w:val="0"/>
      <w:marRight w:val="0"/>
      <w:marTop w:val="0"/>
      <w:marBottom w:val="0"/>
      <w:divBdr>
        <w:top w:val="none" w:sz="0" w:space="0" w:color="auto"/>
        <w:left w:val="none" w:sz="0" w:space="0" w:color="auto"/>
        <w:bottom w:val="none" w:sz="0" w:space="0" w:color="auto"/>
        <w:right w:val="none" w:sz="0" w:space="0" w:color="auto"/>
      </w:divBdr>
    </w:div>
    <w:div w:id="1038965946">
      <w:bodyDiv w:val="1"/>
      <w:marLeft w:val="0"/>
      <w:marRight w:val="0"/>
      <w:marTop w:val="0"/>
      <w:marBottom w:val="0"/>
      <w:divBdr>
        <w:top w:val="none" w:sz="0" w:space="0" w:color="auto"/>
        <w:left w:val="none" w:sz="0" w:space="0" w:color="auto"/>
        <w:bottom w:val="none" w:sz="0" w:space="0" w:color="auto"/>
        <w:right w:val="none" w:sz="0" w:space="0" w:color="auto"/>
      </w:divBdr>
    </w:div>
    <w:div w:id="1042710184">
      <w:bodyDiv w:val="1"/>
      <w:marLeft w:val="0"/>
      <w:marRight w:val="0"/>
      <w:marTop w:val="0"/>
      <w:marBottom w:val="0"/>
      <w:divBdr>
        <w:top w:val="none" w:sz="0" w:space="0" w:color="auto"/>
        <w:left w:val="none" w:sz="0" w:space="0" w:color="auto"/>
        <w:bottom w:val="none" w:sz="0" w:space="0" w:color="auto"/>
        <w:right w:val="none" w:sz="0" w:space="0" w:color="auto"/>
      </w:divBdr>
    </w:div>
    <w:div w:id="1046374152">
      <w:bodyDiv w:val="1"/>
      <w:marLeft w:val="0"/>
      <w:marRight w:val="0"/>
      <w:marTop w:val="0"/>
      <w:marBottom w:val="0"/>
      <w:divBdr>
        <w:top w:val="none" w:sz="0" w:space="0" w:color="auto"/>
        <w:left w:val="none" w:sz="0" w:space="0" w:color="auto"/>
        <w:bottom w:val="none" w:sz="0" w:space="0" w:color="auto"/>
        <w:right w:val="none" w:sz="0" w:space="0" w:color="auto"/>
      </w:divBdr>
    </w:div>
    <w:div w:id="1050610702">
      <w:bodyDiv w:val="1"/>
      <w:marLeft w:val="0"/>
      <w:marRight w:val="0"/>
      <w:marTop w:val="0"/>
      <w:marBottom w:val="0"/>
      <w:divBdr>
        <w:top w:val="none" w:sz="0" w:space="0" w:color="auto"/>
        <w:left w:val="none" w:sz="0" w:space="0" w:color="auto"/>
        <w:bottom w:val="none" w:sz="0" w:space="0" w:color="auto"/>
        <w:right w:val="none" w:sz="0" w:space="0" w:color="auto"/>
      </w:divBdr>
    </w:div>
    <w:div w:id="1054088655">
      <w:bodyDiv w:val="1"/>
      <w:marLeft w:val="0"/>
      <w:marRight w:val="0"/>
      <w:marTop w:val="0"/>
      <w:marBottom w:val="0"/>
      <w:divBdr>
        <w:top w:val="none" w:sz="0" w:space="0" w:color="auto"/>
        <w:left w:val="none" w:sz="0" w:space="0" w:color="auto"/>
        <w:bottom w:val="none" w:sz="0" w:space="0" w:color="auto"/>
        <w:right w:val="none" w:sz="0" w:space="0" w:color="auto"/>
      </w:divBdr>
    </w:div>
    <w:div w:id="1057126701">
      <w:bodyDiv w:val="1"/>
      <w:marLeft w:val="0"/>
      <w:marRight w:val="0"/>
      <w:marTop w:val="0"/>
      <w:marBottom w:val="0"/>
      <w:divBdr>
        <w:top w:val="none" w:sz="0" w:space="0" w:color="auto"/>
        <w:left w:val="none" w:sz="0" w:space="0" w:color="auto"/>
        <w:bottom w:val="none" w:sz="0" w:space="0" w:color="auto"/>
        <w:right w:val="none" w:sz="0" w:space="0" w:color="auto"/>
      </w:divBdr>
    </w:div>
    <w:div w:id="1060593095">
      <w:bodyDiv w:val="1"/>
      <w:marLeft w:val="0"/>
      <w:marRight w:val="0"/>
      <w:marTop w:val="0"/>
      <w:marBottom w:val="0"/>
      <w:divBdr>
        <w:top w:val="none" w:sz="0" w:space="0" w:color="auto"/>
        <w:left w:val="none" w:sz="0" w:space="0" w:color="auto"/>
        <w:bottom w:val="none" w:sz="0" w:space="0" w:color="auto"/>
        <w:right w:val="none" w:sz="0" w:space="0" w:color="auto"/>
      </w:divBdr>
    </w:div>
    <w:div w:id="1067607595">
      <w:bodyDiv w:val="1"/>
      <w:marLeft w:val="0"/>
      <w:marRight w:val="0"/>
      <w:marTop w:val="0"/>
      <w:marBottom w:val="0"/>
      <w:divBdr>
        <w:top w:val="none" w:sz="0" w:space="0" w:color="auto"/>
        <w:left w:val="none" w:sz="0" w:space="0" w:color="auto"/>
        <w:bottom w:val="none" w:sz="0" w:space="0" w:color="auto"/>
        <w:right w:val="none" w:sz="0" w:space="0" w:color="auto"/>
      </w:divBdr>
    </w:div>
    <w:div w:id="1068697603">
      <w:bodyDiv w:val="1"/>
      <w:marLeft w:val="0"/>
      <w:marRight w:val="0"/>
      <w:marTop w:val="0"/>
      <w:marBottom w:val="0"/>
      <w:divBdr>
        <w:top w:val="none" w:sz="0" w:space="0" w:color="auto"/>
        <w:left w:val="none" w:sz="0" w:space="0" w:color="auto"/>
        <w:bottom w:val="none" w:sz="0" w:space="0" w:color="auto"/>
        <w:right w:val="none" w:sz="0" w:space="0" w:color="auto"/>
      </w:divBdr>
    </w:div>
    <w:div w:id="1076823749">
      <w:bodyDiv w:val="1"/>
      <w:marLeft w:val="0"/>
      <w:marRight w:val="0"/>
      <w:marTop w:val="0"/>
      <w:marBottom w:val="0"/>
      <w:divBdr>
        <w:top w:val="none" w:sz="0" w:space="0" w:color="auto"/>
        <w:left w:val="none" w:sz="0" w:space="0" w:color="auto"/>
        <w:bottom w:val="none" w:sz="0" w:space="0" w:color="auto"/>
        <w:right w:val="none" w:sz="0" w:space="0" w:color="auto"/>
      </w:divBdr>
    </w:div>
    <w:div w:id="1080101532">
      <w:bodyDiv w:val="1"/>
      <w:marLeft w:val="0"/>
      <w:marRight w:val="0"/>
      <w:marTop w:val="0"/>
      <w:marBottom w:val="0"/>
      <w:divBdr>
        <w:top w:val="none" w:sz="0" w:space="0" w:color="auto"/>
        <w:left w:val="none" w:sz="0" w:space="0" w:color="auto"/>
        <w:bottom w:val="none" w:sz="0" w:space="0" w:color="auto"/>
        <w:right w:val="none" w:sz="0" w:space="0" w:color="auto"/>
      </w:divBdr>
    </w:div>
    <w:div w:id="1084259446">
      <w:bodyDiv w:val="1"/>
      <w:marLeft w:val="0"/>
      <w:marRight w:val="0"/>
      <w:marTop w:val="0"/>
      <w:marBottom w:val="0"/>
      <w:divBdr>
        <w:top w:val="none" w:sz="0" w:space="0" w:color="auto"/>
        <w:left w:val="none" w:sz="0" w:space="0" w:color="auto"/>
        <w:bottom w:val="none" w:sz="0" w:space="0" w:color="auto"/>
        <w:right w:val="none" w:sz="0" w:space="0" w:color="auto"/>
      </w:divBdr>
    </w:div>
    <w:div w:id="1087963617">
      <w:bodyDiv w:val="1"/>
      <w:marLeft w:val="0"/>
      <w:marRight w:val="0"/>
      <w:marTop w:val="0"/>
      <w:marBottom w:val="0"/>
      <w:divBdr>
        <w:top w:val="none" w:sz="0" w:space="0" w:color="auto"/>
        <w:left w:val="none" w:sz="0" w:space="0" w:color="auto"/>
        <w:bottom w:val="none" w:sz="0" w:space="0" w:color="auto"/>
        <w:right w:val="none" w:sz="0" w:space="0" w:color="auto"/>
      </w:divBdr>
    </w:div>
    <w:div w:id="1089428959">
      <w:bodyDiv w:val="1"/>
      <w:marLeft w:val="0"/>
      <w:marRight w:val="0"/>
      <w:marTop w:val="0"/>
      <w:marBottom w:val="0"/>
      <w:divBdr>
        <w:top w:val="none" w:sz="0" w:space="0" w:color="auto"/>
        <w:left w:val="none" w:sz="0" w:space="0" w:color="auto"/>
        <w:bottom w:val="none" w:sz="0" w:space="0" w:color="auto"/>
        <w:right w:val="none" w:sz="0" w:space="0" w:color="auto"/>
      </w:divBdr>
    </w:div>
    <w:div w:id="1091927100">
      <w:bodyDiv w:val="1"/>
      <w:marLeft w:val="0"/>
      <w:marRight w:val="0"/>
      <w:marTop w:val="0"/>
      <w:marBottom w:val="0"/>
      <w:divBdr>
        <w:top w:val="none" w:sz="0" w:space="0" w:color="auto"/>
        <w:left w:val="none" w:sz="0" w:space="0" w:color="auto"/>
        <w:bottom w:val="none" w:sz="0" w:space="0" w:color="auto"/>
        <w:right w:val="none" w:sz="0" w:space="0" w:color="auto"/>
      </w:divBdr>
    </w:div>
    <w:div w:id="1091972854">
      <w:bodyDiv w:val="1"/>
      <w:marLeft w:val="0"/>
      <w:marRight w:val="0"/>
      <w:marTop w:val="0"/>
      <w:marBottom w:val="0"/>
      <w:divBdr>
        <w:top w:val="none" w:sz="0" w:space="0" w:color="auto"/>
        <w:left w:val="none" w:sz="0" w:space="0" w:color="auto"/>
        <w:bottom w:val="none" w:sz="0" w:space="0" w:color="auto"/>
        <w:right w:val="none" w:sz="0" w:space="0" w:color="auto"/>
      </w:divBdr>
    </w:div>
    <w:div w:id="1095059546">
      <w:bodyDiv w:val="1"/>
      <w:marLeft w:val="0"/>
      <w:marRight w:val="0"/>
      <w:marTop w:val="0"/>
      <w:marBottom w:val="0"/>
      <w:divBdr>
        <w:top w:val="none" w:sz="0" w:space="0" w:color="auto"/>
        <w:left w:val="none" w:sz="0" w:space="0" w:color="auto"/>
        <w:bottom w:val="none" w:sz="0" w:space="0" w:color="auto"/>
        <w:right w:val="none" w:sz="0" w:space="0" w:color="auto"/>
      </w:divBdr>
    </w:div>
    <w:div w:id="1098210041">
      <w:bodyDiv w:val="1"/>
      <w:marLeft w:val="0"/>
      <w:marRight w:val="0"/>
      <w:marTop w:val="0"/>
      <w:marBottom w:val="0"/>
      <w:divBdr>
        <w:top w:val="none" w:sz="0" w:space="0" w:color="auto"/>
        <w:left w:val="none" w:sz="0" w:space="0" w:color="auto"/>
        <w:bottom w:val="none" w:sz="0" w:space="0" w:color="auto"/>
        <w:right w:val="none" w:sz="0" w:space="0" w:color="auto"/>
      </w:divBdr>
    </w:div>
    <w:div w:id="1098645708">
      <w:bodyDiv w:val="1"/>
      <w:marLeft w:val="0"/>
      <w:marRight w:val="0"/>
      <w:marTop w:val="0"/>
      <w:marBottom w:val="0"/>
      <w:divBdr>
        <w:top w:val="none" w:sz="0" w:space="0" w:color="auto"/>
        <w:left w:val="none" w:sz="0" w:space="0" w:color="auto"/>
        <w:bottom w:val="none" w:sz="0" w:space="0" w:color="auto"/>
        <w:right w:val="none" w:sz="0" w:space="0" w:color="auto"/>
      </w:divBdr>
    </w:div>
    <w:div w:id="1099641097">
      <w:bodyDiv w:val="1"/>
      <w:marLeft w:val="0"/>
      <w:marRight w:val="0"/>
      <w:marTop w:val="0"/>
      <w:marBottom w:val="0"/>
      <w:divBdr>
        <w:top w:val="none" w:sz="0" w:space="0" w:color="auto"/>
        <w:left w:val="none" w:sz="0" w:space="0" w:color="auto"/>
        <w:bottom w:val="none" w:sz="0" w:space="0" w:color="auto"/>
        <w:right w:val="none" w:sz="0" w:space="0" w:color="auto"/>
      </w:divBdr>
    </w:div>
    <w:div w:id="1099759633">
      <w:bodyDiv w:val="1"/>
      <w:marLeft w:val="0"/>
      <w:marRight w:val="0"/>
      <w:marTop w:val="0"/>
      <w:marBottom w:val="0"/>
      <w:divBdr>
        <w:top w:val="none" w:sz="0" w:space="0" w:color="auto"/>
        <w:left w:val="none" w:sz="0" w:space="0" w:color="auto"/>
        <w:bottom w:val="none" w:sz="0" w:space="0" w:color="auto"/>
        <w:right w:val="none" w:sz="0" w:space="0" w:color="auto"/>
      </w:divBdr>
    </w:div>
    <w:div w:id="1100298846">
      <w:bodyDiv w:val="1"/>
      <w:marLeft w:val="0"/>
      <w:marRight w:val="0"/>
      <w:marTop w:val="0"/>
      <w:marBottom w:val="0"/>
      <w:divBdr>
        <w:top w:val="none" w:sz="0" w:space="0" w:color="auto"/>
        <w:left w:val="none" w:sz="0" w:space="0" w:color="auto"/>
        <w:bottom w:val="none" w:sz="0" w:space="0" w:color="auto"/>
        <w:right w:val="none" w:sz="0" w:space="0" w:color="auto"/>
      </w:divBdr>
    </w:div>
    <w:div w:id="1100487628">
      <w:bodyDiv w:val="1"/>
      <w:marLeft w:val="0"/>
      <w:marRight w:val="0"/>
      <w:marTop w:val="0"/>
      <w:marBottom w:val="0"/>
      <w:divBdr>
        <w:top w:val="none" w:sz="0" w:space="0" w:color="auto"/>
        <w:left w:val="none" w:sz="0" w:space="0" w:color="auto"/>
        <w:bottom w:val="none" w:sz="0" w:space="0" w:color="auto"/>
        <w:right w:val="none" w:sz="0" w:space="0" w:color="auto"/>
      </w:divBdr>
    </w:div>
    <w:div w:id="1100490851">
      <w:bodyDiv w:val="1"/>
      <w:marLeft w:val="0"/>
      <w:marRight w:val="0"/>
      <w:marTop w:val="0"/>
      <w:marBottom w:val="0"/>
      <w:divBdr>
        <w:top w:val="none" w:sz="0" w:space="0" w:color="auto"/>
        <w:left w:val="none" w:sz="0" w:space="0" w:color="auto"/>
        <w:bottom w:val="none" w:sz="0" w:space="0" w:color="auto"/>
        <w:right w:val="none" w:sz="0" w:space="0" w:color="auto"/>
      </w:divBdr>
    </w:div>
    <w:div w:id="1107240214">
      <w:bodyDiv w:val="1"/>
      <w:marLeft w:val="0"/>
      <w:marRight w:val="0"/>
      <w:marTop w:val="0"/>
      <w:marBottom w:val="0"/>
      <w:divBdr>
        <w:top w:val="none" w:sz="0" w:space="0" w:color="auto"/>
        <w:left w:val="none" w:sz="0" w:space="0" w:color="auto"/>
        <w:bottom w:val="none" w:sz="0" w:space="0" w:color="auto"/>
        <w:right w:val="none" w:sz="0" w:space="0" w:color="auto"/>
      </w:divBdr>
    </w:div>
    <w:div w:id="1111314617">
      <w:bodyDiv w:val="1"/>
      <w:marLeft w:val="0"/>
      <w:marRight w:val="0"/>
      <w:marTop w:val="0"/>
      <w:marBottom w:val="0"/>
      <w:divBdr>
        <w:top w:val="none" w:sz="0" w:space="0" w:color="auto"/>
        <w:left w:val="none" w:sz="0" w:space="0" w:color="auto"/>
        <w:bottom w:val="none" w:sz="0" w:space="0" w:color="auto"/>
        <w:right w:val="none" w:sz="0" w:space="0" w:color="auto"/>
      </w:divBdr>
    </w:div>
    <w:div w:id="1112433399">
      <w:bodyDiv w:val="1"/>
      <w:marLeft w:val="0"/>
      <w:marRight w:val="0"/>
      <w:marTop w:val="0"/>
      <w:marBottom w:val="0"/>
      <w:divBdr>
        <w:top w:val="none" w:sz="0" w:space="0" w:color="auto"/>
        <w:left w:val="none" w:sz="0" w:space="0" w:color="auto"/>
        <w:bottom w:val="none" w:sz="0" w:space="0" w:color="auto"/>
        <w:right w:val="none" w:sz="0" w:space="0" w:color="auto"/>
      </w:divBdr>
    </w:div>
    <w:div w:id="1117525645">
      <w:bodyDiv w:val="1"/>
      <w:marLeft w:val="0"/>
      <w:marRight w:val="0"/>
      <w:marTop w:val="0"/>
      <w:marBottom w:val="0"/>
      <w:divBdr>
        <w:top w:val="none" w:sz="0" w:space="0" w:color="auto"/>
        <w:left w:val="none" w:sz="0" w:space="0" w:color="auto"/>
        <w:bottom w:val="none" w:sz="0" w:space="0" w:color="auto"/>
        <w:right w:val="none" w:sz="0" w:space="0" w:color="auto"/>
      </w:divBdr>
    </w:div>
    <w:div w:id="1119684626">
      <w:bodyDiv w:val="1"/>
      <w:marLeft w:val="0"/>
      <w:marRight w:val="0"/>
      <w:marTop w:val="0"/>
      <w:marBottom w:val="0"/>
      <w:divBdr>
        <w:top w:val="none" w:sz="0" w:space="0" w:color="auto"/>
        <w:left w:val="none" w:sz="0" w:space="0" w:color="auto"/>
        <w:bottom w:val="none" w:sz="0" w:space="0" w:color="auto"/>
        <w:right w:val="none" w:sz="0" w:space="0" w:color="auto"/>
      </w:divBdr>
    </w:div>
    <w:div w:id="1123115056">
      <w:bodyDiv w:val="1"/>
      <w:marLeft w:val="0"/>
      <w:marRight w:val="0"/>
      <w:marTop w:val="0"/>
      <w:marBottom w:val="0"/>
      <w:divBdr>
        <w:top w:val="none" w:sz="0" w:space="0" w:color="auto"/>
        <w:left w:val="none" w:sz="0" w:space="0" w:color="auto"/>
        <w:bottom w:val="none" w:sz="0" w:space="0" w:color="auto"/>
        <w:right w:val="none" w:sz="0" w:space="0" w:color="auto"/>
      </w:divBdr>
    </w:div>
    <w:div w:id="1126385901">
      <w:bodyDiv w:val="1"/>
      <w:marLeft w:val="0"/>
      <w:marRight w:val="0"/>
      <w:marTop w:val="0"/>
      <w:marBottom w:val="0"/>
      <w:divBdr>
        <w:top w:val="none" w:sz="0" w:space="0" w:color="auto"/>
        <w:left w:val="none" w:sz="0" w:space="0" w:color="auto"/>
        <w:bottom w:val="none" w:sz="0" w:space="0" w:color="auto"/>
        <w:right w:val="none" w:sz="0" w:space="0" w:color="auto"/>
      </w:divBdr>
    </w:div>
    <w:div w:id="1128935098">
      <w:bodyDiv w:val="1"/>
      <w:marLeft w:val="0"/>
      <w:marRight w:val="0"/>
      <w:marTop w:val="0"/>
      <w:marBottom w:val="0"/>
      <w:divBdr>
        <w:top w:val="none" w:sz="0" w:space="0" w:color="auto"/>
        <w:left w:val="none" w:sz="0" w:space="0" w:color="auto"/>
        <w:bottom w:val="none" w:sz="0" w:space="0" w:color="auto"/>
        <w:right w:val="none" w:sz="0" w:space="0" w:color="auto"/>
      </w:divBdr>
    </w:div>
    <w:div w:id="1131745146">
      <w:bodyDiv w:val="1"/>
      <w:marLeft w:val="0"/>
      <w:marRight w:val="0"/>
      <w:marTop w:val="0"/>
      <w:marBottom w:val="0"/>
      <w:divBdr>
        <w:top w:val="none" w:sz="0" w:space="0" w:color="auto"/>
        <w:left w:val="none" w:sz="0" w:space="0" w:color="auto"/>
        <w:bottom w:val="none" w:sz="0" w:space="0" w:color="auto"/>
        <w:right w:val="none" w:sz="0" w:space="0" w:color="auto"/>
      </w:divBdr>
    </w:div>
    <w:div w:id="1131749109">
      <w:bodyDiv w:val="1"/>
      <w:marLeft w:val="0"/>
      <w:marRight w:val="0"/>
      <w:marTop w:val="0"/>
      <w:marBottom w:val="0"/>
      <w:divBdr>
        <w:top w:val="none" w:sz="0" w:space="0" w:color="auto"/>
        <w:left w:val="none" w:sz="0" w:space="0" w:color="auto"/>
        <w:bottom w:val="none" w:sz="0" w:space="0" w:color="auto"/>
        <w:right w:val="none" w:sz="0" w:space="0" w:color="auto"/>
      </w:divBdr>
    </w:div>
    <w:div w:id="1134180896">
      <w:bodyDiv w:val="1"/>
      <w:marLeft w:val="0"/>
      <w:marRight w:val="0"/>
      <w:marTop w:val="0"/>
      <w:marBottom w:val="0"/>
      <w:divBdr>
        <w:top w:val="none" w:sz="0" w:space="0" w:color="auto"/>
        <w:left w:val="none" w:sz="0" w:space="0" w:color="auto"/>
        <w:bottom w:val="none" w:sz="0" w:space="0" w:color="auto"/>
        <w:right w:val="none" w:sz="0" w:space="0" w:color="auto"/>
      </w:divBdr>
    </w:div>
    <w:div w:id="1134255969">
      <w:bodyDiv w:val="1"/>
      <w:marLeft w:val="0"/>
      <w:marRight w:val="0"/>
      <w:marTop w:val="0"/>
      <w:marBottom w:val="0"/>
      <w:divBdr>
        <w:top w:val="none" w:sz="0" w:space="0" w:color="auto"/>
        <w:left w:val="none" w:sz="0" w:space="0" w:color="auto"/>
        <w:bottom w:val="none" w:sz="0" w:space="0" w:color="auto"/>
        <w:right w:val="none" w:sz="0" w:space="0" w:color="auto"/>
      </w:divBdr>
    </w:div>
    <w:div w:id="1143815932">
      <w:bodyDiv w:val="1"/>
      <w:marLeft w:val="0"/>
      <w:marRight w:val="0"/>
      <w:marTop w:val="0"/>
      <w:marBottom w:val="0"/>
      <w:divBdr>
        <w:top w:val="none" w:sz="0" w:space="0" w:color="auto"/>
        <w:left w:val="none" w:sz="0" w:space="0" w:color="auto"/>
        <w:bottom w:val="none" w:sz="0" w:space="0" w:color="auto"/>
        <w:right w:val="none" w:sz="0" w:space="0" w:color="auto"/>
      </w:divBdr>
    </w:div>
    <w:div w:id="1144469001">
      <w:bodyDiv w:val="1"/>
      <w:marLeft w:val="0"/>
      <w:marRight w:val="0"/>
      <w:marTop w:val="0"/>
      <w:marBottom w:val="0"/>
      <w:divBdr>
        <w:top w:val="none" w:sz="0" w:space="0" w:color="auto"/>
        <w:left w:val="none" w:sz="0" w:space="0" w:color="auto"/>
        <w:bottom w:val="none" w:sz="0" w:space="0" w:color="auto"/>
        <w:right w:val="none" w:sz="0" w:space="0" w:color="auto"/>
      </w:divBdr>
    </w:div>
    <w:div w:id="1145271567">
      <w:bodyDiv w:val="1"/>
      <w:marLeft w:val="0"/>
      <w:marRight w:val="0"/>
      <w:marTop w:val="0"/>
      <w:marBottom w:val="0"/>
      <w:divBdr>
        <w:top w:val="none" w:sz="0" w:space="0" w:color="auto"/>
        <w:left w:val="none" w:sz="0" w:space="0" w:color="auto"/>
        <w:bottom w:val="none" w:sz="0" w:space="0" w:color="auto"/>
        <w:right w:val="none" w:sz="0" w:space="0" w:color="auto"/>
      </w:divBdr>
    </w:div>
    <w:div w:id="1145317388">
      <w:marLeft w:val="0"/>
      <w:marRight w:val="0"/>
      <w:marTop w:val="0"/>
      <w:marBottom w:val="0"/>
      <w:divBdr>
        <w:top w:val="none" w:sz="0" w:space="0" w:color="auto"/>
        <w:left w:val="none" w:sz="0" w:space="0" w:color="auto"/>
        <w:bottom w:val="none" w:sz="0" w:space="0" w:color="auto"/>
        <w:right w:val="none" w:sz="0" w:space="0" w:color="auto"/>
      </w:divBdr>
    </w:div>
    <w:div w:id="1145317392">
      <w:marLeft w:val="0"/>
      <w:marRight w:val="0"/>
      <w:marTop w:val="0"/>
      <w:marBottom w:val="0"/>
      <w:divBdr>
        <w:top w:val="none" w:sz="0" w:space="0" w:color="auto"/>
        <w:left w:val="none" w:sz="0" w:space="0" w:color="auto"/>
        <w:bottom w:val="none" w:sz="0" w:space="0" w:color="auto"/>
        <w:right w:val="none" w:sz="0" w:space="0" w:color="auto"/>
      </w:divBdr>
      <w:divsChild>
        <w:div w:id="1145317391">
          <w:marLeft w:val="605"/>
          <w:marRight w:val="0"/>
          <w:marTop w:val="96"/>
          <w:marBottom w:val="0"/>
          <w:divBdr>
            <w:top w:val="none" w:sz="0" w:space="0" w:color="auto"/>
            <w:left w:val="none" w:sz="0" w:space="0" w:color="auto"/>
            <w:bottom w:val="none" w:sz="0" w:space="0" w:color="auto"/>
            <w:right w:val="none" w:sz="0" w:space="0" w:color="auto"/>
          </w:divBdr>
        </w:div>
        <w:div w:id="1145317400">
          <w:marLeft w:val="605"/>
          <w:marRight w:val="0"/>
          <w:marTop w:val="96"/>
          <w:marBottom w:val="0"/>
          <w:divBdr>
            <w:top w:val="none" w:sz="0" w:space="0" w:color="auto"/>
            <w:left w:val="none" w:sz="0" w:space="0" w:color="auto"/>
            <w:bottom w:val="none" w:sz="0" w:space="0" w:color="auto"/>
            <w:right w:val="none" w:sz="0" w:space="0" w:color="auto"/>
          </w:divBdr>
        </w:div>
      </w:divsChild>
    </w:div>
    <w:div w:id="1145317393">
      <w:marLeft w:val="0"/>
      <w:marRight w:val="0"/>
      <w:marTop w:val="0"/>
      <w:marBottom w:val="0"/>
      <w:divBdr>
        <w:top w:val="none" w:sz="0" w:space="0" w:color="auto"/>
        <w:left w:val="none" w:sz="0" w:space="0" w:color="auto"/>
        <w:bottom w:val="none" w:sz="0" w:space="0" w:color="auto"/>
        <w:right w:val="none" w:sz="0" w:space="0" w:color="auto"/>
      </w:divBdr>
    </w:div>
    <w:div w:id="1145317394">
      <w:marLeft w:val="0"/>
      <w:marRight w:val="0"/>
      <w:marTop w:val="0"/>
      <w:marBottom w:val="0"/>
      <w:divBdr>
        <w:top w:val="none" w:sz="0" w:space="0" w:color="auto"/>
        <w:left w:val="none" w:sz="0" w:space="0" w:color="auto"/>
        <w:bottom w:val="none" w:sz="0" w:space="0" w:color="auto"/>
        <w:right w:val="none" w:sz="0" w:space="0" w:color="auto"/>
      </w:divBdr>
    </w:div>
    <w:div w:id="1145317395">
      <w:marLeft w:val="0"/>
      <w:marRight w:val="0"/>
      <w:marTop w:val="0"/>
      <w:marBottom w:val="0"/>
      <w:divBdr>
        <w:top w:val="none" w:sz="0" w:space="0" w:color="auto"/>
        <w:left w:val="none" w:sz="0" w:space="0" w:color="auto"/>
        <w:bottom w:val="none" w:sz="0" w:space="0" w:color="auto"/>
        <w:right w:val="none" w:sz="0" w:space="0" w:color="auto"/>
      </w:divBdr>
    </w:div>
    <w:div w:id="1145317396">
      <w:marLeft w:val="0"/>
      <w:marRight w:val="0"/>
      <w:marTop w:val="0"/>
      <w:marBottom w:val="0"/>
      <w:divBdr>
        <w:top w:val="none" w:sz="0" w:space="0" w:color="auto"/>
        <w:left w:val="none" w:sz="0" w:space="0" w:color="auto"/>
        <w:bottom w:val="none" w:sz="0" w:space="0" w:color="auto"/>
        <w:right w:val="none" w:sz="0" w:space="0" w:color="auto"/>
      </w:divBdr>
      <w:divsChild>
        <w:div w:id="1145317389">
          <w:marLeft w:val="547"/>
          <w:marRight w:val="0"/>
          <w:marTop w:val="144"/>
          <w:marBottom w:val="0"/>
          <w:divBdr>
            <w:top w:val="none" w:sz="0" w:space="0" w:color="auto"/>
            <w:left w:val="none" w:sz="0" w:space="0" w:color="auto"/>
            <w:bottom w:val="none" w:sz="0" w:space="0" w:color="auto"/>
            <w:right w:val="none" w:sz="0" w:space="0" w:color="auto"/>
          </w:divBdr>
        </w:div>
        <w:div w:id="1145317398">
          <w:marLeft w:val="547"/>
          <w:marRight w:val="0"/>
          <w:marTop w:val="144"/>
          <w:marBottom w:val="0"/>
          <w:divBdr>
            <w:top w:val="none" w:sz="0" w:space="0" w:color="auto"/>
            <w:left w:val="none" w:sz="0" w:space="0" w:color="auto"/>
            <w:bottom w:val="none" w:sz="0" w:space="0" w:color="auto"/>
            <w:right w:val="none" w:sz="0" w:space="0" w:color="auto"/>
          </w:divBdr>
        </w:div>
        <w:div w:id="1145317399">
          <w:marLeft w:val="547"/>
          <w:marRight w:val="0"/>
          <w:marTop w:val="144"/>
          <w:marBottom w:val="0"/>
          <w:divBdr>
            <w:top w:val="none" w:sz="0" w:space="0" w:color="auto"/>
            <w:left w:val="none" w:sz="0" w:space="0" w:color="auto"/>
            <w:bottom w:val="none" w:sz="0" w:space="0" w:color="auto"/>
            <w:right w:val="none" w:sz="0" w:space="0" w:color="auto"/>
          </w:divBdr>
        </w:div>
      </w:divsChild>
    </w:div>
    <w:div w:id="1145317401">
      <w:marLeft w:val="0"/>
      <w:marRight w:val="0"/>
      <w:marTop w:val="0"/>
      <w:marBottom w:val="0"/>
      <w:divBdr>
        <w:top w:val="none" w:sz="0" w:space="0" w:color="auto"/>
        <w:left w:val="none" w:sz="0" w:space="0" w:color="auto"/>
        <w:bottom w:val="none" w:sz="0" w:space="0" w:color="auto"/>
        <w:right w:val="none" w:sz="0" w:space="0" w:color="auto"/>
      </w:divBdr>
    </w:div>
    <w:div w:id="1145317402">
      <w:marLeft w:val="0"/>
      <w:marRight w:val="0"/>
      <w:marTop w:val="0"/>
      <w:marBottom w:val="0"/>
      <w:divBdr>
        <w:top w:val="none" w:sz="0" w:space="0" w:color="auto"/>
        <w:left w:val="none" w:sz="0" w:space="0" w:color="auto"/>
        <w:bottom w:val="none" w:sz="0" w:space="0" w:color="auto"/>
        <w:right w:val="none" w:sz="0" w:space="0" w:color="auto"/>
      </w:divBdr>
      <w:divsChild>
        <w:div w:id="1145317390">
          <w:marLeft w:val="547"/>
          <w:marRight w:val="0"/>
          <w:marTop w:val="134"/>
          <w:marBottom w:val="0"/>
          <w:divBdr>
            <w:top w:val="none" w:sz="0" w:space="0" w:color="auto"/>
            <w:left w:val="none" w:sz="0" w:space="0" w:color="auto"/>
            <w:bottom w:val="none" w:sz="0" w:space="0" w:color="auto"/>
            <w:right w:val="none" w:sz="0" w:space="0" w:color="auto"/>
          </w:divBdr>
        </w:div>
        <w:div w:id="1145317397">
          <w:marLeft w:val="547"/>
          <w:marRight w:val="0"/>
          <w:marTop w:val="134"/>
          <w:marBottom w:val="0"/>
          <w:divBdr>
            <w:top w:val="none" w:sz="0" w:space="0" w:color="auto"/>
            <w:left w:val="none" w:sz="0" w:space="0" w:color="auto"/>
            <w:bottom w:val="none" w:sz="0" w:space="0" w:color="auto"/>
            <w:right w:val="none" w:sz="0" w:space="0" w:color="auto"/>
          </w:divBdr>
        </w:div>
      </w:divsChild>
    </w:div>
    <w:div w:id="1145317403">
      <w:marLeft w:val="0"/>
      <w:marRight w:val="0"/>
      <w:marTop w:val="0"/>
      <w:marBottom w:val="0"/>
      <w:divBdr>
        <w:top w:val="none" w:sz="0" w:space="0" w:color="auto"/>
        <w:left w:val="none" w:sz="0" w:space="0" w:color="auto"/>
        <w:bottom w:val="none" w:sz="0" w:space="0" w:color="auto"/>
        <w:right w:val="none" w:sz="0" w:space="0" w:color="auto"/>
      </w:divBdr>
    </w:div>
    <w:div w:id="1152798602">
      <w:bodyDiv w:val="1"/>
      <w:marLeft w:val="0"/>
      <w:marRight w:val="0"/>
      <w:marTop w:val="0"/>
      <w:marBottom w:val="0"/>
      <w:divBdr>
        <w:top w:val="none" w:sz="0" w:space="0" w:color="auto"/>
        <w:left w:val="none" w:sz="0" w:space="0" w:color="auto"/>
        <w:bottom w:val="none" w:sz="0" w:space="0" w:color="auto"/>
        <w:right w:val="none" w:sz="0" w:space="0" w:color="auto"/>
      </w:divBdr>
    </w:div>
    <w:div w:id="1154420537">
      <w:bodyDiv w:val="1"/>
      <w:marLeft w:val="0"/>
      <w:marRight w:val="0"/>
      <w:marTop w:val="0"/>
      <w:marBottom w:val="0"/>
      <w:divBdr>
        <w:top w:val="none" w:sz="0" w:space="0" w:color="auto"/>
        <w:left w:val="none" w:sz="0" w:space="0" w:color="auto"/>
        <w:bottom w:val="none" w:sz="0" w:space="0" w:color="auto"/>
        <w:right w:val="none" w:sz="0" w:space="0" w:color="auto"/>
      </w:divBdr>
    </w:div>
    <w:div w:id="1155924184">
      <w:bodyDiv w:val="1"/>
      <w:marLeft w:val="0"/>
      <w:marRight w:val="0"/>
      <w:marTop w:val="0"/>
      <w:marBottom w:val="0"/>
      <w:divBdr>
        <w:top w:val="none" w:sz="0" w:space="0" w:color="auto"/>
        <w:left w:val="none" w:sz="0" w:space="0" w:color="auto"/>
        <w:bottom w:val="none" w:sz="0" w:space="0" w:color="auto"/>
        <w:right w:val="none" w:sz="0" w:space="0" w:color="auto"/>
      </w:divBdr>
    </w:div>
    <w:div w:id="1156334155">
      <w:bodyDiv w:val="1"/>
      <w:marLeft w:val="0"/>
      <w:marRight w:val="0"/>
      <w:marTop w:val="0"/>
      <w:marBottom w:val="0"/>
      <w:divBdr>
        <w:top w:val="none" w:sz="0" w:space="0" w:color="auto"/>
        <w:left w:val="none" w:sz="0" w:space="0" w:color="auto"/>
        <w:bottom w:val="none" w:sz="0" w:space="0" w:color="auto"/>
        <w:right w:val="none" w:sz="0" w:space="0" w:color="auto"/>
      </w:divBdr>
    </w:div>
    <w:div w:id="1170172643">
      <w:bodyDiv w:val="1"/>
      <w:marLeft w:val="0"/>
      <w:marRight w:val="0"/>
      <w:marTop w:val="0"/>
      <w:marBottom w:val="0"/>
      <w:divBdr>
        <w:top w:val="none" w:sz="0" w:space="0" w:color="auto"/>
        <w:left w:val="none" w:sz="0" w:space="0" w:color="auto"/>
        <w:bottom w:val="none" w:sz="0" w:space="0" w:color="auto"/>
        <w:right w:val="none" w:sz="0" w:space="0" w:color="auto"/>
      </w:divBdr>
    </w:div>
    <w:div w:id="1173567209">
      <w:bodyDiv w:val="1"/>
      <w:marLeft w:val="0"/>
      <w:marRight w:val="0"/>
      <w:marTop w:val="0"/>
      <w:marBottom w:val="0"/>
      <w:divBdr>
        <w:top w:val="none" w:sz="0" w:space="0" w:color="auto"/>
        <w:left w:val="none" w:sz="0" w:space="0" w:color="auto"/>
        <w:bottom w:val="none" w:sz="0" w:space="0" w:color="auto"/>
        <w:right w:val="none" w:sz="0" w:space="0" w:color="auto"/>
      </w:divBdr>
    </w:div>
    <w:div w:id="1174538857">
      <w:bodyDiv w:val="1"/>
      <w:marLeft w:val="0"/>
      <w:marRight w:val="0"/>
      <w:marTop w:val="0"/>
      <w:marBottom w:val="0"/>
      <w:divBdr>
        <w:top w:val="none" w:sz="0" w:space="0" w:color="auto"/>
        <w:left w:val="none" w:sz="0" w:space="0" w:color="auto"/>
        <w:bottom w:val="none" w:sz="0" w:space="0" w:color="auto"/>
        <w:right w:val="none" w:sz="0" w:space="0" w:color="auto"/>
      </w:divBdr>
    </w:div>
    <w:div w:id="1176916454">
      <w:bodyDiv w:val="1"/>
      <w:marLeft w:val="0"/>
      <w:marRight w:val="0"/>
      <w:marTop w:val="0"/>
      <w:marBottom w:val="0"/>
      <w:divBdr>
        <w:top w:val="none" w:sz="0" w:space="0" w:color="auto"/>
        <w:left w:val="none" w:sz="0" w:space="0" w:color="auto"/>
        <w:bottom w:val="none" w:sz="0" w:space="0" w:color="auto"/>
        <w:right w:val="none" w:sz="0" w:space="0" w:color="auto"/>
      </w:divBdr>
    </w:div>
    <w:div w:id="1177383458">
      <w:bodyDiv w:val="1"/>
      <w:marLeft w:val="0"/>
      <w:marRight w:val="0"/>
      <w:marTop w:val="0"/>
      <w:marBottom w:val="0"/>
      <w:divBdr>
        <w:top w:val="none" w:sz="0" w:space="0" w:color="auto"/>
        <w:left w:val="none" w:sz="0" w:space="0" w:color="auto"/>
        <w:bottom w:val="none" w:sz="0" w:space="0" w:color="auto"/>
        <w:right w:val="none" w:sz="0" w:space="0" w:color="auto"/>
      </w:divBdr>
    </w:div>
    <w:div w:id="1177573090">
      <w:bodyDiv w:val="1"/>
      <w:marLeft w:val="0"/>
      <w:marRight w:val="0"/>
      <w:marTop w:val="0"/>
      <w:marBottom w:val="0"/>
      <w:divBdr>
        <w:top w:val="none" w:sz="0" w:space="0" w:color="auto"/>
        <w:left w:val="none" w:sz="0" w:space="0" w:color="auto"/>
        <w:bottom w:val="none" w:sz="0" w:space="0" w:color="auto"/>
        <w:right w:val="none" w:sz="0" w:space="0" w:color="auto"/>
      </w:divBdr>
    </w:div>
    <w:div w:id="1178151192">
      <w:bodyDiv w:val="1"/>
      <w:marLeft w:val="0"/>
      <w:marRight w:val="0"/>
      <w:marTop w:val="0"/>
      <w:marBottom w:val="0"/>
      <w:divBdr>
        <w:top w:val="none" w:sz="0" w:space="0" w:color="auto"/>
        <w:left w:val="none" w:sz="0" w:space="0" w:color="auto"/>
        <w:bottom w:val="none" w:sz="0" w:space="0" w:color="auto"/>
        <w:right w:val="none" w:sz="0" w:space="0" w:color="auto"/>
      </w:divBdr>
    </w:div>
    <w:div w:id="1183086012">
      <w:bodyDiv w:val="1"/>
      <w:marLeft w:val="0"/>
      <w:marRight w:val="0"/>
      <w:marTop w:val="0"/>
      <w:marBottom w:val="0"/>
      <w:divBdr>
        <w:top w:val="none" w:sz="0" w:space="0" w:color="auto"/>
        <w:left w:val="none" w:sz="0" w:space="0" w:color="auto"/>
        <w:bottom w:val="none" w:sz="0" w:space="0" w:color="auto"/>
        <w:right w:val="none" w:sz="0" w:space="0" w:color="auto"/>
      </w:divBdr>
    </w:div>
    <w:div w:id="1183130719">
      <w:bodyDiv w:val="1"/>
      <w:marLeft w:val="0"/>
      <w:marRight w:val="0"/>
      <w:marTop w:val="0"/>
      <w:marBottom w:val="0"/>
      <w:divBdr>
        <w:top w:val="none" w:sz="0" w:space="0" w:color="auto"/>
        <w:left w:val="none" w:sz="0" w:space="0" w:color="auto"/>
        <w:bottom w:val="none" w:sz="0" w:space="0" w:color="auto"/>
        <w:right w:val="none" w:sz="0" w:space="0" w:color="auto"/>
      </w:divBdr>
    </w:div>
    <w:div w:id="1184635908">
      <w:bodyDiv w:val="1"/>
      <w:marLeft w:val="0"/>
      <w:marRight w:val="0"/>
      <w:marTop w:val="0"/>
      <w:marBottom w:val="0"/>
      <w:divBdr>
        <w:top w:val="none" w:sz="0" w:space="0" w:color="auto"/>
        <w:left w:val="none" w:sz="0" w:space="0" w:color="auto"/>
        <w:bottom w:val="none" w:sz="0" w:space="0" w:color="auto"/>
        <w:right w:val="none" w:sz="0" w:space="0" w:color="auto"/>
      </w:divBdr>
    </w:div>
    <w:div w:id="1185633733">
      <w:bodyDiv w:val="1"/>
      <w:marLeft w:val="0"/>
      <w:marRight w:val="0"/>
      <w:marTop w:val="0"/>
      <w:marBottom w:val="0"/>
      <w:divBdr>
        <w:top w:val="none" w:sz="0" w:space="0" w:color="auto"/>
        <w:left w:val="none" w:sz="0" w:space="0" w:color="auto"/>
        <w:bottom w:val="none" w:sz="0" w:space="0" w:color="auto"/>
        <w:right w:val="none" w:sz="0" w:space="0" w:color="auto"/>
      </w:divBdr>
    </w:div>
    <w:div w:id="1187670205">
      <w:bodyDiv w:val="1"/>
      <w:marLeft w:val="0"/>
      <w:marRight w:val="0"/>
      <w:marTop w:val="0"/>
      <w:marBottom w:val="0"/>
      <w:divBdr>
        <w:top w:val="none" w:sz="0" w:space="0" w:color="auto"/>
        <w:left w:val="none" w:sz="0" w:space="0" w:color="auto"/>
        <w:bottom w:val="none" w:sz="0" w:space="0" w:color="auto"/>
        <w:right w:val="none" w:sz="0" w:space="0" w:color="auto"/>
      </w:divBdr>
    </w:div>
    <w:div w:id="1194810090">
      <w:bodyDiv w:val="1"/>
      <w:marLeft w:val="0"/>
      <w:marRight w:val="0"/>
      <w:marTop w:val="0"/>
      <w:marBottom w:val="0"/>
      <w:divBdr>
        <w:top w:val="none" w:sz="0" w:space="0" w:color="auto"/>
        <w:left w:val="none" w:sz="0" w:space="0" w:color="auto"/>
        <w:bottom w:val="none" w:sz="0" w:space="0" w:color="auto"/>
        <w:right w:val="none" w:sz="0" w:space="0" w:color="auto"/>
      </w:divBdr>
    </w:div>
    <w:div w:id="1198617490">
      <w:bodyDiv w:val="1"/>
      <w:marLeft w:val="0"/>
      <w:marRight w:val="0"/>
      <w:marTop w:val="0"/>
      <w:marBottom w:val="0"/>
      <w:divBdr>
        <w:top w:val="none" w:sz="0" w:space="0" w:color="auto"/>
        <w:left w:val="none" w:sz="0" w:space="0" w:color="auto"/>
        <w:bottom w:val="none" w:sz="0" w:space="0" w:color="auto"/>
        <w:right w:val="none" w:sz="0" w:space="0" w:color="auto"/>
      </w:divBdr>
    </w:div>
    <w:div w:id="1198852342">
      <w:bodyDiv w:val="1"/>
      <w:marLeft w:val="0"/>
      <w:marRight w:val="0"/>
      <w:marTop w:val="0"/>
      <w:marBottom w:val="0"/>
      <w:divBdr>
        <w:top w:val="none" w:sz="0" w:space="0" w:color="auto"/>
        <w:left w:val="none" w:sz="0" w:space="0" w:color="auto"/>
        <w:bottom w:val="none" w:sz="0" w:space="0" w:color="auto"/>
        <w:right w:val="none" w:sz="0" w:space="0" w:color="auto"/>
      </w:divBdr>
    </w:div>
    <w:div w:id="1200508413">
      <w:bodyDiv w:val="1"/>
      <w:marLeft w:val="0"/>
      <w:marRight w:val="0"/>
      <w:marTop w:val="0"/>
      <w:marBottom w:val="0"/>
      <w:divBdr>
        <w:top w:val="none" w:sz="0" w:space="0" w:color="auto"/>
        <w:left w:val="none" w:sz="0" w:space="0" w:color="auto"/>
        <w:bottom w:val="none" w:sz="0" w:space="0" w:color="auto"/>
        <w:right w:val="none" w:sz="0" w:space="0" w:color="auto"/>
      </w:divBdr>
    </w:div>
    <w:div w:id="1201628419">
      <w:bodyDiv w:val="1"/>
      <w:marLeft w:val="0"/>
      <w:marRight w:val="0"/>
      <w:marTop w:val="0"/>
      <w:marBottom w:val="0"/>
      <w:divBdr>
        <w:top w:val="none" w:sz="0" w:space="0" w:color="auto"/>
        <w:left w:val="none" w:sz="0" w:space="0" w:color="auto"/>
        <w:bottom w:val="none" w:sz="0" w:space="0" w:color="auto"/>
        <w:right w:val="none" w:sz="0" w:space="0" w:color="auto"/>
      </w:divBdr>
    </w:div>
    <w:div w:id="1204636426">
      <w:bodyDiv w:val="1"/>
      <w:marLeft w:val="0"/>
      <w:marRight w:val="0"/>
      <w:marTop w:val="0"/>
      <w:marBottom w:val="0"/>
      <w:divBdr>
        <w:top w:val="none" w:sz="0" w:space="0" w:color="auto"/>
        <w:left w:val="none" w:sz="0" w:space="0" w:color="auto"/>
        <w:bottom w:val="none" w:sz="0" w:space="0" w:color="auto"/>
        <w:right w:val="none" w:sz="0" w:space="0" w:color="auto"/>
      </w:divBdr>
    </w:div>
    <w:div w:id="1204708131">
      <w:bodyDiv w:val="1"/>
      <w:marLeft w:val="0"/>
      <w:marRight w:val="0"/>
      <w:marTop w:val="0"/>
      <w:marBottom w:val="0"/>
      <w:divBdr>
        <w:top w:val="none" w:sz="0" w:space="0" w:color="auto"/>
        <w:left w:val="none" w:sz="0" w:space="0" w:color="auto"/>
        <w:bottom w:val="none" w:sz="0" w:space="0" w:color="auto"/>
        <w:right w:val="none" w:sz="0" w:space="0" w:color="auto"/>
      </w:divBdr>
    </w:div>
    <w:div w:id="1211263759">
      <w:bodyDiv w:val="1"/>
      <w:marLeft w:val="0"/>
      <w:marRight w:val="0"/>
      <w:marTop w:val="0"/>
      <w:marBottom w:val="0"/>
      <w:divBdr>
        <w:top w:val="none" w:sz="0" w:space="0" w:color="auto"/>
        <w:left w:val="none" w:sz="0" w:space="0" w:color="auto"/>
        <w:bottom w:val="none" w:sz="0" w:space="0" w:color="auto"/>
        <w:right w:val="none" w:sz="0" w:space="0" w:color="auto"/>
      </w:divBdr>
    </w:div>
    <w:div w:id="1214200407">
      <w:bodyDiv w:val="1"/>
      <w:marLeft w:val="0"/>
      <w:marRight w:val="0"/>
      <w:marTop w:val="0"/>
      <w:marBottom w:val="0"/>
      <w:divBdr>
        <w:top w:val="none" w:sz="0" w:space="0" w:color="auto"/>
        <w:left w:val="none" w:sz="0" w:space="0" w:color="auto"/>
        <w:bottom w:val="none" w:sz="0" w:space="0" w:color="auto"/>
        <w:right w:val="none" w:sz="0" w:space="0" w:color="auto"/>
      </w:divBdr>
    </w:div>
    <w:div w:id="1216356114">
      <w:bodyDiv w:val="1"/>
      <w:marLeft w:val="0"/>
      <w:marRight w:val="0"/>
      <w:marTop w:val="0"/>
      <w:marBottom w:val="0"/>
      <w:divBdr>
        <w:top w:val="none" w:sz="0" w:space="0" w:color="auto"/>
        <w:left w:val="none" w:sz="0" w:space="0" w:color="auto"/>
        <w:bottom w:val="none" w:sz="0" w:space="0" w:color="auto"/>
        <w:right w:val="none" w:sz="0" w:space="0" w:color="auto"/>
      </w:divBdr>
    </w:div>
    <w:div w:id="1216969356">
      <w:bodyDiv w:val="1"/>
      <w:marLeft w:val="0"/>
      <w:marRight w:val="0"/>
      <w:marTop w:val="0"/>
      <w:marBottom w:val="0"/>
      <w:divBdr>
        <w:top w:val="none" w:sz="0" w:space="0" w:color="auto"/>
        <w:left w:val="none" w:sz="0" w:space="0" w:color="auto"/>
        <w:bottom w:val="none" w:sz="0" w:space="0" w:color="auto"/>
        <w:right w:val="none" w:sz="0" w:space="0" w:color="auto"/>
      </w:divBdr>
    </w:div>
    <w:div w:id="1218859787">
      <w:bodyDiv w:val="1"/>
      <w:marLeft w:val="0"/>
      <w:marRight w:val="0"/>
      <w:marTop w:val="0"/>
      <w:marBottom w:val="0"/>
      <w:divBdr>
        <w:top w:val="none" w:sz="0" w:space="0" w:color="auto"/>
        <w:left w:val="none" w:sz="0" w:space="0" w:color="auto"/>
        <w:bottom w:val="none" w:sz="0" w:space="0" w:color="auto"/>
        <w:right w:val="none" w:sz="0" w:space="0" w:color="auto"/>
      </w:divBdr>
    </w:div>
    <w:div w:id="1226838793">
      <w:bodyDiv w:val="1"/>
      <w:marLeft w:val="0"/>
      <w:marRight w:val="0"/>
      <w:marTop w:val="0"/>
      <w:marBottom w:val="0"/>
      <w:divBdr>
        <w:top w:val="none" w:sz="0" w:space="0" w:color="auto"/>
        <w:left w:val="none" w:sz="0" w:space="0" w:color="auto"/>
        <w:bottom w:val="none" w:sz="0" w:space="0" w:color="auto"/>
        <w:right w:val="none" w:sz="0" w:space="0" w:color="auto"/>
      </w:divBdr>
    </w:div>
    <w:div w:id="1230383656">
      <w:bodyDiv w:val="1"/>
      <w:marLeft w:val="0"/>
      <w:marRight w:val="0"/>
      <w:marTop w:val="0"/>
      <w:marBottom w:val="0"/>
      <w:divBdr>
        <w:top w:val="none" w:sz="0" w:space="0" w:color="auto"/>
        <w:left w:val="none" w:sz="0" w:space="0" w:color="auto"/>
        <w:bottom w:val="none" w:sz="0" w:space="0" w:color="auto"/>
        <w:right w:val="none" w:sz="0" w:space="0" w:color="auto"/>
      </w:divBdr>
    </w:div>
    <w:div w:id="1234314681">
      <w:bodyDiv w:val="1"/>
      <w:marLeft w:val="0"/>
      <w:marRight w:val="0"/>
      <w:marTop w:val="0"/>
      <w:marBottom w:val="0"/>
      <w:divBdr>
        <w:top w:val="none" w:sz="0" w:space="0" w:color="auto"/>
        <w:left w:val="none" w:sz="0" w:space="0" w:color="auto"/>
        <w:bottom w:val="none" w:sz="0" w:space="0" w:color="auto"/>
        <w:right w:val="none" w:sz="0" w:space="0" w:color="auto"/>
      </w:divBdr>
    </w:div>
    <w:div w:id="1246301583">
      <w:bodyDiv w:val="1"/>
      <w:marLeft w:val="0"/>
      <w:marRight w:val="0"/>
      <w:marTop w:val="0"/>
      <w:marBottom w:val="0"/>
      <w:divBdr>
        <w:top w:val="none" w:sz="0" w:space="0" w:color="auto"/>
        <w:left w:val="none" w:sz="0" w:space="0" w:color="auto"/>
        <w:bottom w:val="none" w:sz="0" w:space="0" w:color="auto"/>
        <w:right w:val="none" w:sz="0" w:space="0" w:color="auto"/>
      </w:divBdr>
    </w:div>
    <w:div w:id="1248997017">
      <w:bodyDiv w:val="1"/>
      <w:marLeft w:val="0"/>
      <w:marRight w:val="0"/>
      <w:marTop w:val="0"/>
      <w:marBottom w:val="0"/>
      <w:divBdr>
        <w:top w:val="none" w:sz="0" w:space="0" w:color="auto"/>
        <w:left w:val="none" w:sz="0" w:space="0" w:color="auto"/>
        <w:bottom w:val="none" w:sz="0" w:space="0" w:color="auto"/>
        <w:right w:val="none" w:sz="0" w:space="0" w:color="auto"/>
      </w:divBdr>
    </w:div>
    <w:div w:id="1254046671">
      <w:bodyDiv w:val="1"/>
      <w:marLeft w:val="0"/>
      <w:marRight w:val="0"/>
      <w:marTop w:val="0"/>
      <w:marBottom w:val="0"/>
      <w:divBdr>
        <w:top w:val="none" w:sz="0" w:space="0" w:color="auto"/>
        <w:left w:val="none" w:sz="0" w:space="0" w:color="auto"/>
        <w:bottom w:val="none" w:sz="0" w:space="0" w:color="auto"/>
        <w:right w:val="none" w:sz="0" w:space="0" w:color="auto"/>
      </w:divBdr>
    </w:div>
    <w:div w:id="1257061592">
      <w:bodyDiv w:val="1"/>
      <w:marLeft w:val="0"/>
      <w:marRight w:val="0"/>
      <w:marTop w:val="0"/>
      <w:marBottom w:val="0"/>
      <w:divBdr>
        <w:top w:val="none" w:sz="0" w:space="0" w:color="auto"/>
        <w:left w:val="none" w:sz="0" w:space="0" w:color="auto"/>
        <w:bottom w:val="none" w:sz="0" w:space="0" w:color="auto"/>
        <w:right w:val="none" w:sz="0" w:space="0" w:color="auto"/>
      </w:divBdr>
    </w:div>
    <w:div w:id="1259602658">
      <w:bodyDiv w:val="1"/>
      <w:marLeft w:val="0"/>
      <w:marRight w:val="0"/>
      <w:marTop w:val="0"/>
      <w:marBottom w:val="0"/>
      <w:divBdr>
        <w:top w:val="none" w:sz="0" w:space="0" w:color="auto"/>
        <w:left w:val="none" w:sz="0" w:space="0" w:color="auto"/>
        <w:bottom w:val="none" w:sz="0" w:space="0" w:color="auto"/>
        <w:right w:val="none" w:sz="0" w:space="0" w:color="auto"/>
      </w:divBdr>
    </w:div>
    <w:div w:id="1260722521">
      <w:bodyDiv w:val="1"/>
      <w:marLeft w:val="0"/>
      <w:marRight w:val="0"/>
      <w:marTop w:val="0"/>
      <w:marBottom w:val="0"/>
      <w:divBdr>
        <w:top w:val="none" w:sz="0" w:space="0" w:color="auto"/>
        <w:left w:val="none" w:sz="0" w:space="0" w:color="auto"/>
        <w:bottom w:val="none" w:sz="0" w:space="0" w:color="auto"/>
        <w:right w:val="none" w:sz="0" w:space="0" w:color="auto"/>
      </w:divBdr>
    </w:div>
    <w:div w:id="1261526763">
      <w:bodyDiv w:val="1"/>
      <w:marLeft w:val="0"/>
      <w:marRight w:val="0"/>
      <w:marTop w:val="0"/>
      <w:marBottom w:val="0"/>
      <w:divBdr>
        <w:top w:val="none" w:sz="0" w:space="0" w:color="auto"/>
        <w:left w:val="none" w:sz="0" w:space="0" w:color="auto"/>
        <w:bottom w:val="none" w:sz="0" w:space="0" w:color="auto"/>
        <w:right w:val="none" w:sz="0" w:space="0" w:color="auto"/>
      </w:divBdr>
    </w:div>
    <w:div w:id="1265067322">
      <w:bodyDiv w:val="1"/>
      <w:marLeft w:val="0"/>
      <w:marRight w:val="0"/>
      <w:marTop w:val="0"/>
      <w:marBottom w:val="0"/>
      <w:divBdr>
        <w:top w:val="none" w:sz="0" w:space="0" w:color="auto"/>
        <w:left w:val="none" w:sz="0" w:space="0" w:color="auto"/>
        <w:bottom w:val="none" w:sz="0" w:space="0" w:color="auto"/>
        <w:right w:val="none" w:sz="0" w:space="0" w:color="auto"/>
      </w:divBdr>
    </w:div>
    <w:div w:id="1265961572">
      <w:bodyDiv w:val="1"/>
      <w:marLeft w:val="0"/>
      <w:marRight w:val="0"/>
      <w:marTop w:val="0"/>
      <w:marBottom w:val="0"/>
      <w:divBdr>
        <w:top w:val="none" w:sz="0" w:space="0" w:color="auto"/>
        <w:left w:val="none" w:sz="0" w:space="0" w:color="auto"/>
        <w:bottom w:val="none" w:sz="0" w:space="0" w:color="auto"/>
        <w:right w:val="none" w:sz="0" w:space="0" w:color="auto"/>
      </w:divBdr>
    </w:div>
    <w:div w:id="1266421757">
      <w:bodyDiv w:val="1"/>
      <w:marLeft w:val="0"/>
      <w:marRight w:val="0"/>
      <w:marTop w:val="0"/>
      <w:marBottom w:val="0"/>
      <w:divBdr>
        <w:top w:val="none" w:sz="0" w:space="0" w:color="auto"/>
        <w:left w:val="none" w:sz="0" w:space="0" w:color="auto"/>
        <w:bottom w:val="none" w:sz="0" w:space="0" w:color="auto"/>
        <w:right w:val="none" w:sz="0" w:space="0" w:color="auto"/>
      </w:divBdr>
    </w:div>
    <w:div w:id="1268734228">
      <w:bodyDiv w:val="1"/>
      <w:marLeft w:val="0"/>
      <w:marRight w:val="0"/>
      <w:marTop w:val="0"/>
      <w:marBottom w:val="0"/>
      <w:divBdr>
        <w:top w:val="none" w:sz="0" w:space="0" w:color="auto"/>
        <w:left w:val="none" w:sz="0" w:space="0" w:color="auto"/>
        <w:bottom w:val="none" w:sz="0" w:space="0" w:color="auto"/>
        <w:right w:val="none" w:sz="0" w:space="0" w:color="auto"/>
      </w:divBdr>
    </w:div>
    <w:div w:id="1268778231">
      <w:bodyDiv w:val="1"/>
      <w:marLeft w:val="0"/>
      <w:marRight w:val="0"/>
      <w:marTop w:val="0"/>
      <w:marBottom w:val="0"/>
      <w:divBdr>
        <w:top w:val="none" w:sz="0" w:space="0" w:color="auto"/>
        <w:left w:val="none" w:sz="0" w:space="0" w:color="auto"/>
        <w:bottom w:val="none" w:sz="0" w:space="0" w:color="auto"/>
        <w:right w:val="none" w:sz="0" w:space="0" w:color="auto"/>
      </w:divBdr>
    </w:div>
    <w:div w:id="1269047596">
      <w:bodyDiv w:val="1"/>
      <w:marLeft w:val="0"/>
      <w:marRight w:val="0"/>
      <w:marTop w:val="0"/>
      <w:marBottom w:val="0"/>
      <w:divBdr>
        <w:top w:val="none" w:sz="0" w:space="0" w:color="auto"/>
        <w:left w:val="none" w:sz="0" w:space="0" w:color="auto"/>
        <w:bottom w:val="none" w:sz="0" w:space="0" w:color="auto"/>
        <w:right w:val="none" w:sz="0" w:space="0" w:color="auto"/>
      </w:divBdr>
    </w:div>
    <w:div w:id="1272321136">
      <w:bodyDiv w:val="1"/>
      <w:marLeft w:val="0"/>
      <w:marRight w:val="0"/>
      <w:marTop w:val="0"/>
      <w:marBottom w:val="0"/>
      <w:divBdr>
        <w:top w:val="none" w:sz="0" w:space="0" w:color="auto"/>
        <w:left w:val="none" w:sz="0" w:space="0" w:color="auto"/>
        <w:bottom w:val="none" w:sz="0" w:space="0" w:color="auto"/>
        <w:right w:val="none" w:sz="0" w:space="0" w:color="auto"/>
      </w:divBdr>
    </w:div>
    <w:div w:id="1272785148">
      <w:bodyDiv w:val="1"/>
      <w:marLeft w:val="0"/>
      <w:marRight w:val="0"/>
      <w:marTop w:val="0"/>
      <w:marBottom w:val="0"/>
      <w:divBdr>
        <w:top w:val="none" w:sz="0" w:space="0" w:color="auto"/>
        <w:left w:val="none" w:sz="0" w:space="0" w:color="auto"/>
        <w:bottom w:val="none" w:sz="0" w:space="0" w:color="auto"/>
        <w:right w:val="none" w:sz="0" w:space="0" w:color="auto"/>
      </w:divBdr>
    </w:div>
    <w:div w:id="1273244046">
      <w:bodyDiv w:val="1"/>
      <w:marLeft w:val="0"/>
      <w:marRight w:val="0"/>
      <w:marTop w:val="0"/>
      <w:marBottom w:val="0"/>
      <w:divBdr>
        <w:top w:val="none" w:sz="0" w:space="0" w:color="auto"/>
        <w:left w:val="none" w:sz="0" w:space="0" w:color="auto"/>
        <w:bottom w:val="none" w:sz="0" w:space="0" w:color="auto"/>
        <w:right w:val="none" w:sz="0" w:space="0" w:color="auto"/>
      </w:divBdr>
    </w:div>
    <w:div w:id="1273780124">
      <w:bodyDiv w:val="1"/>
      <w:marLeft w:val="0"/>
      <w:marRight w:val="0"/>
      <w:marTop w:val="0"/>
      <w:marBottom w:val="0"/>
      <w:divBdr>
        <w:top w:val="none" w:sz="0" w:space="0" w:color="auto"/>
        <w:left w:val="none" w:sz="0" w:space="0" w:color="auto"/>
        <w:bottom w:val="none" w:sz="0" w:space="0" w:color="auto"/>
        <w:right w:val="none" w:sz="0" w:space="0" w:color="auto"/>
      </w:divBdr>
    </w:div>
    <w:div w:id="1274898868">
      <w:bodyDiv w:val="1"/>
      <w:marLeft w:val="0"/>
      <w:marRight w:val="0"/>
      <w:marTop w:val="0"/>
      <w:marBottom w:val="0"/>
      <w:divBdr>
        <w:top w:val="none" w:sz="0" w:space="0" w:color="auto"/>
        <w:left w:val="none" w:sz="0" w:space="0" w:color="auto"/>
        <w:bottom w:val="none" w:sz="0" w:space="0" w:color="auto"/>
        <w:right w:val="none" w:sz="0" w:space="0" w:color="auto"/>
      </w:divBdr>
    </w:div>
    <w:div w:id="1279798366">
      <w:bodyDiv w:val="1"/>
      <w:marLeft w:val="0"/>
      <w:marRight w:val="0"/>
      <w:marTop w:val="0"/>
      <w:marBottom w:val="0"/>
      <w:divBdr>
        <w:top w:val="none" w:sz="0" w:space="0" w:color="auto"/>
        <w:left w:val="none" w:sz="0" w:space="0" w:color="auto"/>
        <w:bottom w:val="none" w:sz="0" w:space="0" w:color="auto"/>
        <w:right w:val="none" w:sz="0" w:space="0" w:color="auto"/>
      </w:divBdr>
    </w:div>
    <w:div w:id="1286427433">
      <w:bodyDiv w:val="1"/>
      <w:marLeft w:val="0"/>
      <w:marRight w:val="0"/>
      <w:marTop w:val="0"/>
      <w:marBottom w:val="0"/>
      <w:divBdr>
        <w:top w:val="none" w:sz="0" w:space="0" w:color="auto"/>
        <w:left w:val="none" w:sz="0" w:space="0" w:color="auto"/>
        <w:bottom w:val="none" w:sz="0" w:space="0" w:color="auto"/>
        <w:right w:val="none" w:sz="0" w:space="0" w:color="auto"/>
      </w:divBdr>
    </w:div>
    <w:div w:id="1288199415">
      <w:bodyDiv w:val="1"/>
      <w:marLeft w:val="0"/>
      <w:marRight w:val="0"/>
      <w:marTop w:val="0"/>
      <w:marBottom w:val="0"/>
      <w:divBdr>
        <w:top w:val="none" w:sz="0" w:space="0" w:color="auto"/>
        <w:left w:val="none" w:sz="0" w:space="0" w:color="auto"/>
        <w:bottom w:val="none" w:sz="0" w:space="0" w:color="auto"/>
        <w:right w:val="none" w:sz="0" w:space="0" w:color="auto"/>
      </w:divBdr>
    </w:div>
    <w:div w:id="1295333479">
      <w:bodyDiv w:val="1"/>
      <w:marLeft w:val="0"/>
      <w:marRight w:val="0"/>
      <w:marTop w:val="0"/>
      <w:marBottom w:val="0"/>
      <w:divBdr>
        <w:top w:val="none" w:sz="0" w:space="0" w:color="auto"/>
        <w:left w:val="none" w:sz="0" w:space="0" w:color="auto"/>
        <w:bottom w:val="none" w:sz="0" w:space="0" w:color="auto"/>
        <w:right w:val="none" w:sz="0" w:space="0" w:color="auto"/>
      </w:divBdr>
    </w:div>
    <w:div w:id="1295719066">
      <w:bodyDiv w:val="1"/>
      <w:marLeft w:val="0"/>
      <w:marRight w:val="0"/>
      <w:marTop w:val="0"/>
      <w:marBottom w:val="0"/>
      <w:divBdr>
        <w:top w:val="none" w:sz="0" w:space="0" w:color="auto"/>
        <w:left w:val="none" w:sz="0" w:space="0" w:color="auto"/>
        <w:bottom w:val="none" w:sz="0" w:space="0" w:color="auto"/>
        <w:right w:val="none" w:sz="0" w:space="0" w:color="auto"/>
      </w:divBdr>
    </w:div>
    <w:div w:id="1296839823">
      <w:bodyDiv w:val="1"/>
      <w:marLeft w:val="0"/>
      <w:marRight w:val="0"/>
      <w:marTop w:val="0"/>
      <w:marBottom w:val="0"/>
      <w:divBdr>
        <w:top w:val="none" w:sz="0" w:space="0" w:color="auto"/>
        <w:left w:val="none" w:sz="0" w:space="0" w:color="auto"/>
        <w:bottom w:val="none" w:sz="0" w:space="0" w:color="auto"/>
        <w:right w:val="none" w:sz="0" w:space="0" w:color="auto"/>
      </w:divBdr>
    </w:div>
    <w:div w:id="1297377183">
      <w:bodyDiv w:val="1"/>
      <w:marLeft w:val="0"/>
      <w:marRight w:val="0"/>
      <w:marTop w:val="0"/>
      <w:marBottom w:val="0"/>
      <w:divBdr>
        <w:top w:val="none" w:sz="0" w:space="0" w:color="auto"/>
        <w:left w:val="none" w:sz="0" w:space="0" w:color="auto"/>
        <w:bottom w:val="none" w:sz="0" w:space="0" w:color="auto"/>
        <w:right w:val="none" w:sz="0" w:space="0" w:color="auto"/>
      </w:divBdr>
    </w:div>
    <w:div w:id="1297643494">
      <w:bodyDiv w:val="1"/>
      <w:marLeft w:val="0"/>
      <w:marRight w:val="0"/>
      <w:marTop w:val="0"/>
      <w:marBottom w:val="0"/>
      <w:divBdr>
        <w:top w:val="none" w:sz="0" w:space="0" w:color="auto"/>
        <w:left w:val="none" w:sz="0" w:space="0" w:color="auto"/>
        <w:bottom w:val="none" w:sz="0" w:space="0" w:color="auto"/>
        <w:right w:val="none" w:sz="0" w:space="0" w:color="auto"/>
      </w:divBdr>
    </w:div>
    <w:div w:id="1300454738">
      <w:bodyDiv w:val="1"/>
      <w:marLeft w:val="0"/>
      <w:marRight w:val="0"/>
      <w:marTop w:val="0"/>
      <w:marBottom w:val="0"/>
      <w:divBdr>
        <w:top w:val="none" w:sz="0" w:space="0" w:color="auto"/>
        <w:left w:val="none" w:sz="0" w:space="0" w:color="auto"/>
        <w:bottom w:val="none" w:sz="0" w:space="0" w:color="auto"/>
        <w:right w:val="none" w:sz="0" w:space="0" w:color="auto"/>
      </w:divBdr>
    </w:div>
    <w:div w:id="1301616019">
      <w:bodyDiv w:val="1"/>
      <w:marLeft w:val="0"/>
      <w:marRight w:val="0"/>
      <w:marTop w:val="0"/>
      <w:marBottom w:val="0"/>
      <w:divBdr>
        <w:top w:val="none" w:sz="0" w:space="0" w:color="auto"/>
        <w:left w:val="none" w:sz="0" w:space="0" w:color="auto"/>
        <w:bottom w:val="none" w:sz="0" w:space="0" w:color="auto"/>
        <w:right w:val="none" w:sz="0" w:space="0" w:color="auto"/>
      </w:divBdr>
    </w:div>
    <w:div w:id="1302728473">
      <w:bodyDiv w:val="1"/>
      <w:marLeft w:val="0"/>
      <w:marRight w:val="0"/>
      <w:marTop w:val="0"/>
      <w:marBottom w:val="0"/>
      <w:divBdr>
        <w:top w:val="none" w:sz="0" w:space="0" w:color="auto"/>
        <w:left w:val="none" w:sz="0" w:space="0" w:color="auto"/>
        <w:bottom w:val="none" w:sz="0" w:space="0" w:color="auto"/>
        <w:right w:val="none" w:sz="0" w:space="0" w:color="auto"/>
      </w:divBdr>
    </w:div>
    <w:div w:id="1306668514">
      <w:bodyDiv w:val="1"/>
      <w:marLeft w:val="0"/>
      <w:marRight w:val="0"/>
      <w:marTop w:val="0"/>
      <w:marBottom w:val="0"/>
      <w:divBdr>
        <w:top w:val="none" w:sz="0" w:space="0" w:color="auto"/>
        <w:left w:val="none" w:sz="0" w:space="0" w:color="auto"/>
        <w:bottom w:val="none" w:sz="0" w:space="0" w:color="auto"/>
        <w:right w:val="none" w:sz="0" w:space="0" w:color="auto"/>
      </w:divBdr>
    </w:div>
    <w:div w:id="1306811323">
      <w:bodyDiv w:val="1"/>
      <w:marLeft w:val="0"/>
      <w:marRight w:val="0"/>
      <w:marTop w:val="0"/>
      <w:marBottom w:val="0"/>
      <w:divBdr>
        <w:top w:val="none" w:sz="0" w:space="0" w:color="auto"/>
        <w:left w:val="none" w:sz="0" w:space="0" w:color="auto"/>
        <w:bottom w:val="none" w:sz="0" w:space="0" w:color="auto"/>
        <w:right w:val="none" w:sz="0" w:space="0" w:color="auto"/>
      </w:divBdr>
    </w:div>
    <w:div w:id="1307276724">
      <w:bodyDiv w:val="1"/>
      <w:marLeft w:val="0"/>
      <w:marRight w:val="0"/>
      <w:marTop w:val="0"/>
      <w:marBottom w:val="0"/>
      <w:divBdr>
        <w:top w:val="none" w:sz="0" w:space="0" w:color="auto"/>
        <w:left w:val="none" w:sz="0" w:space="0" w:color="auto"/>
        <w:bottom w:val="none" w:sz="0" w:space="0" w:color="auto"/>
        <w:right w:val="none" w:sz="0" w:space="0" w:color="auto"/>
      </w:divBdr>
    </w:div>
    <w:div w:id="1310330576">
      <w:bodyDiv w:val="1"/>
      <w:marLeft w:val="0"/>
      <w:marRight w:val="0"/>
      <w:marTop w:val="0"/>
      <w:marBottom w:val="0"/>
      <w:divBdr>
        <w:top w:val="none" w:sz="0" w:space="0" w:color="auto"/>
        <w:left w:val="none" w:sz="0" w:space="0" w:color="auto"/>
        <w:bottom w:val="none" w:sz="0" w:space="0" w:color="auto"/>
        <w:right w:val="none" w:sz="0" w:space="0" w:color="auto"/>
      </w:divBdr>
    </w:div>
    <w:div w:id="1311667369">
      <w:bodyDiv w:val="1"/>
      <w:marLeft w:val="0"/>
      <w:marRight w:val="0"/>
      <w:marTop w:val="0"/>
      <w:marBottom w:val="0"/>
      <w:divBdr>
        <w:top w:val="none" w:sz="0" w:space="0" w:color="auto"/>
        <w:left w:val="none" w:sz="0" w:space="0" w:color="auto"/>
        <w:bottom w:val="none" w:sz="0" w:space="0" w:color="auto"/>
        <w:right w:val="none" w:sz="0" w:space="0" w:color="auto"/>
      </w:divBdr>
    </w:div>
    <w:div w:id="1313098587">
      <w:bodyDiv w:val="1"/>
      <w:marLeft w:val="0"/>
      <w:marRight w:val="0"/>
      <w:marTop w:val="0"/>
      <w:marBottom w:val="0"/>
      <w:divBdr>
        <w:top w:val="none" w:sz="0" w:space="0" w:color="auto"/>
        <w:left w:val="none" w:sz="0" w:space="0" w:color="auto"/>
        <w:bottom w:val="none" w:sz="0" w:space="0" w:color="auto"/>
        <w:right w:val="none" w:sz="0" w:space="0" w:color="auto"/>
      </w:divBdr>
    </w:div>
    <w:div w:id="1314794053">
      <w:bodyDiv w:val="1"/>
      <w:marLeft w:val="0"/>
      <w:marRight w:val="0"/>
      <w:marTop w:val="0"/>
      <w:marBottom w:val="0"/>
      <w:divBdr>
        <w:top w:val="none" w:sz="0" w:space="0" w:color="auto"/>
        <w:left w:val="none" w:sz="0" w:space="0" w:color="auto"/>
        <w:bottom w:val="none" w:sz="0" w:space="0" w:color="auto"/>
        <w:right w:val="none" w:sz="0" w:space="0" w:color="auto"/>
      </w:divBdr>
    </w:div>
    <w:div w:id="1316497841">
      <w:bodyDiv w:val="1"/>
      <w:marLeft w:val="0"/>
      <w:marRight w:val="0"/>
      <w:marTop w:val="0"/>
      <w:marBottom w:val="0"/>
      <w:divBdr>
        <w:top w:val="none" w:sz="0" w:space="0" w:color="auto"/>
        <w:left w:val="none" w:sz="0" w:space="0" w:color="auto"/>
        <w:bottom w:val="none" w:sz="0" w:space="0" w:color="auto"/>
        <w:right w:val="none" w:sz="0" w:space="0" w:color="auto"/>
      </w:divBdr>
    </w:div>
    <w:div w:id="1320887950">
      <w:bodyDiv w:val="1"/>
      <w:marLeft w:val="0"/>
      <w:marRight w:val="0"/>
      <w:marTop w:val="0"/>
      <w:marBottom w:val="0"/>
      <w:divBdr>
        <w:top w:val="none" w:sz="0" w:space="0" w:color="auto"/>
        <w:left w:val="none" w:sz="0" w:space="0" w:color="auto"/>
        <w:bottom w:val="none" w:sz="0" w:space="0" w:color="auto"/>
        <w:right w:val="none" w:sz="0" w:space="0" w:color="auto"/>
      </w:divBdr>
    </w:div>
    <w:div w:id="1325165289">
      <w:bodyDiv w:val="1"/>
      <w:marLeft w:val="0"/>
      <w:marRight w:val="0"/>
      <w:marTop w:val="0"/>
      <w:marBottom w:val="0"/>
      <w:divBdr>
        <w:top w:val="none" w:sz="0" w:space="0" w:color="auto"/>
        <w:left w:val="none" w:sz="0" w:space="0" w:color="auto"/>
        <w:bottom w:val="none" w:sz="0" w:space="0" w:color="auto"/>
        <w:right w:val="none" w:sz="0" w:space="0" w:color="auto"/>
      </w:divBdr>
    </w:div>
    <w:div w:id="1331179727">
      <w:bodyDiv w:val="1"/>
      <w:marLeft w:val="0"/>
      <w:marRight w:val="0"/>
      <w:marTop w:val="0"/>
      <w:marBottom w:val="0"/>
      <w:divBdr>
        <w:top w:val="none" w:sz="0" w:space="0" w:color="auto"/>
        <w:left w:val="none" w:sz="0" w:space="0" w:color="auto"/>
        <w:bottom w:val="none" w:sz="0" w:space="0" w:color="auto"/>
        <w:right w:val="none" w:sz="0" w:space="0" w:color="auto"/>
      </w:divBdr>
    </w:div>
    <w:div w:id="1332295094">
      <w:bodyDiv w:val="1"/>
      <w:marLeft w:val="0"/>
      <w:marRight w:val="0"/>
      <w:marTop w:val="0"/>
      <w:marBottom w:val="0"/>
      <w:divBdr>
        <w:top w:val="none" w:sz="0" w:space="0" w:color="auto"/>
        <w:left w:val="none" w:sz="0" w:space="0" w:color="auto"/>
        <w:bottom w:val="none" w:sz="0" w:space="0" w:color="auto"/>
        <w:right w:val="none" w:sz="0" w:space="0" w:color="auto"/>
      </w:divBdr>
    </w:div>
    <w:div w:id="1332875451">
      <w:bodyDiv w:val="1"/>
      <w:marLeft w:val="0"/>
      <w:marRight w:val="0"/>
      <w:marTop w:val="0"/>
      <w:marBottom w:val="0"/>
      <w:divBdr>
        <w:top w:val="none" w:sz="0" w:space="0" w:color="auto"/>
        <w:left w:val="none" w:sz="0" w:space="0" w:color="auto"/>
        <w:bottom w:val="none" w:sz="0" w:space="0" w:color="auto"/>
        <w:right w:val="none" w:sz="0" w:space="0" w:color="auto"/>
      </w:divBdr>
    </w:div>
    <w:div w:id="1333948650">
      <w:bodyDiv w:val="1"/>
      <w:marLeft w:val="0"/>
      <w:marRight w:val="0"/>
      <w:marTop w:val="0"/>
      <w:marBottom w:val="0"/>
      <w:divBdr>
        <w:top w:val="none" w:sz="0" w:space="0" w:color="auto"/>
        <w:left w:val="none" w:sz="0" w:space="0" w:color="auto"/>
        <w:bottom w:val="none" w:sz="0" w:space="0" w:color="auto"/>
        <w:right w:val="none" w:sz="0" w:space="0" w:color="auto"/>
      </w:divBdr>
    </w:div>
    <w:div w:id="1335571457">
      <w:bodyDiv w:val="1"/>
      <w:marLeft w:val="0"/>
      <w:marRight w:val="0"/>
      <w:marTop w:val="0"/>
      <w:marBottom w:val="0"/>
      <w:divBdr>
        <w:top w:val="none" w:sz="0" w:space="0" w:color="auto"/>
        <w:left w:val="none" w:sz="0" w:space="0" w:color="auto"/>
        <w:bottom w:val="none" w:sz="0" w:space="0" w:color="auto"/>
        <w:right w:val="none" w:sz="0" w:space="0" w:color="auto"/>
      </w:divBdr>
    </w:div>
    <w:div w:id="1341616971">
      <w:bodyDiv w:val="1"/>
      <w:marLeft w:val="0"/>
      <w:marRight w:val="0"/>
      <w:marTop w:val="0"/>
      <w:marBottom w:val="0"/>
      <w:divBdr>
        <w:top w:val="none" w:sz="0" w:space="0" w:color="auto"/>
        <w:left w:val="none" w:sz="0" w:space="0" w:color="auto"/>
        <w:bottom w:val="none" w:sz="0" w:space="0" w:color="auto"/>
        <w:right w:val="none" w:sz="0" w:space="0" w:color="auto"/>
      </w:divBdr>
    </w:div>
    <w:div w:id="1342009047">
      <w:bodyDiv w:val="1"/>
      <w:marLeft w:val="0"/>
      <w:marRight w:val="0"/>
      <w:marTop w:val="0"/>
      <w:marBottom w:val="0"/>
      <w:divBdr>
        <w:top w:val="none" w:sz="0" w:space="0" w:color="auto"/>
        <w:left w:val="none" w:sz="0" w:space="0" w:color="auto"/>
        <w:bottom w:val="none" w:sz="0" w:space="0" w:color="auto"/>
        <w:right w:val="none" w:sz="0" w:space="0" w:color="auto"/>
      </w:divBdr>
    </w:div>
    <w:div w:id="1347707763">
      <w:bodyDiv w:val="1"/>
      <w:marLeft w:val="0"/>
      <w:marRight w:val="0"/>
      <w:marTop w:val="0"/>
      <w:marBottom w:val="0"/>
      <w:divBdr>
        <w:top w:val="none" w:sz="0" w:space="0" w:color="auto"/>
        <w:left w:val="none" w:sz="0" w:space="0" w:color="auto"/>
        <w:bottom w:val="none" w:sz="0" w:space="0" w:color="auto"/>
        <w:right w:val="none" w:sz="0" w:space="0" w:color="auto"/>
      </w:divBdr>
    </w:div>
    <w:div w:id="1349522900">
      <w:bodyDiv w:val="1"/>
      <w:marLeft w:val="0"/>
      <w:marRight w:val="0"/>
      <w:marTop w:val="0"/>
      <w:marBottom w:val="0"/>
      <w:divBdr>
        <w:top w:val="none" w:sz="0" w:space="0" w:color="auto"/>
        <w:left w:val="none" w:sz="0" w:space="0" w:color="auto"/>
        <w:bottom w:val="none" w:sz="0" w:space="0" w:color="auto"/>
        <w:right w:val="none" w:sz="0" w:space="0" w:color="auto"/>
      </w:divBdr>
    </w:div>
    <w:div w:id="1355576039">
      <w:bodyDiv w:val="1"/>
      <w:marLeft w:val="0"/>
      <w:marRight w:val="0"/>
      <w:marTop w:val="0"/>
      <w:marBottom w:val="0"/>
      <w:divBdr>
        <w:top w:val="none" w:sz="0" w:space="0" w:color="auto"/>
        <w:left w:val="none" w:sz="0" w:space="0" w:color="auto"/>
        <w:bottom w:val="none" w:sz="0" w:space="0" w:color="auto"/>
        <w:right w:val="none" w:sz="0" w:space="0" w:color="auto"/>
      </w:divBdr>
    </w:div>
    <w:div w:id="1358198260">
      <w:bodyDiv w:val="1"/>
      <w:marLeft w:val="0"/>
      <w:marRight w:val="0"/>
      <w:marTop w:val="0"/>
      <w:marBottom w:val="0"/>
      <w:divBdr>
        <w:top w:val="none" w:sz="0" w:space="0" w:color="auto"/>
        <w:left w:val="none" w:sz="0" w:space="0" w:color="auto"/>
        <w:bottom w:val="none" w:sz="0" w:space="0" w:color="auto"/>
        <w:right w:val="none" w:sz="0" w:space="0" w:color="auto"/>
      </w:divBdr>
    </w:div>
    <w:div w:id="1358501711">
      <w:bodyDiv w:val="1"/>
      <w:marLeft w:val="0"/>
      <w:marRight w:val="0"/>
      <w:marTop w:val="0"/>
      <w:marBottom w:val="0"/>
      <w:divBdr>
        <w:top w:val="none" w:sz="0" w:space="0" w:color="auto"/>
        <w:left w:val="none" w:sz="0" w:space="0" w:color="auto"/>
        <w:bottom w:val="none" w:sz="0" w:space="0" w:color="auto"/>
        <w:right w:val="none" w:sz="0" w:space="0" w:color="auto"/>
      </w:divBdr>
    </w:div>
    <w:div w:id="1358579863">
      <w:bodyDiv w:val="1"/>
      <w:marLeft w:val="0"/>
      <w:marRight w:val="0"/>
      <w:marTop w:val="0"/>
      <w:marBottom w:val="0"/>
      <w:divBdr>
        <w:top w:val="none" w:sz="0" w:space="0" w:color="auto"/>
        <w:left w:val="none" w:sz="0" w:space="0" w:color="auto"/>
        <w:bottom w:val="none" w:sz="0" w:space="0" w:color="auto"/>
        <w:right w:val="none" w:sz="0" w:space="0" w:color="auto"/>
      </w:divBdr>
    </w:div>
    <w:div w:id="1366952032">
      <w:bodyDiv w:val="1"/>
      <w:marLeft w:val="0"/>
      <w:marRight w:val="0"/>
      <w:marTop w:val="0"/>
      <w:marBottom w:val="0"/>
      <w:divBdr>
        <w:top w:val="none" w:sz="0" w:space="0" w:color="auto"/>
        <w:left w:val="none" w:sz="0" w:space="0" w:color="auto"/>
        <w:bottom w:val="none" w:sz="0" w:space="0" w:color="auto"/>
        <w:right w:val="none" w:sz="0" w:space="0" w:color="auto"/>
      </w:divBdr>
    </w:div>
    <w:div w:id="1367633634">
      <w:bodyDiv w:val="1"/>
      <w:marLeft w:val="0"/>
      <w:marRight w:val="0"/>
      <w:marTop w:val="0"/>
      <w:marBottom w:val="0"/>
      <w:divBdr>
        <w:top w:val="none" w:sz="0" w:space="0" w:color="auto"/>
        <w:left w:val="none" w:sz="0" w:space="0" w:color="auto"/>
        <w:bottom w:val="none" w:sz="0" w:space="0" w:color="auto"/>
        <w:right w:val="none" w:sz="0" w:space="0" w:color="auto"/>
      </w:divBdr>
    </w:div>
    <w:div w:id="1375349493">
      <w:bodyDiv w:val="1"/>
      <w:marLeft w:val="0"/>
      <w:marRight w:val="0"/>
      <w:marTop w:val="0"/>
      <w:marBottom w:val="0"/>
      <w:divBdr>
        <w:top w:val="none" w:sz="0" w:space="0" w:color="auto"/>
        <w:left w:val="none" w:sz="0" w:space="0" w:color="auto"/>
        <w:bottom w:val="none" w:sz="0" w:space="0" w:color="auto"/>
        <w:right w:val="none" w:sz="0" w:space="0" w:color="auto"/>
      </w:divBdr>
    </w:div>
    <w:div w:id="1376277060">
      <w:bodyDiv w:val="1"/>
      <w:marLeft w:val="0"/>
      <w:marRight w:val="0"/>
      <w:marTop w:val="0"/>
      <w:marBottom w:val="0"/>
      <w:divBdr>
        <w:top w:val="none" w:sz="0" w:space="0" w:color="auto"/>
        <w:left w:val="none" w:sz="0" w:space="0" w:color="auto"/>
        <w:bottom w:val="none" w:sz="0" w:space="0" w:color="auto"/>
        <w:right w:val="none" w:sz="0" w:space="0" w:color="auto"/>
      </w:divBdr>
    </w:div>
    <w:div w:id="1376853410">
      <w:bodyDiv w:val="1"/>
      <w:marLeft w:val="0"/>
      <w:marRight w:val="0"/>
      <w:marTop w:val="0"/>
      <w:marBottom w:val="0"/>
      <w:divBdr>
        <w:top w:val="none" w:sz="0" w:space="0" w:color="auto"/>
        <w:left w:val="none" w:sz="0" w:space="0" w:color="auto"/>
        <w:bottom w:val="none" w:sz="0" w:space="0" w:color="auto"/>
        <w:right w:val="none" w:sz="0" w:space="0" w:color="auto"/>
      </w:divBdr>
    </w:div>
    <w:div w:id="1380930819">
      <w:bodyDiv w:val="1"/>
      <w:marLeft w:val="0"/>
      <w:marRight w:val="0"/>
      <w:marTop w:val="0"/>
      <w:marBottom w:val="0"/>
      <w:divBdr>
        <w:top w:val="none" w:sz="0" w:space="0" w:color="auto"/>
        <w:left w:val="none" w:sz="0" w:space="0" w:color="auto"/>
        <w:bottom w:val="none" w:sz="0" w:space="0" w:color="auto"/>
        <w:right w:val="none" w:sz="0" w:space="0" w:color="auto"/>
      </w:divBdr>
    </w:div>
    <w:div w:id="1382558975">
      <w:bodyDiv w:val="1"/>
      <w:marLeft w:val="0"/>
      <w:marRight w:val="0"/>
      <w:marTop w:val="0"/>
      <w:marBottom w:val="0"/>
      <w:divBdr>
        <w:top w:val="none" w:sz="0" w:space="0" w:color="auto"/>
        <w:left w:val="none" w:sz="0" w:space="0" w:color="auto"/>
        <w:bottom w:val="none" w:sz="0" w:space="0" w:color="auto"/>
        <w:right w:val="none" w:sz="0" w:space="0" w:color="auto"/>
      </w:divBdr>
    </w:div>
    <w:div w:id="1382679907">
      <w:bodyDiv w:val="1"/>
      <w:marLeft w:val="0"/>
      <w:marRight w:val="0"/>
      <w:marTop w:val="0"/>
      <w:marBottom w:val="0"/>
      <w:divBdr>
        <w:top w:val="none" w:sz="0" w:space="0" w:color="auto"/>
        <w:left w:val="none" w:sz="0" w:space="0" w:color="auto"/>
        <w:bottom w:val="none" w:sz="0" w:space="0" w:color="auto"/>
        <w:right w:val="none" w:sz="0" w:space="0" w:color="auto"/>
      </w:divBdr>
    </w:div>
    <w:div w:id="1388606442">
      <w:bodyDiv w:val="1"/>
      <w:marLeft w:val="0"/>
      <w:marRight w:val="0"/>
      <w:marTop w:val="0"/>
      <w:marBottom w:val="0"/>
      <w:divBdr>
        <w:top w:val="none" w:sz="0" w:space="0" w:color="auto"/>
        <w:left w:val="none" w:sz="0" w:space="0" w:color="auto"/>
        <w:bottom w:val="none" w:sz="0" w:space="0" w:color="auto"/>
        <w:right w:val="none" w:sz="0" w:space="0" w:color="auto"/>
      </w:divBdr>
    </w:div>
    <w:div w:id="1388844661">
      <w:bodyDiv w:val="1"/>
      <w:marLeft w:val="0"/>
      <w:marRight w:val="0"/>
      <w:marTop w:val="0"/>
      <w:marBottom w:val="0"/>
      <w:divBdr>
        <w:top w:val="none" w:sz="0" w:space="0" w:color="auto"/>
        <w:left w:val="none" w:sz="0" w:space="0" w:color="auto"/>
        <w:bottom w:val="none" w:sz="0" w:space="0" w:color="auto"/>
        <w:right w:val="none" w:sz="0" w:space="0" w:color="auto"/>
      </w:divBdr>
    </w:div>
    <w:div w:id="1389572731">
      <w:bodyDiv w:val="1"/>
      <w:marLeft w:val="0"/>
      <w:marRight w:val="0"/>
      <w:marTop w:val="0"/>
      <w:marBottom w:val="0"/>
      <w:divBdr>
        <w:top w:val="none" w:sz="0" w:space="0" w:color="auto"/>
        <w:left w:val="none" w:sz="0" w:space="0" w:color="auto"/>
        <w:bottom w:val="none" w:sz="0" w:space="0" w:color="auto"/>
        <w:right w:val="none" w:sz="0" w:space="0" w:color="auto"/>
      </w:divBdr>
    </w:div>
    <w:div w:id="1390349632">
      <w:bodyDiv w:val="1"/>
      <w:marLeft w:val="0"/>
      <w:marRight w:val="0"/>
      <w:marTop w:val="0"/>
      <w:marBottom w:val="0"/>
      <w:divBdr>
        <w:top w:val="none" w:sz="0" w:space="0" w:color="auto"/>
        <w:left w:val="none" w:sz="0" w:space="0" w:color="auto"/>
        <w:bottom w:val="none" w:sz="0" w:space="0" w:color="auto"/>
        <w:right w:val="none" w:sz="0" w:space="0" w:color="auto"/>
      </w:divBdr>
    </w:div>
    <w:div w:id="1390499158">
      <w:bodyDiv w:val="1"/>
      <w:marLeft w:val="0"/>
      <w:marRight w:val="0"/>
      <w:marTop w:val="0"/>
      <w:marBottom w:val="0"/>
      <w:divBdr>
        <w:top w:val="none" w:sz="0" w:space="0" w:color="auto"/>
        <w:left w:val="none" w:sz="0" w:space="0" w:color="auto"/>
        <w:bottom w:val="none" w:sz="0" w:space="0" w:color="auto"/>
        <w:right w:val="none" w:sz="0" w:space="0" w:color="auto"/>
      </w:divBdr>
    </w:div>
    <w:div w:id="1399403542">
      <w:bodyDiv w:val="1"/>
      <w:marLeft w:val="0"/>
      <w:marRight w:val="0"/>
      <w:marTop w:val="0"/>
      <w:marBottom w:val="0"/>
      <w:divBdr>
        <w:top w:val="none" w:sz="0" w:space="0" w:color="auto"/>
        <w:left w:val="none" w:sz="0" w:space="0" w:color="auto"/>
        <w:bottom w:val="none" w:sz="0" w:space="0" w:color="auto"/>
        <w:right w:val="none" w:sz="0" w:space="0" w:color="auto"/>
      </w:divBdr>
    </w:div>
    <w:div w:id="1402558319">
      <w:bodyDiv w:val="1"/>
      <w:marLeft w:val="0"/>
      <w:marRight w:val="0"/>
      <w:marTop w:val="0"/>
      <w:marBottom w:val="0"/>
      <w:divBdr>
        <w:top w:val="none" w:sz="0" w:space="0" w:color="auto"/>
        <w:left w:val="none" w:sz="0" w:space="0" w:color="auto"/>
        <w:bottom w:val="none" w:sz="0" w:space="0" w:color="auto"/>
        <w:right w:val="none" w:sz="0" w:space="0" w:color="auto"/>
      </w:divBdr>
    </w:div>
    <w:div w:id="1402869933">
      <w:bodyDiv w:val="1"/>
      <w:marLeft w:val="0"/>
      <w:marRight w:val="0"/>
      <w:marTop w:val="0"/>
      <w:marBottom w:val="0"/>
      <w:divBdr>
        <w:top w:val="none" w:sz="0" w:space="0" w:color="auto"/>
        <w:left w:val="none" w:sz="0" w:space="0" w:color="auto"/>
        <w:bottom w:val="none" w:sz="0" w:space="0" w:color="auto"/>
        <w:right w:val="none" w:sz="0" w:space="0" w:color="auto"/>
      </w:divBdr>
    </w:div>
    <w:div w:id="1403021928">
      <w:bodyDiv w:val="1"/>
      <w:marLeft w:val="0"/>
      <w:marRight w:val="0"/>
      <w:marTop w:val="0"/>
      <w:marBottom w:val="0"/>
      <w:divBdr>
        <w:top w:val="none" w:sz="0" w:space="0" w:color="auto"/>
        <w:left w:val="none" w:sz="0" w:space="0" w:color="auto"/>
        <w:bottom w:val="none" w:sz="0" w:space="0" w:color="auto"/>
        <w:right w:val="none" w:sz="0" w:space="0" w:color="auto"/>
      </w:divBdr>
    </w:div>
    <w:div w:id="1403092004">
      <w:bodyDiv w:val="1"/>
      <w:marLeft w:val="0"/>
      <w:marRight w:val="0"/>
      <w:marTop w:val="0"/>
      <w:marBottom w:val="0"/>
      <w:divBdr>
        <w:top w:val="none" w:sz="0" w:space="0" w:color="auto"/>
        <w:left w:val="none" w:sz="0" w:space="0" w:color="auto"/>
        <w:bottom w:val="none" w:sz="0" w:space="0" w:color="auto"/>
        <w:right w:val="none" w:sz="0" w:space="0" w:color="auto"/>
      </w:divBdr>
    </w:div>
    <w:div w:id="1403866819">
      <w:bodyDiv w:val="1"/>
      <w:marLeft w:val="0"/>
      <w:marRight w:val="0"/>
      <w:marTop w:val="0"/>
      <w:marBottom w:val="0"/>
      <w:divBdr>
        <w:top w:val="none" w:sz="0" w:space="0" w:color="auto"/>
        <w:left w:val="none" w:sz="0" w:space="0" w:color="auto"/>
        <w:bottom w:val="none" w:sz="0" w:space="0" w:color="auto"/>
        <w:right w:val="none" w:sz="0" w:space="0" w:color="auto"/>
      </w:divBdr>
    </w:div>
    <w:div w:id="1404984602">
      <w:bodyDiv w:val="1"/>
      <w:marLeft w:val="0"/>
      <w:marRight w:val="0"/>
      <w:marTop w:val="0"/>
      <w:marBottom w:val="0"/>
      <w:divBdr>
        <w:top w:val="none" w:sz="0" w:space="0" w:color="auto"/>
        <w:left w:val="none" w:sz="0" w:space="0" w:color="auto"/>
        <w:bottom w:val="none" w:sz="0" w:space="0" w:color="auto"/>
        <w:right w:val="none" w:sz="0" w:space="0" w:color="auto"/>
      </w:divBdr>
    </w:div>
    <w:div w:id="1405301691">
      <w:bodyDiv w:val="1"/>
      <w:marLeft w:val="0"/>
      <w:marRight w:val="0"/>
      <w:marTop w:val="0"/>
      <w:marBottom w:val="0"/>
      <w:divBdr>
        <w:top w:val="none" w:sz="0" w:space="0" w:color="auto"/>
        <w:left w:val="none" w:sz="0" w:space="0" w:color="auto"/>
        <w:bottom w:val="none" w:sz="0" w:space="0" w:color="auto"/>
        <w:right w:val="none" w:sz="0" w:space="0" w:color="auto"/>
      </w:divBdr>
    </w:div>
    <w:div w:id="1405878880">
      <w:bodyDiv w:val="1"/>
      <w:marLeft w:val="0"/>
      <w:marRight w:val="0"/>
      <w:marTop w:val="0"/>
      <w:marBottom w:val="0"/>
      <w:divBdr>
        <w:top w:val="none" w:sz="0" w:space="0" w:color="auto"/>
        <w:left w:val="none" w:sz="0" w:space="0" w:color="auto"/>
        <w:bottom w:val="none" w:sz="0" w:space="0" w:color="auto"/>
        <w:right w:val="none" w:sz="0" w:space="0" w:color="auto"/>
      </w:divBdr>
    </w:div>
    <w:div w:id="1406755441">
      <w:bodyDiv w:val="1"/>
      <w:marLeft w:val="0"/>
      <w:marRight w:val="0"/>
      <w:marTop w:val="0"/>
      <w:marBottom w:val="0"/>
      <w:divBdr>
        <w:top w:val="none" w:sz="0" w:space="0" w:color="auto"/>
        <w:left w:val="none" w:sz="0" w:space="0" w:color="auto"/>
        <w:bottom w:val="none" w:sz="0" w:space="0" w:color="auto"/>
        <w:right w:val="none" w:sz="0" w:space="0" w:color="auto"/>
      </w:divBdr>
    </w:div>
    <w:div w:id="1408264673">
      <w:bodyDiv w:val="1"/>
      <w:marLeft w:val="0"/>
      <w:marRight w:val="0"/>
      <w:marTop w:val="0"/>
      <w:marBottom w:val="0"/>
      <w:divBdr>
        <w:top w:val="none" w:sz="0" w:space="0" w:color="auto"/>
        <w:left w:val="none" w:sz="0" w:space="0" w:color="auto"/>
        <w:bottom w:val="none" w:sz="0" w:space="0" w:color="auto"/>
        <w:right w:val="none" w:sz="0" w:space="0" w:color="auto"/>
      </w:divBdr>
    </w:div>
    <w:div w:id="1408650034">
      <w:bodyDiv w:val="1"/>
      <w:marLeft w:val="0"/>
      <w:marRight w:val="0"/>
      <w:marTop w:val="0"/>
      <w:marBottom w:val="0"/>
      <w:divBdr>
        <w:top w:val="none" w:sz="0" w:space="0" w:color="auto"/>
        <w:left w:val="none" w:sz="0" w:space="0" w:color="auto"/>
        <w:bottom w:val="none" w:sz="0" w:space="0" w:color="auto"/>
        <w:right w:val="none" w:sz="0" w:space="0" w:color="auto"/>
      </w:divBdr>
    </w:div>
    <w:div w:id="1410035865">
      <w:bodyDiv w:val="1"/>
      <w:marLeft w:val="0"/>
      <w:marRight w:val="0"/>
      <w:marTop w:val="0"/>
      <w:marBottom w:val="0"/>
      <w:divBdr>
        <w:top w:val="none" w:sz="0" w:space="0" w:color="auto"/>
        <w:left w:val="none" w:sz="0" w:space="0" w:color="auto"/>
        <w:bottom w:val="none" w:sz="0" w:space="0" w:color="auto"/>
        <w:right w:val="none" w:sz="0" w:space="0" w:color="auto"/>
      </w:divBdr>
    </w:div>
    <w:div w:id="1410734355">
      <w:bodyDiv w:val="1"/>
      <w:marLeft w:val="0"/>
      <w:marRight w:val="0"/>
      <w:marTop w:val="0"/>
      <w:marBottom w:val="0"/>
      <w:divBdr>
        <w:top w:val="none" w:sz="0" w:space="0" w:color="auto"/>
        <w:left w:val="none" w:sz="0" w:space="0" w:color="auto"/>
        <w:bottom w:val="none" w:sz="0" w:space="0" w:color="auto"/>
        <w:right w:val="none" w:sz="0" w:space="0" w:color="auto"/>
      </w:divBdr>
    </w:div>
    <w:div w:id="1410808892">
      <w:bodyDiv w:val="1"/>
      <w:marLeft w:val="0"/>
      <w:marRight w:val="0"/>
      <w:marTop w:val="0"/>
      <w:marBottom w:val="0"/>
      <w:divBdr>
        <w:top w:val="none" w:sz="0" w:space="0" w:color="auto"/>
        <w:left w:val="none" w:sz="0" w:space="0" w:color="auto"/>
        <w:bottom w:val="none" w:sz="0" w:space="0" w:color="auto"/>
        <w:right w:val="none" w:sz="0" w:space="0" w:color="auto"/>
      </w:divBdr>
    </w:div>
    <w:div w:id="1412508933">
      <w:bodyDiv w:val="1"/>
      <w:marLeft w:val="0"/>
      <w:marRight w:val="0"/>
      <w:marTop w:val="0"/>
      <w:marBottom w:val="0"/>
      <w:divBdr>
        <w:top w:val="none" w:sz="0" w:space="0" w:color="auto"/>
        <w:left w:val="none" w:sz="0" w:space="0" w:color="auto"/>
        <w:bottom w:val="none" w:sz="0" w:space="0" w:color="auto"/>
        <w:right w:val="none" w:sz="0" w:space="0" w:color="auto"/>
      </w:divBdr>
    </w:div>
    <w:div w:id="1412659535">
      <w:bodyDiv w:val="1"/>
      <w:marLeft w:val="0"/>
      <w:marRight w:val="0"/>
      <w:marTop w:val="0"/>
      <w:marBottom w:val="0"/>
      <w:divBdr>
        <w:top w:val="none" w:sz="0" w:space="0" w:color="auto"/>
        <w:left w:val="none" w:sz="0" w:space="0" w:color="auto"/>
        <w:bottom w:val="none" w:sz="0" w:space="0" w:color="auto"/>
        <w:right w:val="none" w:sz="0" w:space="0" w:color="auto"/>
      </w:divBdr>
    </w:div>
    <w:div w:id="1415856488">
      <w:bodyDiv w:val="1"/>
      <w:marLeft w:val="0"/>
      <w:marRight w:val="0"/>
      <w:marTop w:val="0"/>
      <w:marBottom w:val="0"/>
      <w:divBdr>
        <w:top w:val="none" w:sz="0" w:space="0" w:color="auto"/>
        <w:left w:val="none" w:sz="0" w:space="0" w:color="auto"/>
        <w:bottom w:val="none" w:sz="0" w:space="0" w:color="auto"/>
        <w:right w:val="none" w:sz="0" w:space="0" w:color="auto"/>
      </w:divBdr>
    </w:div>
    <w:div w:id="1422721114">
      <w:bodyDiv w:val="1"/>
      <w:marLeft w:val="0"/>
      <w:marRight w:val="0"/>
      <w:marTop w:val="0"/>
      <w:marBottom w:val="0"/>
      <w:divBdr>
        <w:top w:val="none" w:sz="0" w:space="0" w:color="auto"/>
        <w:left w:val="none" w:sz="0" w:space="0" w:color="auto"/>
        <w:bottom w:val="none" w:sz="0" w:space="0" w:color="auto"/>
        <w:right w:val="none" w:sz="0" w:space="0" w:color="auto"/>
      </w:divBdr>
    </w:div>
    <w:div w:id="1427002551">
      <w:bodyDiv w:val="1"/>
      <w:marLeft w:val="0"/>
      <w:marRight w:val="0"/>
      <w:marTop w:val="0"/>
      <w:marBottom w:val="0"/>
      <w:divBdr>
        <w:top w:val="none" w:sz="0" w:space="0" w:color="auto"/>
        <w:left w:val="none" w:sz="0" w:space="0" w:color="auto"/>
        <w:bottom w:val="none" w:sz="0" w:space="0" w:color="auto"/>
        <w:right w:val="none" w:sz="0" w:space="0" w:color="auto"/>
      </w:divBdr>
    </w:div>
    <w:div w:id="1427533581">
      <w:bodyDiv w:val="1"/>
      <w:marLeft w:val="0"/>
      <w:marRight w:val="0"/>
      <w:marTop w:val="0"/>
      <w:marBottom w:val="0"/>
      <w:divBdr>
        <w:top w:val="none" w:sz="0" w:space="0" w:color="auto"/>
        <w:left w:val="none" w:sz="0" w:space="0" w:color="auto"/>
        <w:bottom w:val="none" w:sz="0" w:space="0" w:color="auto"/>
        <w:right w:val="none" w:sz="0" w:space="0" w:color="auto"/>
      </w:divBdr>
    </w:div>
    <w:div w:id="1438018478">
      <w:bodyDiv w:val="1"/>
      <w:marLeft w:val="0"/>
      <w:marRight w:val="0"/>
      <w:marTop w:val="0"/>
      <w:marBottom w:val="0"/>
      <w:divBdr>
        <w:top w:val="none" w:sz="0" w:space="0" w:color="auto"/>
        <w:left w:val="none" w:sz="0" w:space="0" w:color="auto"/>
        <w:bottom w:val="none" w:sz="0" w:space="0" w:color="auto"/>
        <w:right w:val="none" w:sz="0" w:space="0" w:color="auto"/>
      </w:divBdr>
    </w:div>
    <w:div w:id="1445811266">
      <w:bodyDiv w:val="1"/>
      <w:marLeft w:val="0"/>
      <w:marRight w:val="0"/>
      <w:marTop w:val="0"/>
      <w:marBottom w:val="0"/>
      <w:divBdr>
        <w:top w:val="none" w:sz="0" w:space="0" w:color="auto"/>
        <w:left w:val="none" w:sz="0" w:space="0" w:color="auto"/>
        <w:bottom w:val="none" w:sz="0" w:space="0" w:color="auto"/>
        <w:right w:val="none" w:sz="0" w:space="0" w:color="auto"/>
      </w:divBdr>
    </w:div>
    <w:div w:id="1447000952">
      <w:bodyDiv w:val="1"/>
      <w:marLeft w:val="0"/>
      <w:marRight w:val="0"/>
      <w:marTop w:val="0"/>
      <w:marBottom w:val="0"/>
      <w:divBdr>
        <w:top w:val="none" w:sz="0" w:space="0" w:color="auto"/>
        <w:left w:val="none" w:sz="0" w:space="0" w:color="auto"/>
        <w:bottom w:val="none" w:sz="0" w:space="0" w:color="auto"/>
        <w:right w:val="none" w:sz="0" w:space="0" w:color="auto"/>
      </w:divBdr>
    </w:div>
    <w:div w:id="1449465494">
      <w:bodyDiv w:val="1"/>
      <w:marLeft w:val="0"/>
      <w:marRight w:val="0"/>
      <w:marTop w:val="0"/>
      <w:marBottom w:val="0"/>
      <w:divBdr>
        <w:top w:val="none" w:sz="0" w:space="0" w:color="auto"/>
        <w:left w:val="none" w:sz="0" w:space="0" w:color="auto"/>
        <w:bottom w:val="none" w:sz="0" w:space="0" w:color="auto"/>
        <w:right w:val="none" w:sz="0" w:space="0" w:color="auto"/>
      </w:divBdr>
    </w:div>
    <w:div w:id="1452095041">
      <w:bodyDiv w:val="1"/>
      <w:marLeft w:val="0"/>
      <w:marRight w:val="0"/>
      <w:marTop w:val="0"/>
      <w:marBottom w:val="0"/>
      <w:divBdr>
        <w:top w:val="none" w:sz="0" w:space="0" w:color="auto"/>
        <w:left w:val="none" w:sz="0" w:space="0" w:color="auto"/>
        <w:bottom w:val="none" w:sz="0" w:space="0" w:color="auto"/>
        <w:right w:val="none" w:sz="0" w:space="0" w:color="auto"/>
      </w:divBdr>
    </w:div>
    <w:div w:id="1453943743">
      <w:bodyDiv w:val="1"/>
      <w:marLeft w:val="0"/>
      <w:marRight w:val="0"/>
      <w:marTop w:val="0"/>
      <w:marBottom w:val="0"/>
      <w:divBdr>
        <w:top w:val="none" w:sz="0" w:space="0" w:color="auto"/>
        <w:left w:val="none" w:sz="0" w:space="0" w:color="auto"/>
        <w:bottom w:val="none" w:sz="0" w:space="0" w:color="auto"/>
        <w:right w:val="none" w:sz="0" w:space="0" w:color="auto"/>
      </w:divBdr>
    </w:div>
    <w:div w:id="1454978318">
      <w:bodyDiv w:val="1"/>
      <w:marLeft w:val="0"/>
      <w:marRight w:val="0"/>
      <w:marTop w:val="0"/>
      <w:marBottom w:val="0"/>
      <w:divBdr>
        <w:top w:val="none" w:sz="0" w:space="0" w:color="auto"/>
        <w:left w:val="none" w:sz="0" w:space="0" w:color="auto"/>
        <w:bottom w:val="none" w:sz="0" w:space="0" w:color="auto"/>
        <w:right w:val="none" w:sz="0" w:space="0" w:color="auto"/>
      </w:divBdr>
    </w:div>
    <w:div w:id="1456631251">
      <w:bodyDiv w:val="1"/>
      <w:marLeft w:val="0"/>
      <w:marRight w:val="0"/>
      <w:marTop w:val="0"/>
      <w:marBottom w:val="0"/>
      <w:divBdr>
        <w:top w:val="none" w:sz="0" w:space="0" w:color="auto"/>
        <w:left w:val="none" w:sz="0" w:space="0" w:color="auto"/>
        <w:bottom w:val="none" w:sz="0" w:space="0" w:color="auto"/>
        <w:right w:val="none" w:sz="0" w:space="0" w:color="auto"/>
      </w:divBdr>
    </w:div>
    <w:div w:id="1458059336">
      <w:bodyDiv w:val="1"/>
      <w:marLeft w:val="0"/>
      <w:marRight w:val="0"/>
      <w:marTop w:val="0"/>
      <w:marBottom w:val="0"/>
      <w:divBdr>
        <w:top w:val="none" w:sz="0" w:space="0" w:color="auto"/>
        <w:left w:val="none" w:sz="0" w:space="0" w:color="auto"/>
        <w:bottom w:val="none" w:sz="0" w:space="0" w:color="auto"/>
        <w:right w:val="none" w:sz="0" w:space="0" w:color="auto"/>
      </w:divBdr>
    </w:div>
    <w:div w:id="1458643678">
      <w:bodyDiv w:val="1"/>
      <w:marLeft w:val="0"/>
      <w:marRight w:val="0"/>
      <w:marTop w:val="0"/>
      <w:marBottom w:val="0"/>
      <w:divBdr>
        <w:top w:val="none" w:sz="0" w:space="0" w:color="auto"/>
        <w:left w:val="none" w:sz="0" w:space="0" w:color="auto"/>
        <w:bottom w:val="none" w:sz="0" w:space="0" w:color="auto"/>
        <w:right w:val="none" w:sz="0" w:space="0" w:color="auto"/>
      </w:divBdr>
    </w:div>
    <w:div w:id="1462652954">
      <w:bodyDiv w:val="1"/>
      <w:marLeft w:val="0"/>
      <w:marRight w:val="0"/>
      <w:marTop w:val="0"/>
      <w:marBottom w:val="0"/>
      <w:divBdr>
        <w:top w:val="none" w:sz="0" w:space="0" w:color="auto"/>
        <w:left w:val="none" w:sz="0" w:space="0" w:color="auto"/>
        <w:bottom w:val="none" w:sz="0" w:space="0" w:color="auto"/>
        <w:right w:val="none" w:sz="0" w:space="0" w:color="auto"/>
      </w:divBdr>
    </w:div>
    <w:div w:id="1463157189">
      <w:bodyDiv w:val="1"/>
      <w:marLeft w:val="0"/>
      <w:marRight w:val="0"/>
      <w:marTop w:val="0"/>
      <w:marBottom w:val="0"/>
      <w:divBdr>
        <w:top w:val="none" w:sz="0" w:space="0" w:color="auto"/>
        <w:left w:val="none" w:sz="0" w:space="0" w:color="auto"/>
        <w:bottom w:val="none" w:sz="0" w:space="0" w:color="auto"/>
        <w:right w:val="none" w:sz="0" w:space="0" w:color="auto"/>
      </w:divBdr>
    </w:div>
    <w:div w:id="1466502568">
      <w:bodyDiv w:val="1"/>
      <w:marLeft w:val="0"/>
      <w:marRight w:val="0"/>
      <w:marTop w:val="0"/>
      <w:marBottom w:val="0"/>
      <w:divBdr>
        <w:top w:val="none" w:sz="0" w:space="0" w:color="auto"/>
        <w:left w:val="none" w:sz="0" w:space="0" w:color="auto"/>
        <w:bottom w:val="none" w:sz="0" w:space="0" w:color="auto"/>
        <w:right w:val="none" w:sz="0" w:space="0" w:color="auto"/>
      </w:divBdr>
    </w:div>
    <w:div w:id="1472361838">
      <w:bodyDiv w:val="1"/>
      <w:marLeft w:val="0"/>
      <w:marRight w:val="0"/>
      <w:marTop w:val="0"/>
      <w:marBottom w:val="0"/>
      <w:divBdr>
        <w:top w:val="none" w:sz="0" w:space="0" w:color="auto"/>
        <w:left w:val="none" w:sz="0" w:space="0" w:color="auto"/>
        <w:bottom w:val="none" w:sz="0" w:space="0" w:color="auto"/>
        <w:right w:val="none" w:sz="0" w:space="0" w:color="auto"/>
      </w:divBdr>
    </w:div>
    <w:div w:id="1480415408">
      <w:bodyDiv w:val="1"/>
      <w:marLeft w:val="0"/>
      <w:marRight w:val="0"/>
      <w:marTop w:val="0"/>
      <w:marBottom w:val="0"/>
      <w:divBdr>
        <w:top w:val="none" w:sz="0" w:space="0" w:color="auto"/>
        <w:left w:val="none" w:sz="0" w:space="0" w:color="auto"/>
        <w:bottom w:val="none" w:sz="0" w:space="0" w:color="auto"/>
        <w:right w:val="none" w:sz="0" w:space="0" w:color="auto"/>
      </w:divBdr>
    </w:div>
    <w:div w:id="1488206104">
      <w:bodyDiv w:val="1"/>
      <w:marLeft w:val="0"/>
      <w:marRight w:val="0"/>
      <w:marTop w:val="0"/>
      <w:marBottom w:val="0"/>
      <w:divBdr>
        <w:top w:val="none" w:sz="0" w:space="0" w:color="auto"/>
        <w:left w:val="none" w:sz="0" w:space="0" w:color="auto"/>
        <w:bottom w:val="none" w:sz="0" w:space="0" w:color="auto"/>
        <w:right w:val="none" w:sz="0" w:space="0" w:color="auto"/>
      </w:divBdr>
    </w:div>
    <w:div w:id="1489439304">
      <w:bodyDiv w:val="1"/>
      <w:marLeft w:val="0"/>
      <w:marRight w:val="0"/>
      <w:marTop w:val="0"/>
      <w:marBottom w:val="0"/>
      <w:divBdr>
        <w:top w:val="none" w:sz="0" w:space="0" w:color="auto"/>
        <w:left w:val="none" w:sz="0" w:space="0" w:color="auto"/>
        <w:bottom w:val="none" w:sz="0" w:space="0" w:color="auto"/>
        <w:right w:val="none" w:sz="0" w:space="0" w:color="auto"/>
      </w:divBdr>
    </w:div>
    <w:div w:id="1491091968">
      <w:bodyDiv w:val="1"/>
      <w:marLeft w:val="0"/>
      <w:marRight w:val="0"/>
      <w:marTop w:val="0"/>
      <w:marBottom w:val="0"/>
      <w:divBdr>
        <w:top w:val="none" w:sz="0" w:space="0" w:color="auto"/>
        <w:left w:val="none" w:sz="0" w:space="0" w:color="auto"/>
        <w:bottom w:val="none" w:sz="0" w:space="0" w:color="auto"/>
        <w:right w:val="none" w:sz="0" w:space="0" w:color="auto"/>
      </w:divBdr>
    </w:div>
    <w:div w:id="1493526191">
      <w:bodyDiv w:val="1"/>
      <w:marLeft w:val="0"/>
      <w:marRight w:val="0"/>
      <w:marTop w:val="0"/>
      <w:marBottom w:val="0"/>
      <w:divBdr>
        <w:top w:val="none" w:sz="0" w:space="0" w:color="auto"/>
        <w:left w:val="none" w:sz="0" w:space="0" w:color="auto"/>
        <w:bottom w:val="none" w:sz="0" w:space="0" w:color="auto"/>
        <w:right w:val="none" w:sz="0" w:space="0" w:color="auto"/>
      </w:divBdr>
    </w:div>
    <w:div w:id="1496144567">
      <w:bodyDiv w:val="1"/>
      <w:marLeft w:val="0"/>
      <w:marRight w:val="0"/>
      <w:marTop w:val="0"/>
      <w:marBottom w:val="0"/>
      <w:divBdr>
        <w:top w:val="none" w:sz="0" w:space="0" w:color="auto"/>
        <w:left w:val="none" w:sz="0" w:space="0" w:color="auto"/>
        <w:bottom w:val="none" w:sz="0" w:space="0" w:color="auto"/>
        <w:right w:val="none" w:sz="0" w:space="0" w:color="auto"/>
      </w:divBdr>
    </w:div>
    <w:div w:id="1507864250">
      <w:bodyDiv w:val="1"/>
      <w:marLeft w:val="0"/>
      <w:marRight w:val="0"/>
      <w:marTop w:val="0"/>
      <w:marBottom w:val="0"/>
      <w:divBdr>
        <w:top w:val="none" w:sz="0" w:space="0" w:color="auto"/>
        <w:left w:val="none" w:sz="0" w:space="0" w:color="auto"/>
        <w:bottom w:val="none" w:sz="0" w:space="0" w:color="auto"/>
        <w:right w:val="none" w:sz="0" w:space="0" w:color="auto"/>
      </w:divBdr>
    </w:div>
    <w:div w:id="1509709122">
      <w:bodyDiv w:val="1"/>
      <w:marLeft w:val="0"/>
      <w:marRight w:val="0"/>
      <w:marTop w:val="0"/>
      <w:marBottom w:val="0"/>
      <w:divBdr>
        <w:top w:val="none" w:sz="0" w:space="0" w:color="auto"/>
        <w:left w:val="none" w:sz="0" w:space="0" w:color="auto"/>
        <w:bottom w:val="none" w:sz="0" w:space="0" w:color="auto"/>
        <w:right w:val="none" w:sz="0" w:space="0" w:color="auto"/>
      </w:divBdr>
    </w:div>
    <w:div w:id="1509826427">
      <w:bodyDiv w:val="1"/>
      <w:marLeft w:val="0"/>
      <w:marRight w:val="0"/>
      <w:marTop w:val="0"/>
      <w:marBottom w:val="0"/>
      <w:divBdr>
        <w:top w:val="none" w:sz="0" w:space="0" w:color="auto"/>
        <w:left w:val="none" w:sz="0" w:space="0" w:color="auto"/>
        <w:bottom w:val="none" w:sz="0" w:space="0" w:color="auto"/>
        <w:right w:val="none" w:sz="0" w:space="0" w:color="auto"/>
      </w:divBdr>
    </w:div>
    <w:div w:id="1509907960">
      <w:bodyDiv w:val="1"/>
      <w:marLeft w:val="0"/>
      <w:marRight w:val="0"/>
      <w:marTop w:val="0"/>
      <w:marBottom w:val="0"/>
      <w:divBdr>
        <w:top w:val="none" w:sz="0" w:space="0" w:color="auto"/>
        <w:left w:val="none" w:sz="0" w:space="0" w:color="auto"/>
        <w:bottom w:val="none" w:sz="0" w:space="0" w:color="auto"/>
        <w:right w:val="none" w:sz="0" w:space="0" w:color="auto"/>
      </w:divBdr>
    </w:div>
    <w:div w:id="1512182699">
      <w:bodyDiv w:val="1"/>
      <w:marLeft w:val="0"/>
      <w:marRight w:val="0"/>
      <w:marTop w:val="0"/>
      <w:marBottom w:val="0"/>
      <w:divBdr>
        <w:top w:val="none" w:sz="0" w:space="0" w:color="auto"/>
        <w:left w:val="none" w:sz="0" w:space="0" w:color="auto"/>
        <w:bottom w:val="none" w:sz="0" w:space="0" w:color="auto"/>
        <w:right w:val="none" w:sz="0" w:space="0" w:color="auto"/>
      </w:divBdr>
    </w:div>
    <w:div w:id="1514224276">
      <w:bodyDiv w:val="1"/>
      <w:marLeft w:val="0"/>
      <w:marRight w:val="0"/>
      <w:marTop w:val="0"/>
      <w:marBottom w:val="0"/>
      <w:divBdr>
        <w:top w:val="none" w:sz="0" w:space="0" w:color="auto"/>
        <w:left w:val="none" w:sz="0" w:space="0" w:color="auto"/>
        <w:bottom w:val="none" w:sz="0" w:space="0" w:color="auto"/>
        <w:right w:val="none" w:sz="0" w:space="0" w:color="auto"/>
      </w:divBdr>
    </w:div>
    <w:div w:id="1519345524">
      <w:bodyDiv w:val="1"/>
      <w:marLeft w:val="0"/>
      <w:marRight w:val="0"/>
      <w:marTop w:val="0"/>
      <w:marBottom w:val="0"/>
      <w:divBdr>
        <w:top w:val="none" w:sz="0" w:space="0" w:color="auto"/>
        <w:left w:val="none" w:sz="0" w:space="0" w:color="auto"/>
        <w:bottom w:val="none" w:sz="0" w:space="0" w:color="auto"/>
        <w:right w:val="none" w:sz="0" w:space="0" w:color="auto"/>
      </w:divBdr>
    </w:div>
    <w:div w:id="1520463618">
      <w:bodyDiv w:val="1"/>
      <w:marLeft w:val="0"/>
      <w:marRight w:val="0"/>
      <w:marTop w:val="0"/>
      <w:marBottom w:val="0"/>
      <w:divBdr>
        <w:top w:val="none" w:sz="0" w:space="0" w:color="auto"/>
        <w:left w:val="none" w:sz="0" w:space="0" w:color="auto"/>
        <w:bottom w:val="none" w:sz="0" w:space="0" w:color="auto"/>
        <w:right w:val="none" w:sz="0" w:space="0" w:color="auto"/>
      </w:divBdr>
    </w:div>
    <w:div w:id="1520509337">
      <w:bodyDiv w:val="1"/>
      <w:marLeft w:val="0"/>
      <w:marRight w:val="0"/>
      <w:marTop w:val="0"/>
      <w:marBottom w:val="0"/>
      <w:divBdr>
        <w:top w:val="none" w:sz="0" w:space="0" w:color="auto"/>
        <w:left w:val="none" w:sz="0" w:space="0" w:color="auto"/>
        <w:bottom w:val="none" w:sz="0" w:space="0" w:color="auto"/>
        <w:right w:val="none" w:sz="0" w:space="0" w:color="auto"/>
      </w:divBdr>
    </w:div>
    <w:div w:id="1520774629">
      <w:bodyDiv w:val="1"/>
      <w:marLeft w:val="0"/>
      <w:marRight w:val="0"/>
      <w:marTop w:val="0"/>
      <w:marBottom w:val="0"/>
      <w:divBdr>
        <w:top w:val="none" w:sz="0" w:space="0" w:color="auto"/>
        <w:left w:val="none" w:sz="0" w:space="0" w:color="auto"/>
        <w:bottom w:val="none" w:sz="0" w:space="0" w:color="auto"/>
        <w:right w:val="none" w:sz="0" w:space="0" w:color="auto"/>
      </w:divBdr>
      <w:divsChild>
        <w:div w:id="1195387115">
          <w:marLeft w:val="0"/>
          <w:marRight w:val="0"/>
          <w:marTop w:val="0"/>
          <w:marBottom w:val="0"/>
          <w:divBdr>
            <w:top w:val="none" w:sz="0" w:space="0" w:color="auto"/>
            <w:left w:val="none" w:sz="0" w:space="0" w:color="auto"/>
            <w:bottom w:val="none" w:sz="0" w:space="0" w:color="auto"/>
            <w:right w:val="none" w:sz="0" w:space="0" w:color="auto"/>
          </w:divBdr>
          <w:divsChild>
            <w:div w:id="1548757750">
              <w:marLeft w:val="0"/>
              <w:marRight w:val="0"/>
              <w:marTop w:val="0"/>
              <w:marBottom w:val="0"/>
              <w:divBdr>
                <w:top w:val="none" w:sz="0" w:space="0" w:color="auto"/>
                <w:left w:val="none" w:sz="0" w:space="0" w:color="auto"/>
                <w:bottom w:val="none" w:sz="0" w:space="0" w:color="auto"/>
                <w:right w:val="none" w:sz="0" w:space="0" w:color="auto"/>
              </w:divBdr>
              <w:divsChild>
                <w:div w:id="440681949">
                  <w:marLeft w:val="0"/>
                  <w:marRight w:val="0"/>
                  <w:marTop w:val="0"/>
                  <w:marBottom w:val="0"/>
                  <w:divBdr>
                    <w:top w:val="none" w:sz="0" w:space="0" w:color="auto"/>
                    <w:left w:val="none" w:sz="0" w:space="0" w:color="auto"/>
                    <w:bottom w:val="none" w:sz="0" w:space="0" w:color="auto"/>
                    <w:right w:val="none" w:sz="0" w:space="0" w:color="auto"/>
                  </w:divBdr>
                  <w:divsChild>
                    <w:div w:id="1177425028">
                      <w:marLeft w:val="0"/>
                      <w:marRight w:val="0"/>
                      <w:marTop w:val="45"/>
                      <w:marBottom w:val="0"/>
                      <w:divBdr>
                        <w:top w:val="none" w:sz="0" w:space="0" w:color="auto"/>
                        <w:left w:val="none" w:sz="0" w:space="0" w:color="auto"/>
                        <w:bottom w:val="none" w:sz="0" w:space="0" w:color="auto"/>
                        <w:right w:val="none" w:sz="0" w:space="0" w:color="auto"/>
                      </w:divBdr>
                      <w:divsChild>
                        <w:div w:id="1730884140">
                          <w:marLeft w:val="0"/>
                          <w:marRight w:val="0"/>
                          <w:marTop w:val="0"/>
                          <w:marBottom w:val="0"/>
                          <w:divBdr>
                            <w:top w:val="none" w:sz="0" w:space="0" w:color="auto"/>
                            <w:left w:val="none" w:sz="0" w:space="0" w:color="auto"/>
                            <w:bottom w:val="none" w:sz="0" w:space="0" w:color="auto"/>
                            <w:right w:val="none" w:sz="0" w:space="0" w:color="auto"/>
                          </w:divBdr>
                          <w:divsChild>
                            <w:div w:id="384841384">
                              <w:marLeft w:val="2070"/>
                              <w:marRight w:val="3960"/>
                              <w:marTop w:val="0"/>
                              <w:marBottom w:val="0"/>
                              <w:divBdr>
                                <w:top w:val="none" w:sz="0" w:space="0" w:color="auto"/>
                                <w:left w:val="none" w:sz="0" w:space="0" w:color="auto"/>
                                <w:bottom w:val="none" w:sz="0" w:space="0" w:color="auto"/>
                                <w:right w:val="none" w:sz="0" w:space="0" w:color="auto"/>
                              </w:divBdr>
                              <w:divsChild>
                                <w:div w:id="1875073298">
                                  <w:marLeft w:val="0"/>
                                  <w:marRight w:val="0"/>
                                  <w:marTop w:val="0"/>
                                  <w:marBottom w:val="0"/>
                                  <w:divBdr>
                                    <w:top w:val="none" w:sz="0" w:space="0" w:color="auto"/>
                                    <w:left w:val="none" w:sz="0" w:space="0" w:color="auto"/>
                                    <w:bottom w:val="none" w:sz="0" w:space="0" w:color="auto"/>
                                    <w:right w:val="none" w:sz="0" w:space="0" w:color="auto"/>
                                  </w:divBdr>
                                  <w:divsChild>
                                    <w:div w:id="1128399862">
                                      <w:marLeft w:val="0"/>
                                      <w:marRight w:val="0"/>
                                      <w:marTop w:val="0"/>
                                      <w:marBottom w:val="0"/>
                                      <w:divBdr>
                                        <w:top w:val="none" w:sz="0" w:space="0" w:color="auto"/>
                                        <w:left w:val="none" w:sz="0" w:space="0" w:color="auto"/>
                                        <w:bottom w:val="none" w:sz="0" w:space="0" w:color="auto"/>
                                        <w:right w:val="none" w:sz="0" w:space="0" w:color="auto"/>
                                      </w:divBdr>
                                      <w:divsChild>
                                        <w:div w:id="599485649">
                                          <w:marLeft w:val="0"/>
                                          <w:marRight w:val="0"/>
                                          <w:marTop w:val="0"/>
                                          <w:marBottom w:val="0"/>
                                          <w:divBdr>
                                            <w:top w:val="none" w:sz="0" w:space="0" w:color="auto"/>
                                            <w:left w:val="none" w:sz="0" w:space="0" w:color="auto"/>
                                            <w:bottom w:val="none" w:sz="0" w:space="0" w:color="auto"/>
                                            <w:right w:val="none" w:sz="0" w:space="0" w:color="auto"/>
                                          </w:divBdr>
                                          <w:divsChild>
                                            <w:div w:id="831026405">
                                              <w:marLeft w:val="0"/>
                                              <w:marRight w:val="0"/>
                                              <w:marTop w:val="90"/>
                                              <w:marBottom w:val="0"/>
                                              <w:divBdr>
                                                <w:top w:val="none" w:sz="0" w:space="0" w:color="auto"/>
                                                <w:left w:val="none" w:sz="0" w:space="0" w:color="auto"/>
                                                <w:bottom w:val="none" w:sz="0" w:space="0" w:color="auto"/>
                                                <w:right w:val="none" w:sz="0" w:space="0" w:color="auto"/>
                                              </w:divBdr>
                                              <w:divsChild>
                                                <w:div w:id="371615339">
                                                  <w:marLeft w:val="0"/>
                                                  <w:marRight w:val="0"/>
                                                  <w:marTop w:val="0"/>
                                                  <w:marBottom w:val="0"/>
                                                  <w:divBdr>
                                                    <w:top w:val="none" w:sz="0" w:space="0" w:color="auto"/>
                                                    <w:left w:val="none" w:sz="0" w:space="0" w:color="auto"/>
                                                    <w:bottom w:val="none" w:sz="0" w:space="0" w:color="auto"/>
                                                    <w:right w:val="none" w:sz="0" w:space="0" w:color="auto"/>
                                                  </w:divBdr>
                                                  <w:divsChild>
                                                    <w:div w:id="1249924469">
                                                      <w:marLeft w:val="0"/>
                                                      <w:marRight w:val="0"/>
                                                      <w:marTop w:val="0"/>
                                                      <w:marBottom w:val="0"/>
                                                      <w:divBdr>
                                                        <w:top w:val="none" w:sz="0" w:space="0" w:color="auto"/>
                                                        <w:left w:val="none" w:sz="0" w:space="0" w:color="auto"/>
                                                        <w:bottom w:val="none" w:sz="0" w:space="0" w:color="auto"/>
                                                        <w:right w:val="none" w:sz="0" w:space="0" w:color="auto"/>
                                                      </w:divBdr>
                                                      <w:divsChild>
                                                        <w:div w:id="1737698796">
                                                          <w:marLeft w:val="0"/>
                                                          <w:marRight w:val="0"/>
                                                          <w:marTop w:val="0"/>
                                                          <w:marBottom w:val="390"/>
                                                          <w:divBdr>
                                                            <w:top w:val="none" w:sz="0" w:space="0" w:color="auto"/>
                                                            <w:left w:val="none" w:sz="0" w:space="0" w:color="auto"/>
                                                            <w:bottom w:val="none" w:sz="0" w:space="0" w:color="auto"/>
                                                            <w:right w:val="none" w:sz="0" w:space="0" w:color="auto"/>
                                                          </w:divBdr>
                                                          <w:divsChild>
                                                            <w:div w:id="367534552">
                                                              <w:marLeft w:val="0"/>
                                                              <w:marRight w:val="0"/>
                                                              <w:marTop w:val="0"/>
                                                              <w:marBottom w:val="0"/>
                                                              <w:divBdr>
                                                                <w:top w:val="none" w:sz="0" w:space="0" w:color="auto"/>
                                                                <w:left w:val="none" w:sz="0" w:space="0" w:color="auto"/>
                                                                <w:bottom w:val="none" w:sz="0" w:space="0" w:color="auto"/>
                                                                <w:right w:val="none" w:sz="0" w:space="0" w:color="auto"/>
                                                              </w:divBdr>
                                                              <w:divsChild>
                                                                <w:div w:id="1496068557">
                                                                  <w:marLeft w:val="0"/>
                                                                  <w:marRight w:val="0"/>
                                                                  <w:marTop w:val="0"/>
                                                                  <w:marBottom w:val="0"/>
                                                                  <w:divBdr>
                                                                    <w:top w:val="none" w:sz="0" w:space="0" w:color="auto"/>
                                                                    <w:left w:val="none" w:sz="0" w:space="0" w:color="auto"/>
                                                                    <w:bottom w:val="none" w:sz="0" w:space="0" w:color="auto"/>
                                                                    <w:right w:val="none" w:sz="0" w:space="0" w:color="auto"/>
                                                                  </w:divBdr>
                                                                  <w:divsChild>
                                                                    <w:div w:id="786583526">
                                                                      <w:marLeft w:val="0"/>
                                                                      <w:marRight w:val="0"/>
                                                                      <w:marTop w:val="0"/>
                                                                      <w:marBottom w:val="0"/>
                                                                      <w:divBdr>
                                                                        <w:top w:val="none" w:sz="0" w:space="0" w:color="auto"/>
                                                                        <w:left w:val="none" w:sz="0" w:space="0" w:color="auto"/>
                                                                        <w:bottom w:val="none" w:sz="0" w:space="0" w:color="auto"/>
                                                                        <w:right w:val="none" w:sz="0" w:space="0" w:color="auto"/>
                                                                      </w:divBdr>
                                                                      <w:divsChild>
                                                                        <w:div w:id="763647877">
                                                                          <w:marLeft w:val="0"/>
                                                                          <w:marRight w:val="0"/>
                                                                          <w:marTop w:val="0"/>
                                                                          <w:marBottom w:val="0"/>
                                                                          <w:divBdr>
                                                                            <w:top w:val="none" w:sz="0" w:space="0" w:color="auto"/>
                                                                            <w:left w:val="none" w:sz="0" w:space="0" w:color="auto"/>
                                                                            <w:bottom w:val="none" w:sz="0" w:space="0" w:color="auto"/>
                                                                            <w:right w:val="none" w:sz="0" w:space="0" w:color="auto"/>
                                                                          </w:divBdr>
                                                                          <w:divsChild>
                                                                            <w:div w:id="1825121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24516806">
      <w:bodyDiv w:val="1"/>
      <w:marLeft w:val="0"/>
      <w:marRight w:val="0"/>
      <w:marTop w:val="0"/>
      <w:marBottom w:val="0"/>
      <w:divBdr>
        <w:top w:val="none" w:sz="0" w:space="0" w:color="auto"/>
        <w:left w:val="none" w:sz="0" w:space="0" w:color="auto"/>
        <w:bottom w:val="none" w:sz="0" w:space="0" w:color="auto"/>
        <w:right w:val="none" w:sz="0" w:space="0" w:color="auto"/>
      </w:divBdr>
    </w:div>
    <w:div w:id="1526092391">
      <w:bodyDiv w:val="1"/>
      <w:marLeft w:val="0"/>
      <w:marRight w:val="0"/>
      <w:marTop w:val="0"/>
      <w:marBottom w:val="0"/>
      <w:divBdr>
        <w:top w:val="none" w:sz="0" w:space="0" w:color="auto"/>
        <w:left w:val="none" w:sz="0" w:space="0" w:color="auto"/>
        <w:bottom w:val="none" w:sz="0" w:space="0" w:color="auto"/>
        <w:right w:val="none" w:sz="0" w:space="0" w:color="auto"/>
      </w:divBdr>
    </w:div>
    <w:div w:id="1527868396">
      <w:bodyDiv w:val="1"/>
      <w:marLeft w:val="0"/>
      <w:marRight w:val="0"/>
      <w:marTop w:val="0"/>
      <w:marBottom w:val="0"/>
      <w:divBdr>
        <w:top w:val="none" w:sz="0" w:space="0" w:color="auto"/>
        <w:left w:val="none" w:sz="0" w:space="0" w:color="auto"/>
        <w:bottom w:val="none" w:sz="0" w:space="0" w:color="auto"/>
        <w:right w:val="none" w:sz="0" w:space="0" w:color="auto"/>
      </w:divBdr>
    </w:div>
    <w:div w:id="1539391412">
      <w:bodyDiv w:val="1"/>
      <w:marLeft w:val="0"/>
      <w:marRight w:val="0"/>
      <w:marTop w:val="0"/>
      <w:marBottom w:val="0"/>
      <w:divBdr>
        <w:top w:val="none" w:sz="0" w:space="0" w:color="auto"/>
        <w:left w:val="none" w:sz="0" w:space="0" w:color="auto"/>
        <w:bottom w:val="none" w:sz="0" w:space="0" w:color="auto"/>
        <w:right w:val="none" w:sz="0" w:space="0" w:color="auto"/>
      </w:divBdr>
    </w:div>
    <w:div w:id="1541085019">
      <w:bodyDiv w:val="1"/>
      <w:marLeft w:val="0"/>
      <w:marRight w:val="0"/>
      <w:marTop w:val="0"/>
      <w:marBottom w:val="0"/>
      <w:divBdr>
        <w:top w:val="none" w:sz="0" w:space="0" w:color="auto"/>
        <w:left w:val="none" w:sz="0" w:space="0" w:color="auto"/>
        <w:bottom w:val="none" w:sz="0" w:space="0" w:color="auto"/>
        <w:right w:val="none" w:sz="0" w:space="0" w:color="auto"/>
      </w:divBdr>
    </w:div>
    <w:div w:id="1542591951">
      <w:bodyDiv w:val="1"/>
      <w:marLeft w:val="0"/>
      <w:marRight w:val="0"/>
      <w:marTop w:val="0"/>
      <w:marBottom w:val="0"/>
      <w:divBdr>
        <w:top w:val="none" w:sz="0" w:space="0" w:color="auto"/>
        <w:left w:val="none" w:sz="0" w:space="0" w:color="auto"/>
        <w:bottom w:val="none" w:sz="0" w:space="0" w:color="auto"/>
        <w:right w:val="none" w:sz="0" w:space="0" w:color="auto"/>
      </w:divBdr>
    </w:div>
    <w:div w:id="1546795091">
      <w:bodyDiv w:val="1"/>
      <w:marLeft w:val="0"/>
      <w:marRight w:val="0"/>
      <w:marTop w:val="0"/>
      <w:marBottom w:val="0"/>
      <w:divBdr>
        <w:top w:val="none" w:sz="0" w:space="0" w:color="auto"/>
        <w:left w:val="none" w:sz="0" w:space="0" w:color="auto"/>
        <w:bottom w:val="none" w:sz="0" w:space="0" w:color="auto"/>
        <w:right w:val="none" w:sz="0" w:space="0" w:color="auto"/>
      </w:divBdr>
    </w:div>
    <w:div w:id="1552225282">
      <w:bodyDiv w:val="1"/>
      <w:marLeft w:val="0"/>
      <w:marRight w:val="0"/>
      <w:marTop w:val="0"/>
      <w:marBottom w:val="0"/>
      <w:divBdr>
        <w:top w:val="none" w:sz="0" w:space="0" w:color="auto"/>
        <w:left w:val="none" w:sz="0" w:space="0" w:color="auto"/>
        <w:bottom w:val="none" w:sz="0" w:space="0" w:color="auto"/>
        <w:right w:val="none" w:sz="0" w:space="0" w:color="auto"/>
      </w:divBdr>
    </w:div>
    <w:div w:id="1552769802">
      <w:bodyDiv w:val="1"/>
      <w:marLeft w:val="0"/>
      <w:marRight w:val="0"/>
      <w:marTop w:val="0"/>
      <w:marBottom w:val="0"/>
      <w:divBdr>
        <w:top w:val="none" w:sz="0" w:space="0" w:color="auto"/>
        <w:left w:val="none" w:sz="0" w:space="0" w:color="auto"/>
        <w:bottom w:val="none" w:sz="0" w:space="0" w:color="auto"/>
        <w:right w:val="none" w:sz="0" w:space="0" w:color="auto"/>
      </w:divBdr>
    </w:div>
    <w:div w:id="1554468461">
      <w:bodyDiv w:val="1"/>
      <w:marLeft w:val="0"/>
      <w:marRight w:val="0"/>
      <w:marTop w:val="0"/>
      <w:marBottom w:val="0"/>
      <w:divBdr>
        <w:top w:val="none" w:sz="0" w:space="0" w:color="auto"/>
        <w:left w:val="none" w:sz="0" w:space="0" w:color="auto"/>
        <w:bottom w:val="none" w:sz="0" w:space="0" w:color="auto"/>
        <w:right w:val="none" w:sz="0" w:space="0" w:color="auto"/>
      </w:divBdr>
    </w:div>
    <w:div w:id="1554734164">
      <w:bodyDiv w:val="1"/>
      <w:marLeft w:val="0"/>
      <w:marRight w:val="0"/>
      <w:marTop w:val="0"/>
      <w:marBottom w:val="0"/>
      <w:divBdr>
        <w:top w:val="none" w:sz="0" w:space="0" w:color="auto"/>
        <w:left w:val="none" w:sz="0" w:space="0" w:color="auto"/>
        <w:bottom w:val="none" w:sz="0" w:space="0" w:color="auto"/>
        <w:right w:val="none" w:sz="0" w:space="0" w:color="auto"/>
      </w:divBdr>
    </w:div>
    <w:div w:id="1555002414">
      <w:bodyDiv w:val="1"/>
      <w:marLeft w:val="0"/>
      <w:marRight w:val="0"/>
      <w:marTop w:val="0"/>
      <w:marBottom w:val="0"/>
      <w:divBdr>
        <w:top w:val="none" w:sz="0" w:space="0" w:color="auto"/>
        <w:left w:val="none" w:sz="0" w:space="0" w:color="auto"/>
        <w:bottom w:val="none" w:sz="0" w:space="0" w:color="auto"/>
        <w:right w:val="none" w:sz="0" w:space="0" w:color="auto"/>
      </w:divBdr>
    </w:div>
    <w:div w:id="1555970765">
      <w:bodyDiv w:val="1"/>
      <w:marLeft w:val="0"/>
      <w:marRight w:val="0"/>
      <w:marTop w:val="0"/>
      <w:marBottom w:val="0"/>
      <w:divBdr>
        <w:top w:val="none" w:sz="0" w:space="0" w:color="auto"/>
        <w:left w:val="none" w:sz="0" w:space="0" w:color="auto"/>
        <w:bottom w:val="none" w:sz="0" w:space="0" w:color="auto"/>
        <w:right w:val="none" w:sz="0" w:space="0" w:color="auto"/>
      </w:divBdr>
    </w:div>
    <w:div w:id="1557470610">
      <w:bodyDiv w:val="1"/>
      <w:marLeft w:val="0"/>
      <w:marRight w:val="0"/>
      <w:marTop w:val="0"/>
      <w:marBottom w:val="0"/>
      <w:divBdr>
        <w:top w:val="none" w:sz="0" w:space="0" w:color="auto"/>
        <w:left w:val="none" w:sz="0" w:space="0" w:color="auto"/>
        <w:bottom w:val="none" w:sz="0" w:space="0" w:color="auto"/>
        <w:right w:val="none" w:sz="0" w:space="0" w:color="auto"/>
      </w:divBdr>
    </w:div>
    <w:div w:id="1558472217">
      <w:bodyDiv w:val="1"/>
      <w:marLeft w:val="0"/>
      <w:marRight w:val="0"/>
      <w:marTop w:val="0"/>
      <w:marBottom w:val="0"/>
      <w:divBdr>
        <w:top w:val="none" w:sz="0" w:space="0" w:color="auto"/>
        <w:left w:val="none" w:sz="0" w:space="0" w:color="auto"/>
        <w:bottom w:val="none" w:sz="0" w:space="0" w:color="auto"/>
        <w:right w:val="none" w:sz="0" w:space="0" w:color="auto"/>
      </w:divBdr>
    </w:div>
    <w:div w:id="1562667554">
      <w:bodyDiv w:val="1"/>
      <w:marLeft w:val="0"/>
      <w:marRight w:val="0"/>
      <w:marTop w:val="0"/>
      <w:marBottom w:val="0"/>
      <w:divBdr>
        <w:top w:val="none" w:sz="0" w:space="0" w:color="auto"/>
        <w:left w:val="none" w:sz="0" w:space="0" w:color="auto"/>
        <w:bottom w:val="none" w:sz="0" w:space="0" w:color="auto"/>
        <w:right w:val="none" w:sz="0" w:space="0" w:color="auto"/>
      </w:divBdr>
    </w:div>
    <w:div w:id="1562935067">
      <w:bodyDiv w:val="1"/>
      <w:marLeft w:val="0"/>
      <w:marRight w:val="0"/>
      <w:marTop w:val="0"/>
      <w:marBottom w:val="0"/>
      <w:divBdr>
        <w:top w:val="none" w:sz="0" w:space="0" w:color="auto"/>
        <w:left w:val="none" w:sz="0" w:space="0" w:color="auto"/>
        <w:bottom w:val="none" w:sz="0" w:space="0" w:color="auto"/>
        <w:right w:val="none" w:sz="0" w:space="0" w:color="auto"/>
      </w:divBdr>
    </w:div>
    <w:div w:id="1569070181">
      <w:bodyDiv w:val="1"/>
      <w:marLeft w:val="0"/>
      <w:marRight w:val="0"/>
      <w:marTop w:val="0"/>
      <w:marBottom w:val="0"/>
      <w:divBdr>
        <w:top w:val="none" w:sz="0" w:space="0" w:color="auto"/>
        <w:left w:val="none" w:sz="0" w:space="0" w:color="auto"/>
        <w:bottom w:val="none" w:sz="0" w:space="0" w:color="auto"/>
        <w:right w:val="none" w:sz="0" w:space="0" w:color="auto"/>
      </w:divBdr>
    </w:div>
    <w:div w:id="1569657769">
      <w:bodyDiv w:val="1"/>
      <w:marLeft w:val="0"/>
      <w:marRight w:val="0"/>
      <w:marTop w:val="0"/>
      <w:marBottom w:val="0"/>
      <w:divBdr>
        <w:top w:val="none" w:sz="0" w:space="0" w:color="auto"/>
        <w:left w:val="none" w:sz="0" w:space="0" w:color="auto"/>
        <w:bottom w:val="none" w:sz="0" w:space="0" w:color="auto"/>
        <w:right w:val="none" w:sz="0" w:space="0" w:color="auto"/>
      </w:divBdr>
    </w:div>
    <w:div w:id="1574588523">
      <w:bodyDiv w:val="1"/>
      <w:marLeft w:val="0"/>
      <w:marRight w:val="0"/>
      <w:marTop w:val="0"/>
      <w:marBottom w:val="0"/>
      <w:divBdr>
        <w:top w:val="none" w:sz="0" w:space="0" w:color="auto"/>
        <w:left w:val="none" w:sz="0" w:space="0" w:color="auto"/>
        <w:bottom w:val="none" w:sz="0" w:space="0" w:color="auto"/>
        <w:right w:val="none" w:sz="0" w:space="0" w:color="auto"/>
      </w:divBdr>
    </w:div>
    <w:div w:id="1577203876">
      <w:bodyDiv w:val="1"/>
      <w:marLeft w:val="0"/>
      <w:marRight w:val="0"/>
      <w:marTop w:val="0"/>
      <w:marBottom w:val="0"/>
      <w:divBdr>
        <w:top w:val="none" w:sz="0" w:space="0" w:color="auto"/>
        <w:left w:val="none" w:sz="0" w:space="0" w:color="auto"/>
        <w:bottom w:val="none" w:sz="0" w:space="0" w:color="auto"/>
        <w:right w:val="none" w:sz="0" w:space="0" w:color="auto"/>
      </w:divBdr>
    </w:div>
    <w:div w:id="1578662336">
      <w:bodyDiv w:val="1"/>
      <w:marLeft w:val="0"/>
      <w:marRight w:val="0"/>
      <w:marTop w:val="0"/>
      <w:marBottom w:val="0"/>
      <w:divBdr>
        <w:top w:val="none" w:sz="0" w:space="0" w:color="auto"/>
        <w:left w:val="none" w:sz="0" w:space="0" w:color="auto"/>
        <w:bottom w:val="none" w:sz="0" w:space="0" w:color="auto"/>
        <w:right w:val="none" w:sz="0" w:space="0" w:color="auto"/>
      </w:divBdr>
    </w:div>
    <w:div w:id="1580866570">
      <w:bodyDiv w:val="1"/>
      <w:marLeft w:val="0"/>
      <w:marRight w:val="0"/>
      <w:marTop w:val="0"/>
      <w:marBottom w:val="0"/>
      <w:divBdr>
        <w:top w:val="none" w:sz="0" w:space="0" w:color="auto"/>
        <w:left w:val="none" w:sz="0" w:space="0" w:color="auto"/>
        <w:bottom w:val="none" w:sz="0" w:space="0" w:color="auto"/>
        <w:right w:val="none" w:sz="0" w:space="0" w:color="auto"/>
      </w:divBdr>
    </w:div>
    <w:div w:id="1582831022">
      <w:bodyDiv w:val="1"/>
      <w:marLeft w:val="0"/>
      <w:marRight w:val="0"/>
      <w:marTop w:val="0"/>
      <w:marBottom w:val="0"/>
      <w:divBdr>
        <w:top w:val="none" w:sz="0" w:space="0" w:color="auto"/>
        <w:left w:val="none" w:sz="0" w:space="0" w:color="auto"/>
        <w:bottom w:val="none" w:sz="0" w:space="0" w:color="auto"/>
        <w:right w:val="none" w:sz="0" w:space="0" w:color="auto"/>
      </w:divBdr>
    </w:div>
    <w:div w:id="1584291280">
      <w:bodyDiv w:val="1"/>
      <w:marLeft w:val="0"/>
      <w:marRight w:val="0"/>
      <w:marTop w:val="0"/>
      <w:marBottom w:val="0"/>
      <w:divBdr>
        <w:top w:val="none" w:sz="0" w:space="0" w:color="auto"/>
        <w:left w:val="none" w:sz="0" w:space="0" w:color="auto"/>
        <w:bottom w:val="none" w:sz="0" w:space="0" w:color="auto"/>
        <w:right w:val="none" w:sz="0" w:space="0" w:color="auto"/>
      </w:divBdr>
    </w:div>
    <w:div w:id="1586383501">
      <w:bodyDiv w:val="1"/>
      <w:marLeft w:val="0"/>
      <w:marRight w:val="0"/>
      <w:marTop w:val="0"/>
      <w:marBottom w:val="0"/>
      <w:divBdr>
        <w:top w:val="none" w:sz="0" w:space="0" w:color="auto"/>
        <w:left w:val="none" w:sz="0" w:space="0" w:color="auto"/>
        <w:bottom w:val="none" w:sz="0" w:space="0" w:color="auto"/>
        <w:right w:val="none" w:sz="0" w:space="0" w:color="auto"/>
      </w:divBdr>
    </w:div>
    <w:div w:id="1587301360">
      <w:bodyDiv w:val="1"/>
      <w:marLeft w:val="0"/>
      <w:marRight w:val="0"/>
      <w:marTop w:val="0"/>
      <w:marBottom w:val="0"/>
      <w:divBdr>
        <w:top w:val="none" w:sz="0" w:space="0" w:color="auto"/>
        <w:left w:val="none" w:sz="0" w:space="0" w:color="auto"/>
        <w:bottom w:val="none" w:sz="0" w:space="0" w:color="auto"/>
        <w:right w:val="none" w:sz="0" w:space="0" w:color="auto"/>
      </w:divBdr>
    </w:div>
    <w:div w:id="1588347642">
      <w:bodyDiv w:val="1"/>
      <w:marLeft w:val="0"/>
      <w:marRight w:val="0"/>
      <w:marTop w:val="0"/>
      <w:marBottom w:val="0"/>
      <w:divBdr>
        <w:top w:val="none" w:sz="0" w:space="0" w:color="auto"/>
        <w:left w:val="none" w:sz="0" w:space="0" w:color="auto"/>
        <w:bottom w:val="none" w:sz="0" w:space="0" w:color="auto"/>
        <w:right w:val="none" w:sz="0" w:space="0" w:color="auto"/>
      </w:divBdr>
    </w:div>
    <w:div w:id="1594126355">
      <w:bodyDiv w:val="1"/>
      <w:marLeft w:val="0"/>
      <w:marRight w:val="0"/>
      <w:marTop w:val="0"/>
      <w:marBottom w:val="0"/>
      <w:divBdr>
        <w:top w:val="none" w:sz="0" w:space="0" w:color="auto"/>
        <w:left w:val="none" w:sz="0" w:space="0" w:color="auto"/>
        <w:bottom w:val="none" w:sz="0" w:space="0" w:color="auto"/>
        <w:right w:val="none" w:sz="0" w:space="0" w:color="auto"/>
      </w:divBdr>
    </w:div>
    <w:div w:id="1595044680">
      <w:bodyDiv w:val="1"/>
      <w:marLeft w:val="0"/>
      <w:marRight w:val="0"/>
      <w:marTop w:val="0"/>
      <w:marBottom w:val="0"/>
      <w:divBdr>
        <w:top w:val="none" w:sz="0" w:space="0" w:color="auto"/>
        <w:left w:val="none" w:sz="0" w:space="0" w:color="auto"/>
        <w:bottom w:val="none" w:sz="0" w:space="0" w:color="auto"/>
        <w:right w:val="none" w:sz="0" w:space="0" w:color="auto"/>
      </w:divBdr>
    </w:div>
    <w:div w:id="1600021714">
      <w:bodyDiv w:val="1"/>
      <w:marLeft w:val="0"/>
      <w:marRight w:val="0"/>
      <w:marTop w:val="0"/>
      <w:marBottom w:val="0"/>
      <w:divBdr>
        <w:top w:val="none" w:sz="0" w:space="0" w:color="auto"/>
        <w:left w:val="none" w:sz="0" w:space="0" w:color="auto"/>
        <w:bottom w:val="none" w:sz="0" w:space="0" w:color="auto"/>
        <w:right w:val="none" w:sz="0" w:space="0" w:color="auto"/>
      </w:divBdr>
    </w:div>
    <w:div w:id="1602102250">
      <w:bodyDiv w:val="1"/>
      <w:marLeft w:val="0"/>
      <w:marRight w:val="0"/>
      <w:marTop w:val="0"/>
      <w:marBottom w:val="0"/>
      <w:divBdr>
        <w:top w:val="none" w:sz="0" w:space="0" w:color="auto"/>
        <w:left w:val="none" w:sz="0" w:space="0" w:color="auto"/>
        <w:bottom w:val="none" w:sz="0" w:space="0" w:color="auto"/>
        <w:right w:val="none" w:sz="0" w:space="0" w:color="auto"/>
      </w:divBdr>
    </w:div>
    <w:div w:id="1602179128">
      <w:bodyDiv w:val="1"/>
      <w:marLeft w:val="0"/>
      <w:marRight w:val="0"/>
      <w:marTop w:val="0"/>
      <w:marBottom w:val="0"/>
      <w:divBdr>
        <w:top w:val="none" w:sz="0" w:space="0" w:color="auto"/>
        <w:left w:val="none" w:sz="0" w:space="0" w:color="auto"/>
        <w:bottom w:val="none" w:sz="0" w:space="0" w:color="auto"/>
        <w:right w:val="none" w:sz="0" w:space="0" w:color="auto"/>
      </w:divBdr>
    </w:div>
    <w:div w:id="1602226042">
      <w:bodyDiv w:val="1"/>
      <w:marLeft w:val="0"/>
      <w:marRight w:val="0"/>
      <w:marTop w:val="0"/>
      <w:marBottom w:val="0"/>
      <w:divBdr>
        <w:top w:val="none" w:sz="0" w:space="0" w:color="auto"/>
        <w:left w:val="none" w:sz="0" w:space="0" w:color="auto"/>
        <w:bottom w:val="none" w:sz="0" w:space="0" w:color="auto"/>
        <w:right w:val="none" w:sz="0" w:space="0" w:color="auto"/>
      </w:divBdr>
    </w:div>
    <w:div w:id="1604916953">
      <w:bodyDiv w:val="1"/>
      <w:marLeft w:val="0"/>
      <w:marRight w:val="0"/>
      <w:marTop w:val="0"/>
      <w:marBottom w:val="0"/>
      <w:divBdr>
        <w:top w:val="none" w:sz="0" w:space="0" w:color="auto"/>
        <w:left w:val="none" w:sz="0" w:space="0" w:color="auto"/>
        <w:bottom w:val="none" w:sz="0" w:space="0" w:color="auto"/>
        <w:right w:val="none" w:sz="0" w:space="0" w:color="auto"/>
      </w:divBdr>
    </w:div>
    <w:div w:id="1605265141">
      <w:bodyDiv w:val="1"/>
      <w:marLeft w:val="0"/>
      <w:marRight w:val="0"/>
      <w:marTop w:val="0"/>
      <w:marBottom w:val="0"/>
      <w:divBdr>
        <w:top w:val="none" w:sz="0" w:space="0" w:color="auto"/>
        <w:left w:val="none" w:sz="0" w:space="0" w:color="auto"/>
        <w:bottom w:val="none" w:sz="0" w:space="0" w:color="auto"/>
        <w:right w:val="none" w:sz="0" w:space="0" w:color="auto"/>
      </w:divBdr>
    </w:div>
    <w:div w:id="1608926803">
      <w:bodyDiv w:val="1"/>
      <w:marLeft w:val="0"/>
      <w:marRight w:val="0"/>
      <w:marTop w:val="0"/>
      <w:marBottom w:val="0"/>
      <w:divBdr>
        <w:top w:val="none" w:sz="0" w:space="0" w:color="auto"/>
        <w:left w:val="none" w:sz="0" w:space="0" w:color="auto"/>
        <w:bottom w:val="none" w:sz="0" w:space="0" w:color="auto"/>
        <w:right w:val="none" w:sz="0" w:space="0" w:color="auto"/>
      </w:divBdr>
    </w:div>
    <w:div w:id="1609778986">
      <w:bodyDiv w:val="1"/>
      <w:marLeft w:val="0"/>
      <w:marRight w:val="0"/>
      <w:marTop w:val="0"/>
      <w:marBottom w:val="0"/>
      <w:divBdr>
        <w:top w:val="none" w:sz="0" w:space="0" w:color="auto"/>
        <w:left w:val="none" w:sz="0" w:space="0" w:color="auto"/>
        <w:bottom w:val="none" w:sz="0" w:space="0" w:color="auto"/>
        <w:right w:val="none" w:sz="0" w:space="0" w:color="auto"/>
      </w:divBdr>
    </w:div>
    <w:div w:id="1612784290">
      <w:bodyDiv w:val="1"/>
      <w:marLeft w:val="0"/>
      <w:marRight w:val="0"/>
      <w:marTop w:val="0"/>
      <w:marBottom w:val="0"/>
      <w:divBdr>
        <w:top w:val="none" w:sz="0" w:space="0" w:color="auto"/>
        <w:left w:val="none" w:sz="0" w:space="0" w:color="auto"/>
        <w:bottom w:val="none" w:sz="0" w:space="0" w:color="auto"/>
        <w:right w:val="none" w:sz="0" w:space="0" w:color="auto"/>
      </w:divBdr>
    </w:div>
    <w:div w:id="1615165440">
      <w:bodyDiv w:val="1"/>
      <w:marLeft w:val="0"/>
      <w:marRight w:val="0"/>
      <w:marTop w:val="0"/>
      <w:marBottom w:val="0"/>
      <w:divBdr>
        <w:top w:val="none" w:sz="0" w:space="0" w:color="auto"/>
        <w:left w:val="none" w:sz="0" w:space="0" w:color="auto"/>
        <w:bottom w:val="none" w:sz="0" w:space="0" w:color="auto"/>
        <w:right w:val="none" w:sz="0" w:space="0" w:color="auto"/>
      </w:divBdr>
    </w:div>
    <w:div w:id="1617448679">
      <w:bodyDiv w:val="1"/>
      <w:marLeft w:val="0"/>
      <w:marRight w:val="0"/>
      <w:marTop w:val="0"/>
      <w:marBottom w:val="0"/>
      <w:divBdr>
        <w:top w:val="none" w:sz="0" w:space="0" w:color="auto"/>
        <w:left w:val="none" w:sz="0" w:space="0" w:color="auto"/>
        <w:bottom w:val="none" w:sz="0" w:space="0" w:color="auto"/>
        <w:right w:val="none" w:sz="0" w:space="0" w:color="auto"/>
      </w:divBdr>
    </w:div>
    <w:div w:id="1619145179">
      <w:bodyDiv w:val="1"/>
      <w:marLeft w:val="0"/>
      <w:marRight w:val="0"/>
      <w:marTop w:val="0"/>
      <w:marBottom w:val="0"/>
      <w:divBdr>
        <w:top w:val="none" w:sz="0" w:space="0" w:color="auto"/>
        <w:left w:val="none" w:sz="0" w:space="0" w:color="auto"/>
        <w:bottom w:val="none" w:sz="0" w:space="0" w:color="auto"/>
        <w:right w:val="none" w:sz="0" w:space="0" w:color="auto"/>
      </w:divBdr>
    </w:div>
    <w:div w:id="1620337849">
      <w:bodyDiv w:val="1"/>
      <w:marLeft w:val="0"/>
      <w:marRight w:val="0"/>
      <w:marTop w:val="0"/>
      <w:marBottom w:val="0"/>
      <w:divBdr>
        <w:top w:val="none" w:sz="0" w:space="0" w:color="auto"/>
        <w:left w:val="none" w:sz="0" w:space="0" w:color="auto"/>
        <w:bottom w:val="none" w:sz="0" w:space="0" w:color="auto"/>
        <w:right w:val="none" w:sz="0" w:space="0" w:color="auto"/>
      </w:divBdr>
    </w:div>
    <w:div w:id="1620529402">
      <w:bodyDiv w:val="1"/>
      <w:marLeft w:val="0"/>
      <w:marRight w:val="0"/>
      <w:marTop w:val="0"/>
      <w:marBottom w:val="0"/>
      <w:divBdr>
        <w:top w:val="none" w:sz="0" w:space="0" w:color="auto"/>
        <w:left w:val="none" w:sz="0" w:space="0" w:color="auto"/>
        <w:bottom w:val="none" w:sz="0" w:space="0" w:color="auto"/>
        <w:right w:val="none" w:sz="0" w:space="0" w:color="auto"/>
      </w:divBdr>
    </w:div>
    <w:div w:id="1621839804">
      <w:bodyDiv w:val="1"/>
      <w:marLeft w:val="0"/>
      <w:marRight w:val="0"/>
      <w:marTop w:val="0"/>
      <w:marBottom w:val="0"/>
      <w:divBdr>
        <w:top w:val="none" w:sz="0" w:space="0" w:color="auto"/>
        <w:left w:val="none" w:sz="0" w:space="0" w:color="auto"/>
        <w:bottom w:val="none" w:sz="0" w:space="0" w:color="auto"/>
        <w:right w:val="none" w:sz="0" w:space="0" w:color="auto"/>
      </w:divBdr>
    </w:div>
    <w:div w:id="1624533671">
      <w:bodyDiv w:val="1"/>
      <w:marLeft w:val="0"/>
      <w:marRight w:val="0"/>
      <w:marTop w:val="0"/>
      <w:marBottom w:val="0"/>
      <w:divBdr>
        <w:top w:val="none" w:sz="0" w:space="0" w:color="auto"/>
        <w:left w:val="none" w:sz="0" w:space="0" w:color="auto"/>
        <w:bottom w:val="none" w:sz="0" w:space="0" w:color="auto"/>
        <w:right w:val="none" w:sz="0" w:space="0" w:color="auto"/>
      </w:divBdr>
    </w:div>
    <w:div w:id="1625039813">
      <w:bodyDiv w:val="1"/>
      <w:marLeft w:val="0"/>
      <w:marRight w:val="0"/>
      <w:marTop w:val="0"/>
      <w:marBottom w:val="0"/>
      <w:divBdr>
        <w:top w:val="none" w:sz="0" w:space="0" w:color="auto"/>
        <w:left w:val="none" w:sz="0" w:space="0" w:color="auto"/>
        <w:bottom w:val="none" w:sz="0" w:space="0" w:color="auto"/>
        <w:right w:val="none" w:sz="0" w:space="0" w:color="auto"/>
      </w:divBdr>
    </w:div>
    <w:div w:id="1625848524">
      <w:bodyDiv w:val="1"/>
      <w:marLeft w:val="0"/>
      <w:marRight w:val="0"/>
      <w:marTop w:val="0"/>
      <w:marBottom w:val="0"/>
      <w:divBdr>
        <w:top w:val="none" w:sz="0" w:space="0" w:color="auto"/>
        <w:left w:val="none" w:sz="0" w:space="0" w:color="auto"/>
        <w:bottom w:val="none" w:sz="0" w:space="0" w:color="auto"/>
        <w:right w:val="none" w:sz="0" w:space="0" w:color="auto"/>
      </w:divBdr>
    </w:div>
    <w:div w:id="1630280001">
      <w:bodyDiv w:val="1"/>
      <w:marLeft w:val="0"/>
      <w:marRight w:val="0"/>
      <w:marTop w:val="0"/>
      <w:marBottom w:val="0"/>
      <w:divBdr>
        <w:top w:val="none" w:sz="0" w:space="0" w:color="auto"/>
        <w:left w:val="none" w:sz="0" w:space="0" w:color="auto"/>
        <w:bottom w:val="none" w:sz="0" w:space="0" w:color="auto"/>
        <w:right w:val="none" w:sz="0" w:space="0" w:color="auto"/>
      </w:divBdr>
    </w:div>
    <w:div w:id="1633439277">
      <w:bodyDiv w:val="1"/>
      <w:marLeft w:val="0"/>
      <w:marRight w:val="0"/>
      <w:marTop w:val="0"/>
      <w:marBottom w:val="0"/>
      <w:divBdr>
        <w:top w:val="none" w:sz="0" w:space="0" w:color="auto"/>
        <w:left w:val="none" w:sz="0" w:space="0" w:color="auto"/>
        <w:bottom w:val="none" w:sz="0" w:space="0" w:color="auto"/>
        <w:right w:val="none" w:sz="0" w:space="0" w:color="auto"/>
      </w:divBdr>
    </w:div>
    <w:div w:id="1633562924">
      <w:bodyDiv w:val="1"/>
      <w:marLeft w:val="0"/>
      <w:marRight w:val="0"/>
      <w:marTop w:val="0"/>
      <w:marBottom w:val="0"/>
      <w:divBdr>
        <w:top w:val="none" w:sz="0" w:space="0" w:color="auto"/>
        <w:left w:val="none" w:sz="0" w:space="0" w:color="auto"/>
        <w:bottom w:val="none" w:sz="0" w:space="0" w:color="auto"/>
        <w:right w:val="none" w:sz="0" w:space="0" w:color="auto"/>
      </w:divBdr>
    </w:div>
    <w:div w:id="1635524869">
      <w:bodyDiv w:val="1"/>
      <w:marLeft w:val="0"/>
      <w:marRight w:val="0"/>
      <w:marTop w:val="0"/>
      <w:marBottom w:val="0"/>
      <w:divBdr>
        <w:top w:val="none" w:sz="0" w:space="0" w:color="auto"/>
        <w:left w:val="none" w:sz="0" w:space="0" w:color="auto"/>
        <w:bottom w:val="none" w:sz="0" w:space="0" w:color="auto"/>
        <w:right w:val="none" w:sz="0" w:space="0" w:color="auto"/>
      </w:divBdr>
    </w:div>
    <w:div w:id="1637832667">
      <w:bodyDiv w:val="1"/>
      <w:marLeft w:val="0"/>
      <w:marRight w:val="0"/>
      <w:marTop w:val="0"/>
      <w:marBottom w:val="0"/>
      <w:divBdr>
        <w:top w:val="none" w:sz="0" w:space="0" w:color="auto"/>
        <w:left w:val="none" w:sz="0" w:space="0" w:color="auto"/>
        <w:bottom w:val="none" w:sz="0" w:space="0" w:color="auto"/>
        <w:right w:val="none" w:sz="0" w:space="0" w:color="auto"/>
      </w:divBdr>
    </w:div>
    <w:div w:id="1639340503">
      <w:bodyDiv w:val="1"/>
      <w:marLeft w:val="0"/>
      <w:marRight w:val="0"/>
      <w:marTop w:val="0"/>
      <w:marBottom w:val="0"/>
      <w:divBdr>
        <w:top w:val="none" w:sz="0" w:space="0" w:color="auto"/>
        <w:left w:val="none" w:sz="0" w:space="0" w:color="auto"/>
        <w:bottom w:val="none" w:sz="0" w:space="0" w:color="auto"/>
        <w:right w:val="none" w:sz="0" w:space="0" w:color="auto"/>
      </w:divBdr>
    </w:div>
    <w:div w:id="1642229916">
      <w:bodyDiv w:val="1"/>
      <w:marLeft w:val="0"/>
      <w:marRight w:val="0"/>
      <w:marTop w:val="0"/>
      <w:marBottom w:val="0"/>
      <w:divBdr>
        <w:top w:val="none" w:sz="0" w:space="0" w:color="auto"/>
        <w:left w:val="none" w:sz="0" w:space="0" w:color="auto"/>
        <w:bottom w:val="none" w:sz="0" w:space="0" w:color="auto"/>
        <w:right w:val="none" w:sz="0" w:space="0" w:color="auto"/>
      </w:divBdr>
    </w:div>
    <w:div w:id="1645113980">
      <w:bodyDiv w:val="1"/>
      <w:marLeft w:val="0"/>
      <w:marRight w:val="0"/>
      <w:marTop w:val="0"/>
      <w:marBottom w:val="0"/>
      <w:divBdr>
        <w:top w:val="none" w:sz="0" w:space="0" w:color="auto"/>
        <w:left w:val="none" w:sz="0" w:space="0" w:color="auto"/>
        <w:bottom w:val="none" w:sz="0" w:space="0" w:color="auto"/>
        <w:right w:val="none" w:sz="0" w:space="0" w:color="auto"/>
      </w:divBdr>
    </w:div>
    <w:div w:id="1652173050">
      <w:bodyDiv w:val="1"/>
      <w:marLeft w:val="0"/>
      <w:marRight w:val="0"/>
      <w:marTop w:val="0"/>
      <w:marBottom w:val="0"/>
      <w:divBdr>
        <w:top w:val="none" w:sz="0" w:space="0" w:color="auto"/>
        <w:left w:val="none" w:sz="0" w:space="0" w:color="auto"/>
        <w:bottom w:val="none" w:sz="0" w:space="0" w:color="auto"/>
        <w:right w:val="none" w:sz="0" w:space="0" w:color="auto"/>
      </w:divBdr>
    </w:div>
    <w:div w:id="1655833950">
      <w:bodyDiv w:val="1"/>
      <w:marLeft w:val="0"/>
      <w:marRight w:val="0"/>
      <w:marTop w:val="0"/>
      <w:marBottom w:val="0"/>
      <w:divBdr>
        <w:top w:val="none" w:sz="0" w:space="0" w:color="auto"/>
        <w:left w:val="none" w:sz="0" w:space="0" w:color="auto"/>
        <w:bottom w:val="none" w:sz="0" w:space="0" w:color="auto"/>
        <w:right w:val="none" w:sz="0" w:space="0" w:color="auto"/>
      </w:divBdr>
    </w:div>
    <w:div w:id="1656761361">
      <w:bodyDiv w:val="1"/>
      <w:marLeft w:val="0"/>
      <w:marRight w:val="0"/>
      <w:marTop w:val="0"/>
      <w:marBottom w:val="0"/>
      <w:divBdr>
        <w:top w:val="none" w:sz="0" w:space="0" w:color="auto"/>
        <w:left w:val="none" w:sz="0" w:space="0" w:color="auto"/>
        <w:bottom w:val="none" w:sz="0" w:space="0" w:color="auto"/>
        <w:right w:val="none" w:sz="0" w:space="0" w:color="auto"/>
      </w:divBdr>
    </w:div>
    <w:div w:id="1661690699">
      <w:bodyDiv w:val="1"/>
      <w:marLeft w:val="0"/>
      <w:marRight w:val="0"/>
      <w:marTop w:val="0"/>
      <w:marBottom w:val="0"/>
      <w:divBdr>
        <w:top w:val="none" w:sz="0" w:space="0" w:color="auto"/>
        <w:left w:val="none" w:sz="0" w:space="0" w:color="auto"/>
        <w:bottom w:val="none" w:sz="0" w:space="0" w:color="auto"/>
        <w:right w:val="none" w:sz="0" w:space="0" w:color="auto"/>
      </w:divBdr>
    </w:div>
    <w:div w:id="1664165840">
      <w:bodyDiv w:val="1"/>
      <w:marLeft w:val="0"/>
      <w:marRight w:val="0"/>
      <w:marTop w:val="0"/>
      <w:marBottom w:val="0"/>
      <w:divBdr>
        <w:top w:val="none" w:sz="0" w:space="0" w:color="auto"/>
        <w:left w:val="none" w:sz="0" w:space="0" w:color="auto"/>
        <w:bottom w:val="none" w:sz="0" w:space="0" w:color="auto"/>
        <w:right w:val="none" w:sz="0" w:space="0" w:color="auto"/>
      </w:divBdr>
    </w:div>
    <w:div w:id="1676152033">
      <w:bodyDiv w:val="1"/>
      <w:marLeft w:val="0"/>
      <w:marRight w:val="0"/>
      <w:marTop w:val="0"/>
      <w:marBottom w:val="0"/>
      <w:divBdr>
        <w:top w:val="none" w:sz="0" w:space="0" w:color="auto"/>
        <w:left w:val="none" w:sz="0" w:space="0" w:color="auto"/>
        <w:bottom w:val="none" w:sz="0" w:space="0" w:color="auto"/>
        <w:right w:val="none" w:sz="0" w:space="0" w:color="auto"/>
      </w:divBdr>
    </w:div>
    <w:div w:id="1676836450">
      <w:bodyDiv w:val="1"/>
      <w:marLeft w:val="0"/>
      <w:marRight w:val="0"/>
      <w:marTop w:val="0"/>
      <w:marBottom w:val="0"/>
      <w:divBdr>
        <w:top w:val="none" w:sz="0" w:space="0" w:color="auto"/>
        <w:left w:val="none" w:sz="0" w:space="0" w:color="auto"/>
        <w:bottom w:val="none" w:sz="0" w:space="0" w:color="auto"/>
        <w:right w:val="none" w:sz="0" w:space="0" w:color="auto"/>
      </w:divBdr>
    </w:div>
    <w:div w:id="1682395618">
      <w:bodyDiv w:val="1"/>
      <w:marLeft w:val="0"/>
      <w:marRight w:val="0"/>
      <w:marTop w:val="0"/>
      <w:marBottom w:val="0"/>
      <w:divBdr>
        <w:top w:val="none" w:sz="0" w:space="0" w:color="auto"/>
        <w:left w:val="none" w:sz="0" w:space="0" w:color="auto"/>
        <w:bottom w:val="none" w:sz="0" w:space="0" w:color="auto"/>
        <w:right w:val="none" w:sz="0" w:space="0" w:color="auto"/>
      </w:divBdr>
    </w:div>
    <w:div w:id="1683971386">
      <w:bodyDiv w:val="1"/>
      <w:marLeft w:val="0"/>
      <w:marRight w:val="0"/>
      <w:marTop w:val="0"/>
      <w:marBottom w:val="0"/>
      <w:divBdr>
        <w:top w:val="none" w:sz="0" w:space="0" w:color="auto"/>
        <w:left w:val="none" w:sz="0" w:space="0" w:color="auto"/>
        <w:bottom w:val="none" w:sz="0" w:space="0" w:color="auto"/>
        <w:right w:val="none" w:sz="0" w:space="0" w:color="auto"/>
      </w:divBdr>
    </w:div>
    <w:div w:id="1685594613">
      <w:bodyDiv w:val="1"/>
      <w:marLeft w:val="0"/>
      <w:marRight w:val="0"/>
      <w:marTop w:val="0"/>
      <w:marBottom w:val="0"/>
      <w:divBdr>
        <w:top w:val="none" w:sz="0" w:space="0" w:color="auto"/>
        <w:left w:val="none" w:sz="0" w:space="0" w:color="auto"/>
        <w:bottom w:val="none" w:sz="0" w:space="0" w:color="auto"/>
        <w:right w:val="none" w:sz="0" w:space="0" w:color="auto"/>
      </w:divBdr>
    </w:div>
    <w:div w:id="1686907372">
      <w:bodyDiv w:val="1"/>
      <w:marLeft w:val="0"/>
      <w:marRight w:val="0"/>
      <w:marTop w:val="0"/>
      <w:marBottom w:val="0"/>
      <w:divBdr>
        <w:top w:val="none" w:sz="0" w:space="0" w:color="auto"/>
        <w:left w:val="none" w:sz="0" w:space="0" w:color="auto"/>
        <w:bottom w:val="none" w:sz="0" w:space="0" w:color="auto"/>
        <w:right w:val="none" w:sz="0" w:space="0" w:color="auto"/>
      </w:divBdr>
    </w:div>
    <w:div w:id="1688209774">
      <w:bodyDiv w:val="1"/>
      <w:marLeft w:val="0"/>
      <w:marRight w:val="0"/>
      <w:marTop w:val="0"/>
      <w:marBottom w:val="0"/>
      <w:divBdr>
        <w:top w:val="none" w:sz="0" w:space="0" w:color="auto"/>
        <w:left w:val="none" w:sz="0" w:space="0" w:color="auto"/>
        <w:bottom w:val="none" w:sz="0" w:space="0" w:color="auto"/>
        <w:right w:val="none" w:sz="0" w:space="0" w:color="auto"/>
      </w:divBdr>
    </w:div>
    <w:div w:id="1689796261">
      <w:bodyDiv w:val="1"/>
      <w:marLeft w:val="0"/>
      <w:marRight w:val="0"/>
      <w:marTop w:val="0"/>
      <w:marBottom w:val="0"/>
      <w:divBdr>
        <w:top w:val="none" w:sz="0" w:space="0" w:color="auto"/>
        <w:left w:val="none" w:sz="0" w:space="0" w:color="auto"/>
        <w:bottom w:val="none" w:sz="0" w:space="0" w:color="auto"/>
        <w:right w:val="none" w:sz="0" w:space="0" w:color="auto"/>
      </w:divBdr>
    </w:div>
    <w:div w:id="1694264007">
      <w:bodyDiv w:val="1"/>
      <w:marLeft w:val="0"/>
      <w:marRight w:val="0"/>
      <w:marTop w:val="0"/>
      <w:marBottom w:val="0"/>
      <w:divBdr>
        <w:top w:val="none" w:sz="0" w:space="0" w:color="auto"/>
        <w:left w:val="none" w:sz="0" w:space="0" w:color="auto"/>
        <w:bottom w:val="none" w:sz="0" w:space="0" w:color="auto"/>
        <w:right w:val="none" w:sz="0" w:space="0" w:color="auto"/>
      </w:divBdr>
    </w:div>
    <w:div w:id="1694989186">
      <w:bodyDiv w:val="1"/>
      <w:marLeft w:val="0"/>
      <w:marRight w:val="0"/>
      <w:marTop w:val="0"/>
      <w:marBottom w:val="0"/>
      <w:divBdr>
        <w:top w:val="none" w:sz="0" w:space="0" w:color="auto"/>
        <w:left w:val="none" w:sz="0" w:space="0" w:color="auto"/>
        <w:bottom w:val="none" w:sz="0" w:space="0" w:color="auto"/>
        <w:right w:val="none" w:sz="0" w:space="0" w:color="auto"/>
      </w:divBdr>
    </w:div>
    <w:div w:id="1698388198">
      <w:bodyDiv w:val="1"/>
      <w:marLeft w:val="0"/>
      <w:marRight w:val="0"/>
      <w:marTop w:val="0"/>
      <w:marBottom w:val="0"/>
      <w:divBdr>
        <w:top w:val="none" w:sz="0" w:space="0" w:color="auto"/>
        <w:left w:val="none" w:sz="0" w:space="0" w:color="auto"/>
        <w:bottom w:val="none" w:sz="0" w:space="0" w:color="auto"/>
        <w:right w:val="none" w:sz="0" w:space="0" w:color="auto"/>
      </w:divBdr>
    </w:div>
    <w:div w:id="1700081547">
      <w:bodyDiv w:val="1"/>
      <w:marLeft w:val="0"/>
      <w:marRight w:val="0"/>
      <w:marTop w:val="0"/>
      <w:marBottom w:val="0"/>
      <w:divBdr>
        <w:top w:val="none" w:sz="0" w:space="0" w:color="auto"/>
        <w:left w:val="none" w:sz="0" w:space="0" w:color="auto"/>
        <w:bottom w:val="none" w:sz="0" w:space="0" w:color="auto"/>
        <w:right w:val="none" w:sz="0" w:space="0" w:color="auto"/>
      </w:divBdr>
    </w:div>
    <w:div w:id="1701469356">
      <w:bodyDiv w:val="1"/>
      <w:marLeft w:val="0"/>
      <w:marRight w:val="0"/>
      <w:marTop w:val="0"/>
      <w:marBottom w:val="0"/>
      <w:divBdr>
        <w:top w:val="none" w:sz="0" w:space="0" w:color="auto"/>
        <w:left w:val="none" w:sz="0" w:space="0" w:color="auto"/>
        <w:bottom w:val="none" w:sz="0" w:space="0" w:color="auto"/>
        <w:right w:val="none" w:sz="0" w:space="0" w:color="auto"/>
      </w:divBdr>
    </w:div>
    <w:div w:id="1703090756">
      <w:bodyDiv w:val="1"/>
      <w:marLeft w:val="0"/>
      <w:marRight w:val="0"/>
      <w:marTop w:val="0"/>
      <w:marBottom w:val="0"/>
      <w:divBdr>
        <w:top w:val="none" w:sz="0" w:space="0" w:color="auto"/>
        <w:left w:val="none" w:sz="0" w:space="0" w:color="auto"/>
        <w:bottom w:val="none" w:sz="0" w:space="0" w:color="auto"/>
        <w:right w:val="none" w:sz="0" w:space="0" w:color="auto"/>
      </w:divBdr>
    </w:div>
    <w:div w:id="1703480356">
      <w:bodyDiv w:val="1"/>
      <w:marLeft w:val="0"/>
      <w:marRight w:val="0"/>
      <w:marTop w:val="0"/>
      <w:marBottom w:val="0"/>
      <w:divBdr>
        <w:top w:val="none" w:sz="0" w:space="0" w:color="auto"/>
        <w:left w:val="none" w:sz="0" w:space="0" w:color="auto"/>
        <w:bottom w:val="none" w:sz="0" w:space="0" w:color="auto"/>
        <w:right w:val="none" w:sz="0" w:space="0" w:color="auto"/>
      </w:divBdr>
    </w:div>
    <w:div w:id="1705475180">
      <w:bodyDiv w:val="1"/>
      <w:marLeft w:val="0"/>
      <w:marRight w:val="0"/>
      <w:marTop w:val="0"/>
      <w:marBottom w:val="0"/>
      <w:divBdr>
        <w:top w:val="none" w:sz="0" w:space="0" w:color="auto"/>
        <w:left w:val="none" w:sz="0" w:space="0" w:color="auto"/>
        <w:bottom w:val="none" w:sz="0" w:space="0" w:color="auto"/>
        <w:right w:val="none" w:sz="0" w:space="0" w:color="auto"/>
      </w:divBdr>
    </w:div>
    <w:div w:id="1706637848">
      <w:bodyDiv w:val="1"/>
      <w:marLeft w:val="0"/>
      <w:marRight w:val="0"/>
      <w:marTop w:val="0"/>
      <w:marBottom w:val="0"/>
      <w:divBdr>
        <w:top w:val="none" w:sz="0" w:space="0" w:color="auto"/>
        <w:left w:val="none" w:sz="0" w:space="0" w:color="auto"/>
        <w:bottom w:val="none" w:sz="0" w:space="0" w:color="auto"/>
        <w:right w:val="none" w:sz="0" w:space="0" w:color="auto"/>
      </w:divBdr>
    </w:div>
    <w:div w:id="1707481156">
      <w:bodyDiv w:val="1"/>
      <w:marLeft w:val="0"/>
      <w:marRight w:val="0"/>
      <w:marTop w:val="0"/>
      <w:marBottom w:val="0"/>
      <w:divBdr>
        <w:top w:val="none" w:sz="0" w:space="0" w:color="auto"/>
        <w:left w:val="none" w:sz="0" w:space="0" w:color="auto"/>
        <w:bottom w:val="none" w:sz="0" w:space="0" w:color="auto"/>
        <w:right w:val="none" w:sz="0" w:space="0" w:color="auto"/>
      </w:divBdr>
    </w:div>
    <w:div w:id="1712609386">
      <w:bodyDiv w:val="1"/>
      <w:marLeft w:val="0"/>
      <w:marRight w:val="0"/>
      <w:marTop w:val="0"/>
      <w:marBottom w:val="0"/>
      <w:divBdr>
        <w:top w:val="none" w:sz="0" w:space="0" w:color="auto"/>
        <w:left w:val="none" w:sz="0" w:space="0" w:color="auto"/>
        <w:bottom w:val="none" w:sz="0" w:space="0" w:color="auto"/>
        <w:right w:val="none" w:sz="0" w:space="0" w:color="auto"/>
      </w:divBdr>
    </w:div>
    <w:div w:id="1713073663">
      <w:bodyDiv w:val="1"/>
      <w:marLeft w:val="0"/>
      <w:marRight w:val="0"/>
      <w:marTop w:val="0"/>
      <w:marBottom w:val="0"/>
      <w:divBdr>
        <w:top w:val="none" w:sz="0" w:space="0" w:color="auto"/>
        <w:left w:val="none" w:sz="0" w:space="0" w:color="auto"/>
        <w:bottom w:val="none" w:sz="0" w:space="0" w:color="auto"/>
        <w:right w:val="none" w:sz="0" w:space="0" w:color="auto"/>
      </w:divBdr>
    </w:div>
    <w:div w:id="1718816776">
      <w:bodyDiv w:val="1"/>
      <w:marLeft w:val="0"/>
      <w:marRight w:val="0"/>
      <w:marTop w:val="0"/>
      <w:marBottom w:val="0"/>
      <w:divBdr>
        <w:top w:val="none" w:sz="0" w:space="0" w:color="auto"/>
        <w:left w:val="none" w:sz="0" w:space="0" w:color="auto"/>
        <w:bottom w:val="none" w:sz="0" w:space="0" w:color="auto"/>
        <w:right w:val="none" w:sz="0" w:space="0" w:color="auto"/>
      </w:divBdr>
    </w:div>
    <w:div w:id="1721899418">
      <w:bodyDiv w:val="1"/>
      <w:marLeft w:val="0"/>
      <w:marRight w:val="0"/>
      <w:marTop w:val="0"/>
      <w:marBottom w:val="0"/>
      <w:divBdr>
        <w:top w:val="none" w:sz="0" w:space="0" w:color="auto"/>
        <w:left w:val="none" w:sz="0" w:space="0" w:color="auto"/>
        <w:bottom w:val="none" w:sz="0" w:space="0" w:color="auto"/>
        <w:right w:val="none" w:sz="0" w:space="0" w:color="auto"/>
      </w:divBdr>
    </w:div>
    <w:div w:id="1722900172">
      <w:bodyDiv w:val="1"/>
      <w:marLeft w:val="0"/>
      <w:marRight w:val="0"/>
      <w:marTop w:val="0"/>
      <w:marBottom w:val="0"/>
      <w:divBdr>
        <w:top w:val="none" w:sz="0" w:space="0" w:color="auto"/>
        <w:left w:val="none" w:sz="0" w:space="0" w:color="auto"/>
        <w:bottom w:val="none" w:sz="0" w:space="0" w:color="auto"/>
        <w:right w:val="none" w:sz="0" w:space="0" w:color="auto"/>
      </w:divBdr>
    </w:div>
    <w:div w:id="1731075183">
      <w:bodyDiv w:val="1"/>
      <w:marLeft w:val="0"/>
      <w:marRight w:val="0"/>
      <w:marTop w:val="0"/>
      <w:marBottom w:val="0"/>
      <w:divBdr>
        <w:top w:val="none" w:sz="0" w:space="0" w:color="auto"/>
        <w:left w:val="none" w:sz="0" w:space="0" w:color="auto"/>
        <w:bottom w:val="none" w:sz="0" w:space="0" w:color="auto"/>
        <w:right w:val="none" w:sz="0" w:space="0" w:color="auto"/>
      </w:divBdr>
    </w:div>
    <w:div w:id="1733851061">
      <w:bodyDiv w:val="1"/>
      <w:marLeft w:val="0"/>
      <w:marRight w:val="0"/>
      <w:marTop w:val="0"/>
      <w:marBottom w:val="0"/>
      <w:divBdr>
        <w:top w:val="none" w:sz="0" w:space="0" w:color="auto"/>
        <w:left w:val="none" w:sz="0" w:space="0" w:color="auto"/>
        <w:bottom w:val="none" w:sz="0" w:space="0" w:color="auto"/>
        <w:right w:val="none" w:sz="0" w:space="0" w:color="auto"/>
      </w:divBdr>
    </w:div>
    <w:div w:id="1733917784">
      <w:bodyDiv w:val="1"/>
      <w:marLeft w:val="0"/>
      <w:marRight w:val="0"/>
      <w:marTop w:val="0"/>
      <w:marBottom w:val="0"/>
      <w:divBdr>
        <w:top w:val="none" w:sz="0" w:space="0" w:color="auto"/>
        <w:left w:val="none" w:sz="0" w:space="0" w:color="auto"/>
        <w:bottom w:val="none" w:sz="0" w:space="0" w:color="auto"/>
        <w:right w:val="none" w:sz="0" w:space="0" w:color="auto"/>
      </w:divBdr>
    </w:div>
    <w:div w:id="1734693808">
      <w:bodyDiv w:val="1"/>
      <w:marLeft w:val="0"/>
      <w:marRight w:val="0"/>
      <w:marTop w:val="0"/>
      <w:marBottom w:val="0"/>
      <w:divBdr>
        <w:top w:val="none" w:sz="0" w:space="0" w:color="auto"/>
        <w:left w:val="none" w:sz="0" w:space="0" w:color="auto"/>
        <w:bottom w:val="none" w:sz="0" w:space="0" w:color="auto"/>
        <w:right w:val="none" w:sz="0" w:space="0" w:color="auto"/>
      </w:divBdr>
    </w:div>
    <w:div w:id="1734964012">
      <w:bodyDiv w:val="1"/>
      <w:marLeft w:val="0"/>
      <w:marRight w:val="0"/>
      <w:marTop w:val="0"/>
      <w:marBottom w:val="0"/>
      <w:divBdr>
        <w:top w:val="none" w:sz="0" w:space="0" w:color="auto"/>
        <w:left w:val="none" w:sz="0" w:space="0" w:color="auto"/>
        <w:bottom w:val="none" w:sz="0" w:space="0" w:color="auto"/>
        <w:right w:val="none" w:sz="0" w:space="0" w:color="auto"/>
      </w:divBdr>
    </w:div>
    <w:div w:id="1735277707">
      <w:bodyDiv w:val="1"/>
      <w:marLeft w:val="0"/>
      <w:marRight w:val="0"/>
      <w:marTop w:val="0"/>
      <w:marBottom w:val="0"/>
      <w:divBdr>
        <w:top w:val="none" w:sz="0" w:space="0" w:color="auto"/>
        <w:left w:val="none" w:sz="0" w:space="0" w:color="auto"/>
        <w:bottom w:val="none" w:sz="0" w:space="0" w:color="auto"/>
        <w:right w:val="none" w:sz="0" w:space="0" w:color="auto"/>
      </w:divBdr>
    </w:div>
    <w:div w:id="1735930078">
      <w:bodyDiv w:val="1"/>
      <w:marLeft w:val="0"/>
      <w:marRight w:val="0"/>
      <w:marTop w:val="0"/>
      <w:marBottom w:val="0"/>
      <w:divBdr>
        <w:top w:val="none" w:sz="0" w:space="0" w:color="auto"/>
        <w:left w:val="none" w:sz="0" w:space="0" w:color="auto"/>
        <w:bottom w:val="none" w:sz="0" w:space="0" w:color="auto"/>
        <w:right w:val="none" w:sz="0" w:space="0" w:color="auto"/>
      </w:divBdr>
    </w:div>
    <w:div w:id="1740516272">
      <w:bodyDiv w:val="1"/>
      <w:marLeft w:val="0"/>
      <w:marRight w:val="0"/>
      <w:marTop w:val="0"/>
      <w:marBottom w:val="0"/>
      <w:divBdr>
        <w:top w:val="none" w:sz="0" w:space="0" w:color="auto"/>
        <w:left w:val="none" w:sz="0" w:space="0" w:color="auto"/>
        <w:bottom w:val="none" w:sz="0" w:space="0" w:color="auto"/>
        <w:right w:val="none" w:sz="0" w:space="0" w:color="auto"/>
      </w:divBdr>
    </w:div>
    <w:div w:id="1743481525">
      <w:bodyDiv w:val="1"/>
      <w:marLeft w:val="0"/>
      <w:marRight w:val="0"/>
      <w:marTop w:val="0"/>
      <w:marBottom w:val="0"/>
      <w:divBdr>
        <w:top w:val="none" w:sz="0" w:space="0" w:color="auto"/>
        <w:left w:val="none" w:sz="0" w:space="0" w:color="auto"/>
        <w:bottom w:val="none" w:sz="0" w:space="0" w:color="auto"/>
        <w:right w:val="none" w:sz="0" w:space="0" w:color="auto"/>
      </w:divBdr>
    </w:div>
    <w:div w:id="1745565934">
      <w:bodyDiv w:val="1"/>
      <w:marLeft w:val="0"/>
      <w:marRight w:val="0"/>
      <w:marTop w:val="0"/>
      <w:marBottom w:val="0"/>
      <w:divBdr>
        <w:top w:val="none" w:sz="0" w:space="0" w:color="auto"/>
        <w:left w:val="none" w:sz="0" w:space="0" w:color="auto"/>
        <w:bottom w:val="none" w:sz="0" w:space="0" w:color="auto"/>
        <w:right w:val="none" w:sz="0" w:space="0" w:color="auto"/>
      </w:divBdr>
    </w:div>
    <w:div w:id="1745838549">
      <w:bodyDiv w:val="1"/>
      <w:marLeft w:val="0"/>
      <w:marRight w:val="0"/>
      <w:marTop w:val="0"/>
      <w:marBottom w:val="0"/>
      <w:divBdr>
        <w:top w:val="none" w:sz="0" w:space="0" w:color="auto"/>
        <w:left w:val="none" w:sz="0" w:space="0" w:color="auto"/>
        <w:bottom w:val="none" w:sz="0" w:space="0" w:color="auto"/>
        <w:right w:val="none" w:sz="0" w:space="0" w:color="auto"/>
      </w:divBdr>
    </w:div>
    <w:div w:id="1748502522">
      <w:bodyDiv w:val="1"/>
      <w:marLeft w:val="0"/>
      <w:marRight w:val="0"/>
      <w:marTop w:val="0"/>
      <w:marBottom w:val="0"/>
      <w:divBdr>
        <w:top w:val="none" w:sz="0" w:space="0" w:color="auto"/>
        <w:left w:val="none" w:sz="0" w:space="0" w:color="auto"/>
        <w:bottom w:val="none" w:sz="0" w:space="0" w:color="auto"/>
        <w:right w:val="none" w:sz="0" w:space="0" w:color="auto"/>
      </w:divBdr>
      <w:divsChild>
        <w:div w:id="478310027">
          <w:marLeft w:val="1166"/>
          <w:marRight w:val="0"/>
          <w:marTop w:val="86"/>
          <w:marBottom w:val="0"/>
          <w:divBdr>
            <w:top w:val="none" w:sz="0" w:space="0" w:color="auto"/>
            <w:left w:val="none" w:sz="0" w:space="0" w:color="auto"/>
            <w:bottom w:val="none" w:sz="0" w:space="0" w:color="auto"/>
            <w:right w:val="none" w:sz="0" w:space="0" w:color="auto"/>
          </w:divBdr>
        </w:div>
        <w:div w:id="840434143">
          <w:marLeft w:val="547"/>
          <w:marRight w:val="0"/>
          <w:marTop w:val="86"/>
          <w:marBottom w:val="0"/>
          <w:divBdr>
            <w:top w:val="none" w:sz="0" w:space="0" w:color="auto"/>
            <w:left w:val="none" w:sz="0" w:space="0" w:color="auto"/>
            <w:bottom w:val="none" w:sz="0" w:space="0" w:color="auto"/>
            <w:right w:val="none" w:sz="0" w:space="0" w:color="auto"/>
          </w:divBdr>
        </w:div>
        <w:div w:id="1384988521">
          <w:marLeft w:val="1166"/>
          <w:marRight w:val="0"/>
          <w:marTop w:val="86"/>
          <w:marBottom w:val="0"/>
          <w:divBdr>
            <w:top w:val="none" w:sz="0" w:space="0" w:color="auto"/>
            <w:left w:val="none" w:sz="0" w:space="0" w:color="auto"/>
            <w:bottom w:val="none" w:sz="0" w:space="0" w:color="auto"/>
            <w:right w:val="none" w:sz="0" w:space="0" w:color="auto"/>
          </w:divBdr>
        </w:div>
        <w:div w:id="1692609531">
          <w:marLeft w:val="547"/>
          <w:marRight w:val="0"/>
          <w:marTop w:val="86"/>
          <w:marBottom w:val="0"/>
          <w:divBdr>
            <w:top w:val="none" w:sz="0" w:space="0" w:color="auto"/>
            <w:left w:val="none" w:sz="0" w:space="0" w:color="auto"/>
            <w:bottom w:val="none" w:sz="0" w:space="0" w:color="auto"/>
            <w:right w:val="none" w:sz="0" w:space="0" w:color="auto"/>
          </w:divBdr>
        </w:div>
      </w:divsChild>
    </w:div>
    <w:div w:id="1753506826">
      <w:bodyDiv w:val="1"/>
      <w:marLeft w:val="0"/>
      <w:marRight w:val="0"/>
      <w:marTop w:val="0"/>
      <w:marBottom w:val="0"/>
      <w:divBdr>
        <w:top w:val="none" w:sz="0" w:space="0" w:color="auto"/>
        <w:left w:val="none" w:sz="0" w:space="0" w:color="auto"/>
        <w:bottom w:val="none" w:sz="0" w:space="0" w:color="auto"/>
        <w:right w:val="none" w:sz="0" w:space="0" w:color="auto"/>
      </w:divBdr>
    </w:div>
    <w:div w:id="1761679354">
      <w:bodyDiv w:val="1"/>
      <w:marLeft w:val="0"/>
      <w:marRight w:val="0"/>
      <w:marTop w:val="0"/>
      <w:marBottom w:val="0"/>
      <w:divBdr>
        <w:top w:val="none" w:sz="0" w:space="0" w:color="auto"/>
        <w:left w:val="none" w:sz="0" w:space="0" w:color="auto"/>
        <w:bottom w:val="none" w:sz="0" w:space="0" w:color="auto"/>
        <w:right w:val="none" w:sz="0" w:space="0" w:color="auto"/>
      </w:divBdr>
    </w:div>
    <w:div w:id="1764572066">
      <w:bodyDiv w:val="1"/>
      <w:marLeft w:val="0"/>
      <w:marRight w:val="0"/>
      <w:marTop w:val="0"/>
      <w:marBottom w:val="0"/>
      <w:divBdr>
        <w:top w:val="none" w:sz="0" w:space="0" w:color="auto"/>
        <w:left w:val="none" w:sz="0" w:space="0" w:color="auto"/>
        <w:bottom w:val="none" w:sz="0" w:space="0" w:color="auto"/>
        <w:right w:val="none" w:sz="0" w:space="0" w:color="auto"/>
      </w:divBdr>
    </w:div>
    <w:div w:id="1766146702">
      <w:bodyDiv w:val="1"/>
      <w:marLeft w:val="0"/>
      <w:marRight w:val="0"/>
      <w:marTop w:val="0"/>
      <w:marBottom w:val="0"/>
      <w:divBdr>
        <w:top w:val="none" w:sz="0" w:space="0" w:color="auto"/>
        <w:left w:val="none" w:sz="0" w:space="0" w:color="auto"/>
        <w:bottom w:val="none" w:sz="0" w:space="0" w:color="auto"/>
        <w:right w:val="none" w:sz="0" w:space="0" w:color="auto"/>
      </w:divBdr>
    </w:div>
    <w:div w:id="1768572090">
      <w:bodyDiv w:val="1"/>
      <w:marLeft w:val="0"/>
      <w:marRight w:val="0"/>
      <w:marTop w:val="0"/>
      <w:marBottom w:val="0"/>
      <w:divBdr>
        <w:top w:val="none" w:sz="0" w:space="0" w:color="auto"/>
        <w:left w:val="none" w:sz="0" w:space="0" w:color="auto"/>
        <w:bottom w:val="none" w:sz="0" w:space="0" w:color="auto"/>
        <w:right w:val="none" w:sz="0" w:space="0" w:color="auto"/>
      </w:divBdr>
    </w:div>
    <w:div w:id="1772119163">
      <w:bodyDiv w:val="1"/>
      <w:marLeft w:val="0"/>
      <w:marRight w:val="0"/>
      <w:marTop w:val="0"/>
      <w:marBottom w:val="0"/>
      <w:divBdr>
        <w:top w:val="none" w:sz="0" w:space="0" w:color="auto"/>
        <w:left w:val="none" w:sz="0" w:space="0" w:color="auto"/>
        <w:bottom w:val="none" w:sz="0" w:space="0" w:color="auto"/>
        <w:right w:val="none" w:sz="0" w:space="0" w:color="auto"/>
      </w:divBdr>
    </w:div>
    <w:div w:id="1776171415">
      <w:bodyDiv w:val="1"/>
      <w:marLeft w:val="0"/>
      <w:marRight w:val="0"/>
      <w:marTop w:val="0"/>
      <w:marBottom w:val="0"/>
      <w:divBdr>
        <w:top w:val="none" w:sz="0" w:space="0" w:color="auto"/>
        <w:left w:val="none" w:sz="0" w:space="0" w:color="auto"/>
        <w:bottom w:val="none" w:sz="0" w:space="0" w:color="auto"/>
        <w:right w:val="none" w:sz="0" w:space="0" w:color="auto"/>
      </w:divBdr>
    </w:div>
    <w:div w:id="1777673939">
      <w:bodyDiv w:val="1"/>
      <w:marLeft w:val="0"/>
      <w:marRight w:val="0"/>
      <w:marTop w:val="0"/>
      <w:marBottom w:val="0"/>
      <w:divBdr>
        <w:top w:val="none" w:sz="0" w:space="0" w:color="auto"/>
        <w:left w:val="none" w:sz="0" w:space="0" w:color="auto"/>
        <w:bottom w:val="none" w:sz="0" w:space="0" w:color="auto"/>
        <w:right w:val="none" w:sz="0" w:space="0" w:color="auto"/>
      </w:divBdr>
    </w:div>
    <w:div w:id="1779256388">
      <w:bodyDiv w:val="1"/>
      <w:marLeft w:val="0"/>
      <w:marRight w:val="0"/>
      <w:marTop w:val="0"/>
      <w:marBottom w:val="0"/>
      <w:divBdr>
        <w:top w:val="none" w:sz="0" w:space="0" w:color="auto"/>
        <w:left w:val="none" w:sz="0" w:space="0" w:color="auto"/>
        <w:bottom w:val="none" w:sz="0" w:space="0" w:color="auto"/>
        <w:right w:val="none" w:sz="0" w:space="0" w:color="auto"/>
      </w:divBdr>
    </w:div>
    <w:div w:id="1779712486">
      <w:bodyDiv w:val="1"/>
      <w:marLeft w:val="0"/>
      <w:marRight w:val="0"/>
      <w:marTop w:val="0"/>
      <w:marBottom w:val="0"/>
      <w:divBdr>
        <w:top w:val="none" w:sz="0" w:space="0" w:color="auto"/>
        <w:left w:val="none" w:sz="0" w:space="0" w:color="auto"/>
        <w:bottom w:val="none" w:sz="0" w:space="0" w:color="auto"/>
        <w:right w:val="none" w:sz="0" w:space="0" w:color="auto"/>
      </w:divBdr>
    </w:div>
    <w:div w:id="1783958120">
      <w:bodyDiv w:val="1"/>
      <w:marLeft w:val="0"/>
      <w:marRight w:val="0"/>
      <w:marTop w:val="0"/>
      <w:marBottom w:val="0"/>
      <w:divBdr>
        <w:top w:val="none" w:sz="0" w:space="0" w:color="auto"/>
        <w:left w:val="none" w:sz="0" w:space="0" w:color="auto"/>
        <w:bottom w:val="none" w:sz="0" w:space="0" w:color="auto"/>
        <w:right w:val="none" w:sz="0" w:space="0" w:color="auto"/>
      </w:divBdr>
    </w:div>
    <w:div w:id="1784765353">
      <w:bodyDiv w:val="1"/>
      <w:marLeft w:val="0"/>
      <w:marRight w:val="0"/>
      <w:marTop w:val="0"/>
      <w:marBottom w:val="0"/>
      <w:divBdr>
        <w:top w:val="none" w:sz="0" w:space="0" w:color="auto"/>
        <w:left w:val="none" w:sz="0" w:space="0" w:color="auto"/>
        <w:bottom w:val="none" w:sz="0" w:space="0" w:color="auto"/>
        <w:right w:val="none" w:sz="0" w:space="0" w:color="auto"/>
      </w:divBdr>
    </w:div>
    <w:div w:id="1787459124">
      <w:bodyDiv w:val="1"/>
      <w:marLeft w:val="0"/>
      <w:marRight w:val="0"/>
      <w:marTop w:val="0"/>
      <w:marBottom w:val="0"/>
      <w:divBdr>
        <w:top w:val="none" w:sz="0" w:space="0" w:color="auto"/>
        <w:left w:val="none" w:sz="0" w:space="0" w:color="auto"/>
        <w:bottom w:val="none" w:sz="0" w:space="0" w:color="auto"/>
        <w:right w:val="none" w:sz="0" w:space="0" w:color="auto"/>
      </w:divBdr>
    </w:div>
    <w:div w:id="1790934878">
      <w:bodyDiv w:val="1"/>
      <w:marLeft w:val="0"/>
      <w:marRight w:val="0"/>
      <w:marTop w:val="0"/>
      <w:marBottom w:val="0"/>
      <w:divBdr>
        <w:top w:val="none" w:sz="0" w:space="0" w:color="auto"/>
        <w:left w:val="none" w:sz="0" w:space="0" w:color="auto"/>
        <w:bottom w:val="none" w:sz="0" w:space="0" w:color="auto"/>
        <w:right w:val="none" w:sz="0" w:space="0" w:color="auto"/>
      </w:divBdr>
    </w:div>
    <w:div w:id="1794446340">
      <w:bodyDiv w:val="1"/>
      <w:marLeft w:val="0"/>
      <w:marRight w:val="0"/>
      <w:marTop w:val="0"/>
      <w:marBottom w:val="0"/>
      <w:divBdr>
        <w:top w:val="none" w:sz="0" w:space="0" w:color="auto"/>
        <w:left w:val="none" w:sz="0" w:space="0" w:color="auto"/>
        <w:bottom w:val="none" w:sz="0" w:space="0" w:color="auto"/>
        <w:right w:val="none" w:sz="0" w:space="0" w:color="auto"/>
      </w:divBdr>
    </w:div>
    <w:div w:id="1795444539">
      <w:bodyDiv w:val="1"/>
      <w:marLeft w:val="0"/>
      <w:marRight w:val="0"/>
      <w:marTop w:val="0"/>
      <w:marBottom w:val="0"/>
      <w:divBdr>
        <w:top w:val="none" w:sz="0" w:space="0" w:color="auto"/>
        <w:left w:val="none" w:sz="0" w:space="0" w:color="auto"/>
        <w:bottom w:val="none" w:sz="0" w:space="0" w:color="auto"/>
        <w:right w:val="none" w:sz="0" w:space="0" w:color="auto"/>
      </w:divBdr>
    </w:div>
    <w:div w:id="1796752106">
      <w:bodyDiv w:val="1"/>
      <w:marLeft w:val="0"/>
      <w:marRight w:val="0"/>
      <w:marTop w:val="0"/>
      <w:marBottom w:val="0"/>
      <w:divBdr>
        <w:top w:val="none" w:sz="0" w:space="0" w:color="auto"/>
        <w:left w:val="none" w:sz="0" w:space="0" w:color="auto"/>
        <w:bottom w:val="none" w:sz="0" w:space="0" w:color="auto"/>
        <w:right w:val="none" w:sz="0" w:space="0" w:color="auto"/>
      </w:divBdr>
    </w:div>
    <w:div w:id="1805583977">
      <w:bodyDiv w:val="1"/>
      <w:marLeft w:val="0"/>
      <w:marRight w:val="0"/>
      <w:marTop w:val="0"/>
      <w:marBottom w:val="0"/>
      <w:divBdr>
        <w:top w:val="none" w:sz="0" w:space="0" w:color="auto"/>
        <w:left w:val="none" w:sz="0" w:space="0" w:color="auto"/>
        <w:bottom w:val="none" w:sz="0" w:space="0" w:color="auto"/>
        <w:right w:val="none" w:sz="0" w:space="0" w:color="auto"/>
      </w:divBdr>
    </w:div>
    <w:div w:id="1807509022">
      <w:bodyDiv w:val="1"/>
      <w:marLeft w:val="0"/>
      <w:marRight w:val="0"/>
      <w:marTop w:val="0"/>
      <w:marBottom w:val="0"/>
      <w:divBdr>
        <w:top w:val="none" w:sz="0" w:space="0" w:color="auto"/>
        <w:left w:val="none" w:sz="0" w:space="0" w:color="auto"/>
        <w:bottom w:val="none" w:sz="0" w:space="0" w:color="auto"/>
        <w:right w:val="none" w:sz="0" w:space="0" w:color="auto"/>
      </w:divBdr>
    </w:div>
    <w:div w:id="1808014034">
      <w:bodyDiv w:val="1"/>
      <w:marLeft w:val="0"/>
      <w:marRight w:val="0"/>
      <w:marTop w:val="0"/>
      <w:marBottom w:val="0"/>
      <w:divBdr>
        <w:top w:val="none" w:sz="0" w:space="0" w:color="auto"/>
        <w:left w:val="none" w:sz="0" w:space="0" w:color="auto"/>
        <w:bottom w:val="none" w:sz="0" w:space="0" w:color="auto"/>
        <w:right w:val="none" w:sz="0" w:space="0" w:color="auto"/>
      </w:divBdr>
    </w:div>
    <w:div w:id="1811051716">
      <w:bodyDiv w:val="1"/>
      <w:marLeft w:val="0"/>
      <w:marRight w:val="0"/>
      <w:marTop w:val="0"/>
      <w:marBottom w:val="0"/>
      <w:divBdr>
        <w:top w:val="none" w:sz="0" w:space="0" w:color="auto"/>
        <w:left w:val="none" w:sz="0" w:space="0" w:color="auto"/>
        <w:bottom w:val="none" w:sz="0" w:space="0" w:color="auto"/>
        <w:right w:val="none" w:sz="0" w:space="0" w:color="auto"/>
      </w:divBdr>
    </w:div>
    <w:div w:id="1811166328">
      <w:bodyDiv w:val="1"/>
      <w:marLeft w:val="0"/>
      <w:marRight w:val="0"/>
      <w:marTop w:val="0"/>
      <w:marBottom w:val="0"/>
      <w:divBdr>
        <w:top w:val="none" w:sz="0" w:space="0" w:color="auto"/>
        <w:left w:val="none" w:sz="0" w:space="0" w:color="auto"/>
        <w:bottom w:val="none" w:sz="0" w:space="0" w:color="auto"/>
        <w:right w:val="none" w:sz="0" w:space="0" w:color="auto"/>
      </w:divBdr>
    </w:div>
    <w:div w:id="1814253114">
      <w:bodyDiv w:val="1"/>
      <w:marLeft w:val="0"/>
      <w:marRight w:val="0"/>
      <w:marTop w:val="0"/>
      <w:marBottom w:val="0"/>
      <w:divBdr>
        <w:top w:val="none" w:sz="0" w:space="0" w:color="auto"/>
        <w:left w:val="none" w:sz="0" w:space="0" w:color="auto"/>
        <w:bottom w:val="none" w:sz="0" w:space="0" w:color="auto"/>
        <w:right w:val="none" w:sz="0" w:space="0" w:color="auto"/>
      </w:divBdr>
    </w:div>
    <w:div w:id="1817259446">
      <w:bodyDiv w:val="1"/>
      <w:marLeft w:val="0"/>
      <w:marRight w:val="0"/>
      <w:marTop w:val="0"/>
      <w:marBottom w:val="0"/>
      <w:divBdr>
        <w:top w:val="none" w:sz="0" w:space="0" w:color="auto"/>
        <w:left w:val="none" w:sz="0" w:space="0" w:color="auto"/>
        <w:bottom w:val="none" w:sz="0" w:space="0" w:color="auto"/>
        <w:right w:val="none" w:sz="0" w:space="0" w:color="auto"/>
      </w:divBdr>
    </w:div>
    <w:div w:id="1817455848">
      <w:bodyDiv w:val="1"/>
      <w:marLeft w:val="0"/>
      <w:marRight w:val="0"/>
      <w:marTop w:val="0"/>
      <w:marBottom w:val="0"/>
      <w:divBdr>
        <w:top w:val="none" w:sz="0" w:space="0" w:color="auto"/>
        <w:left w:val="none" w:sz="0" w:space="0" w:color="auto"/>
        <w:bottom w:val="none" w:sz="0" w:space="0" w:color="auto"/>
        <w:right w:val="none" w:sz="0" w:space="0" w:color="auto"/>
      </w:divBdr>
    </w:div>
    <w:div w:id="1822960601">
      <w:bodyDiv w:val="1"/>
      <w:marLeft w:val="0"/>
      <w:marRight w:val="0"/>
      <w:marTop w:val="0"/>
      <w:marBottom w:val="0"/>
      <w:divBdr>
        <w:top w:val="none" w:sz="0" w:space="0" w:color="auto"/>
        <w:left w:val="none" w:sz="0" w:space="0" w:color="auto"/>
        <w:bottom w:val="none" w:sz="0" w:space="0" w:color="auto"/>
        <w:right w:val="none" w:sz="0" w:space="0" w:color="auto"/>
      </w:divBdr>
    </w:div>
    <w:div w:id="1824856713">
      <w:bodyDiv w:val="1"/>
      <w:marLeft w:val="0"/>
      <w:marRight w:val="0"/>
      <w:marTop w:val="0"/>
      <w:marBottom w:val="0"/>
      <w:divBdr>
        <w:top w:val="none" w:sz="0" w:space="0" w:color="auto"/>
        <w:left w:val="none" w:sz="0" w:space="0" w:color="auto"/>
        <w:bottom w:val="none" w:sz="0" w:space="0" w:color="auto"/>
        <w:right w:val="none" w:sz="0" w:space="0" w:color="auto"/>
      </w:divBdr>
    </w:div>
    <w:div w:id="1825972147">
      <w:bodyDiv w:val="1"/>
      <w:marLeft w:val="0"/>
      <w:marRight w:val="0"/>
      <w:marTop w:val="0"/>
      <w:marBottom w:val="0"/>
      <w:divBdr>
        <w:top w:val="none" w:sz="0" w:space="0" w:color="auto"/>
        <w:left w:val="none" w:sz="0" w:space="0" w:color="auto"/>
        <w:bottom w:val="none" w:sz="0" w:space="0" w:color="auto"/>
        <w:right w:val="none" w:sz="0" w:space="0" w:color="auto"/>
      </w:divBdr>
    </w:div>
    <w:div w:id="1828548083">
      <w:bodyDiv w:val="1"/>
      <w:marLeft w:val="0"/>
      <w:marRight w:val="0"/>
      <w:marTop w:val="0"/>
      <w:marBottom w:val="0"/>
      <w:divBdr>
        <w:top w:val="none" w:sz="0" w:space="0" w:color="auto"/>
        <w:left w:val="none" w:sz="0" w:space="0" w:color="auto"/>
        <w:bottom w:val="none" w:sz="0" w:space="0" w:color="auto"/>
        <w:right w:val="none" w:sz="0" w:space="0" w:color="auto"/>
      </w:divBdr>
    </w:div>
    <w:div w:id="1829900153">
      <w:bodyDiv w:val="1"/>
      <w:marLeft w:val="0"/>
      <w:marRight w:val="0"/>
      <w:marTop w:val="0"/>
      <w:marBottom w:val="0"/>
      <w:divBdr>
        <w:top w:val="none" w:sz="0" w:space="0" w:color="auto"/>
        <w:left w:val="none" w:sz="0" w:space="0" w:color="auto"/>
        <w:bottom w:val="none" w:sz="0" w:space="0" w:color="auto"/>
        <w:right w:val="none" w:sz="0" w:space="0" w:color="auto"/>
      </w:divBdr>
    </w:div>
    <w:div w:id="1831020257">
      <w:bodyDiv w:val="1"/>
      <w:marLeft w:val="0"/>
      <w:marRight w:val="0"/>
      <w:marTop w:val="0"/>
      <w:marBottom w:val="0"/>
      <w:divBdr>
        <w:top w:val="none" w:sz="0" w:space="0" w:color="auto"/>
        <w:left w:val="none" w:sz="0" w:space="0" w:color="auto"/>
        <w:bottom w:val="none" w:sz="0" w:space="0" w:color="auto"/>
        <w:right w:val="none" w:sz="0" w:space="0" w:color="auto"/>
      </w:divBdr>
    </w:div>
    <w:div w:id="1831093532">
      <w:bodyDiv w:val="1"/>
      <w:marLeft w:val="0"/>
      <w:marRight w:val="0"/>
      <w:marTop w:val="0"/>
      <w:marBottom w:val="0"/>
      <w:divBdr>
        <w:top w:val="none" w:sz="0" w:space="0" w:color="auto"/>
        <w:left w:val="none" w:sz="0" w:space="0" w:color="auto"/>
        <w:bottom w:val="none" w:sz="0" w:space="0" w:color="auto"/>
        <w:right w:val="none" w:sz="0" w:space="0" w:color="auto"/>
      </w:divBdr>
    </w:div>
    <w:div w:id="1832257894">
      <w:bodyDiv w:val="1"/>
      <w:marLeft w:val="0"/>
      <w:marRight w:val="0"/>
      <w:marTop w:val="0"/>
      <w:marBottom w:val="0"/>
      <w:divBdr>
        <w:top w:val="none" w:sz="0" w:space="0" w:color="auto"/>
        <w:left w:val="none" w:sz="0" w:space="0" w:color="auto"/>
        <w:bottom w:val="none" w:sz="0" w:space="0" w:color="auto"/>
        <w:right w:val="none" w:sz="0" w:space="0" w:color="auto"/>
      </w:divBdr>
      <w:divsChild>
        <w:div w:id="1760904536">
          <w:marLeft w:val="0"/>
          <w:marRight w:val="0"/>
          <w:marTop w:val="0"/>
          <w:marBottom w:val="0"/>
          <w:divBdr>
            <w:top w:val="none" w:sz="0" w:space="0" w:color="auto"/>
            <w:left w:val="none" w:sz="0" w:space="0" w:color="auto"/>
            <w:bottom w:val="none" w:sz="0" w:space="0" w:color="auto"/>
            <w:right w:val="none" w:sz="0" w:space="0" w:color="auto"/>
          </w:divBdr>
          <w:divsChild>
            <w:div w:id="1553954457">
              <w:marLeft w:val="0"/>
              <w:marRight w:val="0"/>
              <w:marTop w:val="0"/>
              <w:marBottom w:val="0"/>
              <w:divBdr>
                <w:top w:val="none" w:sz="0" w:space="0" w:color="auto"/>
                <w:left w:val="none" w:sz="0" w:space="0" w:color="auto"/>
                <w:bottom w:val="none" w:sz="0" w:space="0" w:color="auto"/>
                <w:right w:val="none" w:sz="0" w:space="0" w:color="auto"/>
              </w:divBdr>
              <w:divsChild>
                <w:div w:id="2014841255">
                  <w:marLeft w:val="0"/>
                  <w:marRight w:val="0"/>
                  <w:marTop w:val="0"/>
                  <w:marBottom w:val="0"/>
                  <w:divBdr>
                    <w:top w:val="none" w:sz="0" w:space="0" w:color="auto"/>
                    <w:left w:val="none" w:sz="0" w:space="0" w:color="auto"/>
                    <w:bottom w:val="none" w:sz="0" w:space="0" w:color="auto"/>
                    <w:right w:val="none" w:sz="0" w:space="0" w:color="auto"/>
                  </w:divBdr>
                  <w:divsChild>
                    <w:div w:id="360791184">
                      <w:marLeft w:val="0"/>
                      <w:marRight w:val="0"/>
                      <w:marTop w:val="0"/>
                      <w:marBottom w:val="0"/>
                      <w:divBdr>
                        <w:top w:val="none" w:sz="0" w:space="0" w:color="auto"/>
                        <w:left w:val="none" w:sz="0" w:space="0" w:color="auto"/>
                        <w:bottom w:val="none" w:sz="0" w:space="0" w:color="auto"/>
                        <w:right w:val="none" w:sz="0" w:space="0" w:color="auto"/>
                      </w:divBdr>
                      <w:divsChild>
                        <w:div w:id="558326081">
                          <w:marLeft w:val="0"/>
                          <w:marRight w:val="0"/>
                          <w:marTop w:val="0"/>
                          <w:marBottom w:val="0"/>
                          <w:divBdr>
                            <w:top w:val="none" w:sz="0" w:space="0" w:color="auto"/>
                            <w:left w:val="none" w:sz="0" w:space="0" w:color="auto"/>
                            <w:bottom w:val="none" w:sz="0" w:space="0" w:color="auto"/>
                            <w:right w:val="none" w:sz="0" w:space="0" w:color="auto"/>
                          </w:divBdr>
                          <w:divsChild>
                            <w:div w:id="170604926">
                              <w:marLeft w:val="0"/>
                              <w:marRight w:val="0"/>
                              <w:marTop w:val="0"/>
                              <w:marBottom w:val="0"/>
                              <w:divBdr>
                                <w:top w:val="none" w:sz="0" w:space="0" w:color="auto"/>
                                <w:left w:val="none" w:sz="0" w:space="0" w:color="auto"/>
                                <w:bottom w:val="none" w:sz="0" w:space="0" w:color="auto"/>
                                <w:right w:val="none" w:sz="0" w:space="0" w:color="auto"/>
                              </w:divBdr>
                              <w:divsChild>
                                <w:div w:id="2055232699">
                                  <w:marLeft w:val="0"/>
                                  <w:marRight w:val="0"/>
                                  <w:marTop w:val="0"/>
                                  <w:marBottom w:val="0"/>
                                  <w:divBdr>
                                    <w:top w:val="none" w:sz="0" w:space="0" w:color="auto"/>
                                    <w:left w:val="none" w:sz="0" w:space="0" w:color="auto"/>
                                    <w:bottom w:val="none" w:sz="0" w:space="0" w:color="auto"/>
                                    <w:right w:val="none" w:sz="0" w:space="0" w:color="auto"/>
                                  </w:divBdr>
                                  <w:divsChild>
                                    <w:div w:id="930771649">
                                      <w:marLeft w:val="0"/>
                                      <w:marRight w:val="0"/>
                                      <w:marTop w:val="0"/>
                                      <w:marBottom w:val="0"/>
                                      <w:divBdr>
                                        <w:top w:val="none" w:sz="0" w:space="0" w:color="auto"/>
                                        <w:left w:val="none" w:sz="0" w:space="0" w:color="auto"/>
                                        <w:bottom w:val="none" w:sz="0" w:space="0" w:color="auto"/>
                                        <w:right w:val="none" w:sz="0" w:space="0" w:color="auto"/>
                                      </w:divBdr>
                                      <w:divsChild>
                                        <w:div w:id="1184595241">
                                          <w:marLeft w:val="0"/>
                                          <w:marRight w:val="0"/>
                                          <w:marTop w:val="0"/>
                                          <w:marBottom w:val="0"/>
                                          <w:divBdr>
                                            <w:top w:val="none" w:sz="0" w:space="0" w:color="auto"/>
                                            <w:left w:val="none" w:sz="0" w:space="0" w:color="auto"/>
                                            <w:bottom w:val="none" w:sz="0" w:space="0" w:color="auto"/>
                                            <w:right w:val="none" w:sz="0" w:space="0" w:color="auto"/>
                                          </w:divBdr>
                                          <w:divsChild>
                                            <w:div w:id="1331717369">
                                              <w:marLeft w:val="0"/>
                                              <w:marRight w:val="0"/>
                                              <w:marTop w:val="0"/>
                                              <w:marBottom w:val="0"/>
                                              <w:divBdr>
                                                <w:top w:val="none" w:sz="0" w:space="0" w:color="auto"/>
                                                <w:left w:val="none" w:sz="0" w:space="0" w:color="auto"/>
                                                <w:bottom w:val="none" w:sz="0" w:space="0" w:color="auto"/>
                                                <w:right w:val="none" w:sz="0" w:space="0" w:color="auto"/>
                                              </w:divBdr>
                                              <w:divsChild>
                                                <w:div w:id="1902790546">
                                                  <w:marLeft w:val="0"/>
                                                  <w:marRight w:val="0"/>
                                                  <w:marTop w:val="0"/>
                                                  <w:marBottom w:val="0"/>
                                                  <w:divBdr>
                                                    <w:top w:val="none" w:sz="0" w:space="0" w:color="auto"/>
                                                    <w:left w:val="none" w:sz="0" w:space="0" w:color="auto"/>
                                                    <w:bottom w:val="none" w:sz="0" w:space="0" w:color="auto"/>
                                                    <w:right w:val="none" w:sz="0" w:space="0" w:color="auto"/>
                                                  </w:divBdr>
                                                  <w:divsChild>
                                                    <w:div w:id="397093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37107596">
      <w:bodyDiv w:val="1"/>
      <w:marLeft w:val="0"/>
      <w:marRight w:val="0"/>
      <w:marTop w:val="0"/>
      <w:marBottom w:val="0"/>
      <w:divBdr>
        <w:top w:val="none" w:sz="0" w:space="0" w:color="auto"/>
        <w:left w:val="none" w:sz="0" w:space="0" w:color="auto"/>
        <w:bottom w:val="none" w:sz="0" w:space="0" w:color="auto"/>
        <w:right w:val="none" w:sz="0" w:space="0" w:color="auto"/>
      </w:divBdr>
    </w:div>
    <w:div w:id="1838617332">
      <w:bodyDiv w:val="1"/>
      <w:marLeft w:val="0"/>
      <w:marRight w:val="0"/>
      <w:marTop w:val="0"/>
      <w:marBottom w:val="0"/>
      <w:divBdr>
        <w:top w:val="none" w:sz="0" w:space="0" w:color="auto"/>
        <w:left w:val="none" w:sz="0" w:space="0" w:color="auto"/>
        <w:bottom w:val="none" w:sz="0" w:space="0" w:color="auto"/>
        <w:right w:val="none" w:sz="0" w:space="0" w:color="auto"/>
      </w:divBdr>
      <w:divsChild>
        <w:div w:id="860817805">
          <w:marLeft w:val="0"/>
          <w:marRight w:val="0"/>
          <w:marTop w:val="0"/>
          <w:marBottom w:val="0"/>
          <w:divBdr>
            <w:top w:val="none" w:sz="0" w:space="0" w:color="auto"/>
            <w:left w:val="none" w:sz="0" w:space="0" w:color="auto"/>
            <w:bottom w:val="none" w:sz="0" w:space="0" w:color="auto"/>
            <w:right w:val="none" w:sz="0" w:space="0" w:color="auto"/>
          </w:divBdr>
          <w:divsChild>
            <w:div w:id="1951665284">
              <w:marLeft w:val="0"/>
              <w:marRight w:val="0"/>
              <w:marTop w:val="0"/>
              <w:marBottom w:val="0"/>
              <w:divBdr>
                <w:top w:val="none" w:sz="0" w:space="0" w:color="auto"/>
                <w:left w:val="none" w:sz="0" w:space="0" w:color="auto"/>
                <w:bottom w:val="none" w:sz="0" w:space="0" w:color="auto"/>
                <w:right w:val="none" w:sz="0" w:space="0" w:color="auto"/>
              </w:divBdr>
              <w:divsChild>
                <w:div w:id="697311607">
                  <w:marLeft w:val="0"/>
                  <w:marRight w:val="0"/>
                  <w:marTop w:val="0"/>
                  <w:marBottom w:val="0"/>
                  <w:divBdr>
                    <w:top w:val="none" w:sz="0" w:space="0" w:color="auto"/>
                    <w:left w:val="none" w:sz="0" w:space="0" w:color="auto"/>
                    <w:bottom w:val="none" w:sz="0" w:space="0" w:color="auto"/>
                    <w:right w:val="none" w:sz="0" w:space="0" w:color="auto"/>
                  </w:divBdr>
                  <w:divsChild>
                    <w:div w:id="1932352506">
                      <w:marLeft w:val="300"/>
                      <w:marRight w:val="30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9493274">
      <w:bodyDiv w:val="1"/>
      <w:marLeft w:val="0"/>
      <w:marRight w:val="0"/>
      <w:marTop w:val="0"/>
      <w:marBottom w:val="0"/>
      <w:divBdr>
        <w:top w:val="none" w:sz="0" w:space="0" w:color="auto"/>
        <w:left w:val="none" w:sz="0" w:space="0" w:color="auto"/>
        <w:bottom w:val="none" w:sz="0" w:space="0" w:color="auto"/>
        <w:right w:val="none" w:sz="0" w:space="0" w:color="auto"/>
      </w:divBdr>
    </w:div>
    <w:div w:id="1848472506">
      <w:bodyDiv w:val="1"/>
      <w:marLeft w:val="0"/>
      <w:marRight w:val="0"/>
      <w:marTop w:val="0"/>
      <w:marBottom w:val="0"/>
      <w:divBdr>
        <w:top w:val="none" w:sz="0" w:space="0" w:color="auto"/>
        <w:left w:val="none" w:sz="0" w:space="0" w:color="auto"/>
        <w:bottom w:val="none" w:sz="0" w:space="0" w:color="auto"/>
        <w:right w:val="none" w:sz="0" w:space="0" w:color="auto"/>
      </w:divBdr>
    </w:div>
    <w:div w:id="1848785982">
      <w:bodyDiv w:val="1"/>
      <w:marLeft w:val="0"/>
      <w:marRight w:val="0"/>
      <w:marTop w:val="0"/>
      <w:marBottom w:val="0"/>
      <w:divBdr>
        <w:top w:val="none" w:sz="0" w:space="0" w:color="auto"/>
        <w:left w:val="none" w:sz="0" w:space="0" w:color="auto"/>
        <w:bottom w:val="none" w:sz="0" w:space="0" w:color="auto"/>
        <w:right w:val="none" w:sz="0" w:space="0" w:color="auto"/>
      </w:divBdr>
    </w:div>
    <w:div w:id="1853495638">
      <w:bodyDiv w:val="1"/>
      <w:marLeft w:val="0"/>
      <w:marRight w:val="0"/>
      <w:marTop w:val="0"/>
      <w:marBottom w:val="0"/>
      <w:divBdr>
        <w:top w:val="none" w:sz="0" w:space="0" w:color="auto"/>
        <w:left w:val="none" w:sz="0" w:space="0" w:color="auto"/>
        <w:bottom w:val="none" w:sz="0" w:space="0" w:color="auto"/>
        <w:right w:val="none" w:sz="0" w:space="0" w:color="auto"/>
      </w:divBdr>
    </w:div>
    <w:div w:id="1854493750">
      <w:bodyDiv w:val="1"/>
      <w:marLeft w:val="0"/>
      <w:marRight w:val="0"/>
      <w:marTop w:val="0"/>
      <w:marBottom w:val="0"/>
      <w:divBdr>
        <w:top w:val="none" w:sz="0" w:space="0" w:color="auto"/>
        <w:left w:val="none" w:sz="0" w:space="0" w:color="auto"/>
        <w:bottom w:val="none" w:sz="0" w:space="0" w:color="auto"/>
        <w:right w:val="none" w:sz="0" w:space="0" w:color="auto"/>
      </w:divBdr>
    </w:div>
    <w:div w:id="1856962910">
      <w:bodyDiv w:val="1"/>
      <w:marLeft w:val="0"/>
      <w:marRight w:val="0"/>
      <w:marTop w:val="0"/>
      <w:marBottom w:val="0"/>
      <w:divBdr>
        <w:top w:val="none" w:sz="0" w:space="0" w:color="auto"/>
        <w:left w:val="none" w:sz="0" w:space="0" w:color="auto"/>
        <w:bottom w:val="none" w:sz="0" w:space="0" w:color="auto"/>
        <w:right w:val="none" w:sz="0" w:space="0" w:color="auto"/>
      </w:divBdr>
    </w:div>
    <w:div w:id="1857572107">
      <w:bodyDiv w:val="1"/>
      <w:marLeft w:val="0"/>
      <w:marRight w:val="0"/>
      <w:marTop w:val="0"/>
      <w:marBottom w:val="0"/>
      <w:divBdr>
        <w:top w:val="none" w:sz="0" w:space="0" w:color="auto"/>
        <w:left w:val="none" w:sz="0" w:space="0" w:color="auto"/>
        <w:bottom w:val="none" w:sz="0" w:space="0" w:color="auto"/>
        <w:right w:val="none" w:sz="0" w:space="0" w:color="auto"/>
      </w:divBdr>
    </w:div>
    <w:div w:id="1866093585">
      <w:bodyDiv w:val="1"/>
      <w:marLeft w:val="0"/>
      <w:marRight w:val="0"/>
      <w:marTop w:val="0"/>
      <w:marBottom w:val="0"/>
      <w:divBdr>
        <w:top w:val="none" w:sz="0" w:space="0" w:color="auto"/>
        <w:left w:val="none" w:sz="0" w:space="0" w:color="auto"/>
        <w:bottom w:val="none" w:sz="0" w:space="0" w:color="auto"/>
        <w:right w:val="none" w:sz="0" w:space="0" w:color="auto"/>
      </w:divBdr>
    </w:div>
    <w:div w:id="1866822779">
      <w:bodyDiv w:val="1"/>
      <w:marLeft w:val="0"/>
      <w:marRight w:val="0"/>
      <w:marTop w:val="0"/>
      <w:marBottom w:val="0"/>
      <w:divBdr>
        <w:top w:val="none" w:sz="0" w:space="0" w:color="auto"/>
        <w:left w:val="none" w:sz="0" w:space="0" w:color="auto"/>
        <w:bottom w:val="none" w:sz="0" w:space="0" w:color="auto"/>
        <w:right w:val="none" w:sz="0" w:space="0" w:color="auto"/>
      </w:divBdr>
    </w:div>
    <w:div w:id="1878202578">
      <w:bodyDiv w:val="1"/>
      <w:marLeft w:val="0"/>
      <w:marRight w:val="0"/>
      <w:marTop w:val="0"/>
      <w:marBottom w:val="0"/>
      <w:divBdr>
        <w:top w:val="none" w:sz="0" w:space="0" w:color="auto"/>
        <w:left w:val="none" w:sz="0" w:space="0" w:color="auto"/>
        <w:bottom w:val="none" w:sz="0" w:space="0" w:color="auto"/>
        <w:right w:val="none" w:sz="0" w:space="0" w:color="auto"/>
      </w:divBdr>
    </w:div>
    <w:div w:id="1884249101">
      <w:bodyDiv w:val="1"/>
      <w:marLeft w:val="0"/>
      <w:marRight w:val="0"/>
      <w:marTop w:val="0"/>
      <w:marBottom w:val="0"/>
      <w:divBdr>
        <w:top w:val="none" w:sz="0" w:space="0" w:color="auto"/>
        <w:left w:val="none" w:sz="0" w:space="0" w:color="auto"/>
        <w:bottom w:val="none" w:sz="0" w:space="0" w:color="auto"/>
        <w:right w:val="none" w:sz="0" w:space="0" w:color="auto"/>
      </w:divBdr>
    </w:div>
    <w:div w:id="1884780603">
      <w:bodyDiv w:val="1"/>
      <w:marLeft w:val="0"/>
      <w:marRight w:val="0"/>
      <w:marTop w:val="0"/>
      <w:marBottom w:val="0"/>
      <w:divBdr>
        <w:top w:val="none" w:sz="0" w:space="0" w:color="auto"/>
        <w:left w:val="none" w:sz="0" w:space="0" w:color="auto"/>
        <w:bottom w:val="none" w:sz="0" w:space="0" w:color="auto"/>
        <w:right w:val="none" w:sz="0" w:space="0" w:color="auto"/>
      </w:divBdr>
    </w:div>
    <w:div w:id="1887139096">
      <w:bodyDiv w:val="1"/>
      <w:marLeft w:val="0"/>
      <w:marRight w:val="0"/>
      <w:marTop w:val="0"/>
      <w:marBottom w:val="0"/>
      <w:divBdr>
        <w:top w:val="none" w:sz="0" w:space="0" w:color="auto"/>
        <w:left w:val="none" w:sz="0" w:space="0" w:color="auto"/>
        <w:bottom w:val="none" w:sz="0" w:space="0" w:color="auto"/>
        <w:right w:val="none" w:sz="0" w:space="0" w:color="auto"/>
      </w:divBdr>
    </w:div>
    <w:div w:id="1893224340">
      <w:bodyDiv w:val="1"/>
      <w:marLeft w:val="0"/>
      <w:marRight w:val="0"/>
      <w:marTop w:val="0"/>
      <w:marBottom w:val="0"/>
      <w:divBdr>
        <w:top w:val="none" w:sz="0" w:space="0" w:color="auto"/>
        <w:left w:val="none" w:sz="0" w:space="0" w:color="auto"/>
        <w:bottom w:val="none" w:sz="0" w:space="0" w:color="auto"/>
        <w:right w:val="none" w:sz="0" w:space="0" w:color="auto"/>
      </w:divBdr>
    </w:div>
    <w:div w:id="1895196033">
      <w:bodyDiv w:val="1"/>
      <w:marLeft w:val="0"/>
      <w:marRight w:val="0"/>
      <w:marTop w:val="0"/>
      <w:marBottom w:val="0"/>
      <w:divBdr>
        <w:top w:val="none" w:sz="0" w:space="0" w:color="auto"/>
        <w:left w:val="none" w:sz="0" w:space="0" w:color="auto"/>
        <w:bottom w:val="none" w:sz="0" w:space="0" w:color="auto"/>
        <w:right w:val="none" w:sz="0" w:space="0" w:color="auto"/>
      </w:divBdr>
    </w:div>
    <w:div w:id="1898586205">
      <w:bodyDiv w:val="1"/>
      <w:marLeft w:val="0"/>
      <w:marRight w:val="0"/>
      <w:marTop w:val="0"/>
      <w:marBottom w:val="0"/>
      <w:divBdr>
        <w:top w:val="none" w:sz="0" w:space="0" w:color="auto"/>
        <w:left w:val="none" w:sz="0" w:space="0" w:color="auto"/>
        <w:bottom w:val="none" w:sz="0" w:space="0" w:color="auto"/>
        <w:right w:val="none" w:sz="0" w:space="0" w:color="auto"/>
      </w:divBdr>
    </w:div>
    <w:div w:id="1900287278">
      <w:bodyDiv w:val="1"/>
      <w:marLeft w:val="0"/>
      <w:marRight w:val="0"/>
      <w:marTop w:val="0"/>
      <w:marBottom w:val="0"/>
      <w:divBdr>
        <w:top w:val="none" w:sz="0" w:space="0" w:color="auto"/>
        <w:left w:val="none" w:sz="0" w:space="0" w:color="auto"/>
        <w:bottom w:val="none" w:sz="0" w:space="0" w:color="auto"/>
        <w:right w:val="none" w:sz="0" w:space="0" w:color="auto"/>
      </w:divBdr>
    </w:div>
    <w:div w:id="1905724757">
      <w:bodyDiv w:val="1"/>
      <w:marLeft w:val="0"/>
      <w:marRight w:val="0"/>
      <w:marTop w:val="0"/>
      <w:marBottom w:val="0"/>
      <w:divBdr>
        <w:top w:val="none" w:sz="0" w:space="0" w:color="auto"/>
        <w:left w:val="none" w:sz="0" w:space="0" w:color="auto"/>
        <w:bottom w:val="none" w:sz="0" w:space="0" w:color="auto"/>
        <w:right w:val="none" w:sz="0" w:space="0" w:color="auto"/>
      </w:divBdr>
    </w:div>
    <w:div w:id="1906330042">
      <w:bodyDiv w:val="1"/>
      <w:marLeft w:val="0"/>
      <w:marRight w:val="0"/>
      <w:marTop w:val="0"/>
      <w:marBottom w:val="0"/>
      <w:divBdr>
        <w:top w:val="none" w:sz="0" w:space="0" w:color="auto"/>
        <w:left w:val="none" w:sz="0" w:space="0" w:color="auto"/>
        <w:bottom w:val="none" w:sz="0" w:space="0" w:color="auto"/>
        <w:right w:val="none" w:sz="0" w:space="0" w:color="auto"/>
      </w:divBdr>
    </w:div>
    <w:div w:id="1907454418">
      <w:bodyDiv w:val="1"/>
      <w:marLeft w:val="0"/>
      <w:marRight w:val="0"/>
      <w:marTop w:val="0"/>
      <w:marBottom w:val="0"/>
      <w:divBdr>
        <w:top w:val="none" w:sz="0" w:space="0" w:color="auto"/>
        <w:left w:val="none" w:sz="0" w:space="0" w:color="auto"/>
        <w:bottom w:val="none" w:sz="0" w:space="0" w:color="auto"/>
        <w:right w:val="none" w:sz="0" w:space="0" w:color="auto"/>
      </w:divBdr>
    </w:div>
    <w:div w:id="1909532491">
      <w:bodyDiv w:val="1"/>
      <w:marLeft w:val="0"/>
      <w:marRight w:val="0"/>
      <w:marTop w:val="0"/>
      <w:marBottom w:val="0"/>
      <w:divBdr>
        <w:top w:val="none" w:sz="0" w:space="0" w:color="auto"/>
        <w:left w:val="none" w:sz="0" w:space="0" w:color="auto"/>
        <w:bottom w:val="none" w:sz="0" w:space="0" w:color="auto"/>
        <w:right w:val="none" w:sz="0" w:space="0" w:color="auto"/>
      </w:divBdr>
    </w:div>
    <w:div w:id="1917394471">
      <w:bodyDiv w:val="1"/>
      <w:marLeft w:val="0"/>
      <w:marRight w:val="0"/>
      <w:marTop w:val="0"/>
      <w:marBottom w:val="0"/>
      <w:divBdr>
        <w:top w:val="none" w:sz="0" w:space="0" w:color="auto"/>
        <w:left w:val="none" w:sz="0" w:space="0" w:color="auto"/>
        <w:bottom w:val="none" w:sz="0" w:space="0" w:color="auto"/>
        <w:right w:val="none" w:sz="0" w:space="0" w:color="auto"/>
      </w:divBdr>
    </w:div>
    <w:div w:id="1920598485">
      <w:bodyDiv w:val="1"/>
      <w:marLeft w:val="0"/>
      <w:marRight w:val="0"/>
      <w:marTop w:val="0"/>
      <w:marBottom w:val="0"/>
      <w:divBdr>
        <w:top w:val="none" w:sz="0" w:space="0" w:color="auto"/>
        <w:left w:val="none" w:sz="0" w:space="0" w:color="auto"/>
        <w:bottom w:val="none" w:sz="0" w:space="0" w:color="auto"/>
        <w:right w:val="none" w:sz="0" w:space="0" w:color="auto"/>
      </w:divBdr>
    </w:div>
    <w:div w:id="1924485244">
      <w:bodyDiv w:val="1"/>
      <w:marLeft w:val="0"/>
      <w:marRight w:val="0"/>
      <w:marTop w:val="0"/>
      <w:marBottom w:val="0"/>
      <w:divBdr>
        <w:top w:val="none" w:sz="0" w:space="0" w:color="auto"/>
        <w:left w:val="none" w:sz="0" w:space="0" w:color="auto"/>
        <w:bottom w:val="none" w:sz="0" w:space="0" w:color="auto"/>
        <w:right w:val="none" w:sz="0" w:space="0" w:color="auto"/>
      </w:divBdr>
    </w:div>
    <w:div w:id="1926187862">
      <w:bodyDiv w:val="1"/>
      <w:marLeft w:val="0"/>
      <w:marRight w:val="0"/>
      <w:marTop w:val="0"/>
      <w:marBottom w:val="0"/>
      <w:divBdr>
        <w:top w:val="none" w:sz="0" w:space="0" w:color="auto"/>
        <w:left w:val="none" w:sz="0" w:space="0" w:color="auto"/>
        <w:bottom w:val="none" w:sz="0" w:space="0" w:color="auto"/>
        <w:right w:val="none" w:sz="0" w:space="0" w:color="auto"/>
      </w:divBdr>
    </w:div>
    <w:div w:id="1926648029">
      <w:bodyDiv w:val="1"/>
      <w:marLeft w:val="0"/>
      <w:marRight w:val="0"/>
      <w:marTop w:val="0"/>
      <w:marBottom w:val="0"/>
      <w:divBdr>
        <w:top w:val="none" w:sz="0" w:space="0" w:color="auto"/>
        <w:left w:val="none" w:sz="0" w:space="0" w:color="auto"/>
        <w:bottom w:val="none" w:sz="0" w:space="0" w:color="auto"/>
        <w:right w:val="none" w:sz="0" w:space="0" w:color="auto"/>
      </w:divBdr>
    </w:div>
    <w:div w:id="1936089815">
      <w:bodyDiv w:val="1"/>
      <w:marLeft w:val="0"/>
      <w:marRight w:val="0"/>
      <w:marTop w:val="0"/>
      <w:marBottom w:val="0"/>
      <w:divBdr>
        <w:top w:val="none" w:sz="0" w:space="0" w:color="auto"/>
        <w:left w:val="none" w:sz="0" w:space="0" w:color="auto"/>
        <w:bottom w:val="none" w:sz="0" w:space="0" w:color="auto"/>
        <w:right w:val="none" w:sz="0" w:space="0" w:color="auto"/>
      </w:divBdr>
    </w:div>
    <w:div w:id="1942450274">
      <w:bodyDiv w:val="1"/>
      <w:marLeft w:val="0"/>
      <w:marRight w:val="0"/>
      <w:marTop w:val="0"/>
      <w:marBottom w:val="0"/>
      <w:divBdr>
        <w:top w:val="none" w:sz="0" w:space="0" w:color="auto"/>
        <w:left w:val="none" w:sz="0" w:space="0" w:color="auto"/>
        <w:bottom w:val="none" w:sz="0" w:space="0" w:color="auto"/>
        <w:right w:val="none" w:sz="0" w:space="0" w:color="auto"/>
      </w:divBdr>
    </w:div>
    <w:div w:id="1945727774">
      <w:bodyDiv w:val="1"/>
      <w:marLeft w:val="0"/>
      <w:marRight w:val="0"/>
      <w:marTop w:val="0"/>
      <w:marBottom w:val="0"/>
      <w:divBdr>
        <w:top w:val="none" w:sz="0" w:space="0" w:color="auto"/>
        <w:left w:val="none" w:sz="0" w:space="0" w:color="auto"/>
        <w:bottom w:val="none" w:sz="0" w:space="0" w:color="auto"/>
        <w:right w:val="none" w:sz="0" w:space="0" w:color="auto"/>
      </w:divBdr>
    </w:div>
    <w:div w:id="1947420603">
      <w:bodyDiv w:val="1"/>
      <w:marLeft w:val="0"/>
      <w:marRight w:val="0"/>
      <w:marTop w:val="0"/>
      <w:marBottom w:val="0"/>
      <w:divBdr>
        <w:top w:val="none" w:sz="0" w:space="0" w:color="auto"/>
        <w:left w:val="none" w:sz="0" w:space="0" w:color="auto"/>
        <w:bottom w:val="none" w:sz="0" w:space="0" w:color="auto"/>
        <w:right w:val="none" w:sz="0" w:space="0" w:color="auto"/>
      </w:divBdr>
    </w:div>
    <w:div w:id="1948198590">
      <w:bodyDiv w:val="1"/>
      <w:marLeft w:val="0"/>
      <w:marRight w:val="0"/>
      <w:marTop w:val="0"/>
      <w:marBottom w:val="0"/>
      <w:divBdr>
        <w:top w:val="none" w:sz="0" w:space="0" w:color="auto"/>
        <w:left w:val="none" w:sz="0" w:space="0" w:color="auto"/>
        <w:bottom w:val="none" w:sz="0" w:space="0" w:color="auto"/>
        <w:right w:val="none" w:sz="0" w:space="0" w:color="auto"/>
      </w:divBdr>
    </w:div>
    <w:div w:id="1957134021">
      <w:bodyDiv w:val="1"/>
      <w:marLeft w:val="0"/>
      <w:marRight w:val="0"/>
      <w:marTop w:val="0"/>
      <w:marBottom w:val="0"/>
      <w:divBdr>
        <w:top w:val="none" w:sz="0" w:space="0" w:color="auto"/>
        <w:left w:val="none" w:sz="0" w:space="0" w:color="auto"/>
        <w:bottom w:val="none" w:sz="0" w:space="0" w:color="auto"/>
        <w:right w:val="none" w:sz="0" w:space="0" w:color="auto"/>
      </w:divBdr>
    </w:div>
    <w:div w:id="1963533123">
      <w:bodyDiv w:val="1"/>
      <w:marLeft w:val="0"/>
      <w:marRight w:val="0"/>
      <w:marTop w:val="0"/>
      <w:marBottom w:val="0"/>
      <w:divBdr>
        <w:top w:val="none" w:sz="0" w:space="0" w:color="auto"/>
        <w:left w:val="none" w:sz="0" w:space="0" w:color="auto"/>
        <w:bottom w:val="none" w:sz="0" w:space="0" w:color="auto"/>
        <w:right w:val="none" w:sz="0" w:space="0" w:color="auto"/>
      </w:divBdr>
    </w:div>
    <w:div w:id="1964967253">
      <w:bodyDiv w:val="1"/>
      <w:marLeft w:val="0"/>
      <w:marRight w:val="0"/>
      <w:marTop w:val="0"/>
      <w:marBottom w:val="0"/>
      <w:divBdr>
        <w:top w:val="none" w:sz="0" w:space="0" w:color="auto"/>
        <w:left w:val="none" w:sz="0" w:space="0" w:color="auto"/>
        <w:bottom w:val="none" w:sz="0" w:space="0" w:color="auto"/>
        <w:right w:val="none" w:sz="0" w:space="0" w:color="auto"/>
      </w:divBdr>
    </w:div>
    <w:div w:id="1965581080">
      <w:bodyDiv w:val="1"/>
      <w:marLeft w:val="0"/>
      <w:marRight w:val="0"/>
      <w:marTop w:val="0"/>
      <w:marBottom w:val="0"/>
      <w:divBdr>
        <w:top w:val="none" w:sz="0" w:space="0" w:color="auto"/>
        <w:left w:val="none" w:sz="0" w:space="0" w:color="auto"/>
        <w:bottom w:val="none" w:sz="0" w:space="0" w:color="auto"/>
        <w:right w:val="none" w:sz="0" w:space="0" w:color="auto"/>
      </w:divBdr>
      <w:divsChild>
        <w:div w:id="1052000390">
          <w:marLeft w:val="0"/>
          <w:marRight w:val="0"/>
          <w:marTop w:val="0"/>
          <w:marBottom w:val="0"/>
          <w:divBdr>
            <w:top w:val="none" w:sz="0" w:space="0" w:color="auto"/>
            <w:left w:val="none" w:sz="0" w:space="0" w:color="auto"/>
            <w:bottom w:val="none" w:sz="0" w:space="0" w:color="auto"/>
            <w:right w:val="none" w:sz="0" w:space="0" w:color="auto"/>
          </w:divBdr>
          <w:divsChild>
            <w:div w:id="906456433">
              <w:marLeft w:val="0"/>
              <w:marRight w:val="0"/>
              <w:marTop w:val="0"/>
              <w:marBottom w:val="0"/>
              <w:divBdr>
                <w:top w:val="none" w:sz="0" w:space="0" w:color="auto"/>
                <w:left w:val="none" w:sz="0" w:space="0" w:color="auto"/>
                <w:bottom w:val="none" w:sz="0" w:space="0" w:color="auto"/>
                <w:right w:val="none" w:sz="0" w:space="0" w:color="auto"/>
              </w:divBdr>
              <w:divsChild>
                <w:div w:id="279382945">
                  <w:marLeft w:val="0"/>
                  <w:marRight w:val="0"/>
                  <w:marTop w:val="0"/>
                  <w:marBottom w:val="0"/>
                  <w:divBdr>
                    <w:top w:val="none" w:sz="0" w:space="0" w:color="auto"/>
                    <w:left w:val="none" w:sz="0" w:space="0" w:color="auto"/>
                    <w:bottom w:val="none" w:sz="0" w:space="0" w:color="auto"/>
                    <w:right w:val="none" w:sz="0" w:space="0" w:color="auto"/>
                  </w:divBdr>
                  <w:divsChild>
                    <w:div w:id="1710108239">
                      <w:marLeft w:val="0"/>
                      <w:marRight w:val="0"/>
                      <w:marTop w:val="0"/>
                      <w:marBottom w:val="0"/>
                      <w:divBdr>
                        <w:top w:val="none" w:sz="0" w:space="0" w:color="auto"/>
                        <w:left w:val="none" w:sz="0" w:space="0" w:color="auto"/>
                        <w:bottom w:val="none" w:sz="0" w:space="0" w:color="auto"/>
                        <w:right w:val="none" w:sz="0" w:space="0" w:color="auto"/>
                      </w:divBdr>
                      <w:divsChild>
                        <w:div w:id="6293741">
                          <w:marLeft w:val="0"/>
                          <w:marRight w:val="0"/>
                          <w:marTop w:val="0"/>
                          <w:marBottom w:val="0"/>
                          <w:divBdr>
                            <w:top w:val="none" w:sz="0" w:space="0" w:color="auto"/>
                            <w:left w:val="none" w:sz="0" w:space="0" w:color="auto"/>
                            <w:bottom w:val="none" w:sz="0" w:space="0" w:color="auto"/>
                            <w:right w:val="none" w:sz="0" w:space="0" w:color="auto"/>
                          </w:divBdr>
                          <w:divsChild>
                            <w:div w:id="1019157696">
                              <w:marLeft w:val="2700"/>
                              <w:marRight w:val="3960"/>
                              <w:marTop w:val="0"/>
                              <w:marBottom w:val="0"/>
                              <w:divBdr>
                                <w:top w:val="none" w:sz="0" w:space="0" w:color="auto"/>
                                <w:left w:val="none" w:sz="0" w:space="0" w:color="auto"/>
                                <w:bottom w:val="none" w:sz="0" w:space="0" w:color="auto"/>
                                <w:right w:val="none" w:sz="0" w:space="0" w:color="auto"/>
                              </w:divBdr>
                              <w:divsChild>
                                <w:div w:id="1504277083">
                                  <w:marLeft w:val="0"/>
                                  <w:marRight w:val="0"/>
                                  <w:marTop w:val="0"/>
                                  <w:marBottom w:val="0"/>
                                  <w:divBdr>
                                    <w:top w:val="none" w:sz="0" w:space="0" w:color="auto"/>
                                    <w:left w:val="none" w:sz="0" w:space="0" w:color="auto"/>
                                    <w:bottom w:val="none" w:sz="0" w:space="0" w:color="auto"/>
                                    <w:right w:val="none" w:sz="0" w:space="0" w:color="auto"/>
                                  </w:divBdr>
                                  <w:divsChild>
                                    <w:div w:id="1760717307">
                                      <w:marLeft w:val="0"/>
                                      <w:marRight w:val="0"/>
                                      <w:marTop w:val="0"/>
                                      <w:marBottom w:val="0"/>
                                      <w:divBdr>
                                        <w:top w:val="none" w:sz="0" w:space="0" w:color="auto"/>
                                        <w:left w:val="none" w:sz="0" w:space="0" w:color="auto"/>
                                        <w:bottom w:val="none" w:sz="0" w:space="0" w:color="auto"/>
                                        <w:right w:val="none" w:sz="0" w:space="0" w:color="auto"/>
                                      </w:divBdr>
                                      <w:divsChild>
                                        <w:div w:id="1564099738">
                                          <w:marLeft w:val="0"/>
                                          <w:marRight w:val="0"/>
                                          <w:marTop w:val="0"/>
                                          <w:marBottom w:val="0"/>
                                          <w:divBdr>
                                            <w:top w:val="none" w:sz="0" w:space="0" w:color="auto"/>
                                            <w:left w:val="none" w:sz="0" w:space="0" w:color="auto"/>
                                            <w:bottom w:val="none" w:sz="0" w:space="0" w:color="auto"/>
                                            <w:right w:val="none" w:sz="0" w:space="0" w:color="auto"/>
                                          </w:divBdr>
                                          <w:divsChild>
                                            <w:div w:id="623389208">
                                              <w:marLeft w:val="0"/>
                                              <w:marRight w:val="0"/>
                                              <w:marTop w:val="90"/>
                                              <w:marBottom w:val="0"/>
                                              <w:divBdr>
                                                <w:top w:val="none" w:sz="0" w:space="0" w:color="auto"/>
                                                <w:left w:val="none" w:sz="0" w:space="0" w:color="auto"/>
                                                <w:bottom w:val="none" w:sz="0" w:space="0" w:color="auto"/>
                                                <w:right w:val="none" w:sz="0" w:space="0" w:color="auto"/>
                                              </w:divBdr>
                                              <w:divsChild>
                                                <w:div w:id="189341636">
                                                  <w:marLeft w:val="0"/>
                                                  <w:marRight w:val="0"/>
                                                  <w:marTop w:val="0"/>
                                                  <w:marBottom w:val="420"/>
                                                  <w:divBdr>
                                                    <w:top w:val="none" w:sz="0" w:space="0" w:color="auto"/>
                                                    <w:left w:val="none" w:sz="0" w:space="0" w:color="auto"/>
                                                    <w:bottom w:val="none" w:sz="0" w:space="0" w:color="auto"/>
                                                    <w:right w:val="none" w:sz="0" w:space="0" w:color="auto"/>
                                                  </w:divBdr>
                                                  <w:divsChild>
                                                    <w:div w:id="1452432811">
                                                      <w:marLeft w:val="0"/>
                                                      <w:marRight w:val="0"/>
                                                      <w:marTop w:val="0"/>
                                                      <w:marBottom w:val="0"/>
                                                      <w:divBdr>
                                                        <w:top w:val="none" w:sz="0" w:space="0" w:color="auto"/>
                                                        <w:left w:val="none" w:sz="0" w:space="0" w:color="auto"/>
                                                        <w:bottom w:val="none" w:sz="0" w:space="0" w:color="auto"/>
                                                        <w:right w:val="none" w:sz="0" w:space="0" w:color="auto"/>
                                                      </w:divBdr>
                                                      <w:divsChild>
                                                        <w:div w:id="1326860892">
                                                          <w:marLeft w:val="0"/>
                                                          <w:marRight w:val="0"/>
                                                          <w:marTop w:val="0"/>
                                                          <w:marBottom w:val="0"/>
                                                          <w:divBdr>
                                                            <w:top w:val="none" w:sz="0" w:space="0" w:color="auto"/>
                                                            <w:left w:val="none" w:sz="0" w:space="0" w:color="auto"/>
                                                            <w:bottom w:val="none" w:sz="0" w:space="0" w:color="auto"/>
                                                            <w:right w:val="none" w:sz="0" w:space="0" w:color="auto"/>
                                                          </w:divBdr>
                                                          <w:divsChild>
                                                            <w:div w:id="1793938503">
                                                              <w:marLeft w:val="0"/>
                                                              <w:marRight w:val="0"/>
                                                              <w:marTop w:val="0"/>
                                                              <w:marBottom w:val="0"/>
                                                              <w:divBdr>
                                                                <w:top w:val="none" w:sz="0" w:space="0" w:color="auto"/>
                                                                <w:left w:val="none" w:sz="0" w:space="0" w:color="auto"/>
                                                                <w:bottom w:val="none" w:sz="0" w:space="0" w:color="auto"/>
                                                                <w:right w:val="none" w:sz="0" w:space="0" w:color="auto"/>
                                                              </w:divBdr>
                                                              <w:divsChild>
                                                                <w:div w:id="147477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971856858">
      <w:bodyDiv w:val="1"/>
      <w:marLeft w:val="0"/>
      <w:marRight w:val="0"/>
      <w:marTop w:val="0"/>
      <w:marBottom w:val="0"/>
      <w:divBdr>
        <w:top w:val="none" w:sz="0" w:space="0" w:color="auto"/>
        <w:left w:val="none" w:sz="0" w:space="0" w:color="auto"/>
        <w:bottom w:val="none" w:sz="0" w:space="0" w:color="auto"/>
        <w:right w:val="none" w:sz="0" w:space="0" w:color="auto"/>
      </w:divBdr>
    </w:div>
    <w:div w:id="1977179476">
      <w:bodyDiv w:val="1"/>
      <w:marLeft w:val="0"/>
      <w:marRight w:val="0"/>
      <w:marTop w:val="0"/>
      <w:marBottom w:val="0"/>
      <w:divBdr>
        <w:top w:val="none" w:sz="0" w:space="0" w:color="auto"/>
        <w:left w:val="none" w:sz="0" w:space="0" w:color="auto"/>
        <w:bottom w:val="none" w:sz="0" w:space="0" w:color="auto"/>
        <w:right w:val="none" w:sz="0" w:space="0" w:color="auto"/>
      </w:divBdr>
    </w:div>
    <w:div w:id="1977880036">
      <w:bodyDiv w:val="1"/>
      <w:marLeft w:val="0"/>
      <w:marRight w:val="0"/>
      <w:marTop w:val="0"/>
      <w:marBottom w:val="0"/>
      <w:divBdr>
        <w:top w:val="none" w:sz="0" w:space="0" w:color="auto"/>
        <w:left w:val="none" w:sz="0" w:space="0" w:color="auto"/>
        <w:bottom w:val="none" w:sz="0" w:space="0" w:color="auto"/>
        <w:right w:val="none" w:sz="0" w:space="0" w:color="auto"/>
      </w:divBdr>
    </w:div>
    <w:div w:id="1978299807">
      <w:bodyDiv w:val="1"/>
      <w:marLeft w:val="0"/>
      <w:marRight w:val="0"/>
      <w:marTop w:val="0"/>
      <w:marBottom w:val="0"/>
      <w:divBdr>
        <w:top w:val="none" w:sz="0" w:space="0" w:color="auto"/>
        <w:left w:val="none" w:sz="0" w:space="0" w:color="auto"/>
        <w:bottom w:val="none" w:sz="0" w:space="0" w:color="auto"/>
        <w:right w:val="none" w:sz="0" w:space="0" w:color="auto"/>
      </w:divBdr>
    </w:div>
    <w:div w:id="1978676905">
      <w:bodyDiv w:val="1"/>
      <w:marLeft w:val="0"/>
      <w:marRight w:val="0"/>
      <w:marTop w:val="0"/>
      <w:marBottom w:val="0"/>
      <w:divBdr>
        <w:top w:val="none" w:sz="0" w:space="0" w:color="auto"/>
        <w:left w:val="none" w:sz="0" w:space="0" w:color="auto"/>
        <w:bottom w:val="none" w:sz="0" w:space="0" w:color="auto"/>
        <w:right w:val="none" w:sz="0" w:space="0" w:color="auto"/>
      </w:divBdr>
    </w:div>
    <w:div w:id="1980650491">
      <w:bodyDiv w:val="1"/>
      <w:marLeft w:val="0"/>
      <w:marRight w:val="0"/>
      <w:marTop w:val="0"/>
      <w:marBottom w:val="0"/>
      <w:divBdr>
        <w:top w:val="none" w:sz="0" w:space="0" w:color="auto"/>
        <w:left w:val="none" w:sz="0" w:space="0" w:color="auto"/>
        <w:bottom w:val="none" w:sz="0" w:space="0" w:color="auto"/>
        <w:right w:val="none" w:sz="0" w:space="0" w:color="auto"/>
      </w:divBdr>
    </w:div>
    <w:div w:id="1983853125">
      <w:bodyDiv w:val="1"/>
      <w:marLeft w:val="0"/>
      <w:marRight w:val="0"/>
      <w:marTop w:val="0"/>
      <w:marBottom w:val="0"/>
      <w:divBdr>
        <w:top w:val="none" w:sz="0" w:space="0" w:color="auto"/>
        <w:left w:val="none" w:sz="0" w:space="0" w:color="auto"/>
        <w:bottom w:val="none" w:sz="0" w:space="0" w:color="auto"/>
        <w:right w:val="none" w:sz="0" w:space="0" w:color="auto"/>
      </w:divBdr>
    </w:div>
    <w:div w:id="1984696324">
      <w:bodyDiv w:val="1"/>
      <w:marLeft w:val="0"/>
      <w:marRight w:val="0"/>
      <w:marTop w:val="0"/>
      <w:marBottom w:val="0"/>
      <w:divBdr>
        <w:top w:val="none" w:sz="0" w:space="0" w:color="auto"/>
        <w:left w:val="none" w:sz="0" w:space="0" w:color="auto"/>
        <w:bottom w:val="none" w:sz="0" w:space="0" w:color="auto"/>
        <w:right w:val="none" w:sz="0" w:space="0" w:color="auto"/>
      </w:divBdr>
    </w:div>
    <w:div w:id="1986662343">
      <w:bodyDiv w:val="1"/>
      <w:marLeft w:val="0"/>
      <w:marRight w:val="0"/>
      <w:marTop w:val="0"/>
      <w:marBottom w:val="0"/>
      <w:divBdr>
        <w:top w:val="none" w:sz="0" w:space="0" w:color="auto"/>
        <w:left w:val="none" w:sz="0" w:space="0" w:color="auto"/>
        <w:bottom w:val="none" w:sz="0" w:space="0" w:color="auto"/>
        <w:right w:val="none" w:sz="0" w:space="0" w:color="auto"/>
      </w:divBdr>
      <w:divsChild>
        <w:div w:id="927664579">
          <w:marLeft w:val="706"/>
          <w:marRight w:val="0"/>
          <w:marTop w:val="96"/>
          <w:marBottom w:val="144"/>
          <w:divBdr>
            <w:top w:val="none" w:sz="0" w:space="0" w:color="auto"/>
            <w:left w:val="none" w:sz="0" w:space="0" w:color="auto"/>
            <w:bottom w:val="none" w:sz="0" w:space="0" w:color="auto"/>
            <w:right w:val="none" w:sz="0" w:space="0" w:color="auto"/>
          </w:divBdr>
        </w:div>
        <w:div w:id="1900821119">
          <w:marLeft w:val="706"/>
          <w:marRight w:val="0"/>
          <w:marTop w:val="96"/>
          <w:marBottom w:val="144"/>
          <w:divBdr>
            <w:top w:val="none" w:sz="0" w:space="0" w:color="auto"/>
            <w:left w:val="none" w:sz="0" w:space="0" w:color="auto"/>
            <w:bottom w:val="none" w:sz="0" w:space="0" w:color="auto"/>
            <w:right w:val="none" w:sz="0" w:space="0" w:color="auto"/>
          </w:divBdr>
        </w:div>
      </w:divsChild>
    </w:div>
    <w:div w:id="1989745108">
      <w:bodyDiv w:val="1"/>
      <w:marLeft w:val="0"/>
      <w:marRight w:val="0"/>
      <w:marTop w:val="0"/>
      <w:marBottom w:val="0"/>
      <w:divBdr>
        <w:top w:val="none" w:sz="0" w:space="0" w:color="auto"/>
        <w:left w:val="none" w:sz="0" w:space="0" w:color="auto"/>
        <w:bottom w:val="none" w:sz="0" w:space="0" w:color="auto"/>
        <w:right w:val="none" w:sz="0" w:space="0" w:color="auto"/>
      </w:divBdr>
    </w:div>
    <w:div w:id="1990092552">
      <w:bodyDiv w:val="1"/>
      <w:marLeft w:val="0"/>
      <w:marRight w:val="0"/>
      <w:marTop w:val="0"/>
      <w:marBottom w:val="0"/>
      <w:divBdr>
        <w:top w:val="none" w:sz="0" w:space="0" w:color="auto"/>
        <w:left w:val="none" w:sz="0" w:space="0" w:color="auto"/>
        <w:bottom w:val="none" w:sz="0" w:space="0" w:color="auto"/>
        <w:right w:val="none" w:sz="0" w:space="0" w:color="auto"/>
      </w:divBdr>
    </w:div>
    <w:div w:id="1993558392">
      <w:bodyDiv w:val="1"/>
      <w:marLeft w:val="0"/>
      <w:marRight w:val="0"/>
      <w:marTop w:val="0"/>
      <w:marBottom w:val="0"/>
      <w:divBdr>
        <w:top w:val="none" w:sz="0" w:space="0" w:color="auto"/>
        <w:left w:val="none" w:sz="0" w:space="0" w:color="auto"/>
        <w:bottom w:val="none" w:sz="0" w:space="0" w:color="auto"/>
        <w:right w:val="none" w:sz="0" w:space="0" w:color="auto"/>
      </w:divBdr>
    </w:div>
    <w:div w:id="2003116272">
      <w:bodyDiv w:val="1"/>
      <w:marLeft w:val="0"/>
      <w:marRight w:val="0"/>
      <w:marTop w:val="0"/>
      <w:marBottom w:val="0"/>
      <w:divBdr>
        <w:top w:val="none" w:sz="0" w:space="0" w:color="auto"/>
        <w:left w:val="none" w:sz="0" w:space="0" w:color="auto"/>
        <w:bottom w:val="none" w:sz="0" w:space="0" w:color="auto"/>
        <w:right w:val="none" w:sz="0" w:space="0" w:color="auto"/>
      </w:divBdr>
    </w:div>
    <w:div w:id="2009628119">
      <w:bodyDiv w:val="1"/>
      <w:marLeft w:val="0"/>
      <w:marRight w:val="0"/>
      <w:marTop w:val="0"/>
      <w:marBottom w:val="0"/>
      <w:divBdr>
        <w:top w:val="none" w:sz="0" w:space="0" w:color="auto"/>
        <w:left w:val="none" w:sz="0" w:space="0" w:color="auto"/>
        <w:bottom w:val="none" w:sz="0" w:space="0" w:color="auto"/>
        <w:right w:val="none" w:sz="0" w:space="0" w:color="auto"/>
      </w:divBdr>
    </w:div>
    <w:div w:id="2015716970">
      <w:bodyDiv w:val="1"/>
      <w:marLeft w:val="0"/>
      <w:marRight w:val="0"/>
      <w:marTop w:val="0"/>
      <w:marBottom w:val="0"/>
      <w:divBdr>
        <w:top w:val="none" w:sz="0" w:space="0" w:color="auto"/>
        <w:left w:val="none" w:sz="0" w:space="0" w:color="auto"/>
        <w:bottom w:val="none" w:sz="0" w:space="0" w:color="auto"/>
        <w:right w:val="none" w:sz="0" w:space="0" w:color="auto"/>
      </w:divBdr>
    </w:div>
    <w:div w:id="2015758884">
      <w:bodyDiv w:val="1"/>
      <w:marLeft w:val="0"/>
      <w:marRight w:val="0"/>
      <w:marTop w:val="0"/>
      <w:marBottom w:val="0"/>
      <w:divBdr>
        <w:top w:val="none" w:sz="0" w:space="0" w:color="auto"/>
        <w:left w:val="none" w:sz="0" w:space="0" w:color="auto"/>
        <w:bottom w:val="none" w:sz="0" w:space="0" w:color="auto"/>
        <w:right w:val="none" w:sz="0" w:space="0" w:color="auto"/>
      </w:divBdr>
    </w:div>
    <w:div w:id="2016418427">
      <w:bodyDiv w:val="1"/>
      <w:marLeft w:val="0"/>
      <w:marRight w:val="0"/>
      <w:marTop w:val="0"/>
      <w:marBottom w:val="0"/>
      <w:divBdr>
        <w:top w:val="none" w:sz="0" w:space="0" w:color="auto"/>
        <w:left w:val="none" w:sz="0" w:space="0" w:color="auto"/>
        <w:bottom w:val="none" w:sz="0" w:space="0" w:color="auto"/>
        <w:right w:val="none" w:sz="0" w:space="0" w:color="auto"/>
      </w:divBdr>
    </w:div>
    <w:div w:id="2020542288">
      <w:bodyDiv w:val="1"/>
      <w:marLeft w:val="0"/>
      <w:marRight w:val="0"/>
      <w:marTop w:val="0"/>
      <w:marBottom w:val="0"/>
      <w:divBdr>
        <w:top w:val="none" w:sz="0" w:space="0" w:color="auto"/>
        <w:left w:val="none" w:sz="0" w:space="0" w:color="auto"/>
        <w:bottom w:val="none" w:sz="0" w:space="0" w:color="auto"/>
        <w:right w:val="none" w:sz="0" w:space="0" w:color="auto"/>
      </w:divBdr>
    </w:div>
    <w:div w:id="2021420725">
      <w:bodyDiv w:val="1"/>
      <w:marLeft w:val="0"/>
      <w:marRight w:val="0"/>
      <w:marTop w:val="0"/>
      <w:marBottom w:val="0"/>
      <w:divBdr>
        <w:top w:val="none" w:sz="0" w:space="0" w:color="auto"/>
        <w:left w:val="none" w:sz="0" w:space="0" w:color="auto"/>
        <w:bottom w:val="none" w:sz="0" w:space="0" w:color="auto"/>
        <w:right w:val="none" w:sz="0" w:space="0" w:color="auto"/>
      </w:divBdr>
    </w:div>
    <w:div w:id="2026243932">
      <w:bodyDiv w:val="1"/>
      <w:marLeft w:val="0"/>
      <w:marRight w:val="0"/>
      <w:marTop w:val="0"/>
      <w:marBottom w:val="0"/>
      <w:divBdr>
        <w:top w:val="none" w:sz="0" w:space="0" w:color="auto"/>
        <w:left w:val="none" w:sz="0" w:space="0" w:color="auto"/>
        <w:bottom w:val="none" w:sz="0" w:space="0" w:color="auto"/>
        <w:right w:val="none" w:sz="0" w:space="0" w:color="auto"/>
      </w:divBdr>
    </w:div>
    <w:div w:id="2029133242">
      <w:bodyDiv w:val="1"/>
      <w:marLeft w:val="0"/>
      <w:marRight w:val="0"/>
      <w:marTop w:val="0"/>
      <w:marBottom w:val="0"/>
      <w:divBdr>
        <w:top w:val="none" w:sz="0" w:space="0" w:color="auto"/>
        <w:left w:val="none" w:sz="0" w:space="0" w:color="auto"/>
        <w:bottom w:val="none" w:sz="0" w:space="0" w:color="auto"/>
        <w:right w:val="none" w:sz="0" w:space="0" w:color="auto"/>
      </w:divBdr>
    </w:div>
    <w:div w:id="2029257692">
      <w:bodyDiv w:val="1"/>
      <w:marLeft w:val="0"/>
      <w:marRight w:val="0"/>
      <w:marTop w:val="0"/>
      <w:marBottom w:val="0"/>
      <w:divBdr>
        <w:top w:val="none" w:sz="0" w:space="0" w:color="auto"/>
        <w:left w:val="none" w:sz="0" w:space="0" w:color="auto"/>
        <w:bottom w:val="none" w:sz="0" w:space="0" w:color="auto"/>
        <w:right w:val="none" w:sz="0" w:space="0" w:color="auto"/>
      </w:divBdr>
    </w:div>
    <w:div w:id="2029519633">
      <w:bodyDiv w:val="1"/>
      <w:marLeft w:val="0"/>
      <w:marRight w:val="0"/>
      <w:marTop w:val="0"/>
      <w:marBottom w:val="0"/>
      <w:divBdr>
        <w:top w:val="none" w:sz="0" w:space="0" w:color="auto"/>
        <w:left w:val="none" w:sz="0" w:space="0" w:color="auto"/>
        <w:bottom w:val="none" w:sz="0" w:space="0" w:color="auto"/>
        <w:right w:val="none" w:sz="0" w:space="0" w:color="auto"/>
      </w:divBdr>
    </w:div>
    <w:div w:id="2029524240">
      <w:bodyDiv w:val="1"/>
      <w:marLeft w:val="0"/>
      <w:marRight w:val="0"/>
      <w:marTop w:val="0"/>
      <w:marBottom w:val="0"/>
      <w:divBdr>
        <w:top w:val="none" w:sz="0" w:space="0" w:color="auto"/>
        <w:left w:val="none" w:sz="0" w:space="0" w:color="auto"/>
        <w:bottom w:val="none" w:sz="0" w:space="0" w:color="auto"/>
        <w:right w:val="none" w:sz="0" w:space="0" w:color="auto"/>
      </w:divBdr>
    </w:div>
    <w:div w:id="2031908591">
      <w:bodyDiv w:val="1"/>
      <w:marLeft w:val="0"/>
      <w:marRight w:val="0"/>
      <w:marTop w:val="0"/>
      <w:marBottom w:val="0"/>
      <w:divBdr>
        <w:top w:val="none" w:sz="0" w:space="0" w:color="auto"/>
        <w:left w:val="none" w:sz="0" w:space="0" w:color="auto"/>
        <w:bottom w:val="none" w:sz="0" w:space="0" w:color="auto"/>
        <w:right w:val="none" w:sz="0" w:space="0" w:color="auto"/>
      </w:divBdr>
    </w:div>
    <w:div w:id="2032148715">
      <w:bodyDiv w:val="1"/>
      <w:marLeft w:val="0"/>
      <w:marRight w:val="0"/>
      <w:marTop w:val="0"/>
      <w:marBottom w:val="0"/>
      <w:divBdr>
        <w:top w:val="none" w:sz="0" w:space="0" w:color="auto"/>
        <w:left w:val="none" w:sz="0" w:space="0" w:color="auto"/>
        <w:bottom w:val="none" w:sz="0" w:space="0" w:color="auto"/>
        <w:right w:val="none" w:sz="0" w:space="0" w:color="auto"/>
      </w:divBdr>
    </w:div>
    <w:div w:id="2038236205">
      <w:bodyDiv w:val="1"/>
      <w:marLeft w:val="0"/>
      <w:marRight w:val="0"/>
      <w:marTop w:val="0"/>
      <w:marBottom w:val="0"/>
      <w:divBdr>
        <w:top w:val="none" w:sz="0" w:space="0" w:color="auto"/>
        <w:left w:val="none" w:sz="0" w:space="0" w:color="auto"/>
        <w:bottom w:val="none" w:sz="0" w:space="0" w:color="auto"/>
        <w:right w:val="none" w:sz="0" w:space="0" w:color="auto"/>
      </w:divBdr>
    </w:div>
    <w:div w:id="2040353085">
      <w:bodyDiv w:val="1"/>
      <w:marLeft w:val="0"/>
      <w:marRight w:val="0"/>
      <w:marTop w:val="0"/>
      <w:marBottom w:val="0"/>
      <w:divBdr>
        <w:top w:val="none" w:sz="0" w:space="0" w:color="auto"/>
        <w:left w:val="none" w:sz="0" w:space="0" w:color="auto"/>
        <w:bottom w:val="none" w:sz="0" w:space="0" w:color="auto"/>
        <w:right w:val="none" w:sz="0" w:space="0" w:color="auto"/>
      </w:divBdr>
    </w:div>
    <w:div w:id="2042902300">
      <w:bodyDiv w:val="1"/>
      <w:marLeft w:val="0"/>
      <w:marRight w:val="0"/>
      <w:marTop w:val="0"/>
      <w:marBottom w:val="0"/>
      <w:divBdr>
        <w:top w:val="none" w:sz="0" w:space="0" w:color="auto"/>
        <w:left w:val="none" w:sz="0" w:space="0" w:color="auto"/>
        <w:bottom w:val="none" w:sz="0" w:space="0" w:color="auto"/>
        <w:right w:val="none" w:sz="0" w:space="0" w:color="auto"/>
      </w:divBdr>
    </w:div>
    <w:div w:id="2044405612">
      <w:bodyDiv w:val="1"/>
      <w:marLeft w:val="0"/>
      <w:marRight w:val="0"/>
      <w:marTop w:val="0"/>
      <w:marBottom w:val="0"/>
      <w:divBdr>
        <w:top w:val="none" w:sz="0" w:space="0" w:color="auto"/>
        <w:left w:val="none" w:sz="0" w:space="0" w:color="auto"/>
        <w:bottom w:val="none" w:sz="0" w:space="0" w:color="auto"/>
        <w:right w:val="none" w:sz="0" w:space="0" w:color="auto"/>
      </w:divBdr>
    </w:div>
    <w:div w:id="2044745538">
      <w:bodyDiv w:val="1"/>
      <w:marLeft w:val="0"/>
      <w:marRight w:val="0"/>
      <w:marTop w:val="0"/>
      <w:marBottom w:val="0"/>
      <w:divBdr>
        <w:top w:val="none" w:sz="0" w:space="0" w:color="auto"/>
        <w:left w:val="none" w:sz="0" w:space="0" w:color="auto"/>
        <w:bottom w:val="none" w:sz="0" w:space="0" w:color="auto"/>
        <w:right w:val="none" w:sz="0" w:space="0" w:color="auto"/>
      </w:divBdr>
    </w:div>
    <w:div w:id="2045133738">
      <w:bodyDiv w:val="1"/>
      <w:marLeft w:val="0"/>
      <w:marRight w:val="0"/>
      <w:marTop w:val="0"/>
      <w:marBottom w:val="0"/>
      <w:divBdr>
        <w:top w:val="none" w:sz="0" w:space="0" w:color="auto"/>
        <w:left w:val="none" w:sz="0" w:space="0" w:color="auto"/>
        <w:bottom w:val="none" w:sz="0" w:space="0" w:color="auto"/>
        <w:right w:val="none" w:sz="0" w:space="0" w:color="auto"/>
      </w:divBdr>
    </w:div>
    <w:div w:id="2045324981">
      <w:bodyDiv w:val="1"/>
      <w:marLeft w:val="0"/>
      <w:marRight w:val="0"/>
      <w:marTop w:val="0"/>
      <w:marBottom w:val="0"/>
      <w:divBdr>
        <w:top w:val="none" w:sz="0" w:space="0" w:color="auto"/>
        <w:left w:val="none" w:sz="0" w:space="0" w:color="auto"/>
        <w:bottom w:val="none" w:sz="0" w:space="0" w:color="auto"/>
        <w:right w:val="none" w:sz="0" w:space="0" w:color="auto"/>
      </w:divBdr>
    </w:div>
    <w:div w:id="2049333677">
      <w:bodyDiv w:val="1"/>
      <w:marLeft w:val="0"/>
      <w:marRight w:val="0"/>
      <w:marTop w:val="0"/>
      <w:marBottom w:val="0"/>
      <w:divBdr>
        <w:top w:val="none" w:sz="0" w:space="0" w:color="auto"/>
        <w:left w:val="none" w:sz="0" w:space="0" w:color="auto"/>
        <w:bottom w:val="none" w:sz="0" w:space="0" w:color="auto"/>
        <w:right w:val="none" w:sz="0" w:space="0" w:color="auto"/>
      </w:divBdr>
    </w:div>
    <w:div w:id="2049791245">
      <w:bodyDiv w:val="1"/>
      <w:marLeft w:val="0"/>
      <w:marRight w:val="0"/>
      <w:marTop w:val="0"/>
      <w:marBottom w:val="0"/>
      <w:divBdr>
        <w:top w:val="none" w:sz="0" w:space="0" w:color="auto"/>
        <w:left w:val="none" w:sz="0" w:space="0" w:color="auto"/>
        <w:bottom w:val="none" w:sz="0" w:space="0" w:color="auto"/>
        <w:right w:val="none" w:sz="0" w:space="0" w:color="auto"/>
      </w:divBdr>
    </w:div>
    <w:div w:id="2051027064">
      <w:bodyDiv w:val="1"/>
      <w:marLeft w:val="0"/>
      <w:marRight w:val="0"/>
      <w:marTop w:val="0"/>
      <w:marBottom w:val="0"/>
      <w:divBdr>
        <w:top w:val="none" w:sz="0" w:space="0" w:color="auto"/>
        <w:left w:val="none" w:sz="0" w:space="0" w:color="auto"/>
        <w:bottom w:val="none" w:sz="0" w:space="0" w:color="auto"/>
        <w:right w:val="none" w:sz="0" w:space="0" w:color="auto"/>
      </w:divBdr>
    </w:div>
    <w:div w:id="2053654838">
      <w:bodyDiv w:val="1"/>
      <w:marLeft w:val="0"/>
      <w:marRight w:val="0"/>
      <w:marTop w:val="0"/>
      <w:marBottom w:val="0"/>
      <w:divBdr>
        <w:top w:val="none" w:sz="0" w:space="0" w:color="auto"/>
        <w:left w:val="none" w:sz="0" w:space="0" w:color="auto"/>
        <w:bottom w:val="none" w:sz="0" w:space="0" w:color="auto"/>
        <w:right w:val="none" w:sz="0" w:space="0" w:color="auto"/>
      </w:divBdr>
    </w:div>
    <w:div w:id="2054579756">
      <w:bodyDiv w:val="1"/>
      <w:marLeft w:val="0"/>
      <w:marRight w:val="0"/>
      <w:marTop w:val="0"/>
      <w:marBottom w:val="0"/>
      <w:divBdr>
        <w:top w:val="none" w:sz="0" w:space="0" w:color="auto"/>
        <w:left w:val="none" w:sz="0" w:space="0" w:color="auto"/>
        <w:bottom w:val="none" w:sz="0" w:space="0" w:color="auto"/>
        <w:right w:val="none" w:sz="0" w:space="0" w:color="auto"/>
      </w:divBdr>
    </w:div>
    <w:div w:id="2056813291">
      <w:bodyDiv w:val="1"/>
      <w:marLeft w:val="0"/>
      <w:marRight w:val="0"/>
      <w:marTop w:val="0"/>
      <w:marBottom w:val="0"/>
      <w:divBdr>
        <w:top w:val="none" w:sz="0" w:space="0" w:color="auto"/>
        <w:left w:val="none" w:sz="0" w:space="0" w:color="auto"/>
        <w:bottom w:val="none" w:sz="0" w:space="0" w:color="auto"/>
        <w:right w:val="none" w:sz="0" w:space="0" w:color="auto"/>
      </w:divBdr>
    </w:div>
    <w:div w:id="2058699011">
      <w:bodyDiv w:val="1"/>
      <w:marLeft w:val="0"/>
      <w:marRight w:val="0"/>
      <w:marTop w:val="0"/>
      <w:marBottom w:val="0"/>
      <w:divBdr>
        <w:top w:val="none" w:sz="0" w:space="0" w:color="auto"/>
        <w:left w:val="none" w:sz="0" w:space="0" w:color="auto"/>
        <w:bottom w:val="none" w:sz="0" w:space="0" w:color="auto"/>
        <w:right w:val="none" w:sz="0" w:space="0" w:color="auto"/>
      </w:divBdr>
    </w:div>
    <w:div w:id="2059160288">
      <w:bodyDiv w:val="1"/>
      <w:marLeft w:val="0"/>
      <w:marRight w:val="0"/>
      <w:marTop w:val="0"/>
      <w:marBottom w:val="0"/>
      <w:divBdr>
        <w:top w:val="none" w:sz="0" w:space="0" w:color="auto"/>
        <w:left w:val="none" w:sz="0" w:space="0" w:color="auto"/>
        <w:bottom w:val="none" w:sz="0" w:space="0" w:color="auto"/>
        <w:right w:val="none" w:sz="0" w:space="0" w:color="auto"/>
      </w:divBdr>
    </w:div>
    <w:div w:id="2061391798">
      <w:bodyDiv w:val="1"/>
      <w:marLeft w:val="0"/>
      <w:marRight w:val="0"/>
      <w:marTop w:val="0"/>
      <w:marBottom w:val="0"/>
      <w:divBdr>
        <w:top w:val="none" w:sz="0" w:space="0" w:color="auto"/>
        <w:left w:val="none" w:sz="0" w:space="0" w:color="auto"/>
        <w:bottom w:val="none" w:sz="0" w:space="0" w:color="auto"/>
        <w:right w:val="none" w:sz="0" w:space="0" w:color="auto"/>
      </w:divBdr>
    </w:div>
    <w:div w:id="2063864826">
      <w:bodyDiv w:val="1"/>
      <w:marLeft w:val="0"/>
      <w:marRight w:val="0"/>
      <w:marTop w:val="0"/>
      <w:marBottom w:val="0"/>
      <w:divBdr>
        <w:top w:val="none" w:sz="0" w:space="0" w:color="auto"/>
        <w:left w:val="none" w:sz="0" w:space="0" w:color="auto"/>
        <w:bottom w:val="none" w:sz="0" w:space="0" w:color="auto"/>
        <w:right w:val="none" w:sz="0" w:space="0" w:color="auto"/>
      </w:divBdr>
    </w:div>
    <w:div w:id="2064983762">
      <w:bodyDiv w:val="1"/>
      <w:marLeft w:val="0"/>
      <w:marRight w:val="0"/>
      <w:marTop w:val="0"/>
      <w:marBottom w:val="0"/>
      <w:divBdr>
        <w:top w:val="none" w:sz="0" w:space="0" w:color="auto"/>
        <w:left w:val="none" w:sz="0" w:space="0" w:color="auto"/>
        <w:bottom w:val="none" w:sz="0" w:space="0" w:color="auto"/>
        <w:right w:val="none" w:sz="0" w:space="0" w:color="auto"/>
      </w:divBdr>
    </w:div>
    <w:div w:id="2065445146">
      <w:bodyDiv w:val="1"/>
      <w:marLeft w:val="0"/>
      <w:marRight w:val="0"/>
      <w:marTop w:val="0"/>
      <w:marBottom w:val="0"/>
      <w:divBdr>
        <w:top w:val="none" w:sz="0" w:space="0" w:color="auto"/>
        <w:left w:val="none" w:sz="0" w:space="0" w:color="auto"/>
        <w:bottom w:val="none" w:sz="0" w:space="0" w:color="auto"/>
        <w:right w:val="none" w:sz="0" w:space="0" w:color="auto"/>
      </w:divBdr>
    </w:div>
    <w:div w:id="2070029531">
      <w:bodyDiv w:val="1"/>
      <w:marLeft w:val="0"/>
      <w:marRight w:val="0"/>
      <w:marTop w:val="0"/>
      <w:marBottom w:val="0"/>
      <w:divBdr>
        <w:top w:val="none" w:sz="0" w:space="0" w:color="auto"/>
        <w:left w:val="none" w:sz="0" w:space="0" w:color="auto"/>
        <w:bottom w:val="none" w:sz="0" w:space="0" w:color="auto"/>
        <w:right w:val="none" w:sz="0" w:space="0" w:color="auto"/>
      </w:divBdr>
    </w:div>
    <w:div w:id="2074967015">
      <w:bodyDiv w:val="1"/>
      <w:marLeft w:val="0"/>
      <w:marRight w:val="0"/>
      <w:marTop w:val="0"/>
      <w:marBottom w:val="0"/>
      <w:divBdr>
        <w:top w:val="none" w:sz="0" w:space="0" w:color="auto"/>
        <w:left w:val="none" w:sz="0" w:space="0" w:color="auto"/>
        <w:bottom w:val="none" w:sz="0" w:space="0" w:color="auto"/>
        <w:right w:val="none" w:sz="0" w:space="0" w:color="auto"/>
      </w:divBdr>
    </w:div>
    <w:div w:id="2076320630">
      <w:bodyDiv w:val="1"/>
      <w:marLeft w:val="0"/>
      <w:marRight w:val="0"/>
      <w:marTop w:val="0"/>
      <w:marBottom w:val="0"/>
      <w:divBdr>
        <w:top w:val="none" w:sz="0" w:space="0" w:color="auto"/>
        <w:left w:val="none" w:sz="0" w:space="0" w:color="auto"/>
        <w:bottom w:val="none" w:sz="0" w:space="0" w:color="auto"/>
        <w:right w:val="none" w:sz="0" w:space="0" w:color="auto"/>
      </w:divBdr>
    </w:div>
    <w:div w:id="2078045707">
      <w:bodyDiv w:val="1"/>
      <w:marLeft w:val="0"/>
      <w:marRight w:val="0"/>
      <w:marTop w:val="0"/>
      <w:marBottom w:val="0"/>
      <w:divBdr>
        <w:top w:val="none" w:sz="0" w:space="0" w:color="auto"/>
        <w:left w:val="none" w:sz="0" w:space="0" w:color="auto"/>
        <w:bottom w:val="none" w:sz="0" w:space="0" w:color="auto"/>
        <w:right w:val="none" w:sz="0" w:space="0" w:color="auto"/>
      </w:divBdr>
    </w:div>
    <w:div w:id="2082872390">
      <w:bodyDiv w:val="1"/>
      <w:marLeft w:val="0"/>
      <w:marRight w:val="0"/>
      <w:marTop w:val="0"/>
      <w:marBottom w:val="0"/>
      <w:divBdr>
        <w:top w:val="none" w:sz="0" w:space="0" w:color="auto"/>
        <w:left w:val="none" w:sz="0" w:space="0" w:color="auto"/>
        <w:bottom w:val="none" w:sz="0" w:space="0" w:color="auto"/>
        <w:right w:val="none" w:sz="0" w:space="0" w:color="auto"/>
      </w:divBdr>
    </w:div>
    <w:div w:id="2083020713">
      <w:bodyDiv w:val="1"/>
      <w:marLeft w:val="0"/>
      <w:marRight w:val="0"/>
      <w:marTop w:val="0"/>
      <w:marBottom w:val="0"/>
      <w:divBdr>
        <w:top w:val="none" w:sz="0" w:space="0" w:color="auto"/>
        <w:left w:val="none" w:sz="0" w:space="0" w:color="auto"/>
        <w:bottom w:val="none" w:sz="0" w:space="0" w:color="auto"/>
        <w:right w:val="none" w:sz="0" w:space="0" w:color="auto"/>
      </w:divBdr>
    </w:div>
    <w:div w:id="2087994177">
      <w:bodyDiv w:val="1"/>
      <w:marLeft w:val="0"/>
      <w:marRight w:val="0"/>
      <w:marTop w:val="0"/>
      <w:marBottom w:val="0"/>
      <w:divBdr>
        <w:top w:val="none" w:sz="0" w:space="0" w:color="auto"/>
        <w:left w:val="none" w:sz="0" w:space="0" w:color="auto"/>
        <w:bottom w:val="none" w:sz="0" w:space="0" w:color="auto"/>
        <w:right w:val="none" w:sz="0" w:space="0" w:color="auto"/>
      </w:divBdr>
    </w:div>
    <w:div w:id="2089420786">
      <w:bodyDiv w:val="1"/>
      <w:marLeft w:val="0"/>
      <w:marRight w:val="0"/>
      <w:marTop w:val="0"/>
      <w:marBottom w:val="0"/>
      <w:divBdr>
        <w:top w:val="none" w:sz="0" w:space="0" w:color="auto"/>
        <w:left w:val="none" w:sz="0" w:space="0" w:color="auto"/>
        <w:bottom w:val="none" w:sz="0" w:space="0" w:color="auto"/>
        <w:right w:val="none" w:sz="0" w:space="0" w:color="auto"/>
      </w:divBdr>
    </w:div>
    <w:div w:id="2089495102">
      <w:bodyDiv w:val="1"/>
      <w:marLeft w:val="0"/>
      <w:marRight w:val="0"/>
      <w:marTop w:val="0"/>
      <w:marBottom w:val="0"/>
      <w:divBdr>
        <w:top w:val="none" w:sz="0" w:space="0" w:color="auto"/>
        <w:left w:val="none" w:sz="0" w:space="0" w:color="auto"/>
        <w:bottom w:val="none" w:sz="0" w:space="0" w:color="auto"/>
        <w:right w:val="none" w:sz="0" w:space="0" w:color="auto"/>
      </w:divBdr>
    </w:div>
    <w:div w:id="2096314930">
      <w:bodyDiv w:val="1"/>
      <w:marLeft w:val="0"/>
      <w:marRight w:val="0"/>
      <w:marTop w:val="0"/>
      <w:marBottom w:val="0"/>
      <w:divBdr>
        <w:top w:val="none" w:sz="0" w:space="0" w:color="auto"/>
        <w:left w:val="none" w:sz="0" w:space="0" w:color="auto"/>
        <w:bottom w:val="none" w:sz="0" w:space="0" w:color="auto"/>
        <w:right w:val="none" w:sz="0" w:space="0" w:color="auto"/>
      </w:divBdr>
    </w:div>
    <w:div w:id="2106731019">
      <w:bodyDiv w:val="1"/>
      <w:marLeft w:val="0"/>
      <w:marRight w:val="0"/>
      <w:marTop w:val="0"/>
      <w:marBottom w:val="0"/>
      <w:divBdr>
        <w:top w:val="none" w:sz="0" w:space="0" w:color="auto"/>
        <w:left w:val="none" w:sz="0" w:space="0" w:color="auto"/>
        <w:bottom w:val="none" w:sz="0" w:space="0" w:color="auto"/>
        <w:right w:val="none" w:sz="0" w:space="0" w:color="auto"/>
      </w:divBdr>
    </w:div>
    <w:div w:id="2107380149">
      <w:bodyDiv w:val="1"/>
      <w:marLeft w:val="0"/>
      <w:marRight w:val="0"/>
      <w:marTop w:val="0"/>
      <w:marBottom w:val="0"/>
      <w:divBdr>
        <w:top w:val="none" w:sz="0" w:space="0" w:color="auto"/>
        <w:left w:val="none" w:sz="0" w:space="0" w:color="auto"/>
        <w:bottom w:val="none" w:sz="0" w:space="0" w:color="auto"/>
        <w:right w:val="none" w:sz="0" w:space="0" w:color="auto"/>
      </w:divBdr>
    </w:div>
    <w:div w:id="2111197590">
      <w:bodyDiv w:val="1"/>
      <w:marLeft w:val="0"/>
      <w:marRight w:val="0"/>
      <w:marTop w:val="0"/>
      <w:marBottom w:val="0"/>
      <w:divBdr>
        <w:top w:val="none" w:sz="0" w:space="0" w:color="auto"/>
        <w:left w:val="none" w:sz="0" w:space="0" w:color="auto"/>
        <w:bottom w:val="none" w:sz="0" w:space="0" w:color="auto"/>
        <w:right w:val="none" w:sz="0" w:space="0" w:color="auto"/>
      </w:divBdr>
    </w:div>
    <w:div w:id="2112310926">
      <w:bodyDiv w:val="1"/>
      <w:marLeft w:val="0"/>
      <w:marRight w:val="0"/>
      <w:marTop w:val="0"/>
      <w:marBottom w:val="0"/>
      <w:divBdr>
        <w:top w:val="none" w:sz="0" w:space="0" w:color="auto"/>
        <w:left w:val="none" w:sz="0" w:space="0" w:color="auto"/>
        <w:bottom w:val="none" w:sz="0" w:space="0" w:color="auto"/>
        <w:right w:val="none" w:sz="0" w:space="0" w:color="auto"/>
      </w:divBdr>
    </w:div>
    <w:div w:id="2113236266">
      <w:bodyDiv w:val="1"/>
      <w:marLeft w:val="0"/>
      <w:marRight w:val="0"/>
      <w:marTop w:val="0"/>
      <w:marBottom w:val="0"/>
      <w:divBdr>
        <w:top w:val="none" w:sz="0" w:space="0" w:color="auto"/>
        <w:left w:val="none" w:sz="0" w:space="0" w:color="auto"/>
        <w:bottom w:val="none" w:sz="0" w:space="0" w:color="auto"/>
        <w:right w:val="none" w:sz="0" w:space="0" w:color="auto"/>
      </w:divBdr>
    </w:div>
    <w:div w:id="2113428994">
      <w:bodyDiv w:val="1"/>
      <w:marLeft w:val="0"/>
      <w:marRight w:val="0"/>
      <w:marTop w:val="0"/>
      <w:marBottom w:val="0"/>
      <w:divBdr>
        <w:top w:val="none" w:sz="0" w:space="0" w:color="auto"/>
        <w:left w:val="none" w:sz="0" w:space="0" w:color="auto"/>
        <w:bottom w:val="none" w:sz="0" w:space="0" w:color="auto"/>
        <w:right w:val="none" w:sz="0" w:space="0" w:color="auto"/>
      </w:divBdr>
    </w:div>
    <w:div w:id="2117170094">
      <w:bodyDiv w:val="1"/>
      <w:marLeft w:val="0"/>
      <w:marRight w:val="0"/>
      <w:marTop w:val="0"/>
      <w:marBottom w:val="0"/>
      <w:divBdr>
        <w:top w:val="none" w:sz="0" w:space="0" w:color="auto"/>
        <w:left w:val="none" w:sz="0" w:space="0" w:color="auto"/>
        <w:bottom w:val="none" w:sz="0" w:space="0" w:color="auto"/>
        <w:right w:val="none" w:sz="0" w:space="0" w:color="auto"/>
      </w:divBdr>
    </w:div>
    <w:div w:id="2117361222">
      <w:bodyDiv w:val="1"/>
      <w:marLeft w:val="0"/>
      <w:marRight w:val="0"/>
      <w:marTop w:val="0"/>
      <w:marBottom w:val="0"/>
      <w:divBdr>
        <w:top w:val="none" w:sz="0" w:space="0" w:color="auto"/>
        <w:left w:val="none" w:sz="0" w:space="0" w:color="auto"/>
        <w:bottom w:val="none" w:sz="0" w:space="0" w:color="auto"/>
        <w:right w:val="none" w:sz="0" w:space="0" w:color="auto"/>
      </w:divBdr>
    </w:div>
    <w:div w:id="2119718988">
      <w:bodyDiv w:val="1"/>
      <w:marLeft w:val="0"/>
      <w:marRight w:val="0"/>
      <w:marTop w:val="0"/>
      <w:marBottom w:val="0"/>
      <w:divBdr>
        <w:top w:val="none" w:sz="0" w:space="0" w:color="auto"/>
        <w:left w:val="none" w:sz="0" w:space="0" w:color="auto"/>
        <w:bottom w:val="none" w:sz="0" w:space="0" w:color="auto"/>
        <w:right w:val="none" w:sz="0" w:space="0" w:color="auto"/>
      </w:divBdr>
    </w:div>
    <w:div w:id="2121608418">
      <w:bodyDiv w:val="1"/>
      <w:marLeft w:val="0"/>
      <w:marRight w:val="0"/>
      <w:marTop w:val="0"/>
      <w:marBottom w:val="0"/>
      <w:divBdr>
        <w:top w:val="none" w:sz="0" w:space="0" w:color="auto"/>
        <w:left w:val="none" w:sz="0" w:space="0" w:color="auto"/>
        <w:bottom w:val="none" w:sz="0" w:space="0" w:color="auto"/>
        <w:right w:val="none" w:sz="0" w:space="0" w:color="auto"/>
      </w:divBdr>
    </w:div>
    <w:div w:id="2124616024">
      <w:bodyDiv w:val="1"/>
      <w:marLeft w:val="0"/>
      <w:marRight w:val="0"/>
      <w:marTop w:val="0"/>
      <w:marBottom w:val="0"/>
      <w:divBdr>
        <w:top w:val="none" w:sz="0" w:space="0" w:color="auto"/>
        <w:left w:val="none" w:sz="0" w:space="0" w:color="auto"/>
        <w:bottom w:val="none" w:sz="0" w:space="0" w:color="auto"/>
        <w:right w:val="none" w:sz="0" w:space="0" w:color="auto"/>
      </w:divBdr>
    </w:div>
    <w:div w:id="2126580880">
      <w:bodyDiv w:val="1"/>
      <w:marLeft w:val="0"/>
      <w:marRight w:val="0"/>
      <w:marTop w:val="0"/>
      <w:marBottom w:val="0"/>
      <w:divBdr>
        <w:top w:val="none" w:sz="0" w:space="0" w:color="auto"/>
        <w:left w:val="none" w:sz="0" w:space="0" w:color="auto"/>
        <w:bottom w:val="none" w:sz="0" w:space="0" w:color="auto"/>
        <w:right w:val="none" w:sz="0" w:space="0" w:color="auto"/>
      </w:divBdr>
    </w:div>
    <w:div w:id="2145076757">
      <w:bodyDiv w:val="1"/>
      <w:marLeft w:val="0"/>
      <w:marRight w:val="0"/>
      <w:marTop w:val="0"/>
      <w:marBottom w:val="0"/>
      <w:divBdr>
        <w:top w:val="none" w:sz="0" w:space="0" w:color="auto"/>
        <w:left w:val="none" w:sz="0" w:space="0" w:color="auto"/>
        <w:bottom w:val="none" w:sz="0" w:space="0" w:color="auto"/>
        <w:right w:val="none" w:sz="0" w:space="0" w:color="auto"/>
      </w:divBdr>
    </w:div>
    <w:div w:id="2145417874">
      <w:bodyDiv w:val="1"/>
      <w:marLeft w:val="0"/>
      <w:marRight w:val="0"/>
      <w:marTop w:val="0"/>
      <w:marBottom w:val="0"/>
      <w:divBdr>
        <w:top w:val="none" w:sz="0" w:space="0" w:color="auto"/>
        <w:left w:val="none" w:sz="0" w:space="0" w:color="auto"/>
        <w:bottom w:val="none" w:sz="0" w:space="0" w:color="auto"/>
        <w:right w:val="none" w:sz="0" w:space="0" w:color="auto"/>
      </w:divBdr>
    </w:div>
    <w:div w:id="2146922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chart" Target="charts/chart2.xml"/><Relationship Id="rId26" Type="http://schemas.openxmlformats.org/officeDocument/2006/relationships/image" Target="media/image4.emf"/><Relationship Id="rId39" Type="http://schemas.openxmlformats.org/officeDocument/2006/relationships/header" Target="header7.xml"/><Relationship Id="rId21" Type="http://schemas.openxmlformats.org/officeDocument/2006/relationships/header" Target="header5.xml"/><Relationship Id="rId34" Type="http://schemas.openxmlformats.org/officeDocument/2006/relationships/chart" Target="charts/chart12.xml"/><Relationship Id="rId42" Type="http://schemas.openxmlformats.org/officeDocument/2006/relationships/image" Target="media/image6.png"/><Relationship Id="rId47" Type="http://schemas.openxmlformats.org/officeDocument/2006/relationships/footer" Target="footer6.xml"/><Relationship Id="rId50" Type="http://schemas.openxmlformats.org/officeDocument/2006/relationships/header" Target="header11.xml"/><Relationship Id="rId55" Type="http://schemas.openxmlformats.org/officeDocument/2006/relationships/image" Target="media/image9.emf"/><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eader" Target="header4.xml"/><Relationship Id="rId29" Type="http://schemas.openxmlformats.org/officeDocument/2006/relationships/chart" Target="charts/chart7.xml"/><Relationship Id="rId11" Type="http://schemas.openxmlformats.org/officeDocument/2006/relationships/header" Target="header3.xml"/><Relationship Id="rId24" Type="http://schemas.openxmlformats.org/officeDocument/2006/relationships/chart" Target="charts/chart3.xml"/><Relationship Id="rId32" Type="http://schemas.openxmlformats.org/officeDocument/2006/relationships/chart" Target="charts/chart10.xml"/><Relationship Id="rId37" Type="http://schemas.openxmlformats.org/officeDocument/2006/relationships/hyperlink" Target="https://www.minfin.bg/upload/54885/23RH348.pdf" TargetMode="External"/><Relationship Id="rId40" Type="http://schemas.openxmlformats.org/officeDocument/2006/relationships/header" Target="header8.xml"/><Relationship Id="rId45" Type="http://schemas.openxmlformats.org/officeDocument/2006/relationships/footer" Target="footer5.xml"/><Relationship Id="rId53" Type="http://schemas.openxmlformats.org/officeDocument/2006/relationships/footer" Target="footer7.xml"/><Relationship Id="rId58" Type="http://schemas.openxmlformats.org/officeDocument/2006/relationships/image" Target="media/image12.emf"/><Relationship Id="rId5" Type="http://schemas.openxmlformats.org/officeDocument/2006/relationships/settings" Target="settings.xml"/><Relationship Id="rId19" Type="http://schemas.openxmlformats.org/officeDocument/2006/relationships/image" Target="media/image2.pn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oter" Target="footer4.xml"/><Relationship Id="rId27" Type="http://schemas.openxmlformats.org/officeDocument/2006/relationships/chart" Target="charts/chart5.xml"/><Relationship Id="rId30" Type="http://schemas.openxmlformats.org/officeDocument/2006/relationships/chart" Target="charts/chart8.xml"/><Relationship Id="rId35" Type="http://schemas.openxmlformats.org/officeDocument/2006/relationships/chart" Target="charts/chart13.xml"/><Relationship Id="rId43" Type="http://schemas.openxmlformats.org/officeDocument/2006/relationships/header" Target="header9.xml"/><Relationship Id="rId48" Type="http://schemas.openxmlformats.org/officeDocument/2006/relationships/image" Target="media/image7.png"/><Relationship Id="rId56" Type="http://schemas.openxmlformats.org/officeDocument/2006/relationships/image" Target="media/image10.emf"/><Relationship Id="rId8" Type="http://schemas.openxmlformats.org/officeDocument/2006/relationships/endnotes" Target="endnotes.xml"/><Relationship Id="rId51" Type="http://schemas.openxmlformats.org/officeDocument/2006/relationships/header" Target="header12.xml"/><Relationship Id="rId3" Type="http://schemas.openxmlformats.org/officeDocument/2006/relationships/numbering" Target="numbering.xml"/><Relationship Id="rId12" Type="http://schemas.openxmlformats.org/officeDocument/2006/relationships/footer" Target="footer1.xml"/><Relationship Id="rId17" Type="http://schemas.openxmlformats.org/officeDocument/2006/relationships/image" Target="media/image1.png"/><Relationship Id="rId25" Type="http://schemas.openxmlformats.org/officeDocument/2006/relationships/chart" Target="charts/chart4.xml"/><Relationship Id="rId33" Type="http://schemas.openxmlformats.org/officeDocument/2006/relationships/chart" Target="charts/chart11.xml"/><Relationship Id="rId38" Type="http://schemas.openxmlformats.org/officeDocument/2006/relationships/hyperlink" Target="https://www.minfin.bg/upload/55874/BU-4_Ukazania.pdf" TargetMode="External"/><Relationship Id="rId46" Type="http://schemas.openxmlformats.org/officeDocument/2006/relationships/header" Target="header10.xml"/><Relationship Id="rId59" Type="http://schemas.openxmlformats.org/officeDocument/2006/relationships/fontTable" Target="fontTable.xml"/><Relationship Id="rId20" Type="http://schemas.openxmlformats.org/officeDocument/2006/relationships/image" Target="media/image3.png"/><Relationship Id="rId41" Type="http://schemas.openxmlformats.org/officeDocument/2006/relationships/image" Target="media/image5.png"/><Relationship Id="rId54" Type="http://schemas.openxmlformats.org/officeDocument/2006/relationships/footer" Target="footer8.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chart" Target="charts/chart1.xml"/><Relationship Id="rId23" Type="http://schemas.openxmlformats.org/officeDocument/2006/relationships/header" Target="header6.xml"/><Relationship Id="rId28" Type="http://schemas.openxmlformats.org/officeDocument/2006/relationships/chart" Target="charts/chart6.xml"/><Relationship Id="rId36" Type="http://schemas.openxmlformats.org/officeDocument/2006/relationships/hyperlink" Target="https://www.minfin.bg/upload/54335/BU-1+Ukazania.pdf" TargetMode="External"/><Relationship Id="rId49" Type="http://schemas.openxmlformats.org/officeDocument/2006/relationships/image" Target="media/image8.png"/><Relationship Id="rId57" Type="http://schemas.openxmlformats.org/officeDocument/2006/relationships/image" Target="media/image11.emf"/><Relationship Id="rId10" Type="http://schemas.openxmlformats.org/officeDocument/2006/relationships/header" Target="header2.xml"/><Relationship Id="rId31" Type="http://schemas.openxmlformats.org/officeDocument/2006/relationships/chart" Target="charts/chart9.xml"/><Relationship Id="rId44" Type="http://schemas.openxmlformats.org/officeDocument/2006/relationships/hyperlink" Target="file:///C:\Users\GNikolova\Downloads\Desktop\&#1057;&#1041;&#1055;-2019-2021\1-&#1057;&#1041;&#1055;-19-21-&#1087;&#1086;&#1076;&#1075;&#1086;&#1090;&#1086;&#1074;&#1082;&#1072;\&#1058;&#1040;&#1041;&#1051;&#1048;&#1062;&#1048;-&#1057;&#1041;&#1055;\&#1043;&#1040;&#1051;&#1071;-Tables-Doklad.xlsx" TargetMode="External"/><Relationship Id="rId52" Type="http://schemas.openxmlformats.org/officeDocument/2006/relationships/header" Target="header13.xml"/><Relationship Id="rId60"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ec.europa.eu/eurostat/web/government-finance-statistics/data/database" TargetMode="External"/><Relationship Id="rId2" Type="http://schemas.openxmlformats.org/officeDocument/2006/relationships/hyperlink" Target="https://eur-lex.europa.eu/legal-content/BG/ALL/?uri=CELEX:32011L0085" TargetMode="External"/><Relationship Id="rId1" Type="http://schemas.openxmlformats.org/officeDocument/2006/relationships/hyperlink" Target="https://economy-finance.ec.europa.eu/system/files/2023-11/ip258_en_2.pdf" TargetMode="External"/><Relationship Id="rId4" Type="http://schemas.openxmlformats.org/officeDocument/2006/relationships/hyperlink" Target="http://www.minfin.bg/upload/9114/D.E.2008.pdf"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1.xml"/><Relationship Id="rId1" Type="http://schemas.microsoft.com/office/2011/relationships/chartStyle" Target="style1.xml"/><Relationship Id="rId5" Type="http://schemas.openxmlformats.org/officeDocument/2006/relationships/chartUserShapes" Target="../drawings/drawing1.xml"/><Relationship Id="rId4" Type="http://schemas.openxmlformats.org/officeDocument/2006/relationships/package" Target="../embeddings/Microsoft_Excel_Worksheet.xlsx"/></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embeddings/oleObject2.bin"/></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11.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embeddings/oleObject3.bin"/></Relationships>
</file>

<file path=word/charts/_rels/chart12.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oleObject" Target="../embeddings/oleObject4.bin"/><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oleObject" Target="../embeddings/oleObject5.bin"/><Relationship Id="rId1" Type="http://schemas.openxmlformats.org/officeDocument/2006/relationships/themeOverride" Target="../theme/themeOverride1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6604772229558291E-2"/>
          <c:y val="7.966965336229527E-2"/>
          <c:w val="0.89441174627116149"/>
          <c:h val="0.6865562494343378"/>
        </c:manualLayout>
      </c:layout>
      <c:lineChart>
        <c:grouping val="standard"/>
        <c:varyColors val="0"/>
        <c:ser>
          <c:idx val="0"/>
          <c:order val="0"/>
          <c:tx>
            <c:strRef>
              <c:f>'[Chart in Microsoft Word]Data'!$A$30</c:f>
              <c:strCache>
                <c:ptCount val="1"/>
                <c:pt idx="0">
                  <c:v>ЕС</c:v>
                </c:pt>
              </c:strCache>
            </c:strRef>
          </c:tx>
          <c:spPr>
            <a:ln w="25400"/>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00-6180-4A80-99AE-64537E6D53A4}"/>
                </c:ext>
              </c:extLst>
            </c:dLbl>
            <c:dLbl>
              <c:idx val="1"/>
              <c:layout>
                <c:manualLayout>
                  <c:x val="0.4838244860540758"/>
                  <c:y val="0.32652131058467992"/>
                </c:manualLayout>
              </c:layout>
              <c:tx>
                <c:rich>
                  <a:bodyPr/>
                  <a:lstStyle/>
                  <a:p>
                    <a:pPr>
                      <a:defRPr>
                        <a:latin typeface="Times New Roman" panose="02020603050405020304" pitchFamily="18" charset="0"/>
                        <a:cs typeface="Times New Roman" panose="02020603050405020304" pitchFamily="18" charset="0"/>
                      </a:defRPr>
                    </a:pPr>
                    <a:r>
                      <a:rPr lang="bg-BG" b="1">
                        <a:solidFill>
                          <a:schemeClr val="accent1"/>
                        </a:solidFill>
                        <a:latin typeface="Times New Roman" panose="02020603050405020304" pitchFamily="18" charset="0"/>
                        <a:cs typeface="Times New Roman" panose="02020603050405020304" pitchFamily="18" charset="0"/>
                      </a:rPr>
                      <a:t>ЕС 27</a:t>
                    </a:r>
                    <a:endParaRPr lang="bg-BG">
                      <a:latin typeface="Times New Roman" panose="02020603050405020304" pitchFamily="18" charset="0"/>
                      <a:cs typeface="Times New Roman" panose="02020603050405020304" pitchFamily="18" charset="0"/>
                    </a:endParaRPr>
                  </a:p>
                </c:rich>
              </c:tx>
              <c:spPr/>
              <c:dLblPos val="r"/>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180-4A80-99AE-64537E6D53A4}"/>
                </c:ext>
              </c:extLst>
            </c:dLbl>
            <c:dLbl>
              <c:idx val="2"/>
              <c:delete val="1"/>
              <c:extLst>
                <c:ext xmlns:c15="http://schemas.microsoft.com/office/drawing/2012/chart" uri="{CE6537A1-D6FC-4f65-9D91-7224C49458BB}"/>
                <c:ext xmlns:c16="http://schemas.microsoft.com/office/drawing/2014/chart" uri="{C3380CC4-5D6E-409C-BE32-E72D297353CC}">
                  <c16:uniqueId val="{00000002-6180-4A80-99AE-64537E6D53A4}"/>
                </c:ext>
              </c:extLst>
            </c:dLbl>
            <c:dLbl>
              <c:idx val="3"/>
              <c:delete val="1"/>
              <c:extLst>
                <c:ext xmlns:c15="http://schemas.microsoft.com/office/drawing/2012/chart" uri="{CE6537A1-D6FC-4f65-9D91-7224C49458BB}"/>
                <c:ext xmlns:c16="http://schemas.microsoft.com/office/drawing/2014/chart" uri="{C3380CC4-5D6E-409C-BE32-E72D297353CC}">
                  <c16:uniqueId val="{00000003-6180-4A80-99AE-64537E6D53A4}"/>
                </c:ext>
              </c:extLst>
            </c:dLbl>
            <c:dLbl>
              <c:idx val="4"/>
              <c:delete val="1"/>
              <c:extLst>
                <c:ext xmlns:c15="http://schemas.microsoft.com/office/drawing/2012/chart" uri="{CE6537A1-D6FC-4f65-9D91-7224C49458BB}"/>
                <c:ext xmlns:c16="http://schemas.microsoft.com/office/drawing/2014/chart" uri="{C3380CC4-5D6E-409C-BE32-E72D297353CC}">
                  <c16:uniqueId val="{00000004-6180-4A80-99AE-64537E6D53A4}"/>
                </c:ext>
              </c:extLst>
            </c:dLbl>
            <c:dLbl>
              <c:idx val="5"/>
              <c:delete val="1"/>
              <c:extLst>
                <c:ext xmlns:c15="http://schemas.microsoft.com/office/drawing/2012/chart" uri="{CE6537A1-D6FC-4f65-9D91-7224C49458BB}"/>
                <c:ext xmlns:c16="http://schemas.microsoft.com/office/drawing/2014/chart" uri="{C3380CC4-5D6E-409C-BE32-E72D297353CC}">
                  <c16:uniqueId val="{00000005-6180-4A80-99AE-64537E6D53A4}"/>
                </c:ext>
              </c:extLst>
            </c:dLbl>
            <c:dLbl>
              <c:idx val="6"/>
              <c:delete val="1"/>
              <c:extLst>
                <c:ext xmlns:c15="http://schemas.microsoft.com/office/drawing/2012/chart" uri="{CE6537A1-D6FC-4f65-9D91-7224C49458BB}"/>
                <c:ext xmlns:c16="http://schemas.microsoft.com/office/drawing/2014/chart" uri="{C3380CC4-5D6E-409C-BE32-E72D297353CC}">
                  <c16:uniqueId val="{00000006-6180-4A80-99AE-64537E6D53A4}"/>
                </c:ext>
              </c:extLst>
            </c:dLbl>
            <c:dLbl>
              <c:idx val="7"/>
              <c:delete val="1"/>
              <c:extLst>
                <c:ext xmlns:c15="http://schemas.microsoft.com/office/drawing/2012/chart" uri="{CE6537A1-D6FC-4f65-9D91-7224C49458BB}"/>
                <c:ext xmlns:c16="http://schemas.microsoft.com/office/drawing/2014/chart" uri="{C3380CC4-5D6E-409C-BE32-E72D297353CC}">
                  <c16:uniqueId val="{00000007-6180-4A80-99AE-64537E6D53A4}"/>
                </c:ext>
              </c:extLst>
            </c:dLbl>
            <c:dLbl>
              <c:idx val="8"/>
              <c:delete val="1"/>
              <c:extLst>
                <c:ext xmlns:c15="http://schemas.microsoft.com/office/drawing/2012/chart" uri="{CE6537A1-D6FC-4f65-9D91-7224C49458BB}"/>
                <c:ext xmlns:c16="http://schemas.microsoft.com/office/drawing/2014/chart" uri="{C3380CC4-5D6E-409C-BE32-E72D297353CC}">
                  <c16:uniqueId val="{00000008-6180-4A80-99AE-64537E6D53A4}"/>
                </c:ext>
              </c:extLst>
            </c:dLbl>
            <c:dLbl>
              <c:idx val="9"/>
              <c:delete val="1"/>
              <c:extLst>
                <c:ext xmlns:c15="http://schemas.microsoft.com/office/drawing/2012/chart" uri="{CE6537A1-D6FC-4f65-9D91-7224C49458BB}"/>
                <c:ext xmlns:c16="http://schemas.microsoft.com/office/drawing/2014/chart" uri="{C3380CC4-5D6E-409C-BE32-E72D297353CC}">
                  <c16:uniqueId val="{00000009-6180-4A80-99AE-64537E6D53A4}"/>
                </c:ext>
              </c:extLst>
            </c:dLbl>
            <c:dLbl>
              <c:idx val="10"/>
              <c:delete val="1"/>
              <c:extLst>
                <c:ext xmlns:c15="http://schemas.microsoft.com/office/drawing/2012/chart" uri="{CE6537A1-D6FC-4f65-9D91-7224C49458BB}"/>
                <c:ext xmlns:c16="http://schemas.microsoft.com/office/drawing/2014/chart" uri="{C3380CC4-5D6E-409C-BE32-E72D297353CC}">
                  <c16:uniqueId val="{0000000A-6180-4A80-99AE-64537E6D53A4}"/>
                </c:ext>
              </c:extLst>
            </c:dLbl>
            <c:dLbl>
              <c:idx val="11"/>
              <c:delete val="1"/>
              <c:extLst>
                <c:ext xmlns:c15="http://schemas.microsoft.com/office/drawing/2012/chart" uri="{CE6537A1-D6FC-4f65-9D91-7224C49458BB}"/>
                <c:ext xmlns:c16="http://schemas.microsoft.com/office/drawing/2014/chart" uri="{C3380CC4-5D6E-409C-BE32-E72D297353CC}">
                  <c16:uniqueId val="{0000000B-6180-4A80-99AE-64537E6D53A4}"/>
                </c:ext>
              </c:extLst>
            </c:dLbl>
            <c:spPr>
              <a:noFill/>
              <a:ln>
                <a:noFill/>
              </a:ln>
              <a:effectLst/>
            </c:spPr>
            <c:txPr>
              <a:bodyPr wrap="square" lIns="38100" tIns="19050" rIns="38100" bIns="19050" anchor="ctr">
                <a:spAutoFit/>
              </a:bodyPr>
              <a:lstStyle/>
              <a:p>
                <a:pPr>
                  <a:defRPr>
                    <a:latin typeface="Times New Roman" panose="02020603050405020304" pitchFamily="18" charset="0"/>
                    <a:cs typeface="Times New Roman" panose="02020603050405020304" pitchFamily="18" charset="0"/>
                  </a:defRPr>
                </a:pPr>
                <a:endParaRPr lang="bg-BG"/>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cat>
            <c:multiLvlStrRef>
              <c:f>'[Chart in Microsoft Word]Data'!$F$27:$O$28</c:f>
              <c:multiLvlStrCache>
                <c:ptCount val="10"/>
                <c:lvl>
                  <c:pt idx="0">
                    <c:v>I</c:v>
                  </c:pt>
                  <c:pt idx="1">
                    <c:v>II</c:v>
                  </c:pt>
                  <c:pt idx="2">
                    <c:v>III</c:v>
                  </c:pt>
                  <c:pt idx="3">
                    <c:v>IV</c:v>
                  </c:pt>
                  <c:pt idx="4">
                    <c:v>I</c:v>
                  </c:pt>
                  <c:pt idx="5">
                    <c:v>II</c:v>
                  </c:pt>
                  <c:pt idx="6">
                    <c:v>III</c:v>
                  </c:pt>
                  <c:pt idx="7">
                    <c:v>IV</c:v>
                  </c:pt>
                  <c:pt idx="8">
                    <c:v>I</c:v>
                  </c:pt>
                  <c:pt idx="9">
                    <c:v>II</c:v>
                  </c:pt>
                </c:lvl>
                <c:lvl>
                  <c:pt idx="0">
                    <c:v>2021</c:v>
                  </c:pt>
                  <c:pt idx="4">
                    <c:v>2022</c:v>
                  </c:pt>
                  <c:pt idx="8">
                    <c:v>2023</c:v>
                  </c:pt>
                </c:lvl>
              </c:multiLvlStrCache>
            </c:multiLvlStrRef>
          </c:cat>
          <c:val>
            <c:numRef>
              <c:f>'[Chart in Microsoft Word]Data'!$F$30:$O$30</c:f>
              <c:numCache>
                <c:formatCode>#\,##0.#</c:formatCode>
                <c:ptCount val="10"/>
                <c:pt idx="0">
                  <c:v>-0.1868832146266044</c:v>
                </c:pt>
                <c:pt idx="1">
                  <c:v>14.612482580117529</c:v>
                </c:pt>
                <c:pt idx="2">
                  <c:v>4.9231648868579327</c:v>
                </c:pt>
                <c:pt idx="3">
                  <c:v>5.409779041910582</c:v>
                </c:pt>
                <c:pt idx="4">
                  <c:v>5.7668657070829141</c:v>
                </c:pt>
                <c:pt idx="5">
                  <c:v>4.2158921886907166</c:v>
                </c:pt>
                <c:pt idx="6">
                  <c:v>2.5646722016140018</c:v>
                </c:pt>
                <c:pt idx="7">
                  <c:v>1.3888018353649443</c:v>
                </c:pt>
                <c:pt idx="8">
                  <c:v>1.2519328430256706</c:v>
                </c:pt>
                <c:pt idx="9">
                  <c:v>4.7381203805471728E-2</c:v>
                </c:pt>
              </c:numCache>
            </c:numRef>
          </c:val>
          <c:smooth val="0"/>
          <c:extLst>
            <c:ext xmlns:c16="http://schemas.microsoft.com/office/drawing/2014/chart" uri="{C3380CC4-5D6E-409C-BE32-E72D297353CC}">
              <c16:uniqueId val="{0000000C-6180-4A80-99AE-64537E6D53A4}"/>
            </c:ext>
          </c:extLst>
        </c:ser>
        <c:ser>
          <c:idx val="1"/>
          <c:order val="1"/>
          <c:tx>
            <c:strRef>
              <c:f>'[Chart in Microsoft Word]Data'!$A$31</c:f>
              <c:strCache>
                <c:ptCount val="1"/>
                <c:pt idx="0">
                  <c:v>еврозона</c:v>
                </c:pt>
              </c:strCache>
            </c:strRef>
          </c:tx>
          <c:spPr>
            <a:ln w="25400">
              <a:prstDash val="dash"/>
            </a:ln>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0D-6180-4A80-99AE-64537E6D53A4}"/>
                </c:ext>
              </c:extLst>
            </c:dLbl>
            <c:dLbl>
              <c:idx val="1"/>
              <c:delete val="1"/>
              <c:extLst>
                <c:ext xmlns:c15="http://schemas.microsoft.com/office/drawing/2012/chart" uri="{CE6537A1-D6FC-4f65-9D91-7224C49458BB}"/>
                <c:ext xmlns:c16="http://schemas.microsoft.com/office/drawing/2014/chart" uri="{C3380CC4-5D6E-409C-BE32-E72D297353CC}">
                  <c16:uniqueId val="{0000000E-6180-4A80-99AE-64537E6D53A4}"/>
                </c:ext>
              </c:extLst>
            </c:dLbl>
            <c:dLbl>
              <c:idx val="2"/>
              <c:delete val="1"/>
              <c:extLst>
                <c:ext xmlns:c15="http://schemas.microsoft.com/office/drawing/2012/chart" uri="{CE6537A1-D6FC-4f65-9D91-7224C49458BB}"/>
                <c:ext xmlns:c16="http://schemas.microsoft.com/office/drawing/2014/chart" uri="{C3380CC4-5D6E-409C-BE32-E72D297353CC}">
                  <c16:uniqueId val="{0000000F-6180-4A80-99AE-64537E6D53A4}"/>
                </c:ext>
              </c:extLst>
            </c:dLbl>
            <c:dLbl>
              <c:idx val="3"/>
              <c:delete val="1"/>
              <c:extLst>
                <c:ext xmlns:c15="http://schemas.microsoft.com/office/drawing/2012/chart" uri="{CE6537A1-D6FC-4f65-9D91-7224C49458BB}"/>
                <c:ext xmlns:c16="http://schemas.microsoft.com/office/drawing/2014/chart" uri="{C3380CC4-5D6E-409C-BE32-E72D297353CC}">
                  <c16:uniqueId val="{00000010-6180-4A80-99AE-64537E6D53A4}"/>
                </c:ext>
              </c:extLst>
            </c:dLbl>
            <c:dLbl>
              <c:idx val="4"/>
              <c:layout>
                <c:manualLayout>
                  <c:x val="-2.8556179281417574E-2"/>
                  <c:y val="-8.3191098118723189E-2"/>
                </c:manualLayout>
              </c:layout>
              <c:tx>
                <c:rich>
                  <a:bodyPr/>
                  <a:lstStyle/>
                  <a:p>
                    <a:pPr>
                      <a:defRPr>
                        <a:latin typeface="Times New Roman" panose="02020603050405020304" pitchFamily="18" charset="0"/>
                        <a:cs typeface="Times New Roman" panose="02020603050405020304" pitchFamily="18" charset="0"/>
                      </a:defRPr>
                    </a:pPr>
                    <a:r>
                      <a:rPr lang="bg-BG" b="1">
                        <a:solidFill>
                          <a:schemeClr val="accent2"/>
                        </a:solidFill>
                        <a:latin typeface="Times New Roman" panose="02020603050405020304" pitchFamily="18" charset="0"/>
                        <a:cs typeface="Times New Roman" panose="02020603050405020304" pitchFamily="18" charset="0"/>
                      </a:rPr>
                      <a:t>еврозона</a:t>
                    </a:r>
                    <a:endParaRPr lang="bg-BG">
                      <a:latin typeface="Times New Roman" panose="02020603050405020304" pitchFamily="18" charset="0"/>
                      <a:cs typeface="Times New Roman" panose="02020603050405020304" pitchFamily="18" charset="0"/>
                    </a:endParaRPr>
                  </a:p>
                </c:rich>
              </c:tx>
              <c:spPr/>
              <c:dLblPos val="r"/>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6180-4A80-99AE-64537E6D53A4}"/>
                </c:ext>
              </c:extLst>
            </c:dLbl>
            <c:dLbl>
              <c:idx val="5"/>
              <c:delete val="1"/>
              <c:extLst>
                <c:ext xmlns:c15="http://schemas.microsoft.com/office/drawing/2012/chart" uri="{CE6537A1-D6FC-4f65-9D91-7224C49458BB}"/>
                <c:ext xmlns:c16="http://schemas.microsoft.com/office/drawing/2014/chart" uri="{C3380CC4-5D6E-409C-BE32-E72D297353CC}">
                  <c16:uniqueId val="{00000012-6180-4A80-99AE-64537E6D53A4}"/>
                </c:ext>
              </c:extLst>
            </c:dLbl>
            <c:dLbl>
              <c:idx val="6"/>
              <c:delete val="1"/>
              <c:extLst>
                <c:ext xmlns:c15="http://schemas.microsoft.com/office/drawing/2012/chart" uri="{CE6537A1-D6FC-4f65-9D91-7224C49458BB}"/>
                <c:ext xmlns:c16="http://schemas.microsoft.com/office/drawing/2014/chart" uri="{C3380CC4-5D6E-409C-BE32-E72D297353CC}">
                  <c16:uniqueId val="{00000013-6180-4A80-99AE-64537E6D53A4}"/>
                </c:ext>
              </c:extLst>
            </c:dLbl>
            <c:dLbl>
              <c:idx val="7"/>
              <c:delete val="1"/>
              <c:extLst>
                <c:ext xmlns:c15="http://schemas.microsoft.com/office/drawing/2012/chart" uri="{CE6537A1-D6FC-4f65-9D91-7224C49458BB}"/>
                <c:ext xmlns:c16="http://schemas.microsoft.com/office/drawing/2014/chart" uri="{C3380CC4-5D6E-409C-BE32-E72D297353CC}">
                  <c16:uniqueId val="{00000014-6180-4A80-99AE-64537E6D53A4}"/>
                </c:ext>
              </c:extLst>
            </c:dLbl>
            <c:dLbl>
              <c:idx val="8"/>
              <c:delete val="1"/>
              <c:extLst>
                <c:ext xmlns:c15="http://schemas.microsoft.com/office/drawing/2012/chart" uri="{CE6537A1-D6FC-4f65-9D91-7224C49458BB}"/>
                <c:ext xmlns:c16="http://schemas.microsoft.com/office/drawing/2014/chart" uri="{C3380CC4-5D6E-409C-BE32-E72D297353CC}">
                  <c16:uniqueId val="{00000015-6180-4A80-99AE-64537E6D53A4}"/>
                </c:ext>
              </c:extLst>
            </c:dLbl>
            <c:dLbl>
              <c:idx val="9"/>
              <c:delete val="1"/>
              <c:extLst>
                <c:ext xmlns:c15="http://schemas.microsoft.com/office/drawing/2012/chart" uri="{CE6537A1-D6FC-4f65-9D91-7224C49458BB}"/>
                <c:ext xmlns:c16="http://schemas.microsoft.com/office/drawing/2014/chart" uri="{C3380CC4-5D6E-409C-BE32-E72D297353CC}">
                  <c16:uniqueId val="{00000016-6180-4A80-99AE-64537E6D53A4}"/>
                </c:ext>
              </c:extLst>
            </c:dLbl>
            <c:dLbl>
              <c:idx val="10"/>
              <c:delete val="1"/>
              <c:extLst>
                <c:ext xmlns:c15="http://schemas.microsoft.com/office/drawing/2012/chart" uri="{CE6537A1-D6FC-4f65-9D91-7224C49458BB}"/>
                <c:ext xmlns:c16="http://schemas.microsoft.com/office/drawing/2014/chart" uri="{C3380CC4-5D6E-409C-BE32-E72D297353CC}">
                  <c16:uniqueId val="{00000017-6180-4A80-99AE-64537E6D53A4}"/>
                </c:ext>
              </c:extLst>
            </c:dLbl>
            <c:dLbl>
              <c:idx val="11"/>
              <c:delete val="1"/>
              <c:extLst>
                <c:ext xmlns:c15="http://schemas.microsoft.com/office/drawing/2012/chart" uri="{CE6537A1-D6FC-4f65-9D91-7224C49458BB}"/>
                <c:ext xmlns:c16="http://schemas.microsoft.com/office/drawing/2014/chart" uri="{C3380CC4-5D6E-409C-BE32-E72D297353CC}">
                  <c16:uniqueId val="{00000018-6180-4A80-99AE-64537E6D53A4}"/>
                </c:ext>
              </c:extLst>
            </c:dLbl>
            <c:spPr>
              <a:noFill/>
              <a:ln>
                <a:noFill/>
              </a:ln>
              <a:effectLst/>
            </c:spPr>
            <c:txPr>
              <a:bodyPr wrap="square" lIns="38100" tIns="19050" rIns="38100" bIns="19050" anchor="ctr">
                <a:spAutoFit/>
              </a:bodyPr>
              <a:lstStyle/>
              <a:p>
                <a:pPr>
                  <a:defRPr>
                    <a:latin typeface="Times New Roman" panose="02020603050405020304" pitchFamily="18" charset="0"/>
                    <a:cs typeface="Times New Roman" panose="02020603050405020304" pitchFamily="18" charset="0"/>
                  </a:defRPr>
                </a:pPr>
                <a:endParaRPr lang="bg-BG"/>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cat>
            <c:multiLvlStrRef>
              <c:f>'[Chart in Microsoft Word]Data'!$F$27:$O$28</c:f>
              <c:multiLvlStrCache>
                <c:ptCount val="10"/>
                <c:lvl>
                  <c:pt idx="0">
                    <c:v>I</c:v>
                  </c:pt>
                  <c:pt idx="1">
                    <c:v>II</c:v>
                  </c:pt>
                  <c:pt idx="2">
                    <c:v>III</c:v>
                  </c:pt>
                  <c:pt idx="3">
                    <c:v>IV</c:v>
                  </c:pt>
                  <c:pt idx="4">
                    <c:v>I</c:v>
                  </c:pt>
                  <c:pt idx="5">
                    <c:v>II</c:v>
                  </c:pt>
                  <c:pt idx="6">
                    <c:v>III</c:v>
                  </c:pt>
                  <c:pt idx="7">
                    <c:v>IV</c:v>
                  </c:pt>
                  <c:pt idx="8">
                    <c:v>I</c:v>
                  </c:pt>
                  <c:pt idx="9">
                    <c:v>II</c:v>
                  </c:pt>
                </c:lvl>
                <c:lvl>
                  <c:pt idx="0">
                    <c:v>2021</c:v>
                  </c:pt>
                  <c:pt idx="4">
                    <c:v>2022</c:v>
                  </c:pt>
                  <c:pt idx="8">
                    <c:v>2023</c:v>
                  </c:pt>
                </c:lvl>
              </c:multiLvlStrCache>
            </c:multiLvlStrRef>
          </c:cat>
          <c:val>
            <c:numRef>
              <c:f>'[Chart in Microsoft Word]Data'!$F$31:$O$31</c:f>
              <c:numCache>
                <c:formatCode>#\,##0.#</c:formatCode>
                <c:ptCount val="10"/>
                <c:pt idx="0">
                  <c:v>-0.19249526905164771</c:v>
                </c:pt>
                <c:pt idx="1">
                  <c:v>15.126857779887231</c:v>
                </c:pt>
                <c:pt idx="2">
                  <c:v>4.6929208485198615</c:v>
                </c:pt>
                <c:pt idx="3">
                  <c:v>5.0895744049726659</c:v>
                </c:pt>
                <c:pt idx="4">
                  <c:v>5.5858616852421363</c:v>
                </c:pt>
                <c:pt idx="5">
                  <c:v>4.1943785646107301</c:v>
                </c:pt>
                <c:pt idx="6">
                  <c:v>2.419367028843908</c:v>
                </c:pt>
                <c:pt idx="7">
                  <c:v>1.4552181929150549</c:v>
                </c:pt>
                <c:pt idx="8">
                  <c:v>1.3694560341900797</c:v>
                </c:pt>
                <c:pt idx="9">
                  <c:v>0.17614411927684159</c:v>
                </c:pt>
              </c:numCache>
            </c:numRef>
          </c:val>
          <c:smooth val="0"/>
          <c:extLst>
            <c:ext xmlns:c16="http://schemas.microsoft.com/office/drawing/2014/chart" uri="{C3380CC4-5D6E-409C-BE32-E72D297353CC}">
              <c16:uniqueId val="{00000019-6180-4A80-99AE-64537E6D53A4}"/>
            </c:ext>
          </c:extLst>
        </c:ser>
        <c:ser>
          <c:idx val="2"/>
          <c:order val="2"/>
          <c:tx>
            <c:strRef>
              <c:f>'[Chart in Microsoft Word]Data'!$A$33</c:f>
              <c:strCache>
                <c:ptCount val="1"/>
                <c:pt idx="0">
                  <c:v>САЩ</c:v>
                </c:pt>
              </c:strCache>
            </c:strRef>
          </c:tx>
          <c:spPr>
            <a:ln w="31750"/>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1A-6180-4A80-99AE-64537E6D53A4}"/>
                </c:ext>
              </c:extLst>
            </c:dLbl>
            <c:dLbl>
              <c:idx val="1"/>
              <c:delete val="1"/>
              <c:extLst>
                <c:ext xmlns:c15="http://schemas.microsoft.com/office/drawing/2012/chart" uri="{CE6537A1-D6FC-4f65-9D91-7224C49458BB}"/>
                <c:ext xmlns:c16="http://schemas.microsoft.com/office/drawing/2014/chart" uri="{C3380CC4-5D6E-409C-BE32-E72D297353CC}">
                  <c16:uniqueId val="{0000001B-6180-4A80-99AE-64537E6D53A4}"/>
                </c:ext>
              </c:extLst>
            </c:dLbl>
            <c:dLbl>
              <c:idx val="2"/>
              <c:delete val="1"/>
              <c:extLst>
                <c:ext xmlns:c15="http://schemas.microsoft.com/office/drawing/2012/chart" uri="{CE6537A1-D6FC-4f65-9D91-7224C49458BB}"/>
                <c:ext xmlns:c16="http://schemas.microsoft.com/office/drawing/2014/chart" uri="{C3380CC4-5D6E-409C-BE32-E72D297353CC}">
                  <c16:uniqueId val="{0000001C-6180-4A80-99AE-64537E6D53A4}"/>
                </c:ext>
              </c:extLst>
            </c:dLbl>
            <c:dLbl>
              <c:idx val="3"/>
              <c:delete val="1"/>
              <c:extLst>
                <c:ext xmlns:c15="http://schemas.microsoft.com/office/drawing/2012/chart" uri="{CE6537A1-D6FC-4f65-9D91-7224C49458BB}"/>
                <c:ext xmlns:c16="http://schemas.microsoft.com/office/drawing/2014/chart" uri="{C3380CC4-5D6E-409C-BE32-E72D297353CC}">
                  <c16:uniqueId val="{0000001D-6180-4A80-99AE-64537E6D53A4}"/>
                </c:ext>
              </c:extLst>
            </c:dLbl>
            <c:dLbl>
              <c:idx val="4"/>
              <c:layout>
                <c:manualLayout>
                  <c:x val="0.29442790942998154"/>
                  <c:y val="0.11295519197824828"/>
                </c:manualLayout>
              </c:layout>
              <c:tx>
                <c:rich>
                  <a:bodyPr/>
                  <a:lstStyle/>
                  <a:p>
                    <a:pPr>
                      <a:defRPr>
                        <a:latin typeface="Times New Roman" panose="02020603050405020304" pitchFamily="18" charset="0"/>
                        <a:cs typeface="Times New Roman" panose="02020603050405020304" pitchFamily="18" charset="0"/>
                      </a:defRPr>
                    </a:pPr>
                    <a:r>
                      <a:rPr lang="bg-BG" sz="1000" b="1">
                        <a:solidFill>
                          <a:schemeClr val="accent3"/>
                        </a:solidFill>
                        <a:latin typeface="Times New Roman" panose="02020603050405020304" pitchFamily="18" charset="0"/>
                        <a:cs typeface="Times New Roman" panose="02020603050405020304" pitchFamily="18" charset="0"/>
                      </a:rPr>
                      <a:t>САЩ</a:t>
                    </a:r>
                    <a:endParaRPr lang="bg-BG">
                      <a:latin typeface="Times New Roman" panose="02020603050405020304" pitchFamily="18" charset="0"/>
                      <a:cs typeface="Times New Roman" panose="02020603050405020304" pitchFamily="18" charset="0"/>
                    </a:endParaRPr>
                  </a:p>
                </c:rich>
              </c:tx>
              <c:spPr>
                <a:noFill/>
              </c:spPr>
              <c:dLblPos val="r"/>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E-6180-4A80-99AE-64537E6D53A4}"/>
                </c:ext>
              </c:extLst>
            </c:dLbl>
            <c:dLbl>
              <c:idx val="5"/>
              <c:delete val="1"/>
              <c:extLst>
                <c:ext xmlns:c15="http://schemas.microsoft.com/office/drawing/2012/chart" uri="{CE6537A1-D6FC-4f65-9D91-7224C49458BB}"/>
                <c:ext xmlns:c16="http://schemas.microsoft.com/office/drawing/2014/chart" uri="{C3380CC4-5D6E-409C-BE32-E72D297353CC}">
                  <c16:uniqueId val="{0000001F-6180-4A80-99AE-64537E6D53A4}"/>
                </c:ext>
              </c:extLst>
            </c:dLbl>
            <c:dLbl>
              <c:idx val="6"/>
              <c:delete val="1"/>
              <c:extLst>
                <c:ext xmlns:c15="http://schemas.microsoft.com/office/drawing/2012/chart" uri="{CE6537A1-D6FC-4f65-9D91-7224C49458BB}"/>
                <c:ext xmlns:c16="http://schemas.microsoft.com/office/drawing/2014/chart" uri="{C3380CC4-5D6E-409C-BE32-E72D297353CC}">
                  <c16:uniqueId val="{00000020-6180-4A80-99AE-64537E6D53A4}"/>
                </c:ext>
              </c:extLst>
            </c:dLbl>
            <c:dLbl>
              <c:idx val="7"/>
              <c:delete val="1"/>
              <c:extLst>
                <c:ext xmlns:c15="http://schemas.microsoft.com/office/drawing/2012/chart" uri="{CE6537A1-D6FC-4f65-9D91-7224C49458BB}"/>
                <c:ext xmlns:c16="http://schemas.microsoft.com/office/drawing/2014/chart" uri="{C3380CC4-5D6E-409C-BE32-E72D297353CC}">
                  <c16:uniqueId val="{00000021-6180-4A80-99AE-64537E6D53A4}"/>
                </c:ext>
              </c:extLst>
            </c:dLbl>
            <c:dLbl>
              <c:idx val="8"/>
              <c:delete val="1"/>
              <c:extLst>
                <c:ext xmlns:c15="http://schemas.microsoft.com/office/drawing/2012/chart" uri="{CE6537A1-D6FC-4f65-9D91-7224C49458BB}"/>
                <c:ext xmlns:c16="http://schemas.microsoft.com/office/drawing/2014/chart" uri="{C3380CC4-5D6E-409C-BE32-E72D297353CC}">
                  <c16:uniqueId val="{00000022-6180-4A80-99AE-64537E6D53A4}"/>
                </c:ext>
              </c:extLst>
            </c:dLbl>
            <c:dLbl>
              <c:idx val="9"/>
              <c:delete val="1"/>
              <c:extLst>
                <c:ext xmlns:c15="http://schemas.microsoft.com/office/drawing/2012/chart" uri="{CE6537A1-D6FC-4f65-9D91-7224C49458BB}"/>
                <c:ext xmlns:c16="http://schemas.microsoft.com/office/drawing/2014/chart" uri="{C3380CC4-5D6E-409C-BE32-E72D297353CC}">
                  <c16:uniqueId val="{00000023-6180-4A80-99AE-64537E6D53A4}"/>
                </c:ext>
              </c:extLst>
            </c:dLbl>
            <c:dLbl>
              <c:idx val="10"/>
              <c:delete val="1"/>
              <c:extLst>
                <c:ext xmlns:c15="http://schemas.microsoft.com/office/drawing/2012/chart" uri="{CE6537A1-D6FC-4f65-9D91-7224C49458BB}"/>
                <c:ext xmlns:c16="http://schemas.microsoft.com/office/drawing/2014/chart" uri="{C3380CC4-5D6E-409C-BE32-E72D297353CC}">
                  <c16:uniqueId val="{00000024-6180-4A80-99AE-64537E6D53A4}"/>
                </c:ext>
              </c:extLst>
            </c:dLbl>
            <c:dLbl>
              <c:idx val="11"/>
              <c:delete val="1"/>
              <c:extLst>
                <c:ext xmlns:c15="http://schemas.microsoft.com/office/drawing/2012/chart" uri="{CE6537A1-D6FC-4f65-9D91-7224C49458BB}"/>
                <c:ext xmlns:c16="http://schemas.microsoft.com/office/drawing/2014/chart" uri="{C3380CC4-5D6E-409C-BE32-E72D297353CC}">
                  <c16:uniqueId val="{00000025-6180-4A80-99AE-64537E6D53A4}"/>
                </c:ext>
              </c:extLst>
            </c:dLbl>
            <c:spPr>
              <a:noFill/>
            </c:spPr>
            <c:txPr>
              <a:bodyPr wrap="square" lIns="38100" tIns="19050" rIns="38100" bIns="19050" anchor="ctr">
                <a:spAutoFit/>
              </a:bodyPr>
              <a:lstStyle/>
              <a:p>
                <a:pPr>
                  <a:defRPr>
                    <a:latin typeface="Times New Roman" panose="02020603050405020304" pitchFamily="18" charset="0"/>
                    <a:cs typeface="Times New Roman" panose="02020603050405020304" pitchFamily="18" charset="0"/>
                  </a:defRPr>
                </a:pPr>
                <a:endParaRPr lang="bg-BG"/>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cat>
            <c:multiLvlStrRef>
              <c:f>'[Chart in Microsoft Word]Data'!$F$27:$O$28</c:f>
              <c:multiLvlStrCache>
                <c:ptCount val="10"/>
                <c:lvl>
                  <c:pt idx="0">
                    <c:v>I</c:v>
                  </c:pt>
                  <c:pt idx="1">
                    <c:v>II</c:v>
                  </c:pt>
                  <c:pt idx="2">
                    <c:v>III</c:v>
                  </c:pt>
                  <c:pt idx="3">
                    <c:v>IV</c:v>
                  </c:pt>
                  <c:pt idx="4">
                    <c:v>I</c:v>
                  </c:pt>
                  <c:pt idx="5">
                    <c:v>II</c:v>
                  </c:pt>
                  <c:pt idx="6">
                    <c:v>III</c:v>
                  </c:pt>
                  <c:pt idx="7">
                    <c:v>IV</c:v>
                  </c:pt>
                  <c:pt idx="8">
                    <c:v>I</c:v>
                  </c:pt>
                  <c:pt idx="9">
                    <c:v>II</c:v>
                  </c:pt>
                </c:lvl>
                <c:lvl>
                  <c:pt idx="0">
                    <c:v>2021</c:v>
                  </c:pt>
                  <c:pt idx="4">
                    <c:v>2022</c:v>
                  </c:pt>
                  <c:pt idx="8">
                    <c:v>2023</c:v>
                  </c:pt>
                </c:lvl>
              </c:multiLvlStrCache>
            </c:multiLvlStrRef>
          </c:cat>
          <c:val>
            <c:numRef>
              <c:f>'[Chart in Microsoft Word]Data'!$F$33:$O$33</c:f>
              <c:numCache>
                <c:formatCode>0.0</c:formatCode>
                <c:ptCount val="10"/>
                <c:pt idx="0">
                  <c:v>1.5734879615833677</c:v>
                </c:pt>
                <c:pt idx="1">
                  <c:v>11.94967905457618</c:v>
                </c:pt>
                <c:pt idx="2">
                  <c:v>4.7357702200082201</c:v>
                </c:pt>
                <c:pt idx="3">
                  <c:v>5.4215955332639396</c:v>
                </c:pt>
                <c:pt idx="4">
                  <c:v>3.5644544936419038</c:v>
                </c:pt>
                <c:pt idx="5">
                  <c:v>1.8710597763563612</c:v>
                </c:pt>
                <c:pt idx="6">
                  <c:v>1.7135293043637034</c:v>
                </c:pt>
                <c:pt idx="7">
                  <c:v>0.65171141572186286</c:v>
                </c:pt>
                <c:pt idx="8">
                  <c:v>1.7177294215293699</c:v>
                </c:pt>
                <c:pt idx="9">
                  <c:v>2.3823720728534283</c:v>
                </c:pt>
              </c:numCache>
            </c:numRef>
          </c:val>
          <c:smooth val="0"/>
          <c:extLst>
            <c:ext xmlns:c16="http://schemas.microsoft.com/office/drawing/2014/chart" uri="{C3380CC4-5D6E-409C-BE32-E72D297353CC}">
              <c16:uniqueId val="{00000026-6180-4A80-99AE-64537E6D53A4}"/>
            </c:ext>
          </c:extLst>
        </c:ser>
        <c:dLbls>
          <c:showLegendKey val="0"/>
          <c:showVal val="0"/>
          <c:showCatName val="0"/>
          <c:showSerName val="0"/>
          <c:showPercent val="0"/>
          <c:showBubbleSize val="0"/>
        </c:dLbls>
        <c:smooth val="0"/>
        <c:axId val="353666176"/>
        <c:axId val="353667712"/>
      </c:lineChart>
      <c:catAx>
        <c:axId val="353666176"/>
        <c:scaling>
          <c:orientation val="minMax"/>
        </c:scaling>
        <c:delete val="0"/>
        <c:axPos val="b"/>
        <c:numFmt formatCode="General" sourceLinked="1"/>
        <c:majorTickMark val="out"/>
        <c:minorTickMark val="none"/>
        <c:tickLblPos val="low"/>
        <c:txPr>
          <a:bodyPr rot="0" vert="horz"/>
          <a:lstStyle/>
          <a:p>
            <a:pPr>
              <a:defRPr sz="800"/>
            </a:pPr>
            <a:endParaRPr lang="bg-BG"/>
          </a:p>
        </c:txPr>
        <c:crossAx val="353667712"/>
        <c:crosses val="autoZero"/>
        <c:auto val="1"/>
        <c:lblAlgn val="ctr"/>
        <c:lblOffset val="100"/>
        <c:tickLblSkip val="1"/>
        <c:tickMarkSkip val="1"/>
        <c:noMultiLvlLbl val="0"/>
      </c:catAx>
      <c:valAx>
        <c:axId val="353667712"/>
        <c:scaling>
          <c:orientation val="minMax"/>
        </c:scaling>
        <c:delete val="0"/>
        <c:axPos val="l"/>
        <c:numFmt formatCode="#,##0" sourceLinked="0"/>
        <c:majorTickMark val="out"/>
        <c:minorTickMark val="none"/>
        <c:tickLblPos val="nextTo"/>
        <c:txPr>
          <a:bodyPr rot="0" vert="horz"/>
          <a:lstStyle/>
          <a:p>
            <a:pPr>
              <a:defRPr sz="800"/>
            </a:pPr>
            <a:endParaRPr lang="bg-BG"/>
          </a:p>
        </c:txPr>
        <c:crossAx val="353666176"/>
        <c:crosses val="autoZero"/>
        <c:crossBetween val="between"/>
        <c:majorUnit val="8"/>
        <c:minorUnit val="4"/>
      </c:valAx>
    </c:plotArea>
    <c:plotVisOnly val="1"/>
    <c:dispBlanksAs val="gap"/>
    <c:showDLblsOverMax val="0"/>
  </c:chart>
  <c:txPr>
    <a:bodyPr/>
    <a:lstStyle/>
    <a:p>
      <a:pPr>
        <a:defRPr sz="1000">
          <a:latin typeface="Verdana" pitchFamily="34" charset="0"/>
        </a:defRPr>
      </a:pPr>
      <a:endParaRPr lang="bg-BG"/>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120348926972363E-2"/>
          <c:y val="6.3842206291377754E-2"/>
          <c:w val="0.8687393855179868"/>
          <c:h val="0.6855839649257327"/>
        </c:manualLayout>
      </c:layout>
      <c:barChart>
        <c:barDir val="col"/>
        <c:grouping val="clustered"/>
        <c:varyColors val="0"/>
        <c:ser>
          <c:idx val="0"/>
          <c:order val="0"/>
          <c:tx>
            <c:strRef>
              <c:f>'C:\Users\RAZER\Desktop\[Графика ДЦУ КДДУ 23-25 от 20-4-2023.xlsx]Консолидиран дълг СДУ'!$A$4</c:f>
              <c:strCache>
                <c:ptCount val="1"/>
                <c:pt idx="0">
                  <c:v>Консолидиран дълг на сектор "Държавно управление", млн. лв.</c:v>
                </c:pt>
              </c:strCache>
            </c:strRef>
          </c:tx>
          <c:spPr>
            <a:solidFill>
              <a:schemeClr val="accent1"/>
            </a:solidFill>
            <a:ln>
              <a:noFill/>
            </a:ln>
            <a:effectLst/>
          </c:spPr>
          <c:invertIfNegative val="0"/>
          <c:cat>
            <c:strRef>
              <c:f>'[1]граф. сектор ДУ'!$B$2:$G$2</c:f>
              <c:strCache>
                <c:ptCount val="6"/>
                <c:pt idx="0">
                  <c:v>2021 - отчет</c:v>
                </c:pt>
                <c:pt idx="1">
                  <c:v>2022 - отчет </c:v>
                </c:pt>
                <c:pt idx="2">
                  <c:v>2023 - очаквано</c:v>
                </c:pt>
                <c:pt idx="3">
                  <c:v>2024 прогноза</c:v>
                </c:pt>
                <c:pt idx="4">
                  <c:v>2025 прогноза</c:v>
                </c:pt>
                <c:pt idx="5">
                  <c:v>2026 прогноза</c:v>
                </c:pt>
              </c:strCache>
            </c:strRef>
          </c:cat>
          <c:val>
            <c:numRef>
              <c:f>'[1]граф. сектор ДУ'!$B$4:$G$4</c:f>
              <c:numCache>
                <c:formatCode>General</c:formatCode>
                <c:ptCount val="6"/>
                <c:pt idx="0">
                  <c:v>33274.512074120001</c:v>
                </c:pt>
                <c:pt idx="1">
                  <c:v>37850.489361629996</c:v>
                </c:pt>
                <c:pt idx="2">
                  <c:v>42852.803985139995</c:v>
                </c:pt>
                <c:pt idx="3">
                  <c:v>49912.661210359998</c:v>
                </c:pt>
                <c:pt idx="4">
                  <c:v>57741.665997819997</c:v>
                </c:pt>
                <c:pt idx="5">
                  <c:v>66798.979362930011</c:v>
                </c:pt>
              </c:numCache>
            </c:numRef>
          </c:val>
          <c:extLst>
            <c:ext xmlns:c16="http://schemas.microsoft.com/office/drawing/2014/chart" uri="{C3380CC4-5D6E-409C-BE32-E72D297353CC}">
              <c16:uniqueId val="{00000000-8CAB-4314-A099-C651812D3DEA}"/>
            </c:ext>
          </c:extLst>
        </c:ser>
        <c:ser>
          <c:idx val="1"/>
          <c:order val="1"/>
          <c:tx>
            <c:strRef>
              <c:f>'C:\Users\RAZER\Desktop\[Графика ДЦУ КДДУ 23-25 от 20-4-2023.xlsx]Консолидиран дълг СДУ'!$A$5</c:f>
              <c:strCache>
                <c:ptCount val="1"/>
                <c:pt idx="0">
                  <c:v>Дълг на подсектор "Централно управление", млн. лв.</c:v>
                </c:pt>
              </c:strCache>
            </c:strRef>
          </c:tx>
          <c:spPr>
            <a:solidFill>
              <a:schemeClr val="accent2"/>
            </a:solidFill>
            <a:ln>
              <a:noFill/>
            </a:ln>
            <a:effectLst/>
          </c:spPr>
          <c:invertIfNegative val="0"/>
          <c:cat>
            <c:strRef>
              <c:f>'[1]граф. сектор ДУ'!$B$2:$G$2</c:f>
              <c:strCache>
                <c:ptCount val="6"/>
                <c:pt idx="0">
                  <c:v>2021 - отчет</c:v>
                </c:pt>
                <c:pt idx="1">
                  <c:v>2022 - отчет </c:v>
                </c:pt>
                <c:pt idx="2">
                  <c:v>2023 - очаквано</c:v>
                </c:pt>
                <c:pt idx="3">
                  <c:v>2024 прогноза</c:v>
                </c:pt>
                <c:pt idx="4">
                  <c:v>2025 прогноза</c:v>
                </c:pt>
                <c:pt idx="5">
                  <c:v>2026 прогноза</c:v>
                </c:pt>
              </c:strCache>
            </c:strRef>
          </c:cat>
          <c:val>
            <c:numRef>
              <c:f>'[1]граф. сектор ДУ'!$B$5:$G$5</c:f>
              <c:numCache>
                <c:formatCode>General</c:formatCode>
                <c:ptCount val="6"/>
                <c:pt idx="0">
                  <c:v>32532.16566232</c:v>
                </c:pt>
                <c:pt idx="1">
                  <c:v>37094.57655328</c:v>
                </c:pt>
                <c:pt idx="2">
                  <c:v>41799.426285139998</c:v>
                </c:pt>
                <c:pt idx="3">
                  <c:v>48824.17121036</c:v>
                </c:pt>
                <c:pt idx="4">
                  <c:v>56686.266497819997</c:v>
                </c:pt>
                <c:pt idx="5">
                  <c:v>65788.273062930006</c:v>
                </c:pt>
              </c:numCache>
            </c:numRef>
          </c:val>
          <c:extLst>
            <c:ext xmlns:c16="http://schemas.microsoft.com/office/drawing/2014/chart" uri="{C3380CC4-5D6E-409C-BE32-E72D297353CC}">
              <c16:uniqueId val="{00000001-8CAB-4314-A099-C651812D3DEA}"/>
            </c:ext>
          </c:extLst>
        </c:ser>
        <c:dLbls>
          <c:showLegendKey val="0"/>
          <c:showVal val="0"/>
          <c:showCatName val="0"/>
          <c:showSerName val="0"/>
          <c:showPercent val="0"/>
          <c:showBubbleSize val="0"/>
        </c:dLbls>
        <c:gapWidth val="150"/>
        <c:axId val="727715680"/>
        <c:axId val="727717312"/>
      </c:barChart>
      <c:lineChart>
        <c:grouping val="standard"/>
        <c:varyColors val="0"/>
        <c:ser>
          <c:idx val="2"/>
          <c:order val="2"/>
          <c:tx>
            <c:strRef>
              <c:f>'C:\Users\RAZER\Desktop\[Графика ДЦУ КДДУ 23-25 от 20-4-2023.xlsx]Консолидиран дълг СДУ'!$A$6</c:f>
              <c:strCache>
                <c:ptCount val="1"/>
                <c:pt idx="0">
                  <c:v>Консолидиран дълг на сектор "Държавно управление"/БВП (%)</c:v>
                </c:pt>
              </c:strCache>
            </c:strRef>
          </c:tx>
          <c:spPr>
            <a:ln w="28575" cap="rnd">
              <a:solidFill>
                <a:schemeClr val="accent3"/>
              </a:solidFill>
              <a:round/>
            </a:ln>
            <a:effectLst/>
          </c:spPr>
          <c:marker>
            <c:symbol val="none"/>
          </c:marker>
          <c:dLbls>
            <c:dLbl>
              <c:idx val="0"/>
              <c:layout>
                <c:manualLayout>
                  <c:x val="1.3643926395421578E-3"/>
                  <c:y val="-1.880254905318555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CAB-4314-A099-C651812D3DEA}"/>
                </c:ext>
              </c:extLst>
            </c:dLbl>
            <c:dLbl>
              <c:idx val="1"/>
              <c:layout>
                <c:manualLayout>
                  <c:x val="-2.455906751175934E-2"/>
                  <c:y val="-3.760509810637114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CAB-4314-A099-C651812D3DEA}"/>
                </c:ext>
              </c:extLst>
            </c:dLbl>
            <c:dLbl>
              <c:idx val="2"/>
              <c:layout>
                <c:manualLayout>
                  <c:x val="-2.8652245430385841E-2"/>
                  <c:y val="-3.551592598935048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CAB-4314-A099-C651812D3DEA}"/>
                </c:ext>
              </c:extLst>
            </c:dLbl>
            <c:dLbl>
              <c:idx val="3"/>
              <c:layout>
                <c:manualLayout>
                  <c:x val="-4.3276327747167317E-2"/>
                  <c:y val="-2.924847877161422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8CAB-4314-A099-C651812D3DEA}"/>
                </c:ext>
              </c:extLst>
            </c:dLbl>
            <c:dLbl>
              <c:idx val="4"/>
              <c:layout>
                <c:manualLayout>
                  <c:x val="-5.2461916836666601E-2"/>
                  <c:y val="-3.561728941185720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8CAB-4314-A099-C651812D3DEA}"/>
                </c:ext>
              </c:extLst>
            </c:dLbl>
            <c:dLbl>
              <c:idx val="5"/>
              <c:layout>
                <c:manualLayout>
                  <c:x val="-6.9410815173527152E-2"/>
                  <c:y val="-3.73134328358209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8CAB-4314-A099-C651812D3DEA}"/>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'[2]Консолидиран дълг СДУ'!$B$2:$F$2</c:f>
              <c:strCache>
                <c:ptCount val="5"/>
                <c:pt idx="0">
                  <c:v>2021 - отчет</c:v>
                </c:pt>
                <c:pt idx="1">
                  <c:v>2022 - отчет предв. данни</c:v>
                </c:pt>
                <c:pt idx="2">
                  <c:v>2023 - очаквано</c:v>
                </c:pt>
                <c:pt idx="3">
                  <c:v>2024 прогноза</c:v>
                </c:pt>
                <c:pt idx="4">
                  <c:v>2025 прогноза</c:v>
                </c:pt>
              </c:strCache>
              <c:extLst/>
            </c:strRef>
          </c:cat>
          <c:val>
            <c:numRef>
              <c:f>'[1]граф. сектор ДУ'!$B$6:$G$6</c:f>
              <c:numCache>
                <c:formatCode>General</c:formatCode>
                <c:ptCount val="6"/>
                <c:pt idx="0">
                  <c:v>0.23942043212139827</c:v>
                </c:pt>
                <c:pt idx="1">
                  <c:v>0.22555700096537143</c:v>
                </c:pt>
                <c:pt idx="2">
                  <c:v>0.22414699422437195</c:v>
                </c:pt>
                <c:pt idx="3">
                  <c:v>0.24247253237620756</c:v>
                </c:pt>
                <c:pt idx="4">
                  <c:v>0.26509955363138077</c:v>
                </c:pt>
                <c:pt idx="5">
                  <c:v>0.28872712233039599</c:v>
                </c:pt>
              </c:numCache>
            </c:numRef>
          </c:val>
          <c:smooth val="0"/>
          <c:extLst>
            <c:ext xmlns:c16="http://schemas.microsoft.com/office/drawing/2014/chart" uri="{C3380CC4-5D6E-409C-BE32-E72D297353CC}">
              <c16:uniqueId val="{00000008-8CAB-4314-A099-C651812D3DEA}"/>
            </c:ext>
          </c:extLst>
        </c:ser>
        <c:ser>
          <c:idx val="3"/>
          <c:order val="3"/>
          <c:tx>
            <c:strRef>
              <c:f>'C:\Users\RAZER\Desktop\[Графика ДЦУ КДДУ 23-25 от 20-4-2023.xlsx]Консолидиран дълг СДУ'!$A$7</c:f>
              <c:strCache>
                <c:ptCount val="1"/>
                <c:pt idx="0">
                  <c:v>Дълг на подсектор "Централно управление"/БВП (%)</c:v>
                </c:pt>
              </c:strCache>
            </c:strRef>
          </c:tx>
          <c:spPr>
            <a:ln w="28575" cap="rnd">
              <a:solidFill>
                <a:schemeClr val="accent4"/>
              </a:solidFill>
              <a:round/>
            </a:ln>
            <a:effectLst/>
          </c:spPr>
          <c:marker>
            <c:symbol val="none"/>
          </c:marker>
          <c:dLbls>
            <c:dLbl>
              <c:idx val="0"/>
              <c:layout>
                <c:manualLayout>
                  <c:x val="0"/>
                  <c:y val="2.924840963828859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8CAB-4314-A099-C651812D3DEA}"/>
                </c:ext>
              </c:extLst>
            </c:dLbl>
            <c:dLbl>
              <c:idx val="1"/>
              <c:layout>
                <c:manualLayout>
                  <c:x val="-1.9101510616257773E-2"/>
                  <c:y val="3.047155622401127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8CAB-4314-A099-C651812D3DEA}"/>
                </c:ext>
              </c:extLst>
            </c:dLbl>
            <c:dLbl>
              <c:idx val="2"/>
              <c:layout>
                <c:manualLayout>
                  <c:x val="1.364392639542183E-3"/>
                  <c:y val="1.25350327021237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8CAB-4314-A099-C651812D3DEA}"/>
                </c:ext>
              </c:extLst>
            </c:dLbl>
            <c:dLbl>
              <c:idx val="3"/>
              <c:layout>
                <c:manualLayout>
                  <c:x val="6.0725883840789903E-3"/>
                  <c:y val="1.752887630619206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8CAB-4314-A099-C651812D3DEA}"/>
                </c:ext>
              </c:extLst>
            </c:dLbl>
            <c:dLbl>
              <c:idx val="4"/>
              <c:layout>
                <c:manualLayout>
                  <c:x val="1.0915141116337363E-2"/>
                  <c:y val="4.178344234041214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8CAB-4314-A099-C651812D3DEA}"/>
                </c:ext>
              </c:extLst>
            </c:dLbl>
            <c:dLbl>
              <c:idx val="5"/>
              <c:layout>
                <c:manualLayout>
                  <c:x val="1.1299435028248588E-2"/>
                  <c:y val="-2.73631840796019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8CAB-4314-A099-C651812D3DEA}"/>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'[2]Консолидиран дълг СДУ'!$B$2:$F$2</c:f>
              <c:strCache>
                <c:ptCount val="5"/>
                <c:pt idx="0">
                  <c:v>2021 - отчет</c:v>
                </c:pt>
                <c:pt idx="1">
                  <c:v>2022 - отчет предв. данни</c:v>
                </c:pt>
                <c:pt idx="2">
                  <c:v>2023 - очаквано</c:v>
                </c:pt>
                <c:pt idx="3">
                  <c:v>2024 прогноза</c:v>
                </c:pt>
                <c:pt idx="4">
                  <c:v>2025 прогноза</c:v>
                </c:pt>
              </c:strCache>
              <c:extLst/>
            </c:strRef>
          </c:cat>
          <c:val>
            <c:numRef>
              <c:f>'[1]граф. сектор ДУ'!$B$7:$G$7</c:f>
              <c:numCache>
                <c:formatCode>General</c:formatCode>
                <c:ptCount val="6"/>
                <c:pt idx="0">
                  <c:v>0.23407901950200297</c:v>
                </c:pt>
                <c:pt idx="1">
                  <c:v>0.22105239801522891</c:v>
                </c:pt>
                <c:pt idx="2">
                  <c:v>0.21863716935223856</c:v>
                </c:pt>
                <c:pt idx="3">
                  <c:v>0.23718471721336074</c:v>
                </c:pt>
                <c:pt idx="4">
                  <c:v>0.26025407625351388</c:v>
                </c:pt>
                <c:pt idx="5">
                  <c:v>0.28435851783518795</c:v>
                </c:pt>
              </c:numCache>
            </c:numRef>
          </c:val>
          <c:smooth val="0"/>
          <c:extLst>
            <c:ext xmlns:c16="http://schemas.microsoft.com/office/drawing/2014/chart" uri="{C3380CC4-5D6E-409C-BE32-E72D297353CC}">
              <c16:uniqueId val="{0000000F-8CAB-4314-A099-C651812D3DEA}"/>
            </c:ext>
          </c:extLst>
        </c:ser>
        <c:dLbls>
          <c:showLegendKey val="0"/>
          <c:showVal val="0"/>
          <c:showCatName val="0"/>
          <c:showSerName val="0"/>
          <c:showPercent val="0"/>
          <c:showBubbleSize val="0"/>
        </c:dLbls>
        <c:marker val="1"/>
        <c:smooth val="0"/>
        <c:axId val="639972880"/>
        <c:axId val="639972336"/>
      </c:lineChart>
      <c:catAx>
        <c:axId val="7277156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727717312"/>
        <c:crosses val="autoZero"/>
        <c:auto val="1"/>
        <c:lblAlgn val="ctr"/>
        <c:lblOffset val="100"/>
        <c:noMultiLvlLbl val="0"/>
      </c:catAx>
      <c:valAx>
        <c:axId val="72771731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727715680"/>
        <c:crosses val="autoZero"/>
        <c:crossBetween val="between"/>
      </c:valAx>
      <c:valAx>
        <c:axId val="639972336"/>
        <c:scaling>
          <c:orientation val="minMax"/>
        </c:scaling>
        <c:delete val="0"/>
        <c:axPos val="r"/>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639972880"/>
        <c:crosses val="max"/>
        <c:crossBetween val="between"/>
      </c:valAx>
      <c:catAx>
        <c:axId val="639972880"/>
        <c:scaling>
          <c:orientation val="minMax"/>
        </c:scaling>
        <c:delete val="1"/>
        <c:axPos val="b"/>
        <c:numFmt formatCode="General" sourceLinked="1"/>
        <c:majorTickMark val="none"/>
        <c:minorTickMark val="none"/>
        <c:tickLblPos val="nextTo"/>
        <c:crossAx val="639972336"/>
        <c:crosses val="autoZero"/>
        <c:auto val="1"/>
        <c:lblAlgn val="ctr"/>
        <c:lblOffset val="100"/>
        <c:noMultiLvlLbl val="0"/>
      </c:catAx>
      <c:spPr>
        <a:noFill/>
        <a:ln>
          <a:noFill/>
        </a:ln>
        <a:effectLst/>
      </c:spPr>
    </c:plotArea>
    <c:legend>
      <c:legendPos val="b"/>
      <c:layout>
        <c:manualLayout>
          <c:xMode val="edge"/>
          <c:yMode val="edge"/>
          <c:x val="4.621291963642362E-2"/>
          <c:y val="0.84245588532202709"/>
          <c:w val="0.88957400446223167"/>
          <c:h val="0.1425627565785046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4">
    <c:autoUpdate val="0"/>
  </c:externalData>
  <c:userShapes r:id="rId5"/>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39"/>
    </mc:Choice>
    <mc:Fallback>
      <c:style val="39"/>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1.3639958856494289E-2"/>
          <c:y val="2.174546786302875E-2"/>
          <c:w val="0.68571645230213474"/>
          <c:h val="0.87175232021076732"/>
        </c:manualLayout>
      </c:layout>
      <c:barChart>
        <c:barDir val="col"/>
        <c:grouping val="percentStacked"/>
        <c:varyColors val="0"/>
        <c:ser>
          <c:idx val="0"/>
          <c:order val="0"/>
          <c:tx>
            <c:strRef>
              <c:f>Sheet1!$A$2</c:f>
              <c:strCache>
                <c:ptCount val="1"/>
                <c:pt idx="0">
                  <c:v>Данъчни приходи</c:v>
                </c:pt>
              </c:strCache>
            </c:strRef>
          </c:tx>
          <c:invertIfNegative val="0"/>
          <c:dLbls>
            <c:dLbl>
              <c:idx val="0"/>
              <c:layout>
                <c:manualLayout>
                  <c:x val="1.1018859254809298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229B-4F50-9E52-C4190B0C8AF3}"/>
                </c:ext>
              </c:extLst>
            </c:dLbl>
            <c:dLbl>
              <c:idx val="1"/>
              <c:layout>
                <c:manualLayout>
                  <c:x val="1.3222631105771158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29B-4F50-9E52-C4190B0C8AF3}"/>
                </c:ext>
              </c:extLst>
            </c:dLbl>
            <c:dLbl>
              <c:idx val="2"/>
              <c:layout>
                <c:manualLayout>
                  <c:x val="1.3222631105771158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29B-4F50-9E52-C4190B0C8AF3}"/>
                </c:ext>
              </c:extLst>
            </c:dLbl>
            <c:dLbl>
              <c:idx val="3"/>
              <c:layout>
                <c:manualLayout>
                  <c:x val="1.3222631105771158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29B-4F50-9E52-C4190B0C8AF3}"/>
                </c:ext>
              </c:extLst>
            </c:dLbl>
            <c:numFmt formatCode="0.0%" sourceLinked="0"/>
            <c:spPr>
              <a:noFill/>
              <a:ln>
                <a:noFill/>
              </a:ln>
              <a:effectLst/>
            </c:spPr>
            <c:txPr>
              <a:bodyPr rot="0" vert="horz"/>
              <a:lstStyle/>
              <a:p>
                <a:pPr>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Sheet1!$B$1:$F$1</c:f>
              <c:strCache>
                <c:ptCount val="4"/>
                <c:pt idx="0">
                  <c:v>2023 Очакв.</c:v>
                </c:pt>
                <c:pt idx="1">
                  <c:v>2024 п</c:v>
                </c:pt>
                <c:pt idx="2">
                  <c:v>2025 п</c:v>
                </c:pt>
                <c:pt idx="3">
                  <c:v>2026 п</c:v>
                </c:pt>
              </c:strCache>
            </c:strRef>
          </c:cat>
          <c:val>
            <c:numRef>
              <c:f>Sheet1!$B$2:$F$2</c:f>
              <c:numCache>
                <c:formatCode>0.0%</c:formatCode>
                <c:ptCount val="4"/>
                <c:pt idx="0">
                  <c:v>0.55635370759368996</c:v>
                </c:pt>
                <c:pt idx="1">
                  <c:v>0.53348005263727638</c:v>
                </c:pt>
                <c:pt idx="2">
                  <c:v>0.53347779648997706</c:v>
                </c:pt>
                <c:pt idx="3">
                  <c:v>0.54334632795669136</c:v>
                </c:pt>
              </c:numCache>
            </c:numRef>
          </c:val>
          <c:extLst>
            <c:ext xmlns:c16="http://schemas.microsoft.com/office/drawing/2014/chart" uri="{C3380CC4-5D6E-409C-BE32-E72D297353CC}">
              <c16:uniqueId val="{00000004-229B-4F50-9E52-C4190B0C8AF3}"/>
            </c:ext>
          </c:extLst>
        </c:ser>
        <c:ser>
          <c:idx val="1"/>
          <c:order val="1"/>
          <c:tx>
            <c:strRef>
              <c:f>Sheet1!$A$3</c:f>
              <c:strCache>
                <c:ptCount val="1"/>
                <c:pt idx="0">
                  <c:v>Приходи на социалното и здравното осигуряване</c:v>
                </c:pt>
              </c:strCache>
            </c:strRef>
          </c:tx>
          <c:invertIfNegative val="0"/>
          <c:dLbls>
            <c:dLbl>
              <c:idx val="0"/>
              <c:layout>
                <c:manualLayout>
                  <c:x val="2.2134674044122862E-2"/>
                  <c:y val="3.5191131835460436E-6"/>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229B-4F50-9E52-C4190B0C8AF3}"/>
                </c:ext>
              </c:extLst>
            </c:dLbl>
            <c:dLbl>
              <c:idx val="1"/>
              <c:layout>
                <c:manualLayout>
                  <c:x val="6.9493407531824826E-3"/>
                  <c:y val="-8.6281560149773506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229B-4F50-9E52-C4190B0C8AF3}"/>
                </c:ext>
              </c:extLst>
            </c:dLbl>
            <c:dLbl>
              <c:idx val="2"/>
              <c:layout>
                <c:manualLayout>
                  <c:x val="1.1309255764516957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229B-4F50-9E52-C4190B0C8AF3}"/>
                </c:ext>
              </c:extLst>
            </c:dLbl>
            <c:dLbl>
              <c:idx val="3"/>
              <c:layout>
                <c:manualLayout>
                  <c:x val="1.3561354417474594E-2"/>
                  <c:y val="4.9019607843137254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229B-4F50-9E52-C4190B0C8AF3}"/>
                </c:ext>
              </c:extLst>
            </c:dLbl>
            <c:numFmt formatCode="0.0%" sourceLinked="0"/>
            <c:spPr>
              <a:noFill/>
              <a:ln>
                <a:noFill/>
              </a:ln>
              <a:effectLst/>
            </c:spPr>
            <c:txPr>
              <a:bodyPr rot="0" vert="horz" lIns="38100" tIns="19050" rIns="38100" bIns="19050" anchorCtr="0">
                <a:spAutoFit/>
              </a:bodyPr>
              <a:lstStyle/>
              <a:p>
                <a:pPr algn="r">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Sheet1!$B$1:$F$1</c:f>
              <c:strCache>
                <c:ptCount val="4"/>
                <c:pt idx="0">
                  <c:v>2023 Очакв.</c:v>
                </c:pt>
                <c:pt idx="1">
                  <c:v>2024 п</c:v>
                </c:pt>
                <c:pt idx="2">
                  <c:v>2025 п</c:v>
                </c:pt>
                <c:pt idx="3">
                  <c:v>2026 п</c:v>
                </c:pt>
              </c:strCache>
            </c:strRef>
          </c:cat>
          <c:val>
            <c:numRef>
              <c:f>Sheet1!$B$3:$F$3</c:f>
              <c:numCache>
                <c:formatCode>0.0%</c:formatCode>
                <c:ptCount val="4"/>
                <c:pt idx="0">
                  <c:v>0.23055820712734496</c:v>
                </c:pt>
                <c:pt idx="1">
                  <c:v>0.23583736500253558</c:v>
                </c:pt>
                <c:pt idx="2">
                  <c:v>0.24022474431030608</c:v>
                </c:pt>
                <c:pt idx="3">
                  <c:v>0.2454323926328951</c:v>
                </c:pt>
              </c:numCache>
            </c:numRef>
          </c:val>
          <c:extLst>
            <c:ext xmlns:c16="http://schemas.microsoft.com/office/drawing/2014/chart" uri="{C3380CC4-5D6E-409C-BE32-E72D297353CC}">
              <c16:uniqueId val="{00000009-229B-4F50-9E52-C4190B0C8AF3}"/>
            </c:ext>
          </c:extLst>
        </c:ser>
        <c:ser>
          <c:idx val="2"/>
          <c:order val="2"/>
          <c:tx>
            <c:strRef>
              <c:f>Sheet1!$A$4</c:f>
              <c:strCache>
                <c:ptCount val="1"/>
                <c:pt idx="0">
                  <c:v>Неданъчни приходи</c:v>
                </c:pt>
              </c:strCache>
            </c:strRef>
          </c:tx>
          <c:invertIfNegative val="0"/>
          <c:dLbls>
            <c:dLbl>
              <c:idx val="0"/>
              <c:layout>
                <c:manualLayout>
                  <c:x val="2.2037718509618595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229B-4F50-9E52-C4190B0C8AF3}"/>
                </c:ext>
              </c:extLst>
            </c:dLbl>
            <c:dLbl>
              <c:idx val="1"/>
              <c:layout>
                <c:manualLayout>
                  <c:x val="2.2037674055091525E-2"/>
                  <c:y val="-7.4415674784837939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229B-4F50-9E52-C4190B0C8AF3}"/>
                </c:ext>
              </c:extLst>
            </c:dLbl>
            <c:dLbl>
              <c:idx val="2"/>
              <c:layout>
                <c:manualLayout>
                  <c:x val="2.2037718509618595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229B-4F50-9E52-C4190B0C8AF3}"/>
                </c:ext>
              </c:extLst>
            </c:dLbl>
            <c:dLbl>
              <c:idx val="3"/>
              <c:layout>
                <c:manualLayout>
                  <c:x val="1.101841608641895E-2"/>
                  <c:y val="4.9019607843137029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229B-4F50-9E52-C4190B0C8AF3}"/>
                </c:ext>
              </c:extLst>
            </c:dLbl>
            <c:numFmt formatCode="0.0%" sourceLinked="0"/>
            <c:spPr>
              <a:noFill/>
              <a:ln>
                <a:noFill/>
              </a:ln>
              <a:effectLst/>
            </c:spPr>
            <c:txPr>
              <a:bodyPr rot="0" vert="horz" anchorCtr="0"/>
              <a:lstStyle/>
              <a:p>
                <a:pPr algn="ctr">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Sheet1!$B$1:$F$1</c:f>
              <c:strCache>
                <c:ptCount val="4"/>
                <c:pt idx="0">
                  <c:v>2023 Очакв.</c:v>
                </c:pt>
                <c:pt idx="1">
                  <c:v>2024 п</c:v>
                </c:pt>
                <c:pt idx="2">
                  <c:v>2025 п</c:v>
                </c:pt>
                <c:pt idx="3">
                  <c:v>2026 п</c:v>
                </c:pt>
              </c:strCache>
            </c:strRef>
          </c:cat>
          <c:val>
            <c:numRef>
              <c:f>Sheet1!$B$4:$F$4</c:f>
              <c:numCache>
                <c:formatCode>0.0%</c:formatCode>
                <c:ptCount val="4"/>
                <c:pt idx="0">
                  <c:v>0.15970612082005245</c:v>
                </c:pt>
                <c:pt idx="1">
                  <c:v>0.13647867316398407</c:v>
                </c:pt>
                <c:pt idx="2">
                  <c:v>0.14319270307555351</c:v>
                </c:pt>
                <c:pt idx="3">
                  <c:v>0.14591463349165801</c:v>
                </c:pt>
              </c:numCache>
            </c:numRef>
          </c:val>
          <c:extLst>
            <c:ext xmlns:c16="http://schemas.microsoft.com/office/drawing/2014/chart" uri="{C3380CC4-5D6E-409C-BE32-E72D297353CC}">
              <c16:uniqueId val="{0000000E-229B-4F50-9E52-C4190B0C8AF3}"/>
            </c:ext>
          </c:extLst>
        </c:ser>
        <c:ser>
          <c:idx val="3"/>
          <c:order val="3"/>
          <c:tx>
            <c:strRef>
              <c:f>Sheet1!$A$5</c:f>
              <c:strCache>
                <c:ptCount val="1"/>
                <c:pt idx="0">
                  <c:v>Помощи и дарения</c:v>
                </c:pt>
              </c:strCache>
            </c:strRef>
          </c:tx>
          <c:invertIfNegative val="0"/>
          <c:dLbls>
            <c:dLbl>
              <c:idx val="0"/>
              <c:layout>
                <c:manualLayout>
                  <c:x val="1.801784067532099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229B-4F50-9E52-C4190B0C8AF3}"/>
                </c:ext>
              </c:extLst>
            </c:dLbl>
            <c:dLbl>
              <c:idx val="1"/>
              <c:layout>
                <c:manualLayout>
                  <c:x val="2.0270270270270271E-2"/>
                  <c:y val="-3.7243947858472998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229B-4F50-9E52-C4190B0C8AF3}"/>
                </c:ext>
              </c:extLst>
            </c:dLbl>
            <c:dLbl>
              <c:idx val="2"/>
              <c:layout>
                <c:manualLayout>
                  <c:x val="1.8357893640926423E-2"/>
                  <c:y val="-6.0553579926721189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229B-4F50-9E52-C4190B0C8AF3}"/>
                </c:ext>
              </c:extLst>
            </c:dLbl>
            <c:dLbl>
              <c:idx val="3"/>
              <c:layout>
                <c:manualLayout>
                  <c:x val="2.0626840938569587E-2"/>
                  <c:y val="-3.7297801789924856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229B-4F50-9E52-C4190B0C8AF3}"/>
                </c:ext>
              </c:extLst>
            </c:dLbl>
            <c:spPr>
              <a:noFill/>
              <a:ln>
                <a:noFill/>
              </a:ln>
              <a:effectLst/>
            </c:spPr>
            <c:txPr>
              <a:bodyPr rot="0" vert="horz" anchorCtr="0"/>
              <a:lstStyle/>
              <a:p>
                <a:pPr algn="ctr">
                  <a:defRPr/>
                </a:pPr>
                <a:endParaRPr lang="bg-BG"/>
              </a:p>
            </c:txPr>
            <c:showLegendKey val="1"/>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Sheet1!$B$1:$F$1</c:f>
              <c:strCache>
                <c:ptCount val="4"/>
                <c:pt idx="0">
                  <c:v>2023 Очакв.</c:v>
                </c:pt>
                <c:pt idx="1">
                  <c:v>2024 п</c:v>
                </c:pt>
                <c:pt idx="2">
                  <c:v>2025 п</c:v>
                </c:pt>
                <c:pt idx="3">
                  <c:v>2026 п</c:v>
                </c:pt>
              </c:strCache>
            </c:strRef>
          </c:cat>
          <c:val>
            <c:numRef>
              <c:f>Sheet1!$B$5:$F$5</c:f>
              <c:numCache>
                <c:formatCode>0.0%</c:formatCode>
                <c:ptCount val="4"/>
                <c:pt idx="0">
                  <c:v>5.3381964458912509E-2</c:v>
                </c:pt>
                <c:pt idx="1">
                  <c:v>9.4203909196204E-2</c:v>
                </c:pt>
                <c:pt idx="2">
                  <c:v>8.3104756124163473E-2</c:v>
                </c:pt>
                <c:pt idx="3">
                  <c:v>6.5306645918755429E-2</c:v>
                </c:pt>
              </c:numCache>
            </c:numRef>
          </c:val>
          <c:extLst>
            <c:ext xmlns:c16="http://schemas.microsoft.com/office/drawing/2014/chart" uri="{C3380CC4-5D6E-409C-BE32-E72D297353CC}">
              <c16:uniqueId val="{00000013-229B-4F50-9E52-C4190B0C8AF3}"/>
            </c:ext>
          </c:extLst>
        </c:ser>
        <c:dLbls>
          <c:showLegendKey val="0"/>
          <c:showVal val="0"/>
          <c:showCatName val="0"/>
          <c:showSerName val="0"/>
          <c:showPercent val="0"/>
          <c:showBubbleSize val="0"/>
        </c:dLbls>
        <c:gapWidth val="60"/>
        <c:overlap val="100"/>
        <c:axId val="291344768"/>
        <c:axId val="291346304"/>
      </c:barChart>
      <c:catAx>
        <c:axId val="291344768"/>
        <c:scaling>
          <c:orientation val="minMax"/>
        </c:scaling>
        <c:delete val="0"/>
        <c:axPos val="b"/>
        <c:numFmt formatCode="General" sourceLinked="1"/>
        <c:majorTickMark val="out"/>
        <c:minorTickMark val="none"/>
        <c:tickLblPos val="nextTo"/>
        <c:txPr>
          <a:bodyPr rot="-60000000" vert="horz"/>
          <a:lstStyle/>
          <a:p>
            <a:pPr>
              <a:defRPr/>
            </a:pPr>
            <a:endParaRPr lang="bg-BG"/>
          </a:p>
        </c:txPr>
        <c:crossAx val="291346304"/>
        <c:crosses val="autoZero"/>
        <c:auto val="1"/>
        <c:lblAlgn val="ctr"/>
        <c:lblOffset val="100"/>
        <c:noMultiLvlLbl val="0"/>
      </c:catAx>
      <c:valAx>
        <c:axId val="291346304"/>
        <c:scaling>
          <c:orientation val="minMax"/>
        </c:scaling>
        <c:delete val="1"/>
        <c:axPos val="l"/>
        <c:numFmt formatCode="0%" sourceLinked="1"/>
        <c:majorTickMark val="out"/>
        <c:minorTickMark val="none"/>
        <c:tickLblPos val="nextTo"/>
        <c:crossAx val="291344768"/>
        <c:crosses val="autoZero"/>
        <c:crossBetween val="between"/>
      </c:valAx>
    </c:plotArea>
    <c:legend>
      <c:legendPos val="r"/>
      <c:layout>
        <c:manualLayout>
          <c:xMode val="edge"/>
          <c:yMode val="edge"/>
          <c:x val="0.72553095568936232"/>
          <c:y val="5.0380066128097624E-3"/>
          <c:w val="0.27446904431063768"/>
          <c:h val="0.79257365556578152"/>
        </c:manualLayout>
      </c:layout>
      <c:overlay val="0"/>
      <c:txPr>
        <a:bodyPr rot="0" vert="horz"/>
        <a:lstStyle/>
        <a:p>
          <a:pPr>
            <a:defRPr/>
          </a:pPr>
          <a:endParaRPr lang="bg-BG"/>
        </a:p>
      </c:txPr>
    </c:legend>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29"/>
    </mc:Choice>
    <mc:Fallback>
      <c:style val="29"/>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1683478445068936"/>
          <c:y val="3.9586098121034606E-2"/>
          <c:w val="0.67212858866732061"/>
          <c:h val="0.52296957781323317"/>
        </c:manualLayout>
      </c:layout>
      <c:barChart>
        <c:barDir val="bar"/>
        <c:grouping val="stacked"/>
        <c:varyColors val="0"/>
        <c:ser>
          <c:idx val="0"/>
          <c:order val="0"/>
          <c:tx>
            <c:strRef>
              <c:f>Sheet1!$A$2</c:f>
              <c:strCache>
                <c:ptCount val="1"/>
                <c:pt idx="0">
                  <c:v>Текущи нелихвени разходи и др.</c:v>
                </c:pt>
              </c:strCache>
            </c:strRef>
          </c:tx>
          <c:spPr>
            <a:solidFill>
              <a:srgbClr val="F2DADA">
                <a:alpha val="82353"/>
              </a:srgbClr>
            </a:solidFill>
          </c:spPr>
          <c:invertIfNegative val="0"/>
          <c:dLbls>
            <c:spPr>
              <a:noFill/>
              <a:ln>
                <a:noFill/>
              </a:ln>
              <a:effectLst/>
            </c:spPr>
            <c:txPr>
              <a:bodyPr rot="0" vert="horz"/>
              <a:lstStyle/>
              <a:p>
                <a:pPr>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Sheet1!$B$1:$E$1</c:f>
              <c:strCache>
                <c:ptCount val="4"/>
                <c:pt idx="0">
                  <c:v>2023 Програма</c:v>
                </c:pt>
                <c:pt idx="1">
                  <c:v>2024 п</c:v>
                </c:pt>
                <c:pt idx="2">
                  <c:v>2025 п</c:v>
                </c:pt>
                <c:pt idx="3">
                  <c:v>2026 п</c:v>
                </c:pt>
              </c:strCache>
            </c:strRef>
          </c:cat>
          <c:val>
            <c:numRef>
              <c:f>Sheet1!$B$2:$E$2</c:f>
              <c:numCache>
                <c:formatCode>0.0%</c:formatCode>
                <c:ptCount val="4"/>
                <c:pt idx="0">
                  <c:v>0.8473274697342148</c:v>
                </c:pt>
                <c:pt idx="1">
                  <c:v>0.83239886829706911</c:v>
                </c:pt>
                <c:pt idx="2">
                  <c:v>0.82816731679983302</c:v>
                </c:pt>
                <c:pt idx="3">
                  <c:v>0.8276189329013296</c:v>
                </c:pt>
              </c:numCache>
            </c:numRef>
          </c:val>
          <c:extLst>
            <c:ext xmlns:c16="http://schemas.microsoft.com/office/drawing/2014/chart" uri="{C3380CC4-5D6E-409C-BE32-E72D297353CC}">
              <c16:uniqueId val="{00000000-AAC2-41D8-81E0-F17B8859AF62}"/>
            </c:ext>
          </c:extLst>
        </c:ser>
        <c:ser>
          <c:idx val="1"/>
          <c:order val="1"/>
          <c:tx>
            <c:strRef>
              <c:f>Sheet1!$A$3</c:f>
              <c:strCache>
                <c:ptCount val="1"/>
                <c:pt idx="0">
                  <c:v>Капиталови разходи</c:v>
                </c:pt>
              </c:strCache>
            </c:strRef>
          </c:tx>
          <c:spPr>
            <a:solidFill>
              <a:srgbClr val="C0504D">
                <a:lumMod val="40000"/>
                <a:lumOff val="60000"/>
              </a:srgbClr>
            </a:solidFill>
          </c:spPr>
          <c:invertIfNegative val="0"/>
          <c:dLbls>
            <c:spPr>
              <a:noFill/>
              <a:ln>
                <a:noFill/>
              </a:ln>
              <a:effectLst/>
            </c:spPr>
            <c:txPr>
              <a:bodyPr rot="0" vert="horz"/>
              <a:lstStyle/>
              <a:p>
                <a:pPr>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Sheet1!$B$1:$E$1</c:f>
              <c:strCache>
                <c:ptCount val="4"/>
                <c:pt idx="0">
                  <c:v>2023 Програма</c:v>
                </c:pt>
                <c:pt idx="1">
                  <c:v>2024 п</c:v>
                </c:pt>
                <c:pt idx="2">
                  <c:v>2025 п</c:v>
                </c:pt>
                <c:pt idx="3">
                  <c:v>2026 п</c:v>
                </c:pt>
              </c:strCache>
            </c:strRef>
          </c:cat>
          <c:val>
            <c:numRef>
              <c:f>Sheet1!$B$3:$E$3</c:f>
              <c:numCache>
                <c:formatCode>0.0%</c:formatCode>
                <c:ptCount val="4"/>
                <c:pt idx="0">
                  <c:v>0.10941893263992994</c:v>
                </c:pt>
                <c:pt idx="1">
                  <c:v>0.1227284918937733</c:v>
                </c:pt>
                <c:pt idx="2">
                  <c:v>0.1250806336392955</c:v>
                </c:pt>
                <c:pt idx="3">
                  <c:v>0.11906311326458477</c:v>
                </c:pt>
              </c:numCache>
            </c:numRef>
          </c:val>
          <c:extLst>
            <c:ext xmlns:c16="http://schemas.microsoft.com/office/drawing/2014/chart" uri="{C3380CC4-5D6E-409C-BE32-E72D297353CC}">
              <c16:uniqueId val="{00000001-AAC2-41D8-81E0-F17B8859AF62}"/>
            </c:ext>
          </c:extLst>
        </c:ser>
        <c:ser>
          <c:idx val="2"/>
          <c:order val="2"/>
          <c:tx>
            <c:strRef>
              <c:f>Sheet1!$A$4</c:f>
              <c:strCache>
                <c:ptCount val="1"/>
                <c:pt idx="0">
                  <c:v>Вноска в бюджета на ЕС</c:v>
                </c:pt>
              </c:strCache>
            </c:strRef>
          </c:tx>
          <c:spPr>
            <a:solidFill>
              <a:srgbClr val="C0504D">
                <a:lumMod val="60000"/>
                <a:lumOff val="40000"/>
              </a:srgbClr>
            </a:solidFill>
          </c:spPr>
          <c:invertIfNegative val="0"/>
          <c:cat>
            <c:strRef>
              <c:f>Sheet1!$B$1:$E$1</c:f>
              <c:strCache>
                <c:ptCount val="4"/>
                <c:pt idx="0">
                  <c:v>2023 Програма</c:v>
                </c:pt>
                <c:pt idx="1">
                  <c:v>2024 п</c:v>
                </c:pt>
                <c:pt idx="2">
                  <c:v>2025 п</c:v>
                </c:pt>
                <c:pt idx="3">
                  <c:v>2026 п</c:v>
                </c:pt>
              </c:strCache>
            </c:strRef>
          </c:cat>
          <c:val>
            <c:numRef>
              <c:f>Sheet1!$B$4:$E$4</c:f>
              <c:numCache>
                <c:formatCode>0.0%</c:formatCode>
                <c:ptCount val="4"/>
                <c:pt idx="0">
                  <c:v>2.7580791027257152E-2</c:v>
                </c:pt>
                <c:pt idx="1">
                  <c:v>2.7905997343956528E-2</c:v>
                </c:pt>
                <c:pt idx="2">
                  <c:v>2.4585725180084568E-2</c:v>
                </c:pt>
                <c:pt idx="3">
                  <c:v>2.4416617668261108E-2</c:v>
                </c:pt>
              </c:numCache>
            </c:numRef>
          </c:val>
          <c:extLst>
            <c:ext xmlns:c16="http://schemas.microsoft.com/office/drawing/2014/chart" uri="{C3380CC4-5D6E-409C-BE32-E72D297353CC}">
              <c16:uniqueId val="{00000002-AAC2-41D8-81E0-F17B8859AF62}"/>
            </c:ext>
          </c:extLst>
        </c:ser>
        <c:ser>
          <c:idx val="3"/>
          <c:order val="3"/>
          <c:tx>
            <c:strRef>
              <c:f>Sheet1!$A$5</c:f>
              <c:strCache>
                <c:ptCount val="1"/>
                <c:pt idx="0">
                  <c:v>Лихви</c:v>
                </c:pt>
              </c:strCache>
            </c:strRef>
          </c:tx>
          <c:spPr>
            <a:solidFill>
              <a:srgbClr val="C0504D">
                <a:lumMod val="75000"/>
              </a:srgbClr>
            </a:solidFill>
          </c:spPr>
          <c:invertIfNegative val="0"/>
          <c:cat>
            <c:strRef>
              <c:f>Sheet1!$B$1:$E$1</c:f>
              <c:strCache>
                <c:ptCount val="4"/>
                <c:pt idx="0">
                  <c:v>2023 Програма</c:v>
                </c:pt>
                <c:pt idx="1">
                  <c:v>2024 п</c:v>
                </c:pt>
                <c:pt idx="2">
                  <c:v>2025 п</c:v>
                </c:pt>
                <c:pt idx="3">
                  <c:v>2026 п</c:v>
                </c:pt>
              </c:strCache>
            </c:strRef>
          </c:cat>
          <c:val>
            <c:numRef>
              <c:f>Sheet1!$B$5:$E$5</c:f>
              <c:numCache>
                <c:formatCode>0.0%</c:formatCode>
                <c:ptCount val="4"/>
                <c:pt idx="0">
                  <c:v>1.1124277939666964E-2</c:v>
                </c:pt>
                <c:pt idx="1">
                  <c:v>1.2418215431032376E-2</c:v>
                </c:pt>
                <c:pt idx="2">
                  <c:v>1.7607911015242242E-2</c:v>
                </c:pt>
                <c:pt idx="3">
                  <c:v>2.4381723587588236E-2</c:v>
                </c:pt>
              </c:numCache>
            </c:numRef>
          </c:val>
          <c:extLst>
            <c:ext xmlns:c16="http://schemas.microsoft.com/office/drawing/2014/chart" uri="{C3380CC4-5D6E-409C-BE32-E72D297353CC}">
              <c16:uniqueId val="{00000003-AAC2-41D8-81E0-F17B8859AF62}"/>
            </c:ext>
          </c:extLst>
        </c:ser>
        <c:ser>
          <c:idx val="4"/>
          <c:order val="4"/>
          <c:tx>
            <c:strRef>
              <c:f>Sheet1!$A$6</c:f>
              <c:strCache>
                <c:ptCount val="1"/>
                <c:pt idx="0">
                  <c:v>Резерв за непредвидени и/или неотложни разходи</c:v>
                </c:pt>
              </c:strCache>
            </c:strRef>
          </c:tx>
          <c:spPr>
            <a:solidFill>
              <a:srgbClr val="C0504D">
                <a:lumMod val="50000"/>
              </a:srgbClr>
            </a:solidFill>
          </c:spPr>
          <c:invertIfNegative val="0"/>
          <c:cat>
            <c:strRef>
              <c:f>Sheet1!$B$1:$E$1</c:f>
              <c:strCache>
                <c:ptCount val="4"/>
                <c:pt idx="0">
                  <c:v>2023 Програма</c:v>
                </c:pt>
                <c:pt idx="1">
                  <c:v>2024 п</c:v>
                </c:pt>
                <c:pt idx="2">
                  <c:v>2025 п</c:v>
                </c:pt>
                <c:pt idx="3">
                  <c:v>2026 п</c:v>
                </c:pt>
              </c:strCache>
            </c:strRef>
          </c:cat>
          <c:val>
            <c:numRef>
              <c:f>Sheet1!$B$6:$E$6</c:f>
              <c:numCache>
                <c:formatCode>0.0%</c:formatCode>
                <c:ptCount val="4"/>
                <c:pt idx="0">
                  <c:v>4.5485286589310005E-3</c:v>
                </c:pt>
                <c:pt idx="1">
                  <c:v>4.5484270341687293E-3</c:v>
                </c:pt>
                <c:pt idx="2">
                  <c:v>4.5584133655445511E-3</c:v>
                </c:pt>
                <c:pt idx="3">
                  <c:v>4.5196125782363539E-3</c:v>
                </c:pt>
              </c:numCache>
            </c:numRef>
          </c:val>
          <c:extLst>
            <c:ext xmlns:c16="http://schemas.microsoft.com/office/drawing/2014/chart" uri="{C3380CC4-5D6E-409C-BE32-E72D297353CC}">
              <c16:uniqueId val="{00000004-AAC2-41D8-81E0-F17B8859AF62}"/>
            </c:ext>
          </c:extLst>
        </c:ser>
        <c:ser>
          <c:idx val="5"/>
          <c:order val="5"/>
          <c:tx>
            <c:strRef>
              <c:f>Sheet1!$A$7</c:f>
              <c:strCache>
                <c:ptCount val="1"/>
              </c:strCache>
            </c:strRef>
          </c:tx>
          <c:invertIfNegative val="0"/>
          <c:cat>
            <c:strRef>
              <c:f>Sheet1!$B$1:$E$1</c:f>
              <c:strCache>
                <c:ptCount val="4"/>
                <c:pt idx="0">
                  <c:v>2023 Програма</c:v>
                </c:pt>
                <c:pt idx="1">
                  <c:v>2024 п</c:v>
                </c:pt>
                <c:pt idx="2">
                  <c:v>2025 п</c:v>
                </c:pt>
                <c:pt idx="3">
                  <c:v>2026 п</c:v>
                </c:pt>
              </c:strCache>
            </c:strRef>
          </c:cat>
          <c:val>
            <c:numRef>
              <c:f>Sheet1!$B$7:$E$7</c:f>
            </c:numRef>
          </c:val>
          <c:extLst>
            <c:ext xmlns:c16="http://schemas.microsoft.com/office/drawing/2014/chart" uri="{C3380CC4-5D6E-409C-BE32-E72D297353CC}">
              <c16:uniqueId val="{00000005-AAC2-41D8-81E0-F17B8859AF62}"/>
            </c:ext>
          </c:extLst>
        </c:ser>
        <c:ser>
          <c:idx val="6"/>
          <c:order val="6"/>
          <c:tx>
            <c:strRef>
              <c:f>Sheet1!$A$8</c:f>
              <c:strCache>
                <c:ptCount val="1"/>
              </c:strCache>
            </c:strRef>
          </c:tx>
          <c:invertIfNegative val="0"/>
          <c:cat>
            <c:strRef>
              <c:f>Sheet1!$B$1:$E$1</c:f>
              <c:strCache>
                <c:ptCount val="4"/>
                <c:pt idx="0">
                  <c:v>2023 Програма</c:v>
                </c:pt>
                <c:pt idx="1">
                  <c:v>2024 п</c:v>
                </c:pt>
                <c:pt idx="2">
                  <c:v>2025 п</c:v>
                </c:pt>
                <c:pt idx="3">
                  <c:v>2026 п</c:v>
                </c:pt>
              </c:strCache>
            </c:strRef>
          </c:cat>
          <c:val>
            <c:numRef>
              <c:f>Sheet1!$B$8:$E$8</c:f>
            </c:numRef>
          </c:val>
          <c:extLst>
            <c:ext xmlns:c16="http://schemas.microsoft.com/office/drawing/2014/chart" uri="{C3380CC4-5D6E-409C-BE32-E72D297353CC}">
              <c16:uniqueId val="{00000006-AAC2-41D8-81E0-F17B8859AF62}"/>
            </c:ext>
          </c:extLst>
        </c:ser>
        <c:ser>
          <c:idx val="7"/>
          <c:order val="7"/>
          <c:tx>
            <c:strRef>
              <c:f>Sheet1!$A$9</c:f>
              <c:strCache>
                <c:ptCount val="1"/>
              </c:strCache>
            </c:strRef>
          </c:tx>
          <c:invertIfNegative val="0"/>
          <c:cat>
            <c:strRef>
              <c:f>Sheet1!$B$1:$E$1</c:f>
              <c:strCache>
                <c:ptCount val="4"/>
                <c:pt idx="0">
                  <c:v>2023 Програма</c:v>
                </c:pt>
                <c:pt idx="1">
                  <c:v>2024 п</c:v>
                </c:pt>
                <c:pt idx="2">
                  <c:v>2025 п</c:v>
                </c:pt>
                <c:pt idx="3">
                  <c:v>2026 п</c:v>
                </c:pt>
              </c:strCache>
            </c:strRef>
          </c:cat>
          <c:val>
            <c:numRef>
              <c:f>Sheet1!$B$9:$E$9</c:f>
            </c:numRef>
          </c:val>
          <c:extLst>
            <c:ext xmlns:c16="http://schemas.microsoft.com/office/drawing/2014/chart" uri="{C3380CC4-5D6E-409C-BE32-E72D297353CC}">
              <c16:uniqueId val="{00000007-AAC2-41D8-81E0-F17B8859AF62}"/>
            </c:ext>
          </c:extLst>
        </c:ser>
        <c:dLbls>
          <c:showLegendKey val="0"/>
          <c:showVal val="0"/>
          <c:showCatName val="0"/>
          <c:showSerName val="0"/>
          <c:showPercent val="0"/>
          <c:showBubbleSize val="0"/>
        </c:dLbls>
        <c:gapWidth val="28"/>
        <c:overlap val="100"/>
        <c:axId val="291523584"/>
        <c:axId val="291545856"/>
      </c:barChart>
      <c:catAx>
        <c:axId val="291523584"/>
        <c:scaling>
          <c:orientation val="minMax"/>
        </c:scaling>
        <c:delete val="0"/>
        <c:axPos val="l"/>
        <c:numFmt formatCode="General" sourceLinked="0"/>
        <c:majorTickMark val="none"/>
        <c:minorTickMark val="none"/>
        <c:tickLblPos val="nextTo"/>
        <c:txPr>
          <a:bodyPr rot="-60000000" vert="horz"/>
          <a:lstStyle/>
          <a:p>
            <a:pPr>
              <a:defRPr/>
            </a:pPr>
            <a:endParaRPr lang="bg-BG"/>
          </a:p>
        </c:txPr>
        <c:crossAx val="291545856"/>
        <c:crosses val="autoZero"/>
        <c:auto val="1"/>
        <c:lblAlgn val="ctr"/>
        <c:lblOffset val="100"/>
        <c:noMultiLvlLbl val="0"/>
      </c:catAx>
      <c:valAx>
        <c:axId val="291545856"/>
        <c:scaling>
          <c:orientation val="minMax"/>
          <c:max val="1"/>
        </c:scaling>
        <c:delete val="0"/>
        <c:axPos val="b"/>
        <c:numFmt formatCode="0.0%" sourceLinked="1"/>
        <c:majorTickMark val="out"/>
        <c:minorTickMark val="none"/>
        <c:tickLblPos val="nextTo"/>
        <c:txPr>
          <a:bodyPr rot="-60000000" vert="horz"/>
          <a:lstStyle/>
          <a:p>
            <a:pPr>
              <a:defRPr/>
            </a:pPr>
            <a:endParaRPr lang="bg-BG"/>
          </a:p>
        </c:txPr>
        <c:crossAx val="291523584"/>
        <c:crosses val="autoZero"/>
        <c:crossBetween val="between"/>
        <c:majorUnit val="0.2"/>
      </c:valAx>
      <c:dTable>
        <c:showHorzBorder val="1"/>
        <c:showVertBorder val="1"/>
        <c:showOutline val="0"/>
        <c:showKeys val="1"/>
      </c:dTable>
    </c:plotArea>
    <c:plotVisOnly val="1"/>
    <c:dispBlanksAs val="gap"/>
    <c:showDLblsOverMax val="0"/>
  </c:chart>
  <c:txPr>
    <a:bodyPr/>
    <a:lstStyle/>
    <a:p>
      <a:pPr>
        <a:defRPr>
          <a:solidFill>
            <a:sysClr val="windowText" lastClr="000000"/>
          </a:solidFill>
        </a:defRPr>
      </a:pPr>
      <a:endParaRPr lang="bg-BG"/>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9"/>
    </mc:Choice>
    <mc:Fallback>
      <c:style val="9"/>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4911694576910274E-2"/>
          <c:y val="9.9697629539426832E-2"/>
          <c:w val="0.83053691275167785"/>
          <c:h val="0.81755881432252142"/>
        </c:manualLayout>
      </c:layout>
      <c:barChart>
        <c:barDir val="col"/>
        <c:grouping val="clustered"/>
        <c:varyColors val="0"/>
        <c:ser>
          <c:idx val="0"/>
          <c:order val="0"/>
          <c:tx>
            <c:strRef>
              <c:f>Sheet1!$A$2</c:f>
              <c:strCache>
                <c:ptCount val="1"/>
                <c:pt idx="0">
                  <c:v>млн. лв.</c:v>
                </c:pt>
              </c:strCache>
            </c:strRef>
          </c:tx>
          <c:spPr>
            <a:solidFill>
              <a:srgbClr val="FBA68F"/>
            </a:solidFill>
            <a:ln>
              <a:solidFill>
                <a:srgbClr val="990000"/>
              </a:solidFill>
            </a:ln>
          </c:spPr>
          <c:invertIfNegative val="0"/>
          <c:dLbls>
            <c:dLbl>
              <c:idx val="0"/>
              <c:layout>
                <c:manualLayout>
                  <c:x val="-2.9709507042253541E-2"/>
                  <c:y val="1.3104095932962427E-2"/>
                </c:manualLayout>
              </c:layout>
              <c:numFmt formatCode="#,##0.0" sourceLinked="0"/>
              <c:spPr>
                <a:noFill/>
                <a:ln>
                  <a:noFill/>
                </a:ln>
                <a:effectLst/>
              </c:spPr>
              <c:txPr>
                <a:bodyPr wrap="square" lIns="38100" tIns="19050" rIns="38100" bIns="19050" anchor="ctr">
                  <a:noAutofit/>
                </a:bodyPr>
                <a:lstStyle/>
                <a:p>
                  <a:pPr>
                    <a:defRPr/>
                  </a:pPr>
                  <a:endParaRPr lang="bg-BG"/>
                </a:p>
              </c:txPr>
              <c:dLblPos val="outEnd"/>
              <c:showLegendKey val="0"/>
              <c:showVal val="1"/>
              <c:showCatName val="0"/>
              <c:showSerName val="0"/>
              <c:showPercent val="0"/>
              <c:showBubbleSize val="0"/>
              <c:extLst>
                <c:ext xmlns:c15="http://schemas.microsoft.com/office/drawing/2012/chart" uri="{CE6537A1-D6FC-4f65-9D91-7224C49458BB}">
                  <c15:layout>
                    <c:manualLayout>
                      <c:w val="0.1210387323943662"/>
                      <c:h val="5.8977719528178242E-2"/>
                    </c:manualLayout>
                  </c15:layout>
                </c:ext>
                <c:ext xmlns:c16="http://schemas.microsoft.com/office/drawing/2014/chart" uri="{C3380CC4-5D6E-409C-BE32-E72D297353CC}">
                  <c16:uniqueId val="{00000000-09B4-4E9B-A9B6-44AD22ACDCA5}"/>
                </c:ext>
              </c:extLst>
            </c:dLbl>
            <c:dLbl>
              <c:idx val="1"/>
              <c:layout>
                <c:manualLayout>
                  <c:x val="-6.598820283908173E-3"/>
                  <c:y val="1.0962391168993764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9B4-4E9B-A9B6-44AD22ACDCA5}"/>
                </c:ext>
              </c:extLst>
            </c:dLbl>
            <c:dLbl>
              <c:idx val="2"/>
              <c:layout>
                <c:manualLayout>
                  <c:x val="-2.2007042253521128E-3"/>
                  <c:y val="1.0659676714722587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9B4-4E9B-A9B6-44AD22ACDCA5}"/>
                </c:ext>
              </c:extLst>
            </c:dLbl>
            <c:dLbl>
              <c:idx val="3"/>
              <c:layout>
                <c:manualLayout>
                  <c:x val="2.2007042253519515E-3"/>
                  <c:y val="-2.1843599825251202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9B4-4E9B-A9B6-44AD22ACDCA5}"/>
                </c:ext>
              </c:extLst>
            </c:dLbl>
            <c:numFmt formatCode="#,##0.0" sourceLinked="0"/>
            <c:spPr>
              <a:noFill/>
              <a:ln>
                <a:noFill/>
              </a:ln>
              <a:effectLst/>
            </c:sp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2024 п</c:v>
                </c:pt>
                <c:pt idx="1">
                  <c:v>2025 п</c:v>
                </c:pt>
                <c:pt idx="2">
                  <c:v>2026 п</c:v>
                </c:pt>
              </c:strCache>
            </c:strRef>
          </c:cat>
          <c:val>
            <c:numRef>
              <c:f>Sheet1!$B$2:$D$2</c:f>
              <c:numCache>
                <c:formatCode>#,##0.0</c:formatCode>
                <c:ptCount val="3"/>
                <c:pt idx="0">
                  <c:v>6703.6107999999995</c:v>
                </c:pt>
                <c:pt idx="1">
                  <c:v>7730.3117000000002</c:v>
                </c:pt>
                <c:pt idx="2">
                  <c:v>8433.3493999999992</c:v>
                </c:pt>
              </c:numCache>
            </c:numRef>
          </c:val>
          <c:extLst>
            <c:ext xmlns:c16="http://schemas.microsoft.com/office/drawing/2014/chart" uri="{C3380CC4-5D6E-409C-BE32-E72D297353CC}">
              <c16:uniqueId val="{00000004-09B4-4E9B-A9B6-44AD22ACDCA5}"/>
            </c:ext>
          </c:extLst>
        </c:ser>
        <c:dLbls>
          <c:showLegendKey val="0"/>
          <c:showVal val="0"/>
          <c:showCatName val="0"/>
          <c:showSerName val="0"/>
          <c:showPercent val="0"/>
          <c:showBubbleSize val="0"/>
        </c:dLbls>
        <c:gapWidth val="173"/>
        <c:axId val="293123200"/>
        <c:axId val="293124736"/>
      </c:barChart>
      <c:lineChart>
        <c:grouping val="standard"/>
        <c:varyColors val="0"/>
        <c:ser>
          <c:idx val="1"/>
          <c:order val="1"/>
          <c:tx>
            <c:strRef>
              <c:f>Sheet1!$A$3</c:f>
              <c:strCache>
                <c:ptCount val="1"/>
                <c:pt idx="0">
                  <c:v>% от БВП</c:v>
                </c:pt>
              </c:strCache>
            </c:strRef>
          </c:tx>
          <c:spPr>
            <a:ln>
              <a:solidFill>
                <a:srgbClr val="800000"/>
              </a:solidFill>
            </a:ln>
          </c:spPr>
          <c:marker>
            <c:spPr>
              <a:solidFill>
                <a:srgbClr val="800000"/>
              </a:solidFill>
              <a:ln>
                <a:solidFill>
                  <a:srgbClr val="800000"/>
                </a:solidFill>
              </a:ln>
            </c:spPr>
          </c:marker>
          <c:dPt>
            <c:idx val="0"/>
            <c:bubble3D val="0"/>
            <c:extLst>
              <c:ext xmlns:c16="http://schemas.microsoft.com/office/drawing/2014/chart" uri="{C3380CC4-5D6E-409C-BE32-E72D297353CC}">
                <c16:uniqueId val="{00000005-09B4-4E9B-A9B6-44AD22ACDCA5}"/>
              </c:ext>
            </c:extLst>
          </c:dPt>
          <c:dPt>
            <c:idx val="1"/>
            <c:bubble3D val="0"/>
            <c:extLst>
              <c:ext xmlns:c16="http://schemas.microsoft.com/office/drawing/2014/chart" uri="{C3380CC4-5D6E-409C-BE32-E72D297353CC}">
                <c16:uniqueId val="{00000006-09B4-4E9B-A9B6-44AD22ACDCA5}"/>
              </c:ext>
            </c:extLst>
          </c:dPt>
          <c:dPt>
            <c:idx val="2"/>
            <c:bubble3D val="0"/>
            <c:spPr>
              <a:ln w="38083">
                <a:solidFill>
                  <a:srgbClr val="800000"/>
                </a:solidFill>
              </a:ln>
            </c:spPr>
            <c:extLst>
              <c:ext xmlns:c16="http://schemas.microsoft.com/office/drawing/2014/chart" uri="{C3380CC4-5D6E-409C-BE32-E72D297353CC}">
                <c16:uniqueId val="{00000008-09B4-4E9B-A9B6-44AD22ACDCA5}"/>
              </c:ext>
            </c:extLst>
          </c:dPt>
          <c:dPt>
            <c:idx val="3"/>
            <c:bubble3D val="0"/>
            <c:extLst>
              <c:ext xmlns:c16="http://schemas.microsoft.com/office/drawing/2014/chart" uri="{C3380CC4-5D6E-409C-BE32-E72D297353CC}">
                <c16:uniqueId val="{00000009-09B4-4E9B-A9B6-44AD22ACDCA5}"/>
              </c:ext>
            </c:extLst>
          </c:dPt>
          <c:dLbls>
            <c:dLbl>
              <c:idx val="0"/>
              <c:layout>
                <c:manualLayout>
                  <c:x val="4.6434339303537714E-2"/>
                  <c:y val="-5.2627251868745853E-2"/>
                </c:manualLayout>
              </c:layout>
              <c:numFmt formatCode="0.0%" sourceLinked="0"/>
              <c:spPr/>
              <c:txPr>
                <a:bodyPr/>
                <a:lstStyle/>
                <a:p>
                  <a:pPr>
                    <a:defRPr/>
                  </a:pPr>
                  <a:endParaRPr lang="bg-BG"/>
                </a:p>
              </c:txPr>
              <c:dLblPos val="r"/>
              <c:showLegendKey val="0"/>
              <c:showVal val="1"/>
              <c:showCatName val="0"/>
              <c:showSerName val="0"/>
              <c:showPercent val="0"/>
              <c:showBubbleSize val="0"/>
              <c:extLst>
                <c:ext xmlns:c15="http://schemas.microsoft.com/office/drawing/2012/chart" uri="{CE6537A1-D6FC-4f65-9D91-7224C49458BB}">
                  <c15:layout>
                    <c:manualLayout>
                      <c:w val="7.8851232394366186E-2"/>
                      <c:h val="9.8296199213630406E-2"/>
                    </c:manualLayout>
                  </c15:layout>
                </c:ext>
                <c:ext xmlns:c16="http://schemas.microsoft.com/office/drawing/2014/chart" uri="{C3380CC4-5D6E-409C-BE32-E72D297353CC}">
                  <c16:uniqueId val="{00000005-09B4-4E9B-A9B6-44AD22ACDCA5}"/>
                </c:ext>
              </c:extLst>
            </c:dLbl>
            <c:dLbl>
              <c:idx val="1"/>
              <c:layout>
                <c:manualLayout>
                  <c:x val="4.9725691748918631E-2"/>
                  <c:y val="9.7020326587616917E-2"/>
                </c:manualLayout>
              </c:layout>
              <c:numFmt formatCode="0.0%" sourceLinked="0"/>
              <c:spPr/>
              <c:txPr>
                <a:bodyPr/>
                <a:lstStyle/>
                <a:p>
                  <a:pPr>
                    <a:defRPr/>
                  </a:pPr>
                  <a:endParaRPr lang="bg-BG"/>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9B4-4E9B-A9B6-44AD22ACDCA5}"/>
                </c:ext>
              </c:extLst>
            </c:dLbl>
            <c:dLbl>
              <c:idx val="2"/>
              <c:layout>
                <c:manualLayout>
                  <c:x val="3.5460115041762448E-2"/>
                  <c:y val="-1.179207913971379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09B4-4E9B-A9B6-44AD22ACDCA5}"/>
                </c:ext>
              </c:extLst>
            </c:dLbl>
            <c:dLbl>
              <c:idx val="3"/>
              <c:layout>
                <c:manualLayout>
                  <c:x val="3.3865199068426305E-2"/>
                  <c:y val="-4.4860218160803295E-2"/>
                </c:manualLayout>
              </c:layout>
              <c:numFmt formatCode="0.0%" sourceLinked="0"/>
              <c:spPr/>
              <c:txPr>
                <a:bodyPr/>
                <a:lstStyle/>
                <a:p>
                  <a:pPr>
                    <a:defRPr/>
                  </a:pPr>
                  <a:endParaRPr lang="bg-BG"/>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09B4-4E9B-A9B6-44AD22ACDCA5}"/>
                </c:ext>
              </c:extLst>
            </c:dLbl>
            <c:numFmt formatCode="0.0%" sourceLinked="0"/>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2024 п</c:v>
                </c:pt>
                <c:pt idx="1">
                  <c:v>2025 п</c:v>
                </c:pt>
                <c:pt idx="2">
                  <c:v>2026 п</c:v>
                </c:pt>
              </c:strCache>
            </c:strRef>
          </c:cat>
          <c:val>
            <c:numRef>
              <c:f>Sheet1!$B$3:$D$3</c:f>
              <c:numCache>
                <c:formatCode>0.0%</c:formatCode>
                <c:ptCount val="3"/>
                <c:pt idx="0">
                  <c:v>3.2565714736987765E-2</c:v>
                </c:pt>
                <c:pt idx="1">
                  <c:v>3.5490873802962501E-2</c:v>
                </c:pt>
                <c:pt idx="2">
                  <c:v>3.6451705207041461E-2</c:v>
                </c:pt>
              </c:numCache>
            </c:numRef>
          </c:val>
          <c:smooth val="1"/>
          <c:extLst>
            <c:ext xmlns:c16="http://schemas.microsoft.com/office/drawing/2014/chart" uri="{C3380CC4-5D6E-409C-BE32-E72D297353CC}">
              <c16:uniqueId val="{0000000A-09B4-4E9B-A9B6-44AD22ACDCA5}"/>
            </c:ext>
          </c:extLst>
        </c:ser>
        <c:dLbls>
          <c:showLegendKey val="0"/>
          <c:showVal val="0"/>
          <c:showCatName val="0"/>
          <c:showSerName val="0"/>
          <c:showPercent val="0"/>
          <c:showBubbleSize val="0"/>
        </c:dLbls>
        <c:marker val="1"/>
        <c:smooth val="0"/>
        <c:axId val="293134720"/>
        <c:axId val="293136256"/>
      </c:lineChart>
      <c:catAx>
        <c:axId val="293123200"/>
        <c:scaling>
          <c:orientation val="minMax"/>
        </c:scaling>
        <c:delete val="0"/>
        <c:axPos val="b"/>
        <c:numFmt formatCode="General" sourceLinked="0"/>
        <c:majorTickMark val="out"/>
        <c:minorTickMark val="none"/>
        <c:tickLblPos val="nextTo"/>
        <c:txPr>
          <a:bodyPr rot="0" vert="horz"/>
          <a:lstStyle/>
          <a:p>
            <a:pPr>
              <a:defRPr/>
            </a:pPr>
            <a:endParaRPr lang="bg-BG"/>
          </a:p>
        </c:txPr>
        <c:crossAx val="293124736"/>
        <c:crosses val="autoZero"/>
        <c:auto val="1"/>
        <c:lblAlgn val="ctr"/>
        <c:lblOffset val="100"/>
        <c:tickLblSkip val="1"/>
        <c:tickMarkSkip val="1"/>
        <c:noMultiLvlLbl val="0"/>
      </c:catAx>
      <c:valAx>
        <c:axId val="293124736"/>
        <c:scaling>
          <c:orientation val="minMax"/>
          <c:min val="0"/>
        </c:scaling>
        <c:delete val="0"/>
        <c:axPos val="l"/>
        <c:numFmt formatCode="#,##0" sourceLinked="0"/>
        <c:majorTickMark val="out"/>
        <c:minorTickMark val="none"/>
        <c:tickLblPos val="nextTo"/>
        <c:txPr>
          <a:bodyPr rot="0" vert="horz"/>
          <a:lstStyle/>
          <a:p>
            <a:pPr>
              <a:defRPr/>
            </a:pPr>
            <a:endParaRPr lang="bg-BG"/>
          </a:p>
        </c:txPr>
        <c:crossAx val="293123200"/>
        <c:crossesAt val="1"/>
        <c:crossBetween val="between"/>
        <c:majorUnit val="1000"/>
      </c:valAx>
      <c:catAx>
        <c:axId val="293134720"/>
        <c:scaling>
          <c:orientation val="minMax"/>
        </c:scaling>
        <c:delete val="1"/>
        <c:axPos val="b"/>
        <c:numFmt formatCode="General" sourceLinked="1"/>
        <c:majorTickMark val="out"/>
        <c:minorTickMark val="none"/>
        <c:tickLblPos val="nextTo"/>
        <c:crossAx val="293136256"/>
        <c:crosses val="autoZero"/>
        <c:auto val="1"/>
        <c:lblAlgn val="ctr"/>
        <c:lblOffset val="100"/>
        <c:noMultiLvlLbl val="0"/>
      </c:catAx>
      <c:valAx>
        <c:axId val="293136256"/>
        <c:scaling>
          <c:orientation val="minMax"/>
          <c:max val="6.0000000000000012E-2"/>
          <c:min val="0"/>
        </c:scaling>
        <c:delete val="0"/>
        <c:axPos val="r"/>
        <c:numFmt formatCode="0.0%" sourceLinked="1"/>
        <c:majorTickMark val="out"/>
        <c:minorTickMark val="none"/>
        <c:tickLblPos val="nextTo"/>
        <c:crossAx val="293134720"/>
        <c:crosses val="max"/>
        <c:crossBetween val="between"/>
      </c:valAx>
    </c:plotArea>
    <c:legend>
      <c:legendPos val="b"/>
      <c:layout>
        <c:manualLayout>
          <c:xMode val="edge"/>
          <c:yMode val="edge"/>
          <c:x val="8.6603083065321065E-2"/>
          <c:y val="3.7424106390370929E-2"/>
          <c:w val="0.32801929688366416"/>
          <c:h val="7.4111722273247957E-2"/>
        </c:manualLayout>
      </c:layout>
      <c:overlay val="0"/>
    </c:legend>
    <c:plotVisOnly val="1"/>
    <c:dispBlanksAs val="gap"/>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12"/>
    </mc:Choice>
    <mc:Fallback>
      <c:style val="1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048826283920907"/>
          <c:y val="2.6051441218223982E-2"/>
          <c:w val="0.83164983164983164"/>
          <c:h val="0.81807561556424424"/>
        </c:manualLayout>
      </c:layout>
      <c:barChart>
        <c:barDir val="col"/>
        <c:grouping val="clustered"/>
        <c:varyColors val="0"/>
        <c:ser>
          <c:idx val="0"/>
          <c:order val="0"/>
          <c:tx>
            <c:strRef>
              <c:f>Sheet1!$A$2</c:f>
              <c:strCache>
                <c:ptCount val="1"/>
                <c:pt idx="0">
                  <c:v>млн. лв.</c:v>
                </c:pt>
              </c:strCache>
            </c:strRef>
          </c:tx>
          <c:spPr>
            <a:solidFill>
              <a:srgbClr val="CCDAEC"/>
            </a:solidFill>
            <a:ln>
              <a:solidFill>
                <a:sysClr val="windowText" lastClr="000000">
                  <a:lumMod val="50000"/>
                  <a:lumOff val="50000"/>
                </a:sysClr>
              </a:solidFill>
            </a:ln>
          </c:spPr>
          <c:invertIfNegative val="0"/>
          <c:dPt>
            <c:idx val="2"/>
            <c:invertIfNegative val="0"/>
            <c:bubble3D val="0"/>
            <c:extLst>
              <c:ext xmlns:c16="http://schemas.microsoft.com/office/drawing/2014/chart" uri="{C3380CC4-5D6E-409C-BE32-E72D297353CC}">
                <c16:uniqueId val="{00000000-40D3-4CCA-AC0A-41F1A219600E}"/>
              </c:ext>
            </c:extLst>
          </c:dPt>
          <c:dLbls>
            <c:dLbl>
              <c:idx val="0"/>
              <c:layout>
                <c:manualLayout>
                  <c:x val="-4.4012620185643154E-3"/>
                  <c:y val="1.566194165794601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0D3-4CCA-AC0A-41F1A219600E}"/>
                </c:ext>
              </c:extLst>
            </c:dLbl>
            <c:dLbl>
              <c:idx val="1"/>
              <c:layout>
                <c:manualLayout>
                  <c:x val="6.6018930278464727E-3"/>
                  <c:y val="1.118710118424715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0D3-4CCA-AC0A-41F1A219600E}"/>
                </c:ext>
              </c:extLst>
            </c:dLbl>
            <c:dLbl>
              <c:idx val="2"/>
              <c:layout>
                <c:manualLayout>
                  <c:x val="-6.6011999157175654E-3"/>
                  <c:y val="1.3952341187206889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0D3-4CCA-AC0A-41F1A219600E}"/>
                </c:ext>
              </c:extLst>
            </c:dLbl>
            <c:dLbl>
              <c:idx val="3"/>
              <c:layout>
                <c:manualLayout>
                  <c:x val="0"/>
                  <c:y val="1.9500753895124812E-3"/>
                </c:manualLayout>
              </c:layout>
              <c:numFmt formatCode="#,##0.0" sourceLinked="0"/>
              <c:spPr/>
              <c:txPr>
                <a:bodyPr/>
                <a:lstStyle/>
                <a:p>
                  <a:pPr>
                    <a:defRPr/>
                  </a:pPr>
                  <a:endParaRPr lang="bg-BG"/>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0D3-4CCA-AC0A-41F1A219600E}"/>
                </c:ext>
              </c:extLst>
            </c:dLbl>
            <c:numFmt formatCode="#,##0.0" sourceLinked="0"/>
            <c:spPr>
              <a:noFill/>
              <a:ln>
                <a:noFill/>
              </a:ln>
              <a:effectLst/>
            </c:sp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2024 п</c:v>
                </c:pt>
                <c:pt idx="1">
                  <c:v>2025 п</c:v>
                </c:pt>
                <c:pt idx="2">
                  <c:v>2026 п</c:v>
                </c:pt>
              </c:strCache>
            </c:strRef>
          </c:cat>
          <c:val>
            <c:numRef>
              <c:f>Sheet1!$B$2:$D$2</c:f>
              <c:numCache>
                <c:formatCode>#,##0.0</c:formatCode>
                <c:ptCount val="3"/>
                <c:pt idx="0">
                  <c:v>5861.6229999999996</c:v>
                </c:pt>
                <c:pt idx="1">
                  <c:v>5390.3554999999997</c:v>
                </c:pt>
                <c:pt idx="2">
                  <c:v>4832.4558000000006</c:v>
                </c:pt>
              </c:numCache>
            </c:numRef>
          </c:val>
          <c:extLst>
            <c:ext xmlns:c16="http://schemas.microsoft.com/office/drawing/2014/chart" uri="{C3380CC4-5D6E-409C-BE32-E72D297353CC}">
              <c16:uniqueId val="{00000004-40D3-4CCA-AC0A-41F1A219600E}"/>
            </c:ext>
          </c:extLst>
        </c:ser>
        <c:dLbls>
          <c:showLegendKey val="0"/>
          <c:showVal val="0"/>
          <c:showCatName val="0"/>
          <c:showSerName val="0"/>
          <c:showPercent val="0"/>
          <c:showBubbleSize val="0"/>
        </c:dLbls>
        <c:gapWidth val="173"/>
        <c:axId val="293789056"/>
        <c:axId val="294388864"/>
      </c:barChart>
      <c:lineChart>
        <c:grouping val="standard"/>
        <c:varyColors val="0"/>
        <c:ser>
          <c:idx val="1"/>
          <c:order val="1"/>
          <c:tx>
            <c:strRef>
              <c:f>Sheet1!$A$3</c:f>
              <c:strCache>
                <c:ptCount val="1"/>
                <c:pt idx="0">
                  <c:v>% от БВП</c:v>
                </c:pt>
              </c:strCache>
            </c:strRef>
          </c:tx>
          <c:spPr>
            <a:ln w="38058">
              <a:solidFill>
                <a:sysClr val="windowText" lastClr="000000">
                  <a:lumMod val="50000"/>
                  <a:lumOff val="50000"/>
                </a:sysClr>
              </a:solidFill>
            </a:ln>
          </c:spPr>
          <c:marker>
            <c:spPr>
              <a:solidFill>
                <a:sysClr val="windowText" lastClr="000000">
                  <a:lumMod val="50000"/>
                  <a:lumOff val="50000"/>
                </a:sysClr>
              </a:solidFill>
              <a:ln>
                <a:solidFill>
                  <a:sysClr val="windowText" lastClr="000000">
                    <a:lumMod val="50000"/>
                    <a:lumOff val="50000"/>
                  </a:sysClr>
                </a:solidFill>
              </a:ln>
            </c:spPr>
          </c:marker>
          <c:dLbls>
            <c:dLbl>
              <c:idx val="0"/>
              <c:layout>
                <c:manualLayout>
                  <c:x val="3.3014196104324857E-2"/>
                  <c:y val="-0.12541993281075028"/>
                </c:manualLayout>
              </c:layout>
              <c:numFmt formatCode="0.0%" sourceLinked="0"/>
              <c:spPr>
                <a:noFill/>
                <a:ln>
                  <a:noFill/>
                </a:ln>
                <a:effectLst/>
              </c:spPr>
              <c:txPr>
                <a:bodyPr wrap="square" lIns="38100" tIns="19050" rIns="38100" bIns="19050" anchor="ctr">
                  <a:noAutofit/>
                </a:bodyPr>
                <a:lstStyle/>
                <a:p>
                  <a:pPr>
                    <a:defRPr/>
                  </a:pPr>
                  <a:endParaRPr lang="bg-BG"/>
                </a:p>
              </c:txPr>
              <c:dLblPos val="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5-40D3-4CCA-AC0A-41F1A219600E}"/>
                </c:ext>
              </c:extLst>
            </c:dLbl>
            <c:dLbl>
              <c:idx val="1"/>
              <c:layout>
                <c:manualLayout>
                  <c:x val="3.0809318578831697E-2"/>
                  <c:y val="-3.5816171277196517E-2"/>
                </c:manualLayout>
              </c:layout>
              <c:numFmt formatCode="0.0%" sourceLinked="0"/>
              <c:spPr>
                <a:noFill/>
                <a:ln>
                  <a:noFill/>
                </a:ln>
                <a:effectLst/>
              </c:spPr>
              <c:txPr>
                <a:bodyPr wrap="square" lIns="38100" tIns="19050" rIns="38100" bIns="19050" anchor="ctr">
                  <a:noAutofit/>
                </a:bodyPr>
                <a:lstStyle/>
                <a:p>
                  <a:pPr>
                    <a:defRPr/>
                  </a:pPr>
                  <a:endParaRPr lang="bg-BG"/>
                </a:p>
              </c:txPr>
              <c:dLblPos val="r"/>
              <c:showLegendKey val="0"/>
              <c:showVal val="1"/>
              <c:showCatName val="0"/>
              <c:showSerName val="0"/>
              <c:showPercent val="0"/>
              <c:showBubbleSize val="0"/>
              <c:extLst>
                <c:ext xmlns:c15="http://schemas.microsoft.com/office/drawing/2012/chart" uri="{CE6537A1-D6FC-4f65-9D91-7224C49458BB}">
                  <c15:layout>
                    <c:manualLayout>
                      <c:w val="6.7871758588059619E-2"/>
                      <c:h val="7.3944358840243696E-2"/>
                    </c:manualLayout>
                  </c15:layout>
                </c:ext>
                <c:ext xmlns:c16="http://schemas.microsoft.com/office/drawing/2014/chart" uri="{C3380CC4-5D6E-409C-BE32-E72D297353CC}">
                  <c16:uniqueId val="{00000006-40D3-4CCA-AC0A-41F1A219600E}"/>
                </c:ext>
              </c:extLst>
            </c:dLbl>
            <c:dLbl>
              <c:idx val="2"/>
              <c:layout>
                <c:manualLayout>
                  <c:x val="3.521514251127985E-2"/>
                  <c:y val="-5.375139977603583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40D3-4CCA-AC0A-41F1A219600E}"/>
                </c:ext>
              </c:extLst>
            </c:dLbl>
            <c:dLbl>
              <c:idx val="3"/>
              <c:layout>
                <c:manualLayout>
                  <c:x val="2.8612303290414878E-2"/>
                  <c:y val="-3.135498320268757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40D3-4CCA-AC0A-41F1A219600E}"/>
                </c:ext>
              </c:extLst>
            </c:dLbl>
            <c:numFmt formatCode="0.0%" sourceLinked="0"/>
            <c:spPr>
              <a:noFill/>
              <a:ln>
                <a:noFill/>
              </a:ln>
              <a:effectLst/>
            </c:spPr>
            <c:dLblPos val="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2024 п</c:v>
                </c:pt>
                <c:pt idx="1">
                  <c:v>2025 п</c:v>
                </c:pt>
                <c:pt idx="2">
                  <c:v>2026 п</c:v>
                </c:pt>
              </c:strCache>
            </c:strRef>
          </c:cat>
          <c:val>
            <c:numRef>
              <c:f>Sheet1!$B$3:$D$3</c:f>
              <c:numCache>
                <c:formatCode>0.0%</c:formatCode>
                <c:ptCount val="3"/>
                <c:pt idx="0">
                  <c:v>2.8475391577590759E-2</c:v>
                </c:pt>
                <c:pt idx="1">
                  <c:v>2.4747828318954435E-2</c:v>
                </c:pt>
                <c:pt idx="2">
                  <c:v>2.0887460710172612E-2</c:v>
                </c:pt>
              </c:numCache>
            </c:numRef>
          </c:val>
          <c:smooth val="1"/>
          <c:extLst>
            <c:ext xmlns:c16="http://schemas.microsoft.com/office/drawing/2014/chart" uri="{C3380CC4-5D6E-409C-BE32-E72D297353CC}">
              <c16:uniqueId val="{00000009-40D3-4CCA-AC0A-41F1A219600E}"/>
            </c:ext>
          </c:extLst>
        </c:ser>
        <c:dLbls>
          <c:showLegendKey val="0"/>
          <c:showVal val="0"/>
          <c:showCatName val="0"/>
          <c:showSerName val="0"/>
          <c:showPercent val="0"/>
          <c:showBubbleSize val="0"/>
        </c:dLbls>
        <c:marker val="1"/>
        <c:smooth val="0"/>
        <c:axId val="294390400"/>
        <c:axId val="294404480"/>
      </c:lineChart>
      <c:catAx>
        <c:axId val="293789056"/>
        <c:scaling>
          <c:orientation val="minMax"/>
        </c:scaling>
        <c:delete val="0"/>
        <c:axPos val="b"/>
        <c:numFmt formatCode="General" sourceLinked="0"/>
        <c:majorTickMark val="out"/>
        <c:minorTickMark val="none"/>
        <c:tickLblPos val="nextTo"/>
        <c:txPr>
          <a:bodyPr rot="0" vert="horz"/>
          <a:lstStyle/>
          <a:p>
            <a:pPr>
              <a:defRPr/>
            </a:pPr>
            <a:endParaRPr lang="bg-BG"/>
          </a:p>
        </c:txPr>
        <c:crossAx val="294388864"/>
        <c:crosses val="autoZero"/>
        <c:auto val="1"/>
        <c:lblAlgn val="ctr"/>
        <c:lblOffset val="100"/>
        <c:tickLblSkip val="1"/>
        <c:tickMarkSkip val="1"/>
        <c:noMultiLvlLbl val="0"/>
      </c:catAx>
      <c:valAx>
        <c:axId val="294388864"/>
        <c:scaling>
          <c:orientation val="minMax"/>
          <c:max val="8000"/>
        </c:scaling>
        <c:delete val="0"/>
        <c:axPos val="l"/>
        <c:numFmt formatCode="#,##0" sourceLinked="0"/>
        <c:majorTickMark val="out"/>
        <c:minorTickMark val="none"/>
        <c:tickLblPos val="nextTo"/>
        <c:txPr>
          <a:bodyPr rot="0" vert="horz"/>
          <a:lstStyle/>
          <a:p>
            <a:pPr>
              <a:defRPr/>
            </a:pPr>
            <a:endParaRPr lang="bg-BG"/>
          </a:p>
        </c:txPr>
        <c:crossAx val="293789056"/>
        <c:crossesAt val="1"/>
        <c:crossBetween val="between"/>
      </c:valAx>
      <c:catAx>
        <c:axId val="294390400"/>
        <c:scaling>
          <c:orientation val="minMax"/>
        </c:scaling>
        <c:delete val="1"/>
        <c:axPos val="b"/>
        <c:numFmt formatCode="General" sourceLinked="1"/>
        <c:majorTickMark val="out"/>
        <c:minorTickMark val="none"/>
        <c:tickLblPos val="nextTo"/>
        <c:crossAx val="294404480"/>
        <c:crosses val="autoZero"/>
        <c:auto val="1"/>
        <c:lblAlgn val="ctr"/>
        <c:lblOffset val="100"/>
        <c:noMultiLvlLbl val="0"/>
      </c:catAx>
      <c:valAx>
        <c:axId val="294404480"/>
        <c:scaling>
          <c:orientation val="minMax"/>
          <c:max val="6.0000000000000012E-2"/>
          <c:min val="0"/>
        </c:scaling>
        <c:delete val="0"/>
        <c:axPos val="r"/>
        <c:numFmt formatCode="0.0%" sourceLinked="0"/>
        <c:majorTickMark val="out"/>
        <c:minorTickMark val="none"/>
        <c:tickLblPos val="nextTo"/>
        <c:txPr>
          <a:bodyPr rot="0" vert="horz"/>
          <a:lstStyle/>
          <a:p>
            <a:pPr>
              <a:defRPr/>
            </a:pPr>
            <a:endParaRPr lang="bg-BG"/>
          </a:p>
        </c:txPr>
        <c:crossAx val="294390400"/>
        <c:crosses val="max"/>
        <c:crossBetween val="between"/>
        <c:majorUnit val="1.0000000000000002E-2"/>
        <c:minorUnit val="2.0000000000000005E-3"/>
      </c:valAx>
    </c:plotArea>
    <c:legend>
      <c:legendPos val="b"/>
      <c:layout>
        <c:manualLayout>
          <c:xMode val="edge"/>
          <c:yMode val="edge"/>
          <c:x val="0.10099885473344783"/>
          <c:y val="3.1096101789068079E-2"/>
          <c:w val="0.31874933280398776"/>
          <c:h val="8.3715300293345687E-2"/>
        </c:manualLayout>
      </c:layout>
      <c:overlay val="0"/>
    </c:legend>
    <c:plotVisOnly val="1"/>
    <c:dispBlanksAs val="gap"/>
    <c:showDLblsOverMax val="0"/>
  </c:chart>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9"/>
    </mc:Choice>
    <mc:Fallback>
      <c:style val="9"/>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7692487997985925E-2"/>
          <c:y val="4.9104933311907441E-2"/>
          <c:w val="0.83389261744966447"/>
          <c:h val="0.82619892025691899"/>
        </c:manualLayout>
      </c:layout>
      <c:barChart>
        <c:barDir val="col"/>
        <c:grouping val="clustered"/>
        <c:varyColors val="0"/>
        <c:ser>
          <c:idx val="0"/>
          <c:order val="0"/>
          <c:tx>
            <c:strRef>
              <c:f>Sheet1!$A$2</c:f>
              <c:strCache>
                <c:ptCount val="1"/>
                <c:pt idx="0">
                  <c:v>млн. лв.</c:v>
                </c:pt>
              </c:strCache>
            </c:strRef>
          </c:tx>
          <c:spPr>
            <a:solidFill>
              <a:schemeClr val="accent5">
                <a:lumMod val="60000"/>
                <a:lumOff val="40000"/>
              </a:schemeClr>
            </a:solidFill>
            <a:ln>
              <a:solidFill>
                <a:schemeClr val="tx1">
                  <a:lumMod val="50000"/>
                  <a:lumOff val="50000"/>
                </a:schemeClr>
              </a:solidFill>
            </a:ln>
          </c:spPr>
          <c:invertIfNegative val="0"/>
          <c:dLbls>
            <c:dLbl>
              <c:idx val="3"/>
              <c:numFmt formatCode="#,##0.0" sourceLinked="0"/>
              <c:spPr/>
              <c:txPr>
                <a:bodyPr/>
                <a:lstStyle/>
                <a:p>
                  <a:pPr>
                    <a:defRPr/>
                  </a:pPr>
                  <a:endParaRPr lang="bg-BG"/>
                </a:p>
              </c:txPr>
              <c:dLblPos val="outEnd"/>
              <c:showLegendKey val="0"/>
              <c:showVal val="1"/>
              <c:showCatName val="0"/>
              <c:showSerName val="0"/>
              <c:showPercent val="0"/>
              <c:showBubbleSize val="0"/>
              <c:extLst>
                <c:ext xmlns:c16="http://schemas.microsoft.com/office/drawing/2014/chart" uri="{C3380CC4-5D6E-409C-BE32-E72D297353CC}">
                  <c16:uniqueId val="{00000000-F8A2-4AC2-BE0B-D0B2D8A23C7B}"/>
                </c:ext>
              </c:extLst>
            </c:dLbl>
            <c:numFmt formatCode="#,##0.0" sourceLinked="0"/>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2024 п</c:v>
                </c:pt>
                <c:pt idx="1">
                  <c:v>2025 п</c:v>
                </c:pt>
                <c:pt idx="2">
                  <c:v>2026 п</c:v>
                </c:pt>
              </c:strCache>
            </c:strRef>
          </c:cat>
          <c:val>
            <c:numRef>
              <c:f>Sheet1!$B$2:$D$2</c:f>
              <c:numCache>
                <c:formatCode>#,##0.0</c:formatCode>
                <c:ptCount val="3"/>
                <c:pt idx="0">
                  <c:v>859.28340000000003</c:v>
                </c:pt>
                <c:pt idx="1">
                  <c:v>904.077</c:v>
                </c:pt>
                <c:pt idx="2">
                  <c:v>419.55340000000001</c:v>
                </c:pt>
              </c:numCache>
            </c:numRef>
          </c:val>
          <c:extLst>
            <c:ext xmlns:c16="http://schemas.microsoft.com/office/drawing/2014/chart" uri="{C3380CC4-5D6E-409C-BE32-E72D297353CC}">
              <c16:uniqueId val="{00000001-F8A2-4AC2-BE0B-D0B2D8A23C7B}"/>
            </c:ext>
          </c:extLst>
        </c:ser>
        <c:dLbls>
          <c:showLegendKey val="0"/>
          <c:showVal val="0"/>
          <c:showCatName val="0"/>
          <c:showSerName val="0"/>
          <c:showPercent val="0"/>
          <c:showBubbleSize val="0"/>
        </c:dLbls>
        <c:gapWidth val="173"/>
        <c:axId val="265862144"/>
        <c:axId val="265626368"/>
      </c:barChart>
      <c:lineChart>
        <c:grouping val="standard"/>
        <c:varyColors val="0"/>
        <c:ser>
          <c:idx val="1"/>
          <c:order val="1"/>
          <c:tx>
            <c:strRef>
              <c:f>Sheet1!$A$3</c:f>
              <c:strCache>
                <c:ptCount val="1"/>
                <c:pt idx="0">
                  <c:v>% от БВП</c:v>
                </c:pt>
              </c:strCache>
            </c:strRef>
          </c:tx>
          <c:spPr>
            <a:ln w="38051">
              <a:solidFill>
                <a:schemeClr val="tx1">
                  <a:lumMod val="50000"/>
                  <a:lumOff val="50000"/>
                </a:schemeClr>
              </a:solidFill>
            </a:ln>
          </c:spPr>
          <c:marker>
            <c:spPr>
              <a:solidFill>
                <a:schemeClr val="tx1">
                  <a:lumMod val="50000"/>
                  <a:lumOff val="50000"/>
                </a:schemeClr>
              </a:solidFill>
              <a:ln>
                <a:solidFill>
                  <a:schemeClr val="tx1">
                    <a:lumMod val="50000"/>
                    <a:lumOff val="50000"/>
                  </a:schemeClr>
                </a:solidFill>
              </a:ln>
            </c:spPr>
          </c:marker>
          <c:dLbls>
            <c:dLbl>
              <c:idx val="0"/>
              <c:layout>
                <c:manualLayout>
                  <c:x val="4.9716379168149694E-2"/>
                  <c:y val="-0.11642570188930465"/>
                </c:manualLayout>
              </c:layout>
              <c:numFmt formatCode="0.0%" sourceLinked="0"/>
              <c:spPr/>
              <c:txPr>
                <a:bodyPr/>
                <a:lstStyle/>
                <a:p>
                  <a:pPr>
                    <a:defRPr/>
                  </a:pPr>
                  <a:endParaRPr lang="bg-BG"/>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8A2-4AC2-BE0B-D0B2D8A23C7B}"/>
                </c:ext>
              </c:extLst>
            </c:dLbl>
            <c:dLbl>
              <c:idx val="1"/>
              <c:layout>
                <c:manualLayout>
                  <c:x val="3.9841304291208281E-2"/>
                  <c:y val="-0.10157801703358509"/>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8A2-4AC2-BE0B-D0B2D8A23C7B}"/>
                </c:ext>
              </c:extLst>
            </c:dLbl>
            <c:dLbl>
              <c:idx val="2"/>
              <c:layout>
                <c:manualLayout>
                  <c:x val="4.3134153434789782E-2"/>
                  <c:y val="-0.1006349716489521"/>
                </c:manualLayout>
              </c:layout>
              <c:numFmt formatCode="0.0%" sourceLinked="0"/>
              <c:spPr/>
              <c:txPr>
                <a:bodyPr/>
                <a:lstStyle/>
                <a:p>
                  <a:pPr>
                    <a:defRPr/>
                  </a:pPr>
                  <a:endParaRPr lang="bg-BG"/>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F8A2-4AC2-BE0B-D0B2D8A23C7B}"/>
                </c:ext>
              </c:extLst>
            </c:dLbl>
            <c:dLbl>
              <c:idx val="3"/>
              <c:layout>
                <c:manualLayout>
                  <c:x val="3.2218527810815106E-2"/>
                  <c:y val="-5.0255962902596416E-2"/>
                </c:manualLayout>
              </c:layout>
              <c:numFmt formatCode="0.0%" sourceLinked="0"/>
              <c:spPr/>
              <c:txPr>
                <a:bodyPr/>
                <a:lstStyle/>
                <a:p>
                  <a:pPr>
                    <a:defRPr/>
                  </a:pPr>
                  <a:endParaRPr lang="bg-BG"/>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F8A2-4AC2-BE0B-D0B2D8A23C7B}"/>
                </c:ext>
              </c:extLst>
            </c:dLbl>
            <c:numFmt formatCode="0.0%" sourceLinked="0"/>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2024 п</c:v>
                </c:pt>
                <c:pt idx="1">
                  <c:v>2025 п</c:v>
                </c:pt>
                <c:pt idx="2">
                  <c:v>2026 п</c:v>
                </c:pt>
              </c:strCache>
            </c:strRef>
          </c:cat>
          <c:val>
            <c:numRef>
              <c:f>Sheet1!$B$3:$D$3</c:f>
              <c:numCache>
                <c:formatCode>0.0%</c:formatCode>
                <c:ptCount val="3"/>
                <c:pt idx="0">
                  <c:v>4.1743440837330465E-3</c:v>
                </c:pt>
                <c:pt idx="1">
                  <c:v>4.1507359548206739E-3</c:v>
                </c:pt>
                <c:pt idx="2">
                  <c:v>1.8134475556546906E-3</c:v>
                </c:pt>
              </c:numCache>
            </c:numRef>
          </c:val>
          <c:smooth val="1"/>
          <c:extLst>
            <c:ext xmlns:c16="http://schemas.microsoft.com/office/drawing/2014/chart" uri="{C3380CC4-5D6E-409C-BE32-E72D297353CC}">
              <c16:uniqueId val="{00000006-F8A2-4AC2-BE0B-D0B2D8A23C7B}"/>
            </c:ext>
          </c:extLst>
        </c:ser>
        <c:dLbls>
          <c:showLegendKey val="0"/>
          <c:showVal val="0"/>
          <c:showCatName val="0"/>
          <c:showSerName val="0"/>
          <c:showPercent val="0"/>
          <c:showBubbleSize val="0"/>
        </c:dLbls>
        <c:marker val="1"/>
        <c:smooth val="0"/>
        <c:axId val="265627904"/>
        <c:axId val="265641984"/>
      </c:lineChart>
      <c:catAx>
        <c:axId val="265862144"/>
        <c:scaling>
          <c:orientation val="minMax"/>
        </c:scaling>
        <c:delete val="0"/>
        <c:axPos val="b"/>
        <c:numFmt formatCode="General" sourceLinked="0"/>
        <c:majorTickMark val="out"/>
        <c:minorTickMark val="none"/>
        <c:tickLblPos val="nextTo"/>
        <c:txPr>
          <a:bodyPr rot="0" vert="horz"/>
          <a:lstStyle/>
          <a:p>
            <a:pPr>
              <a:defRPr/>
            </a:pPr>
            <a:endParaRPr lang="bg-BG"/>
          </a:p>
        </c:txPr>
        <c:crossAx val="265626368"/>
        <c:crosses val="autoZero"/>
        <c:auto val="1"/>
        <c:lblAlgn val="ctr"/>
        <c:lblOffset val="100"/>
        <c:tickLblSkip val="1"/>
        <c:tickMarkSkip val="1"/>
        <c:noMultiLvlLbl val="0"/>
      </c:catAx>
      <c:valAx>
        <c:axId val="265626368"/>
        <c:scaling>
          <c:orientation val="minMax"/>
          <c:max val="1200"/>
          <c:min val="0"/>
        </c:scaling>
        <c:delete val="0"/>
        <c:axPos val="l"/>
        <c:numFmt formatCode="#,##0" sourceLinked="0"/>
        <c:majorTickMark val="out"/>
        <c:minorTickMark val="none"/>
        <c:tickLblPos val="nextTo"/>
        <c:txPr>
          <a:bodyPr rot="0" vert="horz"/>
          <a:lstStyle/>
          <a:p>
            <a:pPr>
              <a:defRPr/>
            </a:pPr>
            <a:endParaRPr lang="bg-BG"/>
          </a:p>
        </c:txPr>
        <c:crossAx val="265862144"/>
        <c:crossesAt val="1"/>
        <c:crossBetween val="between"/>
        <c:majorUnit val="200"/>
      </c:valAx>
      <c:catAx>
        <c:axId val="265627904"/>
        <c:scaling>
          <c:orientation val="minMax"/>
        </c:scaling>
        <c:delete val="1"/>
        <c:axPos val="b"/>
        <c:numFmt formatCode="General" sourceLinked="1"/>
        <c:majorTickMark val="out"/>
        <c:minorTickMark val="none"/>
        <c:tickLblPos val="nextTo"/>
        <c:crossAx val="265641984"/>
        <c:crosses val="autoZero"/>
        <c:auto val="1"/>
        <c:lblAlgn val="ctr"/>
        <c:lblOffset val="100"/>
        <c:noMultiLvlLbl val="0"/>
      </c:catAx>
      <c:valAx>
        <c:axId val="265641984"/>
        <c:scaling>
          <c:orientation val="minMax"/>
          <c:max val="1.2000000000000002E-2"/>
          <c:min val="0"/>
        </c:scaling>
        <c:delete val="0"/>
        <c:axPos val="r"/>
        <c:numFmt formatCode="0.0%" sourceLinked="1"/>
        <c:majorTickMark val="out"/>
        <c:minorTickMark val="none"/>
        <c:tickLblPos val="nextTo"/>
        <c:crossAx val="265627904"/>
        <c:crosses val="max"/>
        <c:crossBetween val="between"/>
        <c:majorUnit val="2.0000000000000005E-3"/>
        <c:minorUnit val="1.0000000000000002E-3"/>
      </c:valAx>
    </c:plotArea>
    <c:legend>
      <c:legendPos val="b"/>
      <c:layout>
        <c:manualLayout>
          <c:xMode val="edge"/>
          <c:yMode val="edge"/>
          <c:x val="0.10663449897045697"/>
          <c:y val="3.5871695813304232E-2"/>
          <c:w val="0.28691269651899576"/>
          <c:h val="6.8452229988105434E-2"/>
        </c:manualLayout>
      </c:layout>
      <c:overlay val="0"/>
    </c:legend>
    <c:plotVisOnly val="1"/>
    <c:dispBlanksAs val="gap"/>
    <c:showDLblsOverMax val="0"/>
  </c:chart>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9"/>
    </mc:Choice>
    <mc:Fallback>
      <c:style val="9"/>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0055135323867932E-2"/>
          <c:y val="3.8083767340448826E-2"/>
          <c:w val="0.83389261744966447"/>
          <c:h val="0.83630140246979401"/>
        </c:manualLayout>
      </c:layout>
      <c:barChart>
        <c:barDir val="col"/>
        <c:grouping val="clustered"/>
        <c:varyColors val="0"/>
        <c:ser>
          <c:idx val="0"/>
          <c:order val="0"/>
          <c:tx>
            <c:strRef>
              <c:f>Sheet1!$A$2</c:f>
              <c:strCache>
                <c:ptCount val="1"/>
                <c:pt idx="0">
                  <c:v>млн. лв.</c:v>
                </c:pt>
              </c:strCache>
            </c:strRef>
          </c:tx>
          <c:spPr>
            <a:solidFill>
              <a:schemeClr val="accent3">
                <a:lumMod val="40000"/>
                <a:lumOff val="60000"/>
              </a:schemeClr>
            </a:solidFill>
            <a:ln>
              <a:solidFill>
                <a:schemeClr val="accent3">
                  <a:lumMod val="75000"/>
                </a:schemeClr>
              </a:solidFill>
            </a:ln>
          </c:spPr>
          <c:invertIfNegative val="0"/>
          <c:dLbls>
            <c:dLbl>
              <c:idx val="0"/>
              <c:layout>
                <c:manualLayout>
                  <c:x val="1.1038255173855481E-2"/>
                  <c:y val="-3.4771666238213574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21F-4589-B26E-E0522AD75F92}"/>
                </c:ext>
              </c:extLst>
            </c:dLbl>
            <c:dLbl>
              <c:idx val="1"/>
              <c:layout>
                <c:manualLayout>
                  <c:x val="-2.2352100898892064E-3"/>
                  <c:y val="-4.2990983442668176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21F-4589-B26E-E0522AD75F92}"/>
                </c:ext>
              </c:extLst>
            </c:dLbl>
            <c:dLbl>
              <c:idx val="2"/>
              <c:layout>
                <c:manualLayout>
                  <c:x val="2.2011508433788384E-3"/>
                  <c:y val="5.7052437175053239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21F-4589-B26E-E0522AD75F92}"/>
                </c:ext>
              </c:extLst>
            </c:dLbl>
            <c:dLbl>
              <c:idx val="3"/>
              <c:layout>
                <c:manualLayout>
                  <c:x val="-2.2123893805309734E-3"/>
                  <c:y val="2.0146130382350689E-3"/>
                </c:manualLayout>
              </c:layout>
              <c:numFmt formatCode="#,##0.0" sourceLinked="0"/>
              <c:spPr/>
              <c:txPr>
                <a:bodyPr/>
                <a:lstStyle/>
                <a:p>
                  <a:pPr>
                    <a:defRPr/>
                  </a:pPr>
                  <a:endParaRPr lang="bg-BG"/>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21F-4589-B26E-E0522AD75F92}"/>
                </c:ext>
              </c:extLst>
            </c:dLbl>
            <c:numFmt formatCode="#,##0.0" sourceLinked="0"/>
            <c:spPr>
              <a:noFill/>
              <a:ln>
                <a:noFill/>
              </a:ln>
              <a:effectLst/>
            </c:sp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2024 п</c:v>
                </c:pt>
                <c:pt idx="1">
                  <c:v>2025 п</c:v>
                </c:pt>
                <c:pt idx="2">
                  <c:v>2026 п</c:v>
                </c:pt>
              </c:strCache>
            </c:strRef>
          </c:cat>
          <c:val>
            <c:numRef>
              <c:f>Sheet1!$B$2:$D$2</c:f>
              <c:numCache>
                <c:formatCode>#,##0.0</c:formatCode>
                <c:ptCount val="3"/>
                <c:pt idx="0">
                  <c:v>1310.8119999999999</c:v>
                </c:pt>
                <c:pt idx="1">
                  <c:v>2053.9182000000001</c:v>
                </c:pt>
                <c:pt idx="2">
                  <c:v>1319.8757000000001</c:v>
                </c:pt>
              </c:numCache>
            </c:numRef>
          </c:val>
          <c:extLst>
            <c:ext xmlns:c16="http://schemas.microsoft.com/office/drawing/2014/chart" uri="{C3380CC4-5D6E-409C-BE32-E72D297353CC}">
              <c16:uniqueId val="{00000004-421F-4589-B26E-E0522AD75F92}"/>
            </c:ext>
          </c:extLst>
        </c:ser>
        <c:dLbls>
          <c:showLegendKey val="0"/>
          <c:showVal val="0"/>
          <c:showCatName val="0"/>
          <c:showSerName val="0"/>
          <c:showPercent val="0"/>
          <c:showBubbleSize val="0"/>
        </c:dLbls>
        <c:gapWidth val="174"/>
        <c:axId val="265951872"/>
        <c:axId val="265957760"/>
      </c:barChart>
      <c:lineChart>
        <c:grouping val="standard"/>
        <c:varyColors val="0"/>
        <c:ser>
          <c:idx val="1"/>
          <c:order val="1"/>
          <c:tx>
            <c:strRef>
              <c:f>Sheet1!$A$3</c:f>
              <c:strCache>
                <c:ptCount val="1"/>
                <c:pt idx="0">
                  <c:v>% от БВП</c:v>
                </c:pt>
              </c:strCache>
            </c:strRef>
          </c:tx>
          <c:spPr>
            <a:ln w="38076">
              <a:solidFill>
                <a:schemeClr val="accent3">
                  <a:lumMod val="75000"/>
                </a:schemeClr>
              </a:solidFill>
            </a:ln>
          </c:spPr>
          <c:marker>
            <c:spPr>
              <a:solidFill>
                <a:schemeClr val="accent3">
                  <a:lumMod val="75000"/>
                </a:schemeClr>
              </a:solidFill>
              <a:ln>
                <a:solidFill>
                  <a:schemeClr val="accent3">
                    <a:lumMod val="75000"/>
                  </a:schemeClr>
                </a:solidFill>
              </a:ln>
            </c:spPr>
          </c:marker>
          <c:dLbls>
            <c:dLbl>
              <c:idx val="0"/>
              <c:layout>
                <c:manualLayout>
                  <c:x val="3.7611838896244164E-2"/>
                  <c:y val="-2.2863526581547318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21F-4589-B26E-E0522AD75F92}"/>
                </c:ext>
              </c:extLst>
            </c:dLbl>
            <c:dLbl>
              <c:idx val="1"/>
              <c:layout>
                <c:manualLayout>
                  <c:x val="8.0870140292197912E-2"/>
                  <c:y val="2.6811378228953058E-2"/>
                </c:manualLayout>
              </c:layout>
              <c:numFmt formatCode="0.0%" sourceLinked="0"/>
              <c:spPr/>
              <c:txPr>
                <a:bodyPr/>
                <a:lstStyle/>
                <a:p>
                  <a:pPr>
                    <a:defRPr/>
                  </a:pPr>
                  <a:endParaRPr lang="bg-BG"/>
                </a:p>
              </c:txPr>
              <c:dLblPos val="r"/>
              <c:showLegendKey val="0"/>
              <c:showVal val="1"/>
              <c:showCatName val="0"/>
              <c:showSerName val="0"/>
              <c:showPercent val="0"/>
              <c:showBubbleSize val="0"/>
              <c:extLst>
                <c:ext xmlns:c15="http://schemas.microsoft.com/office/drawing/2012/chart" uri="{CE6537A1-D6FC-4f65-9D91-7224C49458BB}">
                  <c15:layout>
                    <c:manualLayout>
                      <c:w val="7.713613298337707E-2"/>
                      <c:h val="6.2549877343763396E-2"/>
                    </c:manualLayout>
                  </c15:layout>
                </c:ext>
                <c:ext xmlns:c16="http://schemas.microsoft.com/office/drawing/2014/chart" uri="{C3380CC4-5D6E-409C-BE32-E72D297353CC}">
                  <c16:uniqueId val="{00000006-421F-4589-B26E-E0522AD75F92}"/>
                </c:ext>
              </c:extLst>
            </c:dLbl>
            <c:dLbl>
              <c:idx val="2"/>
              <c:layout>
                <c:manualLayout>
                  <c:x val="3.5426829902536955E-2"/>
                  <c:y val="-3.403243388079970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421F-4589-B26E-E0522AD75F92}"/>
                </c:ext>
              </c:extLst>
            </c:dLbl>
            <c:dLbl>
              <c:idx val="3"/>
              <c:layout>
                <c:manualLayout>
                  <c:x val="2.2311859800710751E-2"/>
                  <c:y val="1.2174336498660824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421F-4589-B26E-E0522AD75F92}"/>
                </c:ext>
              </c:extLst>
            </c:dLbl>
            <c:numFmt formatCode="0.0%" sourceLinked="0"/>
            <c:spPr>
              <a:noFill/>
              <a:ln>
                <a:noFill/>
              </a:ln>
              <a:effectLst/>
            </c:sp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2024 п</c:v>
                </c:pt>
                <c:pt idx="1">
                  <c:v>2025 п</c:v>
                </c:pt>
                <c:pt idx="2">
                  <c:v>2026 п</c:v>
                </c:pt>
              </c:strCache>
            </c:strRef>
          </c:cat>
          <c:val>
            <c:numRef>
              <c:f>Sheet1!$B$3:$D$3</c:f>
              <c:numCache>
                <c:formatCode>0.0%</c:formatCode>
                <c:ptCount val="3"/>
                <c:pt idx="0">
                  <c:v>6.3678412932058059E-3</c:v>
                </c:pt>
                <c:pt idx="1">
                  <c:v>9.4298075506849093E-3</c:v>
                </c:pt>
                <c:pt idx="2">
                  <c:v>5.7049361581458374E-3</c:v>
                </c:pt>
              </c:numCache>
            </c:numRef>
          </c:val>
          <c:smooth val="1"/>
          <c:extLst>
            <c:ext xmlns:c16="http://schemas.microsoft.com/office/drawing/2014/chart" uri="{C3380CC4-5D6E-409C-BE32-E72D297353CC}">
              <c16:uniqueId val="{00000009-421F-4589-B26E-E0522AD75F92}"/>
            </c:ext>
          </c:extLst>
        </c:ser>
        <c:dLbls>
          <c:showLegendKey val="0"/>
          <c:showVal val="0"/>
          <c:showCatName val="0"/>
          <c:showSerName val="0"/>
          <c:showPercent val="0"/>
          <c:showBubbleSize val="0"/>
        </c:dLbls>
        <c:marker val="1"/>
        <c:smooth val="0"/>
        <c:axId val="265959296"/>
        <c:axId val="265960832"/>
      </c:lineChart>
      <c:catAx>
        <c:axId val="265951872"/>
        <c:scaling>
          <c:orientation val="minMax"/>
        </c:scaling>
        <c:delete val="0"/>
        <c:axPos val="b"/>
        <c:numFmt formatCode="General" sourceLinked="0"/>
        <c:majorTickMark val="out"/>
        <c:minorTickMark val="none"/>
        <c:tickLblPos val="nextTo"/>
        <c:txPr>
          <a:bodyPr rot="0" vert="horz"/>
          <a:lstStyle/>
          <a:p>
            <a:pPr>
              <a:defRPr/>
            </a:pPr>
            <a:endParaRPr lang="bg-BG"/>
          </a:p>
        </c:txPr>
        <c:crossAx val="265957760"/>
        <c:crosses val="autoZero"/>
        <c:auto val="1"/>
        <c:lblAlgn val="ctr"/>
        <c:lblOffset val="100"/>
        <c:tickLblSkip val="1"/>
        <c:tickMarkSkip val="1"/>
        <c:noMultiLvlLbl val="0"/>
      </c:catAx>
      <c:valAx>
        <c:axId val="265957760"/>
        <c:scaling>
          <c:orientation val="minMax"/>
          <c:max val="2400"/>
          <c:min val="0"/>
        </c:scaling>
        <c:delete val="0"/>
        <c:axPos val="l"/>
        <c:numFmt formatCode="#,##0" sourceLinked="0"/>
        <c:majorTickMark val="out"/>
        <c:minorTickMark val="none"/>
        <c:tickLblPos val="nextTo"/>
        <c:txPr>
          <a:bodyPr rot="0" vert="horz"/>
          <a:lstStyle/>
          <a:p>
            <a:pPr>
              <a:defRPr/>
            </a:pPr>
            <a:endParaRPr lang="bg-BG"/>
          </a:p>
        </c:txPr>
        <c:crossAx val="265951872"/>
        <c:crossesAt val="1"/>
        <c:crossBetween val="between"/>
        <c:majorUnit val="200"/>
      </c:valAx>
      <c:catAx>
        <c:axId val="265959296"/>
        <c:scaling>
          <c:orientation val="minMax"/>
        </c:scaling>
        <c:delete val="1"/>
        <c:axPos val="b"/>
        <c:numFmt formatCode="General" sourceLinked="1"/>
        <c:majorTickMark val="out"/>
        <c:minorTickMark val="none"/>
        <c:tickLblPos val="nextTo"/>
        <c:crossAx val="265960832"/>
        <c:crosses val="autoZero"/>
        <c:auto val="1"/>
        <c:lblAlgn val="ctr"/>
        <c:lblOffset val="100"/>
        <c:noMultiLvlLbl val="0"/>
      </c:catAx>
      <c:valAx>
        <c:axId val="265960832"/>
        <c:scaling>
          <c:orientation val="minMax"/>
          <c:max val="1.2000000000000002E-2"/>
          <c:min val="0"/>
        </c:scaling>
        <c:delete val="0"/>
        <c:axPos val="r"/>
        <c:numFmt formatCode="0.0%" sourceLinked="1"/>
        <c:majorTickMark val="out"/>
        <c:minorTickMark val="none"/>
        <c:tickLblPos val="nextTo"/>
        <c:crossAx val="265959296"/>
        <c:crosses val="max"/>
        <c:crossBetween val="between"/>
        <c:majorUnit val="2.0000000000000005E-3"/>
        <c:minorUnit val="1.0000000000000002E-3"/>
      </c:valAx>
    </c:plotArea>
    <c:legend>
      <c:legendPos val="b"/>
      <c:layout>
        <c:manualLayout>
          <c:xMode val="edge"/>
          <c:yMode val="edge"/>
          <c:x val="0.12656487352797716"/>
          <c:y val="2.1460739414828271E-3"/>
          <c:w val="0.32882473024205311"/>
          <c:h val="7.5265501722194636E-2"/>
        </c:manualLayout>
      </c:layout>
      <c:overlay val="0"/>
    </c:legend>
    <c:plotVisOnly val="1"/>
    <c:dispBlanksAs val="gap"/>
    <c:showDLblsOverMax val="0"/>
  </c:chart>
  <c:spPr>
    <a:ln>
      <a:solidFill>
        <a:sysClr val="window" lastClr="FFFFFF">
          <a:lumMod val="65000"/>
        </a:sysClr>
      </a:solidFill>
    </a:ln>
  </c:sp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16"/>
    </mc:Choice>
    <mc:Fallback>
      <c:style val="16"/>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7605830516509683E-2"/>
          <c:y val="5.0200808796104501E-2"/>
          <c:w val="0.89928469983508064"/>
          <c:h val="0.84589392303784605"/>
        </c:manualLayout>
      </c:layout>
      <c:barChart>
        <c:barDir val="col"/>
        <c:grouping val="clustered"/>
        <c:varyColors val="0"/>
        <c:ser>
          <c:idx val="1"/>
          <c:order val="0"/>
          <c:tx>
            <c:strRef>
              <c:f>'КФП показателиСАЛДО'!$B$3:$B$3</c:f>
              <c:strCache>
                <c:ptCount val="1"/>
                <c:pt idx="0">
                  <c:v>Приходи</c:v>
                </c:pt>
              </c:strCache>
            </c:strRef>
          </c:tx>
          <c:spPr>
            <a:solidFill>
              <a:schemeClr val="accent5">
                <a:lumMod val="60000"/>
                <a:lumOff val="40000"/>
              </a:schemeClr>
            </a:solidFill>
            <a:ln>
              <a:solidFill>
                <a:schemeClr val="tx1">
                  <a:lumMod val="50000"/>
                  <a:lumOff val="50000"/>
                </a:schemeClr>
              </a:solidFill>
            </a:ln>
          </c:spPr>
          <c:invertIfNegative val="0"/>
          <c:dPt>
            <c:idx val="0"/>
            <c:invertIfNegative val="0"/>
            <c:bubble3D val="0"/>
            <c:spPr>
              <a:solidFill>
                <a:schemeClr val="accent5">
                  <a:lumMod val="60000"/>
                  <a:lumOff val="40000"/>
                </a:schemeClr>
              </a:solidFill>
              <a:ln>
                <a:solidFill>
                  <a:schemeClr val="tx2">
                    <a:lumMod val="75000"/>
                  </a:schemeClr>
                </a:solidFill>
              </a:ln>
            </c:spPr>
            <c:extLst>
              <c:ext xmlns:c16="http://schemas.microsoft.com/office/drawing/2014/chart" uri="{C3380CC4-5D6E-409C-BE32-E72D297353CC}">
                <c16:uniqueId val="{00000001-9B5E-4596-9657-3E9400AB3D61}"/>
              </c:ext>
            </c:extLst>
          </c:dPt>
          <c:dPt>
            <c:idx val="1"/>
            <c:invertIfNegative val="0"/>
            <c:bubble3D val="0"/>
            <c:spPr>
              <a:solidFill>
                <a:schemeClr val="accent5">
                  <a:lumMod val="60000"/>
                  <a:lumOff val="40000"/>
                </a:schemeClr>
              </a:solidFill>
              <a:ln>
                <a:solidFill>
                  <a:schemeClr val="tx2">
                    <a:lumMod val="75000"/>
                  </a:schemeClr>
                </a:solidFill>
              </a:ln>
            </c:spPr>
            <c:extLst>
              <c:ext xmlns:c16="http://schemas.microsoft.com/office/drawing/2014/chart" uri="{C3380CC4-5D6E-409C-BE32-E72D297353CC}">
                <c16:uniqueId val="{00000003-9B5E-4596-9657-3E9400AB3D61}"/>
              </c:ext>
            </c:extLst>
          </c:dPt>
          <c:dPt>
            <c:idx val="2"/>
            <c:invertIfNegative val="0"/>
            <c:bubble3D val="0"/>
            <c:spPr>
              <a:solidFill>
                <a:schemeClr val="accent5">
                  <a:lumMod val="60000"/>
                  <a:lumOff val="40000"/>
                </a:schemeClr>
              </a:solidFill>
              <a:ln>
                <a:solidFill>
                  <a:schemeClr val="tx2">
                    <a:lumMod val="75000"/>
                  </a:schemeClr>
                </a:solidFill>
              </a:ln>
            </c:spPr>
            <c:extLst>
              <c:ext xmlns:c16="http://schemas.microsoft.com/office/drawing/2014/chart" uri="{C3380CC4-5D6E-409C-BE32-E72D297353CC}">
                <c16:uniqueId val="{00000005-9B5E-4596-9657-3E9400AB3D61}"/>
              </c:ext>
            </c:extLst>
          </c:dPt>
          <c:dPt>
            <c:idx val="3"/>
            <c:invertIfNegative val="0"/>
            <c:bubble3D val="0"/>
            <c:spPr>
              <a:solidFill>
                <a:schemeClr val="accent5">
                  <a:lumMod val="60000"/>
                  <a:lumOff val="40000"/>
                </a:schemeClr>
              </a:solidFill>
              <a:ln>
                <a:solidFill>
                  <a:schemeClr val="tx2">
                    <a:lumMod val="75000"/>
                  </a:schemeClr>
                </a:solidFill>
              </a:ln>
            </c:spPr>
            <c:extLst>
              <c:ext xmlns:c16="http://schemas.microsoft.com/office/drawing/2014/chart" uri="{C3380CC4-5D6E-409C-BE32-E72D297353CC}">
                <c16:uniqueId val="{00000007-9B5E-4596-9657-3E9400AB3D61}"/>
              </c:ext>
            </c:extLst>
          </c:dPt>
          <c:dLbls>
            <c:dLbl>
              <c:idx val="0"/>
              <c:layout>
                <c:manualLayout>
                  <c:x val="-5.6772738118478988E-3"/>
                  <c:y val="8.7408746037892799E-3"/>
                </c:manualLayout>
              </c:layout>
              <c:spPr/>
              <c:txPr>
                <a:bodyPr/>
                <a:lstStyle/>
                <a:p>
                  <a:pPr>
                    <a:defRPr/>
                  </a:pPr>
                  <a:endParaRPr lang="bg-BG"/>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B5E-4596-9657-3E9400AB3D61}"/>
                </c:ext>
              </c:extLst>
            </c:dLbl>
            <c:dLbl>
              <c:idx val="1"/>
              <c:layout>
                <c:manualLayout>
                  <c:x val="3.4378429968981148E-3"/>
                  <c:y val="1.3570270929248599E-2"/>
                </c:manualLayout>
              </c:layout>
              <c:spPr/>
              <c:txPr>
                <a:bodyPr/>
                <a:lstStyle/>
                <a:p>
                  <a:pPr>
                    <a:defRPr/>
                  </a:pPr>
                  <a:endParaRPr lang="bg-BG"/>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B5E-4596-9657-3E9400AB3D61}"/>
                </c:ext>
              </c:extLst>
            </c:dLbl>
            <c:dLbl>
              <c:idx val="2"/>
              <c:layout>
                <c:manualLayout>
                  <c:x val="-1.728429779610882E-3"/>
                  <c:y val="1.7948909321077847E-2"/>
                </c:manualLayout>
              </c:layout>
              <c:spPr/>
              <c:txPr>
                <a:bodyPr/>
                <a:lstStyle/>
                <a:p>
                  <a:pPr>
                    <a:defRPr/>
                  </a:pPr>
                  <a:endParaRPr lang="bg-BG"/>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B5E-4596-9657-3E9400AB3D61}"/>
                </c:ext>
              </c:extLst>
            </c:dLbl>
            <c:dLbl>
              <c:idx val="3"/>
              <c:layout>
                <c:manualLayout>
                  <c:x val="-2.6486193358061646E-3"/>
                  <c:y val="9.4029229952813272E-3"/>
                </c:manualLayout>
              </c:layout>
              <c:spPr/>
              <c:txPr>
                <a:bodyPr/>
                <a:lstStyle/>
                <a:p>
                  <a:pPr>
                    <a:defRPr/>
                  </a:pPr>
                  <a:endParaRPr lang="bg-BG"/>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9B5E-4596-9657-3E9400AB3D61}"/>
                </c:ext>
              </c:extLst>
            </c:dLbl>
            <c:dLbl>
              <c:idx val="4"/>
              <c:layout>
                <c:manualLayout>
                  <c:x val="-8.1925243215565796E-3"/>
                  <c:y val="1.238390092879257E-2"/>
                </c:manualLayout>
              </c:layout>
              <c:spPr/>
              <c:txPr>
                <a:bodyPr/>
                <a:lstStyle/>
                <a:p>
                  <a:pPr>
                    <a:defRPr/>
                  </a:pPr>
                  <a:endParaRPr lang="bg-BG"/>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9B5E-4596-9657-3E9400AB3D61}"/>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'КФП показателиСАЛДО'!$C$2:$E$2</c:f>
              <c:strCache>
                <c:ptCount val="3"/>
                <c:pt idx="0">
                  <c:v>2024 п</c:v>
                </c:pt>
                <c:pt idx="1">
                  <c:v>2025 п</c:v>
                </c:pt>
                <c:pt idx="2">
                  <c:v>2026 п</c:v>
                </c:pt>
              </c:strCache>
            </c:strRef>
          </c:cat>
          <c:val>
            <c:numRef>
              <c:f>'КФП показателиСАЛДО'!$C$3:$E$3</c:f>
              <c:numCache>
                <c:formatCode>#,##0.0</c:formatCode>
                <c:ptCount val="3"/>
                <c:pt idx="0">
                  <c:v>328.70409999999998</c:v>
                </c:pt>
                <c:pt idx="1">
                  <c:v>370.67630000000003</c:v>
                </c:pt>
                <c:pt idx="2">
                  <c:v>292.00300000000004</c:v>
                </c:pt>
              </c:numCache>
            </c:numRef>
          </c:val>
          <c:extLst>
            <c:ext xmlns:c16="http://schemas.microsoft.com/office/drawing/2014/chart" uri="{C3380CC4-5D6E-409C-BE32-E72D297353CC}">
              <c16:uniqueId val="{00000009-9B5E-4596-9657-3E9400AB3D61}"/>
            </c:ext>
          </c:extLst>
        </c:ser>
        <c:ser>
          <c:idx val="0"/>
          <c:order val="1"/>
          <c:tx>
            <c:strRef>
              <c:f>'КФП показателиСАЛДО'!$B$4:$B$4</c:f>
              <c:strCache>
                <c:ptCount val="1"/>
                <c:pt idx="0">
                  <c:v>Разходи </c:v>
                </c:pt>
              </c:strCache>
            </c:strRef>
          </c:tx>
          <c:spPr>
            <a:solidFill>
              <a:schemeClr val="accent3">
                <a:lumMod val="40000"/>
                <a:lumOff val="60000"/>
              </a:schemeClr>
            </a:solidFill>
            <a:ln>
              <a:solidFill>
                <a:schemeClr val="accent3">
                  <a:lumMod val="75000"/>
                </a:schemeClr>
              </a:solidFill>
            </a:ln>
          </c:spPr>
          <c:invertIfNegative val="0"/>
          <c:dLbls>
            <c:dLbl>
              <c:idx val="0"/>
              <c:layout>
                <c:manualLayout>
                  <c:x val="6.8031496062992121E-4"/>
                  <c:y val="1.1428075307380471E-2"/>
                </c:manualLayout>
              </c:layout>
              <c:spPr/>
              <c:txPr>
                <a:bodyPr/>
                <a:lstStyle/>
                <a:p>
                  <a:pPr>
                    <a:defRPr/>
                  </a:pPr>
                  <a:endParaRPr lang="bg-BG"/>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9B5E-4596-9657-3E9400AB3D61}"/>
                </c:ext>
              </c:extLst>
            </c:dLbl>
            <c:dLbl>
              <c:idx val="1"/>
              <c:layout>
                <c:manualLayout>
                  <c:x val="1.749438067869458E-3"/>
                  <c:y val="1.2548095597460066E-2"/>
                </c:manualLayout>
              </c:layout>
              <c:spPr/>
              <c:txPr>
                <a:bodyPr/>
                <a:lstStyle/>
                <a:p>
                  <a:pPr>
                    <a:defRPr/>
                  </a:pPr>
                  <a:endParaRPr lang="bg-BG"/>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9B5E-4596-9657-3E9400AB3D61}"/>
                </c:ext>
              </c:extLst>
            </c:dLbl>
            <c:dLbl>
              <c:idx val="2"/>
              <c:layout>
                <c:manualLayout>
                  <c:x val="1.0550106675262011E-2"/>
                  <c:y val="8.5248728073213723E-3"/>
                </c:manualLayout>
              </c:layout>
              <c:spPr/>
              <c:txPr>
                <a:bodyPr/>
                <a:lstStyle/>
                <a:p>
                  <a:pPr>
                    <a:defRPr/>
                  </a:pPr>
                  <a:endParaRPr lang="bg-BG"/>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9B5E-4596-9657-3E9400AB3D61}"/>
                </c:ext>
              </c:extLst>
            </c:dLbl>
            <c:dLbl>
              <c:idx val="3"/>
              <c:layout>
                <c:manualLayout>
                  <c:x val="6.4870123993121549E-3"/>
                  <c:y val="1.1639768054237521E-2"/>
                </c:manualLayout>
              </c:layout>
              <c:spPr/>
              <c:txPr>
                <a:bodyPr/>
                <a:lstStyle/>
                <a:p>
                  <a:pPr>
                    <a:defRPr/>
                  </a:pPr>
                  <a:endParaRPr lang="bg-BG"/>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9B5E-4596-9657-3E9400AB3D61}"/>
                </c:ext>
              </c:extLst>
            </c:dLbl>
            <c:dLbl>
              <c:idx val="4"/>
              <c:layout>
                <c:manualLayout>
                  <c:x val="8.1925243215565796E-3"/>
                  <c:y val="8.255608915758595E-3"/>
                </c:manualLayout>
              </c:layout>
              <c:spPr/>
              <c:txPr>
                <a:bodyPr/>
                <a:lstStyle/>
                <a:p>
                  <a:pPr>
                    <a:defRPr/>
                  </a:pPr>
                  <a:endParaRPr lang="bg-BG"/>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9B5E-4596-9657-3E9400AB3D61}"/>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'КФП показателиСАЛДО'!$C$2:$E$2</c:f>
              <c:strCache>
                <c:ptCount val="3"/>
                <c:pt idx="0">
                  <c:v>2024 п</c:v>
                </c:pt>
                <c:pt idx="1">
                  <c:v>2025 п</c:v>
                </c:pt>
                <c:pt idx="2">
                  <c:v>2026 п</c:v>
                </c:pt>
              </c:strCache>
            </c:strRef>
          </c:cat>
          <c:val>
            <c:numRef>
              <c:f>'КФП показателиСАЛДО'!$C$4:$E$4</c:f>
              <c:numCache>
                <c:formatCode>#,##0.0</c:formatCode>
                <c:ptCount val="3"/>
                <c:pt idx="0">
                  <c:v>475.80029999999999</c:v>
                </c:pt>
                <c:pt idx="1">
                  <c:v>515.59539999999993</c:v>
                </c:pt>
                <c:pt idx="2">
                  <c:v>498.41879999999992</c:v>
                </c:pt>
              </c:numCache>
            </c:numRef>
          </c:val>
          <c:extLst>
            <c:ext xmlns:c16="http://schemas.microsoft.com/office/drawing/2014/chart" uri="{C3380CC4-5D6E-409C-BE32-E72D297353CC}">
              <c16:uniqueId val="{0000000F-9B5E-4596-9657-3E9400AB3D61}"/>
            </c:ext>
          </c:extLst>
        </c:ser>
        <c:dLbls>
          <c:showLegendKey val="0"/>
          <c:showVal val="0"/>
          <c:showCatName val="0"/>
          <c:showSerName val="0"/>
          <c:showPercent val="0"/>
          <c:showBubbleSize val="0"/>
        </c:dLbls>
        <c:gapWidth val="119"/>
        <c:axId val="295289216"/>
        <c:axId val="295290752"/>
      </c:barChart>
      <c:catAx>
        <c:axId val="295289216"/>
        <c:scaling>
          <c:orientation val="minMax"/>
        </c:scaling>
        <c:delete val="0"/>
        <c:axPos val="b"/>
        <c:numFmt formatCode="General" sourceLinked="1"/>
        <c:majorTickMark val="out"/>
        <c:minorTickMark val="none"/>
        <c:tickLblPos val="nextTo"/>
        <c:txPr>
          <a:bodyPr rot="0" vert="horz"/>
          <a:lstStyle/>
          <a:p>
            <a:pPr>
              <a:defRPr/>
            </a:pPr>
            <a:endParaRPr lang="bg-BG"/>
          </a:p>
        </c:txPr>
        <c:crossAx val="295290752"/>
        <c:crosses val="autoZero"/>
        <c:auto val="0"/>
        <c:lblAlgn val="ctr"/>
        <c:lblOffset val="100"/>
        <c:tickLblSkip val="1"/>
        <c:tickMarkSkip val="1"/>
        <c:noMultiLvlLbl val="0"/>
      </c:catAx>
      <c:valAx>
        <c:axId val="295290752"/>
        <c:scaling>
          <c:orientation val="minMax"/>
          <c:max val="1200"/>
        </c:scaling>
        <c:delete val="0"/>
        <c:axPos val="l"/>
        <c:numFmt formatCode="#,##0" sourceLinked="0"/>
        <c:majorTickMark val="out"/>
        <c:minorTickMark val="none"/>
        <c:tickLblPos val="nextTo"/>
        <c:txPr>
          <a:bodyPr rot="0" vert="horz"/>
          <a:lstStyle/>
          <a:p>
            <a:pPr>
              <a:defRPr/>
            </a:pPr>
            <a:endParaRPr lang="bg-BG"/>
          </a:p>
        </c:txPr>
        <c:crossAx val="295289216"/>
        <c:crosses val="autoZero"/>
        <c:crossBetween val="between"/>
        <c:minorUnit val="50"/>
      </c:valAx>
    </c:plotArea>
    <c:legend>
      <c:legendPos val="b"/>
      <c:layout>
        <c:manualLayout>
          <c:xMode val="edge"/>
          <c:yMode val="edge"/>
          <c:x val="0.61523441832094938"/>
          <c:y val="1.6200292802595665E-2"/>
          <c:w val="0.2996801181102362"/>
          <c:h val="9.6245004550310598E-2"/>
        </c:manualLayout>
      </c:layout>
      <c:overlay val="0"/>
    </c:legend>
    <c:plotVisOnly val="1"/>
    <c:dispBlanksAs val="gap"/>
    <c:showDLblsOverMax val="0"/>
  </c:chart>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358114610673666"/>
          <c:y val="7.1591089210582715E-2"/>
          <c:w val="0.77000167184432267"/>
          <c:h val="0.71452227106984656"/>
        </c:manualLayout>
      </c:layout>
      <c:barChart>
        <c:barDir val="col"/>
        <c:grouping val="clustered"/>
        <c:varyColors val="0"/>
        <c:ser>
          <c:idx val="0"/>
          <c:order val="0"/>
          <c:tx>
            <c:strRef>
              <c:f>'гр ДД БВП'!$B$3</c:f>
              <c:strCache>
                <c:ptCount val="1"/>
                <c:pt idx="0">
                  <c:v>Размер на държавния дълг /по номинал/, млрд. лв.</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bg-BG"/>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'гр ДД БВП'!$C$2:$G$2</c:f>
              <c:strCache>
                <c:ptCount val="5"/>
                <c:pt idx="0">
                  <c:v>2022</c:v>
                </c:pt>
                <c:pt idx="1">
                  <c:v>2023 О</c:v>
                </c:pt>
                <c:pt idx="2">
                  <c:v>2024 П</c:v>
                </c:pt>
                <c:pt idx="3">
                  <c:v>2025 П</c:v>
                </c:pt>
                <c:pt idx="4">
                  <c:v>2026 П</c:v>
                </c:pt>
              </c:strCache>
            </c:strRef>
          </c:cat>
          <c:val>
            <c:numRef>
              <c:f>'гр ДД БВП'!$C$3:$G$3</c:f>
              <c:numCache>
                <c:formatCode>0.0</c:formatCode>
                <c:ptCount val="5"/>
                <c:pt idx="0">
                  <c:v>36.12567197784</c:v>
                </c:pt>
                <c:pt idx="1">
                  <c:v>40.533138661089993</c:v>
                </c:pt>
                <c:pt idx="2">
                  <c:v>47.952261321500004</c:v>
                </c:pt>
                <c:pt idx="3">
                  <c:v>56.21114053761</c:v>
                </c:pt>
                <c:pt idx="4">
                  <c:v>65.566845841119999</c:v>
                </c:pt>
              </c:numCache>
            </c:numRef>
          </c:val>
          <c:extLst>
            <c:ext xmlns:c16="http://schemas.microsoft.com/office/drawing/2014/chart" uri="{C3380CC4-5D6E-409C-BE32-E72D297353CC}">
              <c16:uniqueId val="{00000000-C375-4A67-8870-8295D04C8BA2}"/>
            </c:ext>
          </c:extLst>
        </c:ser>
        <c:dLbls>
          <c:dLblPos val="ctr"/>
          <c:showLegendKey val="0"/>
          <c:showVal val="1"/>
          <c:showCatName val="0"/>
          <c:showSerName val="0"/>
          <c:showPercent val="0"/>
          <c:showBubbleSize val="0"/>
        </c:dLbls>
        <c:gapWidth val="247"/>
        <c:axId val="730896416"/>
        <c:axId val="639972336"/>
      </c:barChart>
      <c:lineChart>
        <c:grouping val="standard"/>
        <c:varyColors val="0"/>
        <c:ser>
          <c:idx val="1"/>
          <c:order val="1"/>
          <c:tx>
            <c:strRef>
              <c:f>'гр ДД БВП'!$B$4</c:f>
              <c:strCache>
                <c:ptCount val="1"/>
                <c:pt idx="0">
                  <c:v>Държавен дълг/БВП (%)</c:v>
                </c:pt>
              </c:strCache>
            </c:strRef>
          </c:tx>
          <c:spPr>
            <a:ln w="22225" cap="rnd">
              <a:solidFill>
                <a:schemeClr val="accent2"/>
              </a:solidFill>
              <a:round/>
            </a:ln>
            <a:effectLst/>
          </c:spPr>
          <c:marker>
            <c:symbol val="none"/>
          </c:marker>
          <c:dLbls>
            <c:dLbl>
              <c:idx val="0"/>
              <c:layout>
                <c:manualLayout>
                  <c:x val="-3.7128776852093696E-2"/>
                  <c:y val="-2.957109603321542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375-4A67-8870-8295D04C8BA2}"/>
                </c:ext>
              </c:extLst>
            </c:dLbl>
            <c:dLbl>
              <c:idx val="1"/>
              <c:layout>
                <c:manualLayout>
                  <c:x val="3.8579801236424223E-17"/>
                  <c:y val="-3.2139577594123094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375-4A67-8870-8295D04C8BA2}"/>
                </c:ext>
              </c:extLst>
            </c:dLbl>
            <c:dLbl>
              <c:idx val="2"/>
              <c:layout>
                <c:manualLayout>
                  <c:x val="-7.7159602472848446E-17"/>
                  <c:y val="-3.2139577594123094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375-4A67-8870-8295D04C8BA2}"/>
                </c:ext>
              </c:extLst>
            </c:dLbl>
            <c:dLbl>
              <c:idx val="3"/>
              <c:layout>
                <c:manualLayout>
                  <c:x val="7.7159602472848446E-17"/>
                  <c:y val="-3.2139577594123052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375-4A67-8870-8295D04C8BA2}"/>
                </c:ext>
              </c:extLst>
            </c:dLbl>
            <c:dLbl>
              <c:idx val="4"/>
              <c:layout>
                <c:manualLayout>
                  <c:x val="-1.5431920494569689E-16"/>
                  <c:y val="-3.6730945821854932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375-4A67-8870-8295D04C8BA2}"/>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bg-BG"/>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'гр ДД БВП'!$C$2:$G$2</c:f>
              <c:strCache>
                <c:ptCount val="5"/>
                <c:pt idx="0">
                  <c:v>2022</c:v>
                </c:pt>
                <c:pt idx="1">
                  <c:v>2023 О</c:v>
                </c:pt>
                <c:pt idx="2">
                  <c:v>2024 П</c:v>
                </c:pt>
                <c:pt idx="3">
                  <c:v>2025 П</c:v>
                </c:pt>
                <c:pt idx="4">
                  <c:v>2026 П</c:v>
                </c:pt>
              </c:strCache>
            </c:strRef>
          </c:cat>
          <c:val>
            <c:numRef>
              <c:f>'гр ДД БВП'!$C$4:$G$4</c:f>
              <c:numCache>
                <c:formatCode>0.0%</c:formatCode>
                <c:ptCount val="5"/>
                <c:pt idx="0">
                  <c:v>0.215</c:v>
                </c:pt>
                <c:pt idx="1">
                  <c:v>0.21199999999999999</c:v>
                </c:pt>
                <c:pt idx="2">
                  <c:v>0.23300000000000001</c:v>
                </c:pt>
                <c:pt idx="3">
                  <c:v>0.25800000000000001</c:v>
                </c:pt>
                <c:pt idx="4">
                  <c:v>0.28299999999999997</c:v>
                </c:pt>
              </c:numCache>
            </c:numRef>
          </c:val>
          <c:smooth val="0"/>
          <c:extLst>
            <c:ext xmlns:c16="http://schemas.microsoft.com/office/drawing/2014/chart" uri="{C3380CC4-5D6E-409C-BE32-E72D297353CC}">
              <c16:uniqueId val="{00000006-C375-4A67-8870-8295D04C8BA2}"/>
            </c:ext>
          </c:extLst>
        </c:ser>
        <c:dLbls>
          <c:showLegendKey val="0"/>
          <c:showVal val="0"/>
          <c:showCatName val="0"/>
          <c:showSerName val="0"/>
          <c:showPercent val="0"/>
          <c:showBubbleSize val="0"/>
        </c:dLbls>
        <c:marker val="1"/>
        <c:smooth val="0"/>
        <c:axId val="639973424"/>
        <c:axId val="639972880"/>
      </c:lineChart>
      <c:catAx>
        <c:axId val="730896416"/>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bg-BG"/>
          </a:p>
        </c:txPr>
        <c:crossAx val="639972336"/>
        <c:crosses val="autoZero"/>
        <c:auto val="1"/>
        <c:lblAlgn val="ctr"/>
        <c:lblOffset val="100"/>
        <c:noMultiLvlLbl val="0"/>
      </c:catAx>
      <c:valAx>
        <c:axId val="639972336"/>
        <c:scaling>
          <c:orientation val="minMax"/>
          <c:max val="70"/>
        </c:scaling>
        <c:delete val="0"/>
        <c:axPos val="l"/>
        <c:majorGridlines>
          <c:spPr>
            <a:ln w="9525" cap="flat" cmpd="sng" algn="ctr">
              <a:solidFill>
                <a:schemeClr val="dk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bg-BG"/>
          </a:p>
        </c:txPr>
        <c:crossAx val="730896416"/>
        <c:crosses val="autoZero"/>
        <c:crossBetween val="between"/>
      </c:valAx>
      <c:valAx>
        <c:axId val="639972880"/>
        <c:scaling>
          <c:orientation val="minMax"/>
          <c:max val="0.30000000000000004"/>
        </c:scaling>
        <c:delete val="0"/>
        <c:axPos val="r"/>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bg-BG"/>
          </a:p>
        </c:txPr>
        <c:crossAx val="639973424"/>
        <c:crosses val="max"/>
        <c:crossBetween val="between"/>
      </c:valAx>
      <c:catAx>
        <c:axId val="639973424"/>
        <c:scaling>
          <c:orientation val="minMax"/>
        </c:scaling>
        <c:delete val="1"/>
        <c:axPos val="b"/>
        <c:numFmt formatCode="General" sourceLinked="1"/>
        <c:majorTickMark val="out"/>
        <c:minorTickMark val="none"/>
        <c:tickLblPos val="nextTo"/>
        <c:crossAx val="639972880"/>
        <c:crosses val="autoZero"/>
        <c:auto val="1"/>
        <c:lblAlgn val="ctr"/>
        <c:lblOffset val="100"/>
        <c:noMultiLvlLbl val="0"/>
      </c:cat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bg-BG"/>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bg-BG"/>
    </a:p>
  </c:txPr>
  <c:externalData r:id="rId4">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4278118345392621E-2"/>
          <c:y val="4.2683664541932266E-2"/>
          <c:w val="0.9090909915111145"/>
          <c:h val="0.6673735090044437"/>
        </c:manualLayout>
      </c:layout>
      <c:lineChart>
        <c:grouping val="standard"/>
        <c:varyColors val="0"/>
        <c:ser>
          <c:idx val="0"/>
          <c:order val="0"/>
          <c:tx>
            <c:strRef>
              <c:f>'Графика л.р.ВП'!$A$5</c:f>
              <c:strCache>
                <c:ptCount val="1"/>
                <c:pt idx="0">
                  <c:v>външни лихвeни разходи/БВП</c:v>
                </c:pt>
              </c:strCache>
            </c:strRef>
          </c:tx>
          <c:spPr>
            <a:ln w="22225" cap="rnd">
              <a:solidFill>
                <a:schemeClr val="accent1"/>
              </a:solidFill>
              <a:round/>
            </a:ln>
            <a:effectLst/>
          </c:spPr>
          <c:marker>
            <c:symbol val="none"/>
          </c:marker>
          <c:dLbls>
            <c:dLbl>
              <c:idx val="0"/>
              <c:layout>
                <c:manualLayout>
                  <c:x val="-3.6650862799589873E-2"/>
                  <c:y val="2.666667599883666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C95-4136-909C-A893FB68C484}"/>
                </c:ext>
              </c:extLst>
            </c:dLbl>
            <c:dLbl>
              <c:idx val="1"/>
              <c:layout>
                <c:manualLayout>
                  <c:x val="-4.1217056772013129E-2"/>
                  <c:y val="3.986798679867986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C95-4136-909C-A893FB68C484}"/>
                </c:ext>
              </c:extLst>
            </c:dLbl>
            <c:dLbl>
              <c:idx val="2"/>
              <c:layout>
                <c:manualLayout>
                  <c:x val="-3.4544491374326088E-2"/>
                  <c:y val="2.666667599883674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C95-4136-909C-A893FB68C484}"/>
                </c:ext>
              </c:extLst>
            </c:dLbl>
            <c:dLbl>
              <c:idx val="3"/>
              <c:layout>
                <c:manualLayout>
                  <c:x val="-3.6650862799589949E-2"/>
                  <c:y val="4.000001399825511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C95-4136-909C-A893FB68C484}"/>
                </c:ext>
              </c:extLst>
            </c:dLbl>
            <c:dLbl>
              <c:idx val="4"/>
              <c:layout>
                <c:manualLayout>
                  <c:x val="-3.5159817351598344E-2"/>
                  <c:y val="3.520352035203520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C95-4136-909C-A893FB68C48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bg-BG"/>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'Графика л.р.ВП'!$B$4:$G$4</c:f>
              <c:strCache>
                <c:ptCount val="5"/>
                <c:pt idx="0">
                  <c:v>2022</c:v>
                </c:pt>
                <c:pt idx="1">
                  <c:v>2023 О</c:v>
                </c:pt>
                <c:pt idx="2">
                  <c:v>2024 П</c:v>
                </c:pt>
                <c:pt idx="3">
                  <c:v>2025 П</c:v>
                </c:pt>
                <c:pt idx="4">
                  <c:v>2026 П</c:v>
                </c:pt>
              </c:strCache>
              <c:extLst/>
            </c:strRef>
          </c:cat>
          <c:val>
            <c:numRef>
              <c:f>'Графика л.р.ВП'!$B$5:$G$5</c:f>
              <c:numCache>
                <c:formatCode>0.0%</c:formatCode>
                <c:ptCount val="5"/>
                <c:pt idx="0">
                  <c:v>3.0000000000000001E-3</c:v>
                </c:pt>
                <c:pt idx="1">
                  <c:v>3.0000000000000001E-3</c:v>
                </c:pt>
                <c:pt idx="2">
                  <c:v>4.0000000000000001E-3</c:v>
                </c:pt>
                <c:pt idx="3">
                  <c:v>5.0000000000000001E-3</c:v>
                </c:pt>
                <c:pt idx="4">
                  <c:v>7.0000000000000001E-3</c:v>
                </c:pt>
              </c:numCache>
              <c:extLst/>
            </c:numRef>
          </c:val>
          <c:smooth val="0"/>
          <c:extLst>
            <c:ext xmlns:c16="http://schemas.microsoft.com/office/drawing/2014/chart" uri="{C3380CC4-5D6E-409C-BE32-E72D297353CC}">
              <c16:uniqueId val="{00000005-0C95-4136-909C-A893FB68C484}"/>
            </c:ext>
          </c:extLst>
        </c:ser>
        <c:ser>
          <c:idx val="1"/>
          <c:order val="1"/>
          <c:tx>
            <c:strRef>
              <c:f>'Графика л.р.ВП'!$A$6</c:f>
              <c:strCache>
                <c:ptCount val="1"/>
                <c:pt idx="0">
                  <c:v>вътрешни лихвени разходи/БВП</c:v>
                </c:pt>
              </c:strCache>
            </c:strRef>
          </c:tx>
          <c:spPr>
            <a:ln w="22225" cap="rnd">
              <a:solidFill>
                <a:schemeClr val="accent2"/>
              </a:solidFill>
              <a:round/>
            </a:ln>
            <a:effectLst/>
          </c:spPr>
          <c:marker>
            <c:symbol val="none"/>
          </c:marker>
          <c:dLbls>
            <c:dLbl>
              <c:idx val="0"/>
              <c:layout>
                <c:manualLayout>
                  <c:x val="-3.2438119949062302E-2"/>
                  <c:y val="2.645502645502630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C95-4136-909C-A893FB68C484}"/>
                </c:ext>
              </c:extLst>
            </c:dLbl>
            <c:dLbl>
              <c:idx val="1"/>
              <c:layout>
                <c:manualLayout>
                  <c:x val="-3.436774170352002E-2"/>
                  <c:y val="2.700207028576873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0C95-4136-909C-A893FB68C484}"/>
                </c:ext>
              </c:extLst>
            </c:dLbl>
            <c:dLbl>
              <c:idx val="2"/>
              <c:layout>
                <c:manualLayout>
                  <c:x val="-3.6650862799589873E-2"/>
                  <c:y val="3.089947089947074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0C95-4136-909C-A893FB68C484}"/>
                </c:ext>
              </c:extLst>
            </c:dLbl>
            <c:dLbl>
              <c:idx val="3"/>
              <c:layout>
                <c:manualLayout>
                  <c:x val="-3.6650862799589949E-2"/>
                  <c:y val="3.534391534391526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0C95-4136-909C-A893FB68C484}"/>
                </c:ext>
              </c:extLst>
            </c:dLbl>
            <c:dLbl>
              <c:idx val="4"/>
              <c:layout>
                <c:manualLayout>
                  <c:x val="-4.2009132420091327E-2"/>
                  <c:y val="2.640264026402632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0C95-4136-909C-A893FB68C48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bg-BG"/>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'Графика л.р.ВП'!$B$4:$G$4</c:f>
              <c:strCache>
                <c:ptCount val="5"/>
                <c:pt idx="0">
                  <c:v>2022</c:v>
                </c:pt>
                <c:pt idx="1">
                  <c:v>2023 О</c:v>
                </c:pt>
                <c:pt idx="2">
                  <c:v>2024 П</c:v>
                </c:pt>
                <c:pt idx="3">
                  <c:v>2025 П</c:v>
                </c:pt>
                <c:pt idx="4">
                  <c:v>2026 П</c:v>
                </c:pt>
              </c:strCache>
              <c:extLst/>
            </c:strRef>
          </c:cat>
          <c:val>
            <c:numRef>
              <c:f>'Графика л.р.ВП'!$B$6:$G$6</c:f>
              <c:numCache>
                <c:formatCode>0.0%</c:formatCode>
                <c:ptCount val="5"/>
                <c:pt idx="0">
                  <c:v>1E-3</c:v>
                </c:pt>
                <c:pt idx="1">
                  <c:v>1E-3</c:v>
                </c:pt>
                <c:pt idx="2">
                  <c:v>1E-3</c:v>
                </c:pt>
                <c:pt idx="3">
                  <c:v>1E-3</c:v>
                </c:pt>
                <c:pt idx="4">
                  <c:v>2E-3</c:v>
                </c:pt>
              </c:numCache>
              <c:extLst/>
            </c:numRef>
          </c:val>
          <c:smooth val="0"/>
          <c:extLst>
            <c:ext xmlns:c16="http://schemas.microsoft.com/office/drawing/2014/chart" uri="{C3380CC4-5D6E-409C-BE32-E72D297353CC}">
              <c16:uniqueId val="{0000000B-0C95-4136-909C-A893FB68C484}"/>
            </c:ext>
          </c:extLst>
        </c:ser>
        <c:ser>
          <c:idx val="2"/>
          <c:order val="2"/>
          <c:tx>
            <c:strRef>
              <c:f>'Графика л.р.ВП'!$A$7</c:f>
              <c:strCache>
                <c:ptCount val="1"/>
                <c:pt idx="0">
                  <c:v>общо лихвени разходи/БВП</c:v>
                </c:pt>
              </c:strCache>
            </c:strRef>
          </c:tx>
          <c:spPr>
            <a:ln w="22225" cap="rnd">
              <a:solidFill>
                <a:schemeClr val="accent3"/>
              </a:solidFill>
              <a:round/>
            </a:ln>
            <a:effectLst/>
          </c:spPr>
          <c:marker>
            <c:symbol val="none"/>
          </c:marker>
          <c:dLbls>
            <c:dLbl>
              <c:idx val="0"/>
              <c:layout>
                <c:manualLayout>
                  <c:x val="-3.6650862799589873E-2"/>
                  <c:y val="-4.000001399825511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0C95-4136-909C-A893FB68C484}"/>
                </c:ext>
              </c:extLst>
            </c:dLbl>
            <c:dLbl>
              <c:idx val="1"/>
              <c:layout>
                <c:manualLayout>
                  <c:x val="-4.0863605650117443E-2"/>
                  <c:y val="-4.000001399825511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0C95-4136-909C-A893FB68C484}"/>
                </c:ext>
              </c:extLst>
            </c:dLbl>
            <c:dLbl>
              <c:idx val="2"/>
              <c:layout>
                <c:manualLayout>
                  <c:x val="-4.2969977075381229E-2"/>
                  <c:y val="-4.000001399825511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0C95-4136-909C-A893FB68C484}"/>
                </c:ext>
              </c:extLst>
            </c:dLbl>
            <c:dLbl>
              <c:idx val="3"/>
              <c:layout>
                <c:manualLayout>
                  <c:x val="-4.2969977075381229E-2"/>
                  <c:y val="-3.555556799844903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0C95-4136-909C-A893FB68C484}"/>
                </c:ext>
              </c:extLst>
            </c:dLbl>
            <c:dLbl>
              <c:idx val="4"/>
              <c:layout>
                <c:manualLayout>
                  <c:x val="-4.4292237442922378E-2"/>
                  <c:y val="-2.640264026402640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0C95-4136-909C-A893FB68C48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bg-BG"/>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'Графика л.р.ВП'!$B$4:$G$4</c:f>
              <c:strCache>
                <c:ptCount val="5"/>
                <c:pt idx="0">
                  <c:v>2022</c:v>
                </c:pt>
                <c:pt idx="1">
                  <c:v>2023 О</c:v>
                </c:pt>
                <c:pt idx="2">
                  <c:v>2024 П</c:v>
                </c:pt>
                <c:pt idx="3">
                  <c:v>2025 П</c:v>
                </c:pt>
                <c:pt idx="4">
                  <c:v>2026 П</c:v>
                </c:pt>
              </c:strCache>
              <c:extLst/>
            </c:strRef>
          </c:cat>
          <c:val>
            <c:numRef>
              <c:f>'Графика л.р.ВП'!$B$7:$G$7</c:f>
              <c:numCache>
                <c:formatCode>0.0%</c:formatCode>
                <c:ptCount val="5"/>
                <c:pt idx="0">
                  <c:v>4.0000000000000001E-3</c:v>
                </c:pt>
                <c:pt idx="1">
                  <c:v>4.0000000000000001E-3</c:v>
                </c:pt>
                <c:pt idx="2">
                  <c:v>5.0000000000000001E-3</c:v>
                </c:pt>
                <c:pt idx="3">
                  <c:v>7.0000000000000001E-3</c:v>
                </c:pt>
                <c:pt idx="4">
                  <c:v>0.01</c:v>
                </c:pt>
              </c:numCache>
              <c:extLst/>
            </c:numRef>
          </c:val>
          <c:smooth val="0"/>
          <c:extLst>
            <c:ext xmlns:c16="http://schemas.microsoft.com/office/drawing/2014/chart" uri="{C3380CC4-5D6E-409C-BE32-E72D297353CC}">
              <c16:uniqueId val="{00000011-0C95-4136-909C-A893FB68C484}"/>
            </c:ext>
          </c:extLst>
        </c:ser>
        <c:dLbls>
          <c:dLblPos val="ctr"/>
          <c:showLegendKey val="0"/>
          <c:showVal val="1"/>
          <c:showCatName val="0"/>
          <c:showSerName val="0"/>
          <c:showPercent val="0"/>
          <c:showBubbleSize val="0"/>
        </c:dLbls>
        <c:smooth val="0"/>
        <c:axId val="639973968"/>
        <c:axId val="725339184"/>
      </c:lineChart>
      <c:catAx>
        <c:axId val="639973968"/>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bg-BG"/>
          </a:p>
        </c:txPr>
        <c:crossAx val="725339184"/>
        <c:crosses val="autoZero"/>
        <c:auto val="1"/>
        <c:lblAlgn val="ctr"/>
        <c:lblOffset val="100"/>
        <c:noMultiLvlLbl val="0"/>
      </c:catAx>
      <c:valAx>
        <c:axId val="725339184"/>
        <c:scaling>
          <c:orientation val="minMax"/>
          <c:max val="1.2000000000000002E-2"/>
          <c:min val="0"/>
        </c:scaling>
        <c:delete val="0"/>
        <c:axPos val="l"/>
        <c:majorGridlines>
          <c:spPr>
            <a:ln w="9525" cap="flat" cmpd="sng" algn="ctr">
              <a:solidFill>
                <a:schemeClr val="dk1">
                  <a:lumMod val="15000"/>
                  <a:lumOff val="85000"/>
                  <a:alpha val="54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bg-BG"/>
          </a:p>
        </c:txPr>
        <c:crossAx val="639973968"/>
        <c:crosses val="autoZero"/>
        <c:crossBetween val="between"/>
      </c:valAx>
      <c:spPr>
        <a:pattFill prst="ltDnDiag">
          <a:fgClr>
            <a:schemeClr val="dk1">
              <a:lumMod val="15000"/>
              <a:lumOff val="85000"/>
            </a:schemeClr>
          </a:fgClr>
          <a:bgClr>
            <a:schemeClr val="lt1"/>
          </a:bgClr>
        </a:pattFill>
        <a:ln>
          <a:noFill/>
        </a:ln>
        <a:effectLst/>
      </c:spPr>
    </c:plotArea>
    <c:legend>
      <c:legendPos val="b"/>
      <c:layout>
        <c:manualLayout>
          <c:xMode val="edge"/>
          <c:yMode val="edge"/>
          <c:x val="0.19068941382327209"/>
          <c:y val="0.82229845031747273"/>
          <c:w val="0.63263394575678034"/>
          <c:h val="0.14982688139592307"/>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bg-BG"/>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bg-BG"/>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3231502669245265E-2"/>
          <c:y val="4.0828552673148513E-2"/>
          <c:w val="0.88751897200452234"/>
          <c:h val="0.48861882698486547"/>
        </c:manualLayout>
      </c:layout>
      <c:barChart>
        <c:barDir val="col"/>
        <c:grouping val="stacked"/>
        <c:varyColors val="0"/>
        <c:ser>
          <c:idx val="3"/>
          <c:order val="2"/>
          <c:tx>
            <c:strRef>
              <c:f>Graphs!$B$7</c:f>
              <c:strCache>
                <c:ptCount val="1"/>
                <c:pt idx="0">
                  <c:v>Еднократни мерки</c:v>
                </c:pt>
              </c:strCache>
            </c:strRef>
          </c:tx>
          <c:spPr>
            <a:solidFill>
              <a:srgbClr val="DEAE00">
                <a:lumMod val="40000"/>
                <a:lumOff val="60000"/>
              </a:srgbClr>
            </a:solidFill>
            <a:ln>
              <a:solidFill>
                <a:srgbClr val="DEAE00"/>
              </a:solidFill>
            </a:ln>
          </c:spPr>
          <c:invertIfNegative val="0"/>
          <c:cat>
            <c:numRef>
              <c:f>Graphs!$R$2:$V$2</c:f>
              <c:numCache>
                <c:formatCode>General</c:formatCode>
                <c:ptCount val="5"/>
                <c:pt idx="0">
                  <c:v>2022</c:v>
                </c:pt>
                <c:pt idx="1">
                  <c:v>2023</c:v>
                </c:pt>
                <c:pt idx="2">
                  <c:v>2024</c:v>
                </c:pt>
                <c:pt idx="3">
                  <c:v>2025</c:v>
                </c:pt>
                <c:pt idx="4">
                  <c:v>2026</c:v>
                </c:pt>
              </c:numCache>
            </c:numRef>
          </c:cat>
          <c:val>
            <c:numRef>
              <c:f>Graphs!$R$7:$V$7</c:f>
              <c:numCache>
                <c:formatCode>0.0</c:formatCode>
                <c:ptCount val="5"/>
                <c:pt idx="0">
                  <c:v>1.7763829023472499</c:v>
                </c:pt>
                <c:pt idx="1">
                  <c:v>-0.49706184372386686</c:v>
                </c:pt>
                <c:pt idx="2">
                  <c:v>1.5807115773118899E-2</c:v>
                </c:pt>
                <c:pt idx="3">
                  <c:v>6.3700106383372018E-5</c:v>
                </c:pt>
                <c:pt idx="4">
                  <c:v>5.9970576941311196E-5</c:v>
                </c:pt>
              </c:numCache>
            </c:numRef>
          </c:val>
          <c:extLst>
            <c:ext xmlns:c16="http://schemas.microsoft.com/office/drawing/2014/chart" uri="{C3380CC4-5D6E-409C-BE32-E72D297353CC}">
              <c16:uniqueId val="{00000000-7179-4D78-94BA-51B8C61D782C}"/>
            </c:ext>
          </c:extLst>
        </c:ser>
        <c:ser>
          <c:idx val="2"/>
          <c:order val="3"/>
          <c:tx>
            <c:strRef>
              <c:f>Graphs!$B$6</c:f>
              <c:strCache>
                <c:ptCount val="1"/>
                <c:pt idx="0">
                  <c:v>Циклична компонента</c:v>
                </c:pt>
              </c:strCache>
            </c:strRef>
          </c:tx>
          <c:spPr>
            <a:solidFill>
              <a:srgbClr val="59B0B9">
                <a:lumMod val="40000"/>
                <a:lumOff val="60000"/>
              </a:srgbClr>
            </a:solidFill>
            <a:ln>
              <a:solidFill>
                <a:srgbClr val="59B0B9"/>
              </a:solidFill>
            </a:ln>
          </c:spPr>
          <c:invertIfNegative val="0"/>
          <c:cat>
            <c:numRef>
              <c:f>Graphs!$R$2:$V$2</c:f>
              <c:numCache>
                <c:formatCode>General</c:formatCode>
                <c:ptCount val="5"/>
                <c:pt idx="0">
                  <c:v>2022</c:v>
                </c:pt>
                <c:pt idx="1">
                  <c:v>2023</c:v>
                </c:pt>
                <c:pt idx="2">
                  <c:v>2024</c:v>
                </c:pt>
                <c:pt idx="3">
                  <c:v>2025</c:v>
                </c:pt>
                <c:pt idx="4">
                  <c:v>2026</c:v>
                </c:pt>
              </c:numCache>
            </c:numRef>
          </c:cat>
          <c:val>
            <c:numRef>
              <c:f>Graphs!$R$6:$V$6</c:f>
              <c:numCache>
                <c:formatCode>0.0</c:formatCode>
                <c:ptCount val="5"/>
                <c:pt idx="0">
                  <c:v>-0.43900745591497126</c:v>
                </c:pt>
                <c:pt idx="1">
                  <c:v>-4.8847625907774736E-2</c:v>
                </c:pt>
                <c:pt idx="2">
                  <c:v>-0.14041970336013307</c:v>
                </c:pt>
                <c:pt idx="3">
                  <c:v>-0.16138453440751199</c:v>
                </c:pt>
                <c:pt idx="4">
                  <c:v>-0.26888142580335317</c:v>
                </c:pt>
              </c:numCache>
            </c:numRef>
          </c:val>
          <c:extLst>
            <c:ext xmlns:c16="http://schemas.microsoft.com/office/drawing/2014/chart" uri="{C3380CC4-5D6E-409C-BE32-E72D297353CC}">
              <c16:uniqueId val="{00000001-7179-4D78-94BA-51B8C61D782C}"/>
            </c:ext>
          </c:extLst>
        </c:ser>
        <c:ser>
          <c:idx val="1"/>
          <c:order val="4"/>
          <c:tx>
            <c:strRef>
              <c:f>Graphs!$B$5</c:f>
              <c:strCache>
                <c:ptCount val="1"/>
                <c:pt idx="0">
                  <c:v>Бюджетен баланс</c:v>
                </c:pt>
              </c:strCache>
            </c:strRef>
          </c:tx>
          <c:spPr>
            <a:solidFill>
              <a:srgbClr val="98C723">
                <a:lumMod val="40000"/>
                <a:lumOff val="60000"/>
              </a:srgbClr>
            </a:solidFill>
            <a:ln>
              <a:solidFill>
                <a:srgbClr val="98C723"/>
              </a:solidFill>
            </a:ln>
          </c:spPr>
          <c:invertIfNegative val="0"/>
          <c:cat>
            <c:numRef>
              <c:f>Graphs!$R$2:$V$2</c:f>
              <c:numCache>
                <c:formatCode>General</c:formatCode>
                <c:ptCount val="5"/>
                <c:pt idx="0">
                  <c:v>2022</c:v>
                </c:pt>
                <c:pt idx="1">
                  <c:v>2023</c:v>
                </c:pt>
                <c:pt idx="2">
                  <c:v>2024</c:v>
                </c:pt>
                <c:pt idx="3">
                  <c:v>2025</c:v>
                </c:pt>
                <c:pt idx="4">
                  <c:v>2026</c:v>
                </c:pt>
              </c:numCache>
            </c:numRef>
          </c:cat>
          <c:val>
            <c:numRef>
              <c:f>Graphs!$R$5:$V$5</c:f>
              <c:numCache>
                <c:formatCode>0.0</c:formatCode>
                <c:ptCount val="5"/>
                <c:pt idx="0">
                  <c:v>-2.8954362965661726</c:v>
                </c:pt>
                <c:pt idx="1">
                  <c:v>-2.9291656075237196</c:v>
                </c:pt>
                <c:pt idx="2">
                  <c:v>-2.8583285659450639</c:v>
                </c:pt>
                <c:pt idx="3">
                  <c:v>-3.0196949414831824</c:v>
                </c:pt>
                <c:pt idx="4">
                  <c:v>-2.5398715323448395</c:v>
                </c:pt>
              </c:numCache>
            </c:numRef>
          </c:val>
          <c:extLst>
            <c:ext xmlns:c16="http://schemas.microsoft.com/office/drawing/2014/chart" uri="{C3380CC4-5D6E-409C-BE32-E72D297353CC}">
              <c16:uniqueId val="{00000002-7179-4D78-94BA-51B8C61D782C}"/>
            </c:ext>
          </c:extLst>
        </c:ser>
        <c:dLbls>
          <c:showLegendKey val="0"/>
          <c:showVal val="0"/>
          <c:showCatName val="0"/>
          <c:showSerName val="0"/>
          <c:showPercent val="0"/>
          <c:showBubbleSize val="0"/>
        </c:dLbls>
        <c:gapWidth val="69"/>
        <c:overlap val="100"/>
        <c:axId val="201713152"/>
        <c:axId val="201714688"/>
      </c:barChart>
      <c:lineChart>
        <c:grouping val="standard"/>
        <c:varyColors val="0"/>
        <c:ser>
          <c:idx val="4"/>
          <c:order val="0"/>
          <c:tx>
            <c:strRef>
              <c:f>Graphs!$B$4</c:f>
              <c:strCache>
                <c:ptCount val="1"/>
                <c:pt idx="0">
                  <c:v>Структурен бюджетен баланс</c:v>
                </c:pt>
              </c:strCache>
            </c:strRef>
          </c:tx>
          <c:spPr>
            <a:ln w="19050">
              <a:solidFill>
                <a:srgbClr val="B77BB4"/>
              </a:solidFill>
            </a:ln>
          </c:spPr>
          <c:marker>
            <c:symbol val="none"/>
          </c:marker>
          <c:dLbls>
            <c:dLbl>
              <c:idx val="0"/>
              <c:layout>
                <c:manualLayout>
                  <c:x val="-4.326915333695925E-2"/>
                  <c:y val="-4.625123708402341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179-4D78-94BA-51B8C61D782C}"/>
                </c:ext>
              </c:extLst>
            </c:dLbl>
            <c:dLbl>
              <c:idx val="1"/>
              <c:layout>
                <c:manualLayout>
                  <c:x val="-5.5069693091934803E-2"/>
                  <c:y val="-5.084027499565358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7179-4D78-94BA-51B8C61D782C}"/>
                </c:ext>
              </c:extLst>
            </c:dLbl>
            <c:dLbl>
              <c:idx val="2"/>
              <c:layout>
                <c:manualLayout>
                  <c:x val="-4.7202664701842333E-2"/>
                  <c:y val="-3.364856543119961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179-4D78-94BA-51B8C61D782C}"/>
                </c:ext>
              </c:extLst>
            </c:dLbl>
            <c:dLbl>
              <c:idx val="3"/>
              <c:layout>
                <c:manualLayout>
                  <c:x val="-6.4143414465680559E-2"/>
                  <c:y val="-3.618581744220136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7179-4D78-94BA-51B8C61D782C}"/>
                </c:ext>
              </c:extLst>
            </c:dLbl>
            <c:dLbl>
              <c:idx val="4"/>
              <c:layout>
                <c:manualLayout>
                  <c:x val="-7.5944080641141137E-2"/>
                  <c:y val="-4.666715516909585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7179-4D78-94BA-51B8C61D782C}"/>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Graphs!$R$2:$V$2</c:f>
              <c:numCache>
                <c:formatCode>General</c:formatCode>
                <c:ptCount val="5"/>
                <c:pt idx="0">
                  <c:v>2022</c:v>
                </c:pt>
                <c:pt idx="1">
                  <c:v>2023</c:v>
                </c:pt>
                <c:pt idx="2">
                  <c:v>2024</c:v>
                </c:pt>
                <c:pt idx="3">
                  <c:v>2025</c:v>
                </c:pt>
                <c:pt idx="4">
                  <c:v>2026</c:v>
                </c:pt>
              </c:numCache>
            </c:numRef>
          </c:cat>
          <c:val>
            <c:numRef>
              <c:f>Graphs!$R$4:$V$4</c:f>
              <c:numCache>
                <c:formatCode>0.0</c:formatCode>
                <c:ptCount val="5"/>
                <c:pt idx="0">
                  <c:v>-1.5580608501338935</c:v>
                </c:pt>
                <c:pt idx="1">
                  <c:v>-3.4750750771553611</c:v>
                </c:pt>
                <c:pt idx="2">
                  <c:v>-2.982941153532078</c:v>
                </c:pt>
                <c:pt idx="3">
                  <c:v>-3.1810157757843114</c:v>
                </c:pt>
                <c:pt idx="4">
                  <c:v>-2.8086929875712516</c:v>
                </c:pt>
              </c:numCache>
            </c:numRef>
          </c:val>
          <c:smooth val="0"/>
          <c:extLst>
            <c:ext xmlns:c16="http://schemas.microsoft.com/office/drawing/2014/chart" uri="{C3380CC4-5D6E-409C-BE32-E72D297353CC}">
              <c16:uniqueId val="{00000008-7179-4D78-94BA-51B8C61D782C}"/>
            </c:ext>
          </c:extLst>
        </c:ser>
        <c:ser>
          <c:idx val="0"/>
          <c:order val="1"/>
          <c:tx>
            <c:strRef>
              <c:f>Graphs!$B$8</c:f>
              <c:strCache>
                <c:ptCount val="1"/>
                <c:pt idx="0">
                  <c:v> Средносрочна цел за структурния бюджетен баланс</c:v>
                </c:pt>
              </c:strCache>
            </c:strRef>
          </c:tx>
          <c:spPr>
            <a:ln>
              <a:solidFill>
                <a:srgbClr val="E0773C"/>
              </a:solidFill>
              <a:prstDash val="dash"/>
            </a:ln>
          </c:spPr>
          <c:marker>
            <c:symbol val="none"/>
          </c:marker>
          <c:cat>
            <c:numRef>
              <c:f>Graphs!$R$2:$V$2</c:f>
              <c:numCache>
                <c:formatCode>General</c:formatCode>
                <c:ptCount val="5"/>
                <c:pt idx="0">
                  <c:v>2022</c:v>
                </c:pt>
                <c:pt idx="1">
                  <c:v>2023</c:v>
                </c:pt>
                <c:pt idx="2">
                  <c:v>2024</c:v>
                </c:pt>
                <c:pt idx="3">
                  <c:v>2025</c:v>
                </c:pt>
                <c:pt idx="4">
                  <c:v>2026</c:v>
                </c:pt>
              </c:numCache>
            </c:numRef>
          </c:cat>
          <c:val>
            <c:numRef>
              <c:f>Graphs!$R$8:$V$8</c:f>
              <c:numCache>
                <c:formatCode>0.0</c:formatCode>
                <c:ptCount val="5"/>
                <c:pt idx="0">
                  <c:v>-1</c:v>
                </c:pt>
                <c:pt idx="1">
                  <c:v>-1</c:v>
                </c:pt>
                <c:pt idx="2">
                  <c:v>-1</c:v>
                </c:pt>
                <c:pt idx="3">
                  <c:v>-1</c:v>
                </c:pt>
                <c:pt idx="4">
                  <c:v>-1</c:v>
                </c:pt>
              </c:numCache>
            </c:numRef>
          </c:val>
          <c:smooth val="0"/>
          <c:extLst>
            <c:ext xmlns:c16="http://schemas.microsoft.com/office/drawing/2014/chart" uri="{C3380CC4-5D6E-409C-BE32-E72D297353CC}">
              <c16:uniqueId val="{00000009-7179-4D78-94BA-51B8C61D782C}"/>
            </c:ext>
          </c:extLst>
        </c:ser>
        <c:dLbls>
          <c:showLegendKey val="0"/>
          <c:showVal val="0"/>
          <c:showCatName val="0"/>
          <c:showSerName val="0"/>
          <c:showPercent val="0"/>
          <c:showBubbleSize val="0"/>
        </c:dLbls>
        <c:marker val="1"/>
        <c:smooth val="0"/>
        <c:axId val="201713152"/>
        <c:axId val="201714688"/>
      </c:lineChart>
      <c:catAx>
        <c:axId val="201713152"/>
        <c:scaling>
          <c:orientation val="minMax"/>
        </c:scaling>
        <c:delete val="0"/>
        <c:axPos val="b"/>
        <c:numFmt formatCode="General" sourceLinked="1"/>
        <c:majorTickMark val="out"/>
        <c:minorTickMark val="none"/>
        <c:tickLblPos val="low"/>
        <c:txPr>
          <a:bodyPr rot="0" vert="horz"/>
          <a:lstStyle/>
          <a:p>
            <a:pPr>
              <a:defRPr/>
            </a:pPr>
            <a:endParaRPr lang="bg-BG"/>
          </a:p>
        </c:txPr>
        <c:crossAx val="201714688"/>
        <c:crosses val="autoZero"/>
        <c:auto val="1"/>
        <c:lblAlgn val="ctr"/>
        <c:lblOffset val="0"/>
        <c:tickLblSkip val="1"/>
        <c:noMultiLvlLbl val="0"/>
      </c:catAx>
      <c:valAx>
        <c:axId val="201714688"/>
        <c:scaling>
          <c:orientation val="minMax"/>
        </c:scaling>
        <c:delete val="0"/>
        <c:axPos val="l"/>
        <c:numFmt formatCode="General" sourceLinked="0"/>
        <c:majorTickMark val="none"/>
        <c:minorTickMark val="none"/>
        <c:tickLblPos val="nextTo"/>
        <c:spPr>
          <a:ln>
            <a:noFill/>
          </a:ln>
        </c:spPr>
        <c:txPr>
          <a:bodyPr rot="0" vert="horz"/>
          <a:lstStyle/>
          <a:p>
            <a:pPr>
              <a:defRPr sz="800"/>
            </a:pPr>
            <a:endParaRPr lang="bg-BG"/>
          </a:p>
        </c:txPr>
        <c:crossAx val="201713152"/>
        <c:crosses val="autoZero"/>
        <c:crossBetween val="between"/>
        <c:majorUnit val="2"/>
      </c:valAx>
      <c:spPr>
        <a:noFill/>
        <a:ln w="6350">
          <a:noFill/>
        </a:ln>
      </c:spPr>
    </c:plotArea>
    <c:legend>
      <c:legendPos val="r"/>
      <c:layout>
        <c:manualLayout>
          <c:xMode val="edge"/>
          <c:yMode val="edge"/>
          <c:x val="4.0781526354854453E-3"/>
          <c:y val="0.58054146793499661"/>
          <c:w val="0.97924787772935884"/>
          <c:h val="0.41945853206500339"/>
        </c:manualLayout>
      </c:layout>
      <c:overlay val="0"/>
      <c:txPr>
        <a:bodyPr/>
        <a:lstStyle/>
        <a:p>
          <a:pPr>
            <a:defRPr sz="800" baseline="0"/>
          </a:pPr>
          <a:endParaRPr lang="bg-BG"/>
        </a:p>
      </c:txPr>
    </c:legend>
    <c:plotVisOnly val="1"/>
    <c:dispBlanksAs val="gap"/>
    <c:showDLblsOverMax val="0"/>
  </c:chart>
  <c:spPr>
    <a:noFill/>
    <a:ln>
      <a:noFill/>
    </a:ln>
  </c:spPr>
  <c:txPr>
    <a:bodyPr/>
    <a:lstStyle/>
    <a:p>
      <a:pPr>
        <a:defRPr sz="800"/>
      </a:pPr>
      <a:endParaRPr lang="bg-BG"/>
    </a:p>
  </c:txPr>
  <c:externalData r:id="rId2">
    <c:autoUpdate val="0"/>
  </c:externalData>
  <c:userShapes r:id="rId3"/>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3231502669245265E-2"/>
          <c:y val="4.0828552673148513E-2"/>
          <c:w val="0.88751897200452234"/>
          <c:h val="0.51594122456004476"/>
        </c:manualLayout>
      </c:layout>
      <c:barChart>
        <c:barDir val="col"/>
        <c:grouping val="stacked"/>
        <c:varyColors val="0"/>
        <c:ser>
          <c:idx val="2"/>
          <c:order val="0"/>
          <c:tx>
            <c:strRef>
              <c:f>Graphs!$B$3</c:f>
              <c:strCache>
                <c:ptCount val="1"/>
                <c:pt idx="0">
                  <c:v>Отклонение от потенциала (% от потенциалния БВП)</c:v>
                </c:pt>
              </c:strCache>
            </c:strRef>
          </c:tx>
          <c:spPr>
            <a:solidFill>
              <a:srgbClr val="59B0B9">
                <a:lumMod val="40000"/>
                <a:lumOff val="60000"/>
              </a:srgbClr>
            </a:solidFill>
            <a:ln>
              <a:solidFill>
                <a:srgbClr val="59B0B9"/>
              </a:solidFill>
            </a:ln>
          </c:spPr>
          <c:invertIfNegative val="0"/>
          <c:cat>
            <c:numRef>
              <c:f>Graphs!$R$2:$V$2</c:f>
              <c:numCache>
                <c:formatCode>General</c:formatCode>
                <c:ptCount val="5"/>
                <c:pt idx="0">
                  <c:v>2022</c:v>
                </c:pt>
                <c:pt idx="1">
                  <c:v>2023</c:v>
                </c:pt>
                <c:pt idx="2">
                  <c:v>2024</c:v>
                </c:pt>
                <c:pt idx="3">
                  <c:v>2025</c:v>
                </c:pt>
                <c:pt idx="4">
                  <c:v>2026</c:v>
                </c:pt>
              </c:numCache>
            </c:numRef>
          </c:cat>
          <c:val>
            <c:numRef>
              <c:f>Graphs!$R$3:$V$3</c:f>
              <c:numCache>
                <c:formatCode>0.0</c:formatCode>
                <c:ptCount val="5"/>
                <c:pt idx="0">
                  <c:v>1.4734447875891021</c:v>
                </c:pt>
                <c:pt idx="1">
                  <c:v>0.16394773895105175</c:v>
                </c:pt>
                <c:pt idx="2">
                  <c:v>0.47129195006398561</c:v>
                </c:pt>
                <c:pt idx="3">
                  <c:v>0.541656406551553</c:v>
                </c:pt>
                <c:pt idx="4">
                  <c:v>0.90244921809758705</c:v>
                </c:pt>
              </c:numCache>
            </c:numRef>
          </c:val>
          <c:extLst>
            <c:ext xmlns:c16="http://schemas.microsoft.com/office/drawing/2014/chart" uri="{C3380CC4-5D6E-409C-BE32-E72D297353CC}">
              <c16:uniqueId val="{00000000-A48A-4D77-8A6A-CB0B3E329A31}"/>
            </c:ext>
          </c:extLst>
        </c:ser>
        <c:dLbls>
          <c:showLegendKey val="0"/>
          <c:showVal val="0"/>
          <c:showCatName val="0"/>
          <c:showSerName val="0"/>
          <c:showPercent val="0"/>
          <c:showBubbleSize val="0"/>
        </c:dLbls>
        <c:gapWidth val="69"/>
        <c:overlap val="100"/>
        <c:axId val="201713152"/>
        <c:axId val="201714688"/>
      </c:barChart>
      <c:lineChart>
        <c:grouping val="standard"/>
        <c:varyColors val="0"/>
        <c:ser>
          <c:idx val="1"/>
          <c:order val="1"/>
          <c:tx>
            <c:strRef>
              <c:f>Graphs!$B$9</c:f>
              <c:strCache>
                <c:ptCount val="1"/>
                <c:pt idx="0">
                  <c:v>Изменение в структурния баланс (пр.п.)</c:v>
                </c:pt>
              </c:strCache>
            </c:strRef>
          </c:tx>
          <c:spPr>
            <a:ln>
              <a:solidFill>
                <a:srgbClr val="98C723"/>
              </a:solidFill>
            </a:ln>
          </c:spPr>
          <c:marker>
            <c:symbol val="none"/>
          </c:marker>
          <c:dLbls>
            <c:dLbl>
              <c:idx val="0"/>
              <c:layout>
                <c:manualLayout>
                  <c:x val="-5.9003390914035309E-2"/>
                  <c:y val="2.890702317751461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48A-4D77-8A6A-CB0B3E329A31}"/>
                </c:ext>
              </c:extLst>
            </c:dLbl>
            <c:dLbl>
              <c:idx val="1"/>
              <c:layout>
                <c:manualLayout>
                  <c:x val="-6.6755478239638649E-2"/>
                  <c:y val="-6.240437158469945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48A-4D77-8A6A-CB0B3E329A31}"/>
                </c:ext>
              </c:extLst>
            </c:dLbl>
            <c:dLbl>
              <c:idx val="2"/>
              <c:layout>
                <c:manualLayout>
                  <c:x val="-6.2936950308304332E-2"/>
                  <c:y val="4.625123708402338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48A-4D77-8A6A-CB0B3E329A31}"/>
                </c:ext>
              </c:extLst>
            </c:dLbl>
            <c:dLbl>
              <c:idx val="3"/>
              <c:layout>
                <c:manualLayout>
                  <c:x val="-1.2146127082951982E-2"/>
                  <c:y val="6.240437158469945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A48A-4D77-8A6A-CB0B3E329A31}"/>
                </c:ext>
              </c:extLst>
            </c:dLbl>
            <c:dLbl>
              <c:idx val="4"/>
              <c:layout>
                <c:manualLayout>
                  <c:x val="-4.7202712731228252E-2"/>
                  <c:y val="-7.515826026153800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48A-4D77-8A6A-CB0B3E329A31}"/>
                </c:ext>
              </c:extLst>
            </c:dLbl>
            <c:numFmt formatCode="#,##0.0" sourceLinked="0"/>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Graphs!$R$2:$V$2</c:f>
              <c:numCache>
                <c:formatCode>General</c:formatCode>
                <c:ptCount val="5"/>
                <c:pt idx="0">
                  <c:v>2022</c:v>
                </c:pt>
                <c:pt idx="1">
                  <c:v>2023</c:v>
                </c:pt>
                <c:pt idx="2">
                  <c:v>2024</c:v>
                </c:pt>
                <c:pt idx="3">
                  <c:v>2025</c:v>
                </c:pt>
                <c:pt idx="4">
                  <c:v>2026</c:v>
                </c:pt>
              </c:numCache>
            </c:numRef>
          </c:cat>
          <c:val>
            <c:numRef>
              <c:f>Graphs!$R$9:$V$9</c:f>
              <c:numCache>
                <c:formatCode>0.00</c:formatCode>
                <c:ptCount val="5"/>
                <c:pt idx="0" formatCode="0.0">
                  <c:v>-1.9079693314319499</c:v>
                </c:pt>
                <c:pt idx="1">
                  <c:v>-1.9170142270214676</c:v>
                </c:pt>
                <c:pt idx="2" formatCode="0.0">
                  <c:v>0.49213392362328312</c:v>
                </c:pt>
                <c:pt idx="3" formatCode="0.0">
                  <c:v>-0.19807462225223338</c:v>
                </c:pt>
                <c:pt idx="4" formatCode="0.0">
                  <c:v>0.37232278821305975</c:v>
                </c:pt>
              </c:numCache>
            </c:numRef>
          </c:val>
          <c:smooth val="0"/>
          <c:extLst>
            <c:ext xmlns:c16="http://schemas.microsoft.com/office/drawing/2014/chart" uri="{C3380CC4-5D6E-409C-BE32-E72D297353CC}">
              <c16:uniqueId val="{00000006-A48A-4D77-8A6A-CB0B3E329A31}"/>
            </c:ext>
          </c:extLst>
        </c:ser>
        <c:dLbls>
          <c:showLegendKey val="0"/>
          <c:showVal val="0"/>
          <c:showCatName val="0"/>
          <c:showSerName val="0"/>
          <c:showPercent val="0"/>
          <c:showBubbleSize val="0"/>
        </c:dLbls>
        <c:marker val="1"/>
        <c:smooth val="0"/>
        <c:axId val="201713152"/>
        <c:axId val="201714688"/>
      </c:lineChart>
      <c:catAx>
        <c:axId val="201713152"/>
        <c:scaling>
          <c:orientation val="minMax"/>
        </c:scaling>
        <c:delete val="0"/>
        <c:axPos val="b"/>
        <c:numFmt formatCode="General" sourceLinked="1"/>
        <c:majorTickMark val="out"/>
        <c:minorTickMark val="none"/>
        <c:tickLblPos val="low"/>
        <c:txPr>
          <a:bodyPr rot="0" vert="horz"/>
          <a:lstStyle/>
          <a:p>
            <a:pPr>
              <a:defRPr/>
            </a:pPr>
            <a:endParaRPr lang="bg-BG"/>
          </a:p>
        </c:txPr>
        <c:crossAx val="201714688"/>
        <c:crosses val="autoZero"/>
        <c:auto val="1"/>
        <c:lblAlgn val="ctr"/>
        <c:lblOffset val="0"/>
        <c:tickLblSkip val="1"/>
        <c:noMultiLvlLbl val="0"/>
      </c:catAx>
      <c:valAx>
        <c:axId val="201714688"/>
        <c:scaling>
          <c:orientation val="minMax"/>
          <c:max val="4"/>
        </c:scaling>
        <c:delete val="0"/>
        <c:axPos val="l"/>
        <c:numFmt formatCode="General" sourceLinked="0"/>
        <c:majorTickMark val="none"/>
        <c:minorTickMark val="none"/>
        <c:tickLblPos val="nextTo"/>
        <c:spPr>
          <a:ln>
            <a:noFill/>
          </a:ln>
        </c:spPr>
        <c:txPr>
          <a:bodyPr rot="0" vert="horz"/>
          <a:lstStyle/>
          <a:p>
            <a:pPr>
              <a:defRPr sz="800"/>
            </a:pPr>
            <a:endParaRPr lang="bg-BG"/>
          </a:p>
        </c:txPr>
        <c:crossAx val="201713152"/>
        <c:crosses val="autoZero"/>
        <c:crossBetween val="between"/>
        <c:majorUnit val="2"/>
        <c:minorUnit val="2"/>
      </c:valAx>
      <c:spPr>
        <a:noFill/>
        <a:ln w="6350">
          <a:noFill/>
        </a:ln>
      </c:spPr>
    </c:plotArea>
    <c:legend>
      <c:legendPos val="r"/>
      <c:layout>
        <c:manualLayout>
          <c:xMode val="edge"/>
          <c:yMode val="edge"/>
          <c:x val="4.0781526354854453E-3"/>
          <c:y val="0.71884471408287087"/>
          <c:w val="0.96942218151760995"/>
          <c:h val="0.24646701949141603"/>
        </c:manualLayout>
      </c:layout>
      <c:overlay val="0"/>
      <c:txPr>
        <a:bodyPr/>
        <a:lstStyle/>
        <a:p>
          <a:pPr>
            <a:defRPr sz="800"/>
          </a:pPr>
          <a:endParaRPr lang="bg-BG"/>
        </a:p>
      </c:txPr>
    </c:legend>
    <c:plotVisOnly val="1"/>
    <c:dispBlanksAs val="gap"/>
    <c:showDLblsOverMax val="0"/>
  </c:chart>
  <c:spPr>
    <a:noFill/>
    <a:ln>
      <a:noFill/>
    </a:ln>
  </c:spPr>
  <c:txPr>
    <a:bodyPr/>
    <a:lstStyle/>
    <a:p>
      <a:pPr>
        <a:defRPr sz="800"/>
      </a:pPr>
      <a:endParaRPr lang="bg-BG"/>
    </a:p>
  </c:txPr>
  <c:externalData r:id="rId2">
    <c:autoUpdate val="0"/>
  </c:externalData>
  <c:userShapes r:id="rId3"/>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2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1">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3.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drawings/drawing1.xml><?xml version="1.0" encoding="utf-8"?>
<c:userShapes xmlns:c="http://schemas.openxmlformats.org/drawingml/2006/chart">
  <cdr:relSizeAnchor xmlns:cdr="http://schemas.openxmlformats.org/drawingml/2006/chartDrawing">
    <cdr:from>
      <cdr:x>0.00242</cdr:x>
      <cdr:y>0.008</cdr:y>
    </cdr:from>
    <cdr:to>
      <cdr:x>0.1299</cdr:x>
      <cdr:y>0.0541</cdr:y>
    </cdr:to>
    <cdr:sp macro="" textlink="">
      <cdr:nvSpPr>
        <cdr:cNvPr id="2" name="TextBox 1"/>
        <cdr:cNvSpPr txBox="1"/>
      </cdr:nvSpPr>
      <cdr:spPr>
        <a:xfrm xmlns:a="http://schemas.openxmlformats.org/drawingml/2006/main" flipH="1">
          <a:off x="19050" y="40691"/>
          <a:ext cx="1002958" cy="23448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800" b="1" i="0">
              <a:solidFill>
                <a:schemeClr val="bg2">
                  <a:lumMod val="50000"/>
                </a:schemeClr>
              </a:solidFill>
              <a:latin typeface="Times New Roman" pitchFamily="18" charset="0"/>
              <a:cs typeface="Times New Roman" pitchFamily="18" charset="0"/>
            </a:rPr>
            <a:t>(</a:t>
          </a:r>
          <a:r>
            <a:rPr lang="bg-BG" sz="800" b="1" i="0">
              <a:solidFill>
                <a:schemeClr val="bg2">
                  <a:lumMod val="50000"/>
                </a:schemeClr>
              </a:solidFill>
              <a:latin typeface="Times New Roman" pitchFamily="18" charset="0"/>
              <a:cs typeface="Times New Roman" pitchFamily="18" charset="0"/>
            </a:rPr>
            <a:t>млн. лв.</a:t>
          </a:r>
          <a:r>
            <a:rPr lang="en-US" sz="800" b="1" i="0">
              <a:solidFill>
                <a:schemeClr val="bg2">
                  <a:lumMod val="50000"/>
                </a:schemeClr>
              </a:solidFill>
              <a:latin typeface="Times New Roman" pitchFamily="18" charset="0"/>
              <a:cs typeface="Times New Roman" pitchFamily="18" charset="0"/>
            </a:rPr>
            <a:t>)</a:t>
          </a:r>
          <a:endParaRPr lang="bg-BG" sz="800" b="1" i="0">
            <a:solidFill>
              <a:schemeClr val="bg2">
                <a:lumMod val="50000"/>
              </a:schemeClr>
            </a:solidFill>
            <a:latin typeface="Times New Roman" pitchFamily="18" charset="0"/>
            <a:cs typeface="Times New Roman" pitchFamily="18" charset="0"/>
          </a:endParaRPr>
        </a:p>
      </cdr:txBody>
    </cdr:sp>
  </cdr:relSizeAnchor>
  <cdr:relSizeAnchor xmlns:cdr="http://schemas.openxmlformats.org/drawingml/2006/chartDrawing">
    <cdr:from>
      <cdr:x>0.89709</cdr:x>
      <cdr:y>0.00517</cdr:y>
    </cdr:from>
    <cdr:to>
      <cdr:x>0.99206</cdr:x>
      <cdr:y>0.04981</cdr:y>
    </cdr:to>
    <cdr:sp macro="" textlink="">
      <cdr:nvSpPr>
        <cdr:cNvPr id="3" name="TextBox 1"/>
        <cdr:cNvSpPr txBox="1"/>
      </cdr:nvSpPr>
      <cdr:spPr>
        <a:xfrm xmlns:a="http://schemas.openxmlformats.org/drawingml/2006/main">
          <a:off x="7058025" y="26295"/>
          <a:ext cx="747156" cy="22706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800" b="1" i="0">
              <a:solidFill>
                <a:schemeClr val="bg2">
                  <a:lumMod val="50000"/>
                </a:schemeClr>
              </a:solidFill>
              <a:latin typeface="Times New Roman" pitchFamily="18" charset="0"/>
              <a:cs typeface="Times New Roman" pitchFamily="18" charset="0"/>
            </a:rPr>
            <a:t>(</a:t>
          </a:r>
          <a:r>
            <a:rPr lang="bg-BG" sz="800" b="1" i="0">
              <a:solidFill>
                <a:schemeClr val="bg2">
                  <a:lumMod val="50000"/>
                </a:schemeClr>
              </a:solidFill>
              <a:latin typeface="Times New Roman" pitchFamily="18" charset="0"/>
              <a:cs typeface="Times New Roman" pitchFamily="18" charset="0"/>
            </a:rPr>
            <a:t>%</a:t>
          </a:r>
          <a:r>
            <a:rPr lang="bg-BG" sz="800" b="1" i="0" baseline="0">
              <a:solidFill>
                <a:schemeClr val="bg2">
                  <a:lumMod val="50000"/>
                </a:schemeClr>
              </a:solidFill>
              <a:latin typeface="Times New Roman" pitchFamily="18" charset="0"/>
              <a:cs typeface="Times New Roman" pitchFamily="18" charset="0"/>
            </a:rPr>
            <a:t> от БВП</a:t>
          </a:r>
          <a:r>
            <a:rPr lang="en-US" sz="800" b="1" i="0" baseline="0">
              <a:solidFill>
                <a:schemeClr val="bg2">
                  <a:lumMod val="50000"/>
                </a:schemeClr>
              </a:solidFill>
              <a:latin typeface="Times New Roman" pitchFamily="18" charset="0"/>
              <a:cs typeface="Times New Roman" pitchFamily="18" charset="0"/>
            </a:rPr>
            <a:t>)</a:t>
          </a:r>
          <a:endParaRPr lang="bg-BG" sz="800" b="1" i="1">
            <a:solidFill>
              <a:schemeClr val="bg2">
                <a:lumMod val="50000"/>
              </a:schemeClr>
            </a:solidFill>
            <a:latin typeface="Times New Roman" pitchFamily="18" charset="0"/>
            <a:cs typeface="Times New Roman" pitchFamily="18" charset="0"/>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0.24932</cdr:x>
      <cdr:y>0.0282</cdr:y>
    </cdr:from>
    <cdr:to>
      <cdr:x>0.25304</cdr:x>
      <cdr:y>0.55347</cdr:y>
    </cdr:to>
    <cdr:cxnSp macro="">
      <cdr:nvCxnSpPr>
        <cdr:cNvPr id="3" name="Straight Connector 2"/>
        <cdr:cNvCxnSpPr/>
      </cdr:nvCxnSpPr>
      <cdr:spPr>
        <a:xfrm xmlns:a="http://schemas.openxmlformats.org/drawingml/2006/main" flipH="1">
          <a:off x="638176" y="76200"/>
          <a:ext cx="9524" cy="1419225"/>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3.xml><?xml version="1.0" encoding="utf-8"?>
<c:userShapes xmlns:c="http://schemas.openxmlformats.org/drawingml/2006/chart">
  <cdr:relSizeAnchor xmlns:cdr="http://schemas.openxmlformats.org/drawingml/2006/chartDrawing">
    <cdr:from>
      <cdr:x>0.24499</cdr:x>
      <cdr:y>0</cdr:y>
    </cdr:from>
    <cdr:to>
      <cdr:x>0.24722</cdr:x>
      <cdr:y>0.69861</cdr:y>
    </cdr:to>
    <cdr:cxnSp macro="">
      <cdr:nvCxnSpPr>
        <cdr:cNvPr id="2" name="Straight Connector 1"/>
        <cdr:cNvCxnSpPr/>
      </cdr:nvCxnSpPr>
      <cdr:spPr>
        <a:xfrm xmlns:a="http://schemas.openxmlformats.org/drawingml/2006/main" flipH="1">
          <a:off x="698502" y="0"/>
          <a:ext cx="6348" cy="1536700"/>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theme/theme1.xml><?xml version="1.0" encoding="utf-8"?>
<a:theme xmlns:a="http://schemas.openxmlformats.org/drawingml/2006/main" name="Office Theme">
  <a:themeElements>
    <a:clrScheme name="Oriel">
      <a:dk1>
        <a:sysClr val="windowText" lastClr="000000"/>
      </a:dk1>
      <a:lt1>
        <a:sysClr val="window" lastClr="FFFFFF"/>
      </a:lt1>
      <a:dk2>
        <a:srgbClr val="575F6D"/>
      </a:dk2>
      <a:lt2>
        <a:srgbClr val="FFF39D"/>
      </a:lt2>
      <a:accent1>
        <a:srgbClr val="FE8637"/>
      </a:accent1>
      <a:accent2>
        <a:srgbClr val="7598D9"/>
      </a:accent2>
      <a:accent3>
        <a:srgbClr val="B32C16"/>
      </a:accent3>
      <a:accent4>
        <a:srgbClr val="F5CD2D"/>
      </a:accent4>
      <a:accent5>
        <a:srgbClr val="AEBAD5"/>
      </a:accent5>
      <a:accent6>
        <a:srgbClr val="777C84"/>
      </a:accent6>
      <a:hlink>
        <a:srgbClr val="D2611C"/>
      </a:hlink>
      <a:folHlink>
        <a:srgbClr val="3B435B"/>
      </a:folHlink>
    </a:clrScheme>
    <a:fontScheme name="blanka">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riel">
    <a:dk1>
      <a:sysClr val="windowText" lastClr="000000"/>
    </a:dk1>
    <a:lt1>
      <a:sysClr val="window" lastClr="FFFFFF"/>
    </a:lt1>
    <a:dk2>
      <a:srgbClr val="575F6D"/>
    </a:dk2>
    <a:lt2>
      <a:srgbClr val="FFF39D"/>
    </a:lt2>
    <a:accent1>
      <a:srgbClr val="FE8637"/>
    </a:accent1>
    <a:accent2>
      <a:srgbClr val="7598D9"/>
    </a:accent2>
    <a:accent3>
      <a:srgbClr val="B32C16"/>
    </a:accent3>
    <a:accent4>
      <a:srgbClr val="F5CD2D"/>
    </a:accent4>
    <a:accent5>
      <a:srgbClr val="AEBAD5"/>
    </a:accent5>
    <a:accent6>
      <a:srgbClr val="777C84"/>
    </a:accent6>
    <a:hlink>
      <a:srgbClr val="D2611C"/>
    </a:hlink>
    <a:folHlink>
      <a:srgbClr val="3B435B"/>
    </a:folHlink>
  </a:clrScheme>
  <a:fontScheme name="blanka">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riel">
    <a:dk1>
      <a:sysClr val="windowText" lastClr="000000"/>
    </a:dk1>
    <a:lt1>
      <a:sysClr val="window" lastClr="FFFFFF"/>
    </a:lt1>
    <a:dk2>
      <a:srgbClr val="575F6D"/>
    </a:dk2>
    <a:lt2>
      <a:srgbClr val="FFF39D"/>
    </a:lt2>
    <a:accent1>
      <a:srgbClr val="FE8637"/>
    </a:accent1>
    <a:accent2>
      <a:srgbClr val="7598D9"/>
    </a:accent2>
    <a:accent3>
      <a:srgbClr val="B32C16"/>
    </a:accent3>
    <a:accent4>
      <a:srgbClr val="F5CD2D"/>
    </a:accent4>
    <a:accent5>
      <a:srgbClr val="AEBAD5"/>
    </a:accent5>
    <a:accent6>
      <a:srgbClr val="777C84"/>
    </a:accent6>
    <a:hlink>
      <a:srgbClr val="D2611C"/>
    </a:hlink>
    <a:folHlink>
      <a:srgbClr val="3B435B"/>
    </a:folHlink>
  </a:clrScheme>
  <a:fontScheme name="blanka">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riel">
    <a:dk1>
      <a:sysClr val="windowText" lastClr="000000"/>
    </a:dk1>
    <a:lt1>
      <a:sysClr val="window" lastClr="FFFFFF"/>
    </a:lt1>
    <a:dk2>
      <a:srgbClr val="575F6D"/>
    </a:dk2>
    <a:lt2>
      <a:srgbClr val="FFF39D"/>
    </a:lt2>
    <a:accent1>
      <a:srgbClr val="FE8637"/>
    </a:accent1>
    <a:accent2>
      <a:srgbClr val="7598D9"/>
    </a:accent2>
    <a:accent3>
      <a:srgbClr val="B32C16"/>
    </a:accent3>
    <a:accent4>
      <a:srgbClr val="F5CD2D"/>
    </a:accent4>
    <a:accent5>
      <a:srgbClr val="AEBAD5"/>
    </a:accent5>
    <a:accent6>
      <a:srgbClr val="777C84"/>
    </a:accent6>
    <a:hlink>
      <a:srgbClr val="D2611C"/>
    </a:hlink>
    <a:folHlink>
      <a:srgbClr val="3B435B"/>
    </a:folHlink>
  </a:clrScheme>
  <a:fontScheme name="blanka">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riel">
    <a:dk1>
      <a:sysClr val="windowText" lastClr="000000"/>
    </a:dk1>
    <a:lt1>
      <a:sysClr val="window" lastClr="FFFFFF"/>
    </a:lt1>
    <a:dk2>
      <a:srgbClr val="575F6D"/>
    </a:dk2>
    <a:lt2>
      <a:srgbClr val="FFF39D"/>
    </a:lt2>
    <a:accent1>
      <a:srgbClr val="FE8637"/>
    </a:accent1>
    <a:accent2>
      <a:srgbClr val="7598D9"/>
    </a:accent2>
    <a:accent3>
      <a:srgbClr val="B32C16"/>
    </a:accent3>
    <a:accent4>
      <a:srgbClr val="F5CD2D"/>
    </a:accent4>
    <a:accent5>
      <a:srgbClr val="AEBAD5"/>
    </a:accent5>
    <a:accent6>
      <a:srgbClr val="777C84"/>
    </a:accent6>
    <a:hlink>
      <a:srgbClr val="D2611C"/>
    </a:hlink>
    <a:folHlink>
      <a:srgbClr val="3B435B"/>
    </a:folHlink>
  </a:clrScheme>
  <a:fontScheme name="blanka">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riel">
    <a:dk1>
      <a:sysClr val="windowText" lastClr="000000"/>
    </a:dk1>
    <a:lt1>
      <a:sysClr val="window" lastClr="FFFFFF"/>
    </a:lt1>
    <a:dk2>
      <a:srgbClr val="575F6D"/>
    </a:dk2>
    <a:lt2>
      <a:srgbClr val="FFF39D"/>
    </a:lt2>
    <a:accent1>
      <a:srgbClr val="FE8637"/>
    </a:accent1>
    <a:accent2>
      <a:srgbClr val="7598D9"/>
    </a:accent2>
    <a:accent3>
      <a:srgbClr val="B32C16"/>
    </a:accent3>
    <a:accent4>
      <a:srgbClr val="F5CD2D"/>
    </a:accent4>
    <a:accent5>
      <a:srgbClr val="AEBAD5"/>
    </a:accent5>
    <a:accent6>
      <a:srgbClr val="777C84"/>
    </a:accent6>
    <a:hlink>
      <a:srgbClr val="D2611C"/>
    </a:hlink>
    <a:folHlink>
      <a:srgbClr val="3B435B"/>
    </a:folHlink>
  </a:clrScheme>
  <a:fontScheme name="blanka">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riel">
    <a:dk1>
      <a:sysClr val="windowText" lastClr="000000"/>
    </a:dk1>
    <a:lt1>
      <a:sysClr val="window" lastClr="FFFFFF"/>
    </a:lt1>
    <a:dk2>
      <a:srgbClr val="575F6D"/>
    </a:dk2>
    <a:lt2>
      <a:srgbClr val="FFF39D"/>
    </a:lt2>
    <a:accent1>
      <a:srgbClr val="FE8637"/>
    </a:accent1>
    <a:accent2>
      <a:srgbClr val="7598D9"/>
    </a:accent2>
    <a:accent3>
      <a:srgbClr val="B32C16"/>
    </a:accent3>
    <a:accent4>
      <a:srgbClr val="F5CD2D"/>
    </a:accent4>
    <a:accent5>
      <a:srgbClr val="AEBAD5"/>
    </a:accent5>
    <a:accent6>
      <a:srgbClr val="777C84"/>
    </a:accent6>
    <a:hlink>
      <a:srgbClr val="D2611C"/>
    </a:hlink>
    <a:folHlink>
      <a:srgbClr val="3B435B"/>
    </a:folHlink>
  </a:clrScheme>
  <a:fontScheme name="blanka">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riel">
    <a:dk1>
      <a:sysClr val="windowText" lastClr="000000"/>
    </a:dk1>
    <a:lt1>
      <a:sysClr val="window" lastClr="FFFFFF"/>
    </a:lt1>
    <a:dk2>
      <a:srgbClr val="575F6D"/>
    </a:dk2>
    <a:lt2>
      <a:srgbClr val="FFF39D"/>
    </a:lt2>
    <a:accent1>
      <a:srgbClr val="FE8637"/>
    </a:accent1>
    <a:accent2>
      <a:srgbClr val="7598D9"/>
    </a:accent2>
    <a:accent3>
      <a:srgbClr val="B32C16"/>
    </a:accent3>
    <a:accent4>
      <a:srgbClr val="F5CD2D"/>
    </a:accent4>
    <a:accent5>
      <a:srgbClr val="AEBAD5"/>
    </a:accent5>
    <a:accent6>
      <a:srgbClr val="777C84"/>
    </a:accent6>
    <a:hlink>
      <a:srgbClr val="D2611C"/>
    </a:hlink>
    <a:folHlink>
      <a:srgbClr val="3B435B"/>
    </a:folHlink>
  </a:clrScheme>
  <a:fontScheme name="blanka">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riel">
    <a:dk1>
      <a:sysClr val="windowText" lastClr="000000"/>
    </a:dk1>
    <a:lt1>
      <a:sysClr val="window" lastClr="FFFFFF"/>
    </a:lt1>
    <a:dk2>
      <a:srgbClr val="575F6D"/>
    </a:dk2>
    <a:lt2>
      <a:srgbClr val="FFF39D"/>
    </a:lt2>
    <a:accent1>
      <a:srgbClr val="FE8637"/>
    </a:accent1>
    <a:accent2>
      <a:srgbClr val="7598D9"/>
    </a:accent2>
    <a:accent3>
      <a:srgbClr val="B32C16"/>
    </a:accent3>
    <a:accent4>
      <a:srgbClr val="F5CD2D"/>
    </a:accent4>
    <a:accent5>
      <a:srgbClr val="AEBAD5"/>
    </a:accent5>
    <a:accent6>
      <a:srgbClr val="777C84"/>
    </a:accent6>
    <a:hlink>
      <a:srgbClr val="D2611C"/>
    </a:hlink>
    <a:folHlink>
      <a:srgbClr val="3B435B"/>
    </a:folHlink>
  </a:clrScheme>
  <a:fontScheme name="blanka">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riel">
    <a:dk1>
      <a:sysClr val="windowText" lastClr="000000"/>
    </a:dk1>
    <a:lt1>
      <a:sysClr val="window" lastClr="FFFFFF"/>
    </a:lt1>
    <a:dk2>
      <a:srgbClr val="575F6D"/>
    </a:dk2>
    <a:lt2>
      <a:srgbClr val="FFF39D"/>
    </a:lt2>
    <a:accent1>
      <a:srgbClr val="FE8637"/>
    </a:accent1>
    <a:accent2>
      <a:srgbClr val="7598D9"/>
    </a:accent2>
    <a:accent3>
      <a:srgbClr val="B32C16"/>
    </a:accent3>
    <a:accent4>
      <a:srgbClr val="F5CD2D"/>
    </a:accent4>
    <a:accent5>
      <a:srgbClr val="AEBAD5"/>
    </a:accent5>
    <a:accent6>
      <a:srgbClr val="777C84"/>
    </a:accent6>
    <a:hlink>
      <a:srgbClr val="D2611C"/>
    </a:hlink>
    <a:folHlink>
      <a:srgbClr val="3B435B"/>
    </a:folHlink>
  </a:clrScheme>
  <a:fontScheme name="blanka">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Marquee">
    <a:dk1>
      <a:srgbClr val="000000"/>
    </a:dk1>
    <a:lt1>
      <a:sysClr val="window" lastClr="FFFFFF"/>
    </a:lt1>
    <a:dk2>
      <a:srgbClr val="5E5E5E"/>
    </a:dk2>
    <a:lt2>
      <a:srgbClr val="DDDDDD"/>
    </a:lt2>
    <a:accent1>
      <a:srgbClr val="418AB3"/>
    </a:accent1>
    <a:accent2>
      <a:srgbClr val="A6B727"/>
    </a:accent2>
    <a:accent3>
      <a:srgbClr val="F69200"/>
    </a:accent3>
    <a:accent4>
      <a:srgbClr val="838383"/>
    </a:accent4>
    <a:accent5>
      <a:srgbClr val="FEC306"/>
    </a:accent5>
    <a:accent6>
      <a:srgbClr val="DF5327"/>
    </a:accent6>
    <a:hlink>
      <a:srgbClr val="F59E00"/>
    </a:hlink>
    <a:folHlink>
      <a:srgbClr val="B2B2B2"/>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Marquee">
    <a:dk1>
      <a:srgbClr val="000000"/>
    </a:dk1>
    <a:lt1>
      <a:sysClr val="window" lastClr="FFFFFF"/>
    </a:lt1>
    <a:dk2>
      <a:srgbClr val="5E5E5E"/>
    </a:dk2>
    <a:lt2>
      <a:srgbClr val="DDDDDD"/>
    </a:lt2>
    <a:accent1>
      <a:srgbClr val="418AB3"/>
    </a:accent1>
    <a:accent2>
      <a:srgbClr val="A6B727"/>
    </a:accent2>
    <a:accent3>
      <a:srgbClr val="F69200"/>
    </a:accent3>
    <a:accent4>
      <a:srgbClr val="838383"/>
    </a:accent4>
    <a:accent5>
      <a:srgbClr val="FEC306"/>
    </a:accent5>
    <a:accent6>
      <a:srgbClr val="DF5327"/>
    </a:accent6>
    <a:hlink>
      <a:srgbClr val="F59E00"/>
    </a:hlink>
    <a:folHlink>
      <a:srgbClr val="B2B2B2"/>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2016-2018</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53198A1-E646-494F-B549-A295E609C8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105455</Words>
  <Characters>601099</Characters>
  <Application>Microsoft Office Word</Application>
  <DocSecurity>0</DocSecurity>
  <Lines>5009</Lines>
  <Paragraphs>1410</Paragraphs>
  <ScaleCrop>false</ScaleCrop>
  <HeadingPairs>
    <vt:vector size="2" baseType="variant">
      <vt:variant>
        <vt:lpstr>Title</vt:lpstr>
      </vt:variant>
      <vt:variant>
        <vt:i4>1</vt:i4>
      </vt:variant>
    </vt:vector>
  </HeadingPairs>
  <TitlesOfParts>
    <vt:vector size="1" baseType="lpstr">
      <vt:lpstr>Мотиви - АСБП 2024-2026</vt:lpstr>
    </vt:vector>
  </TitlesOfParts>
  <Company/>
  <LinksUpToDate>false</LinksUpToDate>
  <CharactersWithSpaces>705144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Мотиви - АСБП 2024-2026</dc:title>
  <dc:subject/>
  <dc:creator>Бюджет</dc:creator>
  <cp:keywords/>
  <dc:description/>
  <cp:lastModifiedBy>Велико Демирев</cp:lastModifiedBy>
  <cp:revision>4</cp:revision>
  <cp:lastPrinted>2023-11-24T12:50:00Z</cp:lastPrinted>
  <dcterms:created xsi:type="dcterms:W3CDTF">2023-11-24T12:50:00Z</dcterms:created>
  <dcterms:modified xsi:type="dcterms:W3CDTF">2023-11-24T12:50:00Z</dcterms:modified>
</cp:coreProperties>
</file>